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Default Extension="jpeg" ContentType="image/jpeg"/>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header15.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header16.xml" ContentType="application/vnd.openxmlformats-officedocument.wordprocessingml.header+xml"/>
  <Override PartName="/word/footer20.xml" ContentType="application/vnd.openxmlformats-officedocument.wordprocessingml.footer+xml"/>
  <Override PartName="/word/header17.xml" ContentType="application/vnd.openxmlformats-officedocument.wordprocessingml.header+xml"/>
  <Override PartName="/word/footer21.xml" ContentType="application/vnd.openxmlformats-officedocument.wordprocessingml.footer+xml"/>
  <Override PartName="/word/header18.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280"/>
        <w:rPr>
          <w:rFonts w:ascii="Times New Roman"/>
          <w:sz w:val="20"/>
        </w:rPr>
      </w:pPr>
      <w:r>
        <w:rPr>
          <w:rFonts w:ascii="Times New Roman"/>
          <w:sz w:val="20"/>
        </w:rPr>
        <w:pict>
          <v:group style="width:496.8pt;height:23.55pt;mso-position-horizontal-relative:char;mso-position-vertical-relative:line" coordorigin="0,0" coordsize="9936,471">
            <v:shape style="position:absolute;left:8822;top:48;width:1114;height:278" type="#_x0000_t75" stroked="false">
              <v:imagedata r:id="rId5" o:title=""/>
            </v:shape>
            <v:shape style="position:absolute;left:0;top:0;width:9158;height:470" type="#_x0000_t75" stroked="false">
              <v:imagedata r:id="rId6" o:title=""/>
            </v:shape>
            <v:shapetype id="_x0000_t202" o:spt="202" coordsize="21600,21600" path="m,l,21600r21600,l21600,xe">
              <v:stroke joinstyle="miter"/>
              <v:path gradientshapeok="t" o:connecttype="rect"/>
            </v:shapetype>
            <v:shape style="position:absolute;left:0;top:0;width:9936;height:471" type="#_x0000_t202" filled="false" stroked="false">
              <v:textbox inset="0,0,0,0">
                <w:txbxContent>
                  <w:p>
                    <w:pPr>
                      <w:spacing w:line="413" w:lineRule="exact" w:before="57"/>
                      <w:ind w:left="859" w:right="0" w:firstLine="0"/>
                      <w:jc w:val="left"/>
                      <w:rPr>
                        <w:rFonts w:ascii="Gabriola"/>
                        <w:sz w:val="27"/>
                      </w:rPr>
                    </w:pPr>
                    <w:r>
                      <w:rPr>
                        <w:rFonts w:ascii="Gabriola"/>
                        <w:sz w:val="27"/>
                      </w:rPr>
                      <w:t>Comportamiento Proambiental del Visitante en el Parque Nacional Desierto de los Leones</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6"/>
        </w:rPr>
      </w:pPr>
    </w:p>
    <w:p>
      <w:pPr>
        <w:spacing w:before="67"/>
        <w:ind w:left="9460" w:right="0" w:firstLine="0"/>
        <w:jc w:val="left"/>
        <w:rPr>
          <w:b/>
          <w:sz w:val="27"/>
        </w:rPr>
      </w:pPr>
      <w:r>
        <w:rPr/>
        <w:pict>
          <v:shape style="position:absolute;margin-left:24.719999pt;margin-top:-158.744019pt;width:461.55pt;height:111.95pt;mso-position-horizontal-relative:page;mso-position-vertical-relative:paragraph;z-index:-244024" type="#_x0000_t202" filled="false" stroked="false">
            <v:textbox inset="0,0,0,0">
              <w:txbxContent>
                <w:p>
                  <w:pPr>
                    <w:spacing w:line="358" w:lineRule="exact" w:before="0"/>
                    <w:ind w:left="2731" w:right="61" w:firstLine="0"/>
                    <w:jc w:val="center"/>
                    <w:rPr>
                      <w:b/>
                      <w:sz w:val="35"/>
                    </w:rPr>
                  </w:pPr>
                  <w:r>
                    <w:rPr>
                      <w:b/>
                      <w:sz w:val="35"/>
                    </w:rPr>
                    <w:t>UNIVERSIDAD AUTÓNOMA DEL</w:t>
                  </w:r>
                </w:p>
                <w:p>
                  <w:pPr>
                    <w:spacing w:before="207"/>
                    <w:ind w:left="2729" w:right="61" w:firstLine="0"/>
                    <w:jc w:val="center"/>
                    <w:rPr>
                      <w:b/>
                      <w:sz w:val="35"/>
                    </w:rPr>
                  </w:pPr>
                  <w:r>
                    <w:rPr>
                      <w:b/>
                      <w:sz w:val="35"/>
                    </w:rPr>
                    <w:t>ESTADO DE MÉXICO</w:t>
                  </w:r>
                </w:p>
                <w:p>
                  <w:pPr>
                    <w:pStyle w:val="BodyText"/>
                    <w:rPr>
                      <w:b/>
                      <w:sz w:val="34"/>
                    </w:rPr>
                  </w:pPr>
                </w:p>
                <w:p>
                  <w:pPr>
                    <w:spacing w:before="216"/>
                    <w:ind w:left="2733" w:right="61" w:firstLine="0"/>
                    <w:jc w:val="center"/>
                    <w:rPr>
                      <w:b/>
                      <w:sz w:val="23"/>
                    </w:rPr>
                  </w:pPr>
                  <w:r>
                    <w:rPr>
                      <w:b/>
                      <w:sz w:val="23"/>
                    </w:rPr>
                    <w:t>FACULTAD DE QUÍMICA</w:t>
                  </w:r>
                </w:p>
                <w:p>
                  <w:pPr>
                    <w:spacing w:line="260" w:lineRule="exact" w:before="138"/>
                    <w:ind w:left="2804" w:right="61" w:firstLine="0"/>
                    <w:jc w:val="center"/>
                    <w:rPr>
                      <w:b/>
                      <w:sz w:val="23"/>
                    </w:rPr>
                  </w:pPr>
                  <w:r>
                    <w:rPr>
                      <w:b/>
                      <w:sz w:val="23"/>
                    </w:rPr>
                    <w:t>MAESTRÍA Y DOCTORADO EN CIENCIAS  AMBIENTALES</w:t>
                  </w:r>
                </w:p>
              </w:txbxContent>
            </v:textbox>
            <w10:wrap type="none"/>
          </v:shape>
        </w:pict>
      </w:r>
      <w:r>
        <w:rPr/>
        <w:pict>
          <v:shape style="position:absolute;margin-left:24.719999pt;margin-top:-48.06715pt;width:463.2pt;height:107.8pt;mso-position-horizontal-relative:page;mso-position-vertical-relative:paragraph;z-index:-244000" type="#_x0000_t202" filled="false" stroked="false">
            <v:textbox inset="0,0,0,0">
              <w:txbxContent>
                <w:p>
                  <w:pPr>
                    <w:pStyle w:val="BodyText"/>
                    <w:rPr>
                      <w:b/>
                      <w:sz w:val="26"/>
                    </w:rPr>
                  </w:pPr>
                </w:p>
                <w:p>
                  <w:pPr>
                    <w:pStyle w:val="BodyText"/>
                    <w:rPr>
                      <w:b/>
                      <w:sz w:val="26"/>
                    </w:rPr>
                  </w:pPr>
                </w:p>
                <w:p>
                  <w:pPr>
                    <w:pStyle w:val="BodyText"/>
                    <w:spacing w:before="4"/>
                    <w:rPr>
                      <w:b/>
                      <w:sz w:val="37"/>
                    </w:rPr>
                  </w:pPr>
                </w:p>
                <w:p>
                  <w:pPr>
                    <w:spacing w:line="364" w:lineRule="auto" w:before="1"/>
                    <w:ind w:left="2524" w:right="0" w:hanging="740"/>
                    <w:jc w:val="left"/>
                    <w:rPr>
                      <w:b/>
                      <w:sz w:val="27"/>
                    </w:rPr>
                  </w:pPr>
                  <w:r>
                    <w:rPr>
                      <w:b/>
                      <w:sz w:val="27"/>
                    </w:rPr>
                    <w:t>COMPORTAMIENTO PROAMBIENTAL DEL VISITANTE EN PARQUE NACIONAL DESIERTO DE LOS LEONES</w:t>
                  </w:r>
                </w:p>
              </w:txbxContent>
            </v:textbox>
            <w10:wrap type="none"/>
          </v:shape>
        </w:pict>
      </w:r>
      <w:r>
        <w:rPr/>
        <w:pict>
          <v:shape style="position:absolute;margin-left:24.719999pt;margin-top:59.692852pt;width:461.55pt;height:107.8pt;mso-position-horizontal-relative:page;mso-position-vertical-relative:paragraph;z-index:-243976" type="#_x0000_t202" filled="false" stroked="false">
            <v:textbox inset="0,0,0,0">
              <w:txbxContent>
                <w:p>
                  <w:pPr>
                    <w:pStyle w:val="BodyText"/>
                    <w:spacing w:before="2"/>
                    <w:rPr>
                      <w:b/>
                      <w:sz w:val="19"/>
                    </w:rPr>
                  </w:pPr>
                </w:p>
                <w:p>
                  <w:pPr>
                    <w:spacing w:line="578" w:lineRule="auto" w:before="0"/>
                    <w:ind w:left="3484" w:right="34" w:hanging="197"/>
                    <w:jc w:val="left"/>
                    <w:rPr>
                      <w:b/>
                      <w:sz w:val="23"/>
                    </w:rPr>
                  </w:pPr>
                  <w:r>
                    <w:rPr>
                      <w:b/>
                      <w:sz w:val="23"/>
                    </w:rPr>
                    <w:t>TESIS QUE PARA OBTENER EL GRADO DE MAESTRA EN CIENCIAS  AMBIENTALES</w:t>
                  </w:r>
                </w:p>
              </w:txbxContent>
            </v:textbox>
            <w10:wrap type="none"/>
          </v:shape>
        </w:pict>
      </w:r>
      <w:r>
        <w:rPr/>
        <w:pict>
          <v:shape style="position:absolute;margin-left:24.719999pt;margin-top:167.452850pt;width:461.55pt;height:107.8pt;mso-position-horizontal-relative:page;mso-position-vertical-relative:paragraph;z-index:-243952" type="#_x0000_t202" filled="false" stroked="false">
            <v:textbox inset="0,0,0,0">
              <w:txbxContent>
                <w:p>
                  <w:pPr>
                    <w:spacing w:line="241" w:lineRule="exact" w:before="0"/>
                    <w:ind w:left="4867" w:right="34" w:firstLine="0"/>
                    <w:jc w:val="left"/>
                    <w:rPr>
                      <w:b/>
                      <w:sz w:val="23"/>
                    </w:rPr>
                  </w:pPr>
                  <w:r>
                    <w:rPr>
                      <w:b/>
                      <w:sz w:val="23"/>
                    </w:rPr>
                    <w:t>P R E S E N T A</w:t>
                  </w:r>
                </w:p>
                <w:p>
                  <w:pPr>
                    <w:pStyle w:val="BodyText"/>
                    <w:rPr>
                      <w:b/>
                      <w:sz w:val="22"/>
                    </w:rPr>
                  </w:pPr>
                </w:p>
                <w:p>
                  <w:pPr>
                    <w:pStyle w:val="BodyText"/>
                    <w:rPr>
                      <w:b/>
                      <w:sz w:val="22"/>
                    </w:rPr>
                  </w:pPr>
                </w:p>
                <w:p>
                  <w:pPr>
                    <w:pStyle w:val="BodyText"/>
                    <w:rPr>
                      <w:b/>
                      <w:sz w:val="22"/>
                    </w:rPr>
                  </w:pPr>
                </w:p>
                <w:p>
                  <w:pPr>
                    <w:pStyle w:val="BodyText"/>
                    <w:spacing w:before="7"/>
                    <w:rPr>
                      <w:b/>
                      <w:sz w:val="21"/>
                    </w:rPr>
                  </w:pPr>
                </w:p>
                <w:p>
                  <w:pPr>
                    <w:spacing w:before="0"/>
                    <w:ind w:left="3028" w:right="34" w:firstLine="0"/>
                    <w:jc w:val="left"/>
                    <w:rPr>
                      <w:b/>
                      <w:sz w:val="23"/>
                    </w:rPr>
                  </w:pPr>
                  <w:r>
                    <w:rPr>
                      <w:b/>
                      <w:sz w:val="23"/>
                    </w:rPr>
                    <w:t>L. en T. ROSA SUSANA MARTÍNEZ  CERVANTES</w:t>
                  </w:r>
                </w:p>
              </w:txbxContent>
            </v:textbox>
            <w10:wrap type="none"/>
          </v:shape>
        </w:pict>
      </w:r>
      <w:r>
        <w:rPr/>
        <w:pict>
          <v:group style="position:absolute;margin-left:24.719999pt;margin-top:-160.627151pt;width:471.85pt;height:650.2pt;mso-position-horizontal-relative:page;mso-position-vertical-relative:paragraph;z-index:-243880" coordorigin="494,-3213" coordsize="9437,13004">
            <v:shape style="position:absolute;left:2966;top:-3213;width:6965;height:2770" type="#_x0000_t75" stroked="false">
              <v:imagedata r:id="rId7" o:title=""/>
            </v:shape>
            <v:shape style="position:absolute;left:494;top:-3117;width:9230;height:12907" type="#_x0000_t75" stroked="false">
              <v:imagedata r:id="rId8" o:title=""/>
            </v:shape>
            <w10:wrap type="none"/>
          </v:group>
        </w:pict>
      </w:r>
      <w:r>
        <w:rPr>
          <w:b/>
          <w:sz w:val="27"/>
        </w:rPr>
        <w:t>EL</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8"/>
        <w:rPr>
          <w:b/>
          <w:sz w:val="26"/>
        </w:rPr>
      </w:pPr>
    </w:p>
    <w:p>
      <w:pPr>
        <w:spacing w:before="0"/>
        <w:ind w:left="0" w:right="1788" w:firstLine="0"/>
        <w:jc w:val="right"/>
        <w:rPr>
          <w:b/>
          <w:sz w:val="23"/>
        </w:rPr>
      </w:pPr>
      <w:r>
        <w:rPr/>
        <w:pict>
          <v:shape style="position:absolute;margin-left:24.719999pt;margin-top:-177.613129pt;width:461.55pt;height:107.8pt;mso-position-horizontal-relative:page;mso-position-vertical-relative:paragraph;z-index:-243928" type="#_x0000_t202" filled="false" stroked="false">
            <v:textbox inset="0,0,0,0">
              <w:txbxContent>
                <w:p>
                  <w:pPr>
                    <w:pStyle w:val="BodyText"/>
                    <w:spacing w:before="8"/>
                    <w:rPr>
                      <w:b/>
                      <w:sz w:val="31"/>
                    </w:rPr>
                  </w:pPr>
                </w:p>
                <w:p>
                  <w:pPr>
                    <w:spacing w:before="0"/>
                    <w:ind w:left="2301" w:right="61" w:firstLine="0"/>
                    <w:jc w:val="center"/>
                    <w:rPr>
                      <w:b/>
                      <w:sz w:val="23"/>
                    </w:rPr>
                  </w:pPr>
                  <w:r>
                    <w:rPr>
                      <w:b/>
                      <w:sz w:val="23"/>
                    </w:rPr>
                    <w:t>DIRIGIDA POR:</w:t>
                  </w:r>
                </w:p>
                <w:p>
                  <w:pPr>
                    <w:spacing w:line="640" w:lineRule="atLeast" w:before="0"/>
                    <w:ind w:left="2804" w:right="561" w:firstLine="0"/>
                    <w:jc w:val="center"/>
                    <w:rPr>
                      <w:b/>
                      <w:sz w:val="23"/>
                    </w:rPr>
                  </w:pPr>
                  <w:r>
                    <w:rPr>
                      <w:b/>
                      <w:sz w:val="23"/>
                    </w:rPr>
                    <w:t>DRA. EN C.A. ELVA ESTHER VARGAS MARTÍNEZ DRA. EN C.E. LETICIA TAMAYO</w:t>
                  </w:r>
                  <w:r>
                    <w:rPr>
                      <w:b/>
                      <w:spacing w:val="61"/>
                      <w:sz w:val="23"/>
                    </w:rPr>
                    <w:t> </w:t>
                  </w:r>
                  <w:r>
                    <w:rPr>
                      <w:b/>
                      <w:sz w:val="23"/>
                    </w:rPr>
                    <w:t>SALCEDO</w:t>
                  </w:r>
                </w:p>
              </w:txbxContent>
            </v:textbox>
            <w10:wrap type="none"/>
          </v:shape>
        </w:pict>
      </w:r>
      <w:r>
        <w:rPr/>
        <w:pict>
          <v:shape style="position:absolute;margin-left:24.719999pt;margin-top:-69.852928pt;width:461.55pt;height:106.6pt;mso-position-horizontal-relative:page;mso-position-vertical-relative:paragraph;z-index:-243904" type="#_x0000_t202" filled="false" stroked="false">
            <v:textbox inset="0,0,0,0">
              <w:txbxContent>
                <w:p>
                  <w:pPr>
                    <w:spacing w:before="120"/>
                    <w:ind w:left="3335" w:right="34" w:firstLine="0"/>
                    <w:jc w:val="left"/>
                    <w:rPr>
                      <w:b/>
                      <w:sz w:val="23"/>
                    </w:rPr>
                  </w:pPr>
                  <w:r>
                    <w:rPr>
                      <w:b/>
                      <w:sz w:val="23"/>
                    </w:rPr>
                    <w:t>DRA. EN C.S. LILIA ZIZUMBO</w:t>
                  </w:r>
                  <w:r>
                    <w:rPr>
                      <w:b/>
                      <w:spacing w:val="58"/>
                      <w:sz w:val="23"/>
                    </w:rPr>
                    <w:t> </w:t>
                  </w:r>
                  <w:r>
                    <w:rPr>
                      <w:b/>
                      <w:sz w:val="23"/>
                    </w:rPr>
                    <w:t>VILLARREAL</w:t>
                  </w:r>
                </w:p>
                <w:p>
                  <w:pPr>
                    <w:pStyle w:val="BodyText"/>
                    <w:rPr>
                      <w:b/>
                      <w:sz w:val="22"/>
                    </w:rPr>
                  </w:pPr>
                </w:p>
                <w:p>
                  <w:pPr>
                    <w:pStyle w:val="BodyText"/>
                    <w:rPr>
                      <w:b/>
                      <w:sz w:val="22"/>
                    </w:rPr>
                  </w:pPr>
                </w:p>
                <w:p>
                  <w:pPr>
                    <w:pStyle w:val="BodyText"/>
                    <w:rPr>
                      <w:b/>
                      <w:sz w:val="22"/>
                    </w:rPr>
                  </w:pPr>
                </w:p>
                <w:p>
                  <w:pPr>
                    <w:pStyle w:val="BodyText"/>
                    <w:rPr>
                      <w:b/>
                      <w:sz w:val="22"/>
                    </w:rPr>
                  </w:pPr>
                </w:p>
                <w:p>
                  <w:pPr>
                    <w:spacing w:before="0"/>
                    <w:ind w:left="2049" w:right="0" w:firstLine="0"/>
                    <w:jc w:val="left"/>
                    <w:rPr>
                      <w:b/>
                      <w:sz w:val="23"/>
                    </w:rPr>
                  </w:pPr>
                  <w:r>
                    <w:rPr>
                      <w:b/>
                      <w:sz w:val="23"/>
                    </w:rPr>
                    <w:t>TOLUCA DE LERDO, ESTADO DE MÉXICO; NOVIEMBRE DE   201</w:t>
                  </w:r>
                </w:p>
              </w:txbxContent>
            </v:textbox>
            <w10:wrap type="none"/>
          </v:shape>
        </w:pict>
      </w:r>
      <w:r>
        <w:rPr>
          <w:b/>
          <w:sz w:val="23"/>
        </w:rPr>
        <w:t>5.</w:t>
      </w:r>
    </w:p>
    <w:p>
      <w:pPr>
        <w:spacing w:after="0"/>
        <w:jc w:val="right"/>
        <w:rPr>
          <w:sz w:val="23"/>
        </w:rPr>
        <w:sectPr>
          <w:type w:val="continuous"/>
          <w:pgSz w:w="11910" w:h="16840"/>
          <w:pgMar w:top="1000" w:bottom="280" w:left="380" w:right="200"/>
        </w:sectPr>
      </w:pPr>
    </w:p>
    <w:p>
      <w:pPr>
        <w:pStyle w:val="BodyText"/>
        <w:rPr>
          <w:b/>
          <w:sz w:val="20"/>
        </w:rPr>
      </w:pPr>
    </w:p>
    <w:p>
      <w:pPr>
        <w:pStyle w:val="BodyText"/>
        <w:spacing w:before="10"/>
        <w:rPr>
          <w:b/>
          <w:sz w:val="17"/>
        </w:rPr>
      </w:pPr>
    </w:p>
    <w:p>
      <w:pPr>
        <w:spacing w:before="74"/>
        <w:ind w:left="338" w:right="1139" w:firstLine="0"/>
        <w:jc w:val="center"/>
        <w:rPr>
          <w:b/>
          <w:i/>
          <w:sz w:val="23"/>
        </w:rPr>
      </w:pPr>
      <w:r>
        <w:rPr>
          <w:b/>
          <w:i/>
          <w:sz w:val="23"/>
        </w:rPr>
        <w:t>DEDICATORIAS</w:t>
      </w:r>
    </w:p>
    <w:p>
      <w:pPr>
        <w:pStyle w:val="BodyText"/>
        <w:rPr>
          <w:b/>
          <w:i/>
          <w:sz w:val="22"/>
        </w:rPr>
      </w:pPr>
    </w:p>
    <w:p>
      <w:pPr>
        <w:pStyle w:val="BodyText"/>
        <w:rPr>
          <w:b/>
          <w:i/>
        </w:rPr>
      </w:pPr>
    </w:p>
    <w:p>
      <w:pPr>
        <w:spacing w:line="364" w:lineRule="auto" w:before="0"/>
        <w:ind w:left="192" w:right="994" w:hanging="11"/>
        <w:jc w:val="center"/>
        <w:rPr>
          <w:i/>
          <w:sz w:val="23"/>
        </w:rPr>
      </w:pPr>
      <w:r>
        <w:rPr>
          <w:i/>
          <w:sz w:val="23"/>
        </w:rPr>
        <w:t>Este logro está dedicado a los seres más maravillosos que Dios me ha dado, </w:t>
      </w:r>
      <w:r>
        <w:rPr>
          <w:i/>
          <w:spacing w:val="-3"/>
          <w:sz w:val="23"/>
        </w:rPr>
        <w:t>Mis </w:t>
      </w:r>
      <w:r>
        <w:rPr>
          <w:i/>
          <w:sz w:val="23"/>
        </w:rPr>
        <w:t>abuelitos Rafaela y José, quienes con </w:t>
      </w:r>
      <w:r>
        <w:rPr>
          <w:i/>
          <w:spacing w:val="3"/>
          <w:sz w:val="23"/>
        </w:rPr>
        <w:t>su </w:t>
      </w:r>
      <w:r>
        <w:rPr>
          <w:i/>
          <w:sz w:val="23"/>
        </w:rPr>
        <w:t>ejemplo y cariño, se convirtieron en mi motor de vida para hacer realidad un sueño</w:t>
      </w:r>
      <w:r>
        <w:rPr>
          <w:i/>
          <w:spacing w:val="55"/>
          <w:sz w:val="23"/>
        </w:rPr>
        <w:t> </w:t>
      </w:r>
      <w:r>
        <w:rPr>
          <w:i/>
          <w:sz w:val="23"/>
        </w:rPr>
        <w:t>más.</w:t>
      </w:r>
    </w:p>
    <w:p>
      <w:pPr>
        <w:pStyle w:val="BodyText"/>
        <w:rPr>
          <w:i/>
          <w:sz w:val="22"/>
        </w:rPr>
      </w:pPr>
    </w:p>
    <w:p>
      <w:pPr>
        <w:pStyle w:val="BodyText"/>
        <w:rPr>
          <w:i/>
          <w:sz w:val="22"/>
        </w:rPr>
      </w:pPr>
    </w:p>
    <w:p>
      <w:pPr>
        <w:pStyle w:val="BodyText"/>
        <w:rPr>
          <w:i/>
          <w:sz w:val="22"/>
        </w:rPr>
      </w:pPr>
    </w:p>
    <w:p>
      <w:pPr>
        <w:pStyle w:val="BodyText"/>
        <w:rPr>
          <w:i/>
          <w:sz w:val="22"/>
        </w:rPr>
      </w:pPr>
    </w:p>
    <w:p>
      <w:pPr>
        <w:spacing w:before="154"/>
        <w:ind w:left="338" w:right="1144" w:firstLine="0"/>
        <w:jc w:val="center"/>
        <w:rPr>
          <w:i/>
          <w:sz w:val="23"/>
        </w:rPr>
      </w:pPr>
      <w:r>
        <w:rPr>
          <w:i/>
          <w:sz w:val="23"/>
        </w:rPr>
        <w:t>A Sergio mi amado esposo y compañero de  vida</w:t>
      </w:r>
    </w:p>
    <w:p>
      <w:pPr>
        <w:pStyle w:val="BodyText"/>
        <w:rPr>
          <w:i/>
          <w:sz w:val="22"/>
        </w:rPr>
      </w:pPr>
    </w:p>
    <w:p>
      <w:pPr>
        <w:spacing w:line="362" w:lineRule="auto" w:before="1"/>
        <w:ind w:left="338" w:right="1149" w:firstLine="0"/>
        <w:jc w:val="center"/>
        <w:rPr>
          <w:i/>
          <w:sz w:val="23"/>
        </w:rPr>
      </w:pPr>
      <w:r>
        <w:rPr>
          <w:i/>
          <w:sz w:val="23"/>
        </w:rPr>
        <w:t>Quien en todo momento me ha alentado a hacer lo que me apasiona, por su amor, </w:t>
      </w:r>
      <w:r>
        <w:rPr>
          <w:i/>
          <w:sz w:val="23"/>
        </w:rPr>
        <w:t>apoyo, confianza y paciencia infinita.</w:t>
      </w:r>
    </w:p>
    <w:p>
      <w:pPr>
        <w:spacing w:before="123"/>
        <w:ind w:left="338" w:right="1139" w:firstLine="0"/>
        <w:jc w:val="center"/>
        <w:rPr>
          <w:i/>
          <w:sz w:val="23"/>
        </w:rPr>
      </w:pPr>
      <w:r>
        <w:rPr>
          <w:i/>
          <w:sz w:val="23"/>
        </w:rPr>
        <w:t>¡Este logro es tuyo!</w:t>
      </w:r>
    </w:p>
    <w:p>
      <w:pPr>
        <w:pStyle w:val="BodyText"/>
        <w:rPr>
          <w:i/>
          <w:sz w:val="22"/>
        </w:rPr>
      </w:pPr>
    </w:p>
    <w:p>
      <w:pPr>
        <w:pStyle w:val="BodyText"/>
        <w:rPr>
          <w:i/>
          <w:sz w:val="22"/>
        </w:rPr>
      </w:pPr>
    </w:p>
    <w:p>
      <w:pPr>
        <w:pStyle w:val="BodyText"/>
        <w:rPr>
          <w:i/>
          <w:sz w:val="22"/>
        </w:rPr>
      </w:pPr>
    </w:p>
    <w:p>
      <w:pPr>
        <w:pStyle w:val="BodyText"/>
        <w:rPr>
          <w:i/>
          <w:sz w:val="22"/>
        </w:rPr>
      </w:pPr>
    </w:p>
    <w:p>
      <w:pPr>
        <w:pStyle w:val="BodyText"/>
        <w:spacing w:before="7"/>
        <w:rPr>
          <w:i/>
          <w:sz w:val="24"/>
        </w:rPr>
      </w:pPr>
    </w:p>
    <w:p>
      <w:pPr>
        <w:spacing w:before="0"/>
        <w:ind w:left="338" w:right="1136" w:firstLine="0"/>
        <w:jc w:val="center"/>
        <w:rPr>
          <w:i/>
          <w:sz w:val="23"/>
        </w:rPr>
      </w:pPr>
      <w:r>
        <w:rPr>
          <w:i/>
          <w:sz w:val="23"/>
        </w:rPr>
        <w:t>A mi  madre</w:t>
      </w:r>
    </w:p>
    <w:p>
      <w:pPr>
        <w:pStyle w:val="BodyText"/>
        <w:rPr>
          <w:i/>
          <w:sz w:val="22"/>
        </w:rPr>
      </w:pPr>
    </w:p>
    <w:p>
      <w:pPr>
        <w:spacing w:line="369" w:lineRule="auto" w:before="1"/>
        <w:ind w:left="100" w:right="907" w:hanging="1"/>
        <w:jc w:val="center"/>
        <w:rPr>
          <w:i/>
          <w:sz w:val="23"/>
        </w:rPr>
      </w:pPr>
      <w:r>
        <w:rPr>
          <w:i/>
          <w:sz w:val="23"/>
        </w:rPr>
        <w:t>Que siempre me ha dado ejemplo de fortaleza y humildad, y enseñado a luchar por lo  </w:t>
      </w:r>
      <w:r>
        <w:rPr>
          <w:i/>
          <w:spacing w:val="-3"/>
          <w:sz w:val="23"/>
        </w:rPr>
        <w:t>que </w:t>
      </w:r>
      <w:r>
        <w:rPr>
          <w:i/>
          <w:sz w:val="23"/>
        </w:rPr>
        <w:t>se quiere,  a guiar mí camino y estar siempre junto a mí en los momentos </w:t>
      </w:r>
      <w:r>
        <w:rPr>
          <w:i/>
          <w:spacing w:val="48"/>
          <w:sz w:val="23"/>
        </w:rPr>
        <w:t> </w:t>
      </w:r>
      <w:r>
        <w:rPr>
          <w:i/>
          <w:sz w:val="23"/>
        </w:rPr>
        <w:t>difíciles…</w:t>
      </w:r>
    </w:p>
    <w:p>
      <w:pPr>
        <w:pStyle w:val="BodyText"/>
        <w:rPr>
          <w:i/>
          <w:sz w:val="22"/>
        </w:rPr>
      </w:pPr>
    </w:p>
    <w:p>
      <w:pPr>
        <w:pStyle w:val="BodyText"/>
        <w:rPr>
          <w:i/>
          <w:sz w:val="22"/>
        </w:rPr>
      </w:pPr>
    </w:p>
    <w:p>
      <w:pPr>
        <w:pStyle w:val="BodyText"/>
        <w:rPr>
          <w:i/>
          <w:sz w:val="22"/>
        </w:rPr>
      </w:pPr>
    </w:p>
    <w:p>
      <w:pPr>
        <w:pStyle w:val="BodyText"/>
        <w:rPr>
          <w:i/>
          <w:sz w:val="22"/>
        </w:rPr>
      </w:pPr>
    </w:p>
    <w:p>
      <w:pPr>
        <w:spacing w:before="140"/>
        <w:ind w:left="338" w:right="1146" w:firstLine="0"/>
        <w:jc w:val="center"/>
        <w:rPr>
          <w:i/>
          <w:sz w:val="23"/>
        </w:rPr>
      </w:pPr>
      <w:r>
        <w:rPr>
          <w:i/>
          <w:sz w:val="23"/>
        </w:rPr>
        <w:t>A la familia</w:t>
      </w:r>
    </w:p>
    <w:p>
      <w:pPr>
        <w:pStyle w:val="BodyText"/>
        <w:spacing w:before="5"/>
        <w:rPr>
          <w:i/>
          <w:sz w:val="22"/>
        </w:rPr>
      </w:pPr>
    </w:p>
    <w:p>
      <w:pPr>
        <w:spacing w:line="364" w:lineRule="auto" w:before="0"/>
        <w:ind w:left="338" w:right="1154" w:firstLine="0"/>
        <w:jc w:val="center"/>
        <w:rPr>
          <w:i/>
          <w:sz w:val="23"/>
        </w:rPr>
      </w:pPr>
      <w:r>
        <w:rPr>
          <w:i/>
          <w:sz w:val="23"/>
        </w:rPr>
        <w:t>Mis hermanos Francisco Javier, Hugo y Adelaida por todas sus enseñanzas de vida; </w:t>
      </w:r>
      <w:r>
        <w:rPr>
          <w:i/>
          <w:sz w:val="23"/>
        </w:rPr>
        <w:t>Mis boyitos Johan y Jade Aylin por motivarme con cada una de sus sonrisas y travesuras; A los Ramos Mateo por sus sabios consejos y a los buenos amigos que siempre están ahí.</w:t>
      </w:r>
    </w:p>
    <w:p>
      <w:pPr>
        <w:spacing w:after="0" w:line="364" w:lineRule="auto"/>
        <w:jc w:val="center"/>
        <w:rPr>
          <w:sz w:val="23"/>
        </w:rPr>
        <w:sectPr>
          <w:headerReference w:type="default" r:id="rId9"/>
          <w:pgSz w:w="11910" w:h="16840"/>
          <w:pgMar w:header="1066" w:footer="0" w:top="1460" w:bottom="280" w:left="1560" w:right="200"/>
        </w:sectPr>
      </w:pPr>
    </w:p>
    <w:p>
      <w:pPr>
        <w:pStyle w:val="BodyText"/>
        <w:rPr>
          <w:i/>
          <w:sz w:val="20"/>
        </w:rPr>
      </w:pPr>
    </w:p>
    <w:p>
      <w:pPr>
        <w:pStyle w:val="BodyText"/>
        <w:spacing w:before="10"/>
        <w:rPr>
          <w:i/>
          <w:sz w:val="17"/>
        </w:rPr>
      </w:pPr>
    </w:p>
    <w:p>
      <w:pPr>
        <w:pStyle w:val="Heading2"/>
        <w:ind w:left="0" w:right="786"/>
        <w:jc w:val="center"/>
      </w:pPr>
      <w:r>
        <w:rPr/>
        <w:t>AGRADECIMIENTOS</w:t>
      </w:r>
    </w:p>
    <w:p>
      <w:pPr>
        <w:pStyle w:val="BodyText"/>
        <w:rPr>
          <w:b/>
          <w:sz w:val="22"/>
        </w:rPr>
      </w:pPr>
    </w:p>
    <w:p>
      <w:pPr>
        <w:pStyle w:val="BodyText"/>
        <w:spacing w:line="364" w:lineRule="auto" w:before="1"/>
        <w:ind w:left="116" w:right="900"/>
        <w:jc w:val="both"/>
      </w:pPr>
      <w:r>
        <w:rPr/>
        <w:t>Son pocas las palabras que encuentro para manifestar mi más profundo agradecimiento a las instituciones y personas que con su apoyo colaboraron en la realización de este proyecto de investigación, desarrollado dentro del  programa  interdisciplinario  la Maestría en Ciencias Ambientales ofertada por </w:t>
      </w:r>
      <w:r>
        <w:rPr>
          <w:spacing w:val="-5"/>
        </w:rPr>
        <w:t>la </w:t>
      </w:r>
      <w:r>
        <w:rPr/>
        <w:t>Facultad de Química  de  la  Universidad Autónoma del Estado de México. Así mismo, </w:t>
      </w:r>
      <w:r>
        <w:rPr>
          <w:spacing w:val="-3"/>
        </w:rPr>
        <w:t>mis </w:t>
      </w:r>
      <w:r>
        <w:rPr/>
        <w:t>más sinceros agradecimientos al Consejo Nacional de Ciencia y Tecnología (CONACYT),  por  haberme considerado como becaria durante el periodo </w:t>
      </w:r>
      <w:r>
        <w:rPr>
          <w:spacing w:val="11"/>
        </w:rPr>
        <w:t> </w:t>
      </w:r>
      <w:r>
        <w:rPr/>
        <w:t>2013-2015.</w:t>
      </w:r>
    </w:p>
    <w:p>
      <w:pPr>
        <w:pStyle w:val="BodyText"/>
        <w:spacing w:line="364" w:lineRule="auto" w:before="125"/>
        <w:ind w:left="116" w:right="894"/>
        <w:jc w:val="both"/>
      </w:pPr>
      <w:r>
        <w:rPr/>
        <w:t>Agradezco también de manera muy especial a la Dra. Elva Esther Vargas Martínez, por todas y cada una de </w:t>
      </w:r>
      <w:r>
        <w:rPr>
          <w:spacing w:val="-3"/>
        </w:rPr>
        <w:t>sus </w:t>
      </w:r>
      <w:r>
        <w:rPr/>
        <w:t>enseñanzas, por </w:t>
      </w:r>
      <w:r>
        <w:rPr>
          <w:spacing w:val="-5"/>
        </w:rPr>
        <w:t>la </w:t>
      </w:r>
      <w:r>
        <w:rPr/>
        <w:t>paciencia y humildad con la que en todo momento compartió conmigo su conocimiento y experiencia sobre el turismo, las  ciencias ambientales y </w:t>
      </w:r>
      <w:r>
        <w:rPr>
          <w:spacing w:val="-5"/>
        </w:rPr>
        <w:t>la </w:t>
      </w:r>
      <w:r>
        <w:rPr/>
        <w:t>vida misma. Gracias maestra porque Usted ha  sido  mi  ejemplo e inspiración en este camino de la </w:t>
      </w:r>
      <w:r>
        <w:rPr>
          <w:spacing w:val="2"/>
        </w:rPr>
        <w:t> </w:t>
      </w:r>
      <w:r>
        <w:rPr/>
        <w:t>investigación.</w:t>
      </w:r>
    </w:p>
    <w:p>
      <w:pPr>
        <w:pStyle w:val="BodyText"/>
        <w:spacing w:line="364" w:lineRule="auto" w:before="120"/>
        <w:ind w:left="115" w:right="894"/>
        <w:jc w:val="both"/>
      </w:pPr>
      <w:r>
        <w:rPr/>
        <w:t>Por otro lado quiero agradecer también las contribuciones y sugerencias aportadas por los investigadores </w:t>
      </w:r>
      <w:r>
        <w:rPr>
          <w:spacing w:val="-3"/>
        </w:rPr>
        <w:t>que </w:t>
      </w:r>
      <w:r>
        <w:rPr/>
        <w:t>dirigieron y revisaron este trabajo. A </w:t>
      </w:r>
      <w:r>
        <w:rPr>
          <w:spacing w:val="-5"/>
        </w:rPr>
        <w:t>la </w:t>
      </w:r>
      <w:r>
        <w:rPr/>
        <w:t>Dra. Lilia Zizumbo  Villarreal por </w:t>
      </w:r>
      <w:r>
        <w:rPr>
          <w:spacing w:val="-5"/>
        </w:rPr>
        <w:t>la </w:t>
      </w:r>
      <w:r>
        <w:rPr/>
        <w:t>confianza en mí depositada, a la Dra. Ana Leticia Tamayo Salcedo por    su retroalimentación veraz, motivación y apoyo constante, al </w:t>
      </w:r>
      <w:r>
        <w:rPr>
          <w:spacing w:val="-3"/>
        </w:rPr>
        <w:t>Dr. </w:t>
      </w:r>
      <w:r>
        <w:rPr/>
        <w:t>Federico Rodríguez Torres por el cumulo de enseñanzas y el incondicional apoyo para acrecentar esta investigación. A todos gracias porque han constituido un gran ejemplo de compromiso social ante los retos actuales que la investigación </w:t>
      </w:r>
      <w:r>
        <w:rPr>
          <w:spacing w:val="3"/>
        </w:rPr>
        <w:t> </w:t>
      </w:r>
      <w:r>
        <w:rPr/>
        <w:t>enfrenta.</w:t>
      </w:r>
    </w:p>
    <w:p>
      <w:pPr>
        <w:pStyle w:val="BodyText"/>
        <w:spacing w:line="364" w:lineRule="auto" w:before="125"/>
        <w:ind w:left="115" w:right="900"/>
        <w:jc w:val="both"/>
      </w:pPr>
      <w:r>
        <w:rPr/>
        <w:t>Finalmente agradezco también al claustro de maestros pertenecientes al programa de Maestría y Doctorado en Ciencias Ambientales, por los conocimientos y experiencias transmitidas, a </w:t>
      </w:r>
      <w:r>
        <w:rPr>
          <w:spacing w:val="-3"/>
        </w:rPr>
        <w:t>mis </w:t>
      </w:r>
      <w:r>
        <w:rPr/>
        <w:t>compañeros </w:t>
      </w:r>
      <w:r>
        <w:rPr>
          <w:spacing w:val="-3"/>
        </w:rPr>
        <w:t>de </w:t>
      </w:r>
      <w:r>
        <w:rPr/>
        <w:t>generación por los momentos compartidos a través  de sus investigaciones que me permitieron ampliar mi perspectiva en el  ámbito  científico.</w:t>
      </w:r>
    </w:p>
    <w:p>
      <w:pPr>
        <w:pStyle w:val="BodyText"/>
        <w:spacing w:line="364" w:lineRule="auto" w:before="125"/>
        <w:ind w:left="115" w:right="901"/>
        <w:jc w:val="both"/>
      </w:pPr>
      <w:r>
        <w:rPr/>
        <w:t>Gracias a todos los </w:t>
      </w:r>
      <w:r>
        <w:rPr>
          <w:spacing w:val="-3"/>
        </w:rPr>
        <w:t>que </w:t>
      </w:r>
      <w:r>
        <w:rPr/>
        <w:t>caminaron conmigo a </w:t>
      </w:r>
      <w:r>
        <w:rPr>
          <w:spacing w:val="-5"/>
        </w:rPr>
        <w:t>lo </w:t>
      </w:r>
      <w:r>
        <w:rPr/>
        <w:t>largo de estos dos años porque con la culminación de este trabajo de investigación y con todo el aprendizaje adquirido, me siento motivada a continuar con mi preparación profesional para desempeñar un buen papel en el ámbito natural y social de nuestro</w:t>
      </w:r>
      <w:r>
        <w:rPr>
          <w:spacing w:val="58"/>
        </w:rPr>
        <w:t> </w:t>
      </w:r>
      <w:r>
        <w:rPr/>
        <w:t>país.</w:t>
      </w:r>
    </w:p>
    <w:p>
      <w:pPr>
        <w:spacing w:after="0" w:line="364" w:lineRule="auto"/>
        <w:jc w:val="both"/>
        <w:sectPr>
          <w:pgSz w:w="11910" w:h="16840"/>
          <w:pgMar w:header="1066" w:footer="0" w:top="1460" w:bottom="280" w:left="1540" w:right="200"/>
        </w:sectPr>
      </w:pPr>
    </w:p>
    <w:p>
      <w:pPr>
        <w:pStyle w:val="BodyText"/>
        <w:rPr>
          <w:sz w:val="20"/>
        </w:rPr>
      </w:pPr>
    </w:p>
    <w:p>
      <w:pPr>
        <w:pStyle w:val="BodyText"/>
        <w:spacing w:before="10"/>
        <w:rPr>
          <w:sz w:val="17"/>
        </w:rPr>
      </w:pPr>
    </w:p>
    <w:p>
      <w:pPr>
        <w:pStyle w:val="Heading2"/>
        <w:ind w:left="0" w:right="782"/>
        <w:jc w:val="center"/>
      </w:pPr>
      <w:r>
        <w:rPr/>
        <w:t>RESUMEN</w:t>
      </w:r>
    </w:p>
    <w:p>
      <w:pPr>
        <w:pStyle w:val="BodyText"/>
        <w:rPr>
          <w:b/>
          <w:sz w:val="22"/>
        </w:rPr>
      </w:pPr>
    </w:p>
    <w:p>
      <w:pPr>
        <w:pStyle w:val="BodyText"/>
        <w:spacing w:before="9"/>
        <w:rPr>
          <w:b/>
          <w:sz w:val="21"/>
        </w:rPr>
      </w:pPr>
    </w:p>
    <w:p>
      <w:pPr>
        <w:pStyle w:val="BodyText"/>
        <w:spacing w:line="364" w:lineRule="auto"/>
        <w:ind w:left="116" w:right="890"/>
        <w:jc w:val="both"/>
      </w:pPr>
      <w:r>
        <w:rPr/>
        <w:t>Las áreas naturales protegidas representan un importante producto para la actividad turística debido a la belleza de sus paisajes y su diversidad biológica. Sin embargo, el turismo ha cobrado especial relevancia para la conservación de las áreas  protegidas, para el disfrute del ser humano y para contribuir al desarrollo económico de las comunidades locales. El visitante, por ser uno de los actores principales dentro de estos espacios, constituye un factor determinante para su conservación o por el contrario para su degradación.</w:t>
      </w:r>
    </w:p>
    <w:p>
      <w:pPr>
        <w:pStyle w:val="BodyText"/>
        <w:spacing w:line="364" w:lineRule="auto" w:before="120"/>
        <w:ind w:left="116" w:right="896"/>
        <w:jc w:val="both"/>
      </w:pPr>
      <w:r>
        <w:rPr/>
        <w:t>Algunos estudios sobre el comportamiento proambiental han permitido identificar una serie de elementos que el individuo manifiesta en su interacción </w:t>
      </w:r>
      <w:r>
        <w:rPr>
          <w:spacing w:val="2"/>
        </w:rPr>
        <w:t>con </w:t>
      </w:r>
      <w:r>
        <w:rPr/>
        <w:t>la naturaleza,  lo  cual en el caso de turismo le es de suma utilidad para entender la forma en que el visitante se comporta en un espacio natural de uso turístico y fomentar conductas responsables.</w:t>
      </w:r>
    </w:p>
    <w:p>
      <w:pPr>
        <w:pStyle w:val="BodyText"/>
        <w:spacing w:line="364" w:lineRule="auto" w:before="125"/>
        <w:ind w:left="115" w:right="892"/>
        <w:jc w:val="both"/>
      </w:pPr>
      <w:r>
        <w:rPr/>
        <w:t>La presente investigación describe el comportamiento proambiental del visitante de Parque Nacional Desierto de los Leones (PNDL), un Área Natural Protegida  (ANP) de uso turístico. El diseño de investigación fue cuantitativo, </w:t>
      </w:r>
      <w:r>
        <w:rPr>
          <w:spacing w:val="3"/>
        </w:rPr>
        <w:t>se </w:t>
      </w:r>
      <w:r>
        <w:rPr/>
        <w:t>diseñó y  aplicó  una  encuesta dirigida a los visitantes del parque, y se realizó un análisis estadístico </w:t>
      </w:r>
      <w:r>
        <w:rPr>
          <w:spacing w:val="-3"/>
        </w:rPr>
        <w:t>de </w:t>
      </w:r>
      <w:r>
        <w:rPr/>
        <w:t>los resultados. Entre los principales hallazgos se reporta que el visitante </w:t>
      </w:r>
      <w:r>
        <w:rPr>
          <w:spacing w:val="3"/>
        </w:rPr>
        <w:t>si  </w:t>
      </w:r>
      <w:r>
        <w:rPr/>
        <w:t>tiene conocimiento de temas ambientales y de  las estrategias de acción ambiental, pero que  </w:t>
      </w:r>
      <w:r>
        <w:rPr>
          <w:spacing w:val="-5"/>
        </w:rPr>
        <w:t>la </w:t>
      </w:r>
      <w:r>
        <w:rPr/>
        <w:t>mayoría de estos realizan pocas actividades en favor del ambiente a pesar de haber manifestado tener actitud y responsabilidad ambiental con respecto al cuidado de </w:t>
      </w:r>
      <w:r>
        <w:rPr>
          <w:spacing w:val="-4"/>
        </w:rPr>
        <w:t>los </w:t>
      </w:r>
      <w:r>
        <w:rPr/>
        <w:t>espacios naturales donde </w:t>
      </w:r>
      <w:r>
        <w:rPr>
          <w:spacing w:val="3"/>
        </w:rPr>
        <w:t>se </w:t>
      </w:r>
      <w:r>
        <w:rPr/>
        <w:t>permite la actividad turística. De </w:t>
      </w:r>
      <w:r>
        <w:rPr>
          <w:spacing w:val="-4"/>
        </w:rPr>
        <w:t>ello </w:t>
      </w:r>
      <w:r>
        <w:rPr/>
        <w:t>se obtuvo que el visitante reporta un mayor comportamiento proambiental cuando </w:t>
      </w:r>
      <w:r>
        <w:rPr>
          <w:spacing w:val="3"/>
        </w:rPr>
        <w:t>su </w:t>
      </w:r>
      <w:r>
        <w:rPr/>
        <w:t>conocimiento es mayor, al igual que </w:t>
      </w:r>
      <w:r>
        <w:rPr>
          <w:spacing w:val="3"/>
        </w:rPr>
        <w:t>su </w:t>
      </w:r>
      <w:r>
        <w:rPr/>
        <w:t>responsabilidad y actitud ambiental, por el contrario, un menor comportamiento a favor de la conservación y preservación de los espacios naturales, se da cuando desconoce las estrategias de acción ambiental, su conciencia ambiental es menor y sus actividades a favor del ambiente son </w:t>
      </w:r>
      <w:r>
        <w:rPr>
          <w:spacing w:val="2"/>
        </w:rPr>
        <w:t> </w:t>
      </w:r>
      <w:r>
        <w:rPr/>
        <w:t>limitadas.</w:t>
      </w:r>
    </w:p>
    <w:p>
      <w:pPr>
        <w:pStyle w:val="BodyText"/>
        <w:rPr>
          <w:sz w:val="22"/>
        </w:rPr>
      </w:pPr>
    </w:p>
    <w:p>
      <w:pPr>
        <w:pStyle w:val="BodyText"/>
        <w:spacing w:before="9"/>
        <w:rPr>
          <w:sz w:val="21"/>
        </w:rPr>
      </w:pPr>
    </w:p>
    <w:p>
      <w:pPr>
        <w:pStyle w:val="BodyText"/>
        <w:spacing w:line="271" w:lineRule="auto" w:before="1"/>
        <w:ind w:left="116" w:right="900"/>
        <w:jc w:val="both"/>
      </w:pPr>
      <w:r>
        <w:rPr>
          <w:b/>
        </w:rPr>
        <w:t>Palabras Clave: </w:t>
      </w:r>
      <w:r>
        <w:rPr/>
        <w:t>Comportamiento proambiental,  Psicología  ambiental,  Turismo, Parques nacionales, Sustentabilidad.</w:t>
      </w:r>
    </w:p>
    <w:p>
      <w:pPr>
        <w:spacing w:after="0" w:line="271" w:lineRule="auto"/>
        <w:jc w:val="both"/>
        <w:sectPr>
          <w:pgSz w:w="11910" w:h="16840"/>
          <w:pgMar w:header="1066" w:footer="0" w:top="1460" w:bottom="280" w:left="1540" w:right="200"/>
        </w:sectPr>
      </w:pPr>
    </w:p>
    <w:p>
      <w:pPr>
        <w:pStyle w:val="BodyText"/>
        <w:rPr>
          <w:sz w:val="20"/>
        </w:rPr>
      </w:pPr>
    </w:p>
    <w:p>
      <w:pPr>
        <w:pStyle w:val="BodyText"/>
        <w:spacing w:before="10"/>
        <w:rPr>
          <w:sz w:val="17"/>
        </w:rPr>
      </w:pPr>
    </w:p>
    <w:p>
      <w:pPr>
        <w:pStyle w:val="Heading2"/>
        <w:ind w:left="0" w:right="779"/>
        <w:jc w:val="center"/>
      </w:pPr>
      <w:r>
        <w:rPr/>
        <w:t>ABSTRACT</w:t>
      </w:r>
    </w:p>
    <w:p>
      <w:pPr>
        <w:pStyle w:val="BodyText"/>
        <w:rPr>
          <w:b/>
          <w:sz w:val="22"/>
        </w:rPr>
      </w:pPr>
    </w:p>
    <w:p>
      <w:pPr>
        <w:pStyle w:val="BodyText"/>
        <w:rPr>
          <w:b/>
          <w:sz w:val="22"/>
        </w:rPr>
      </w:pPr>
    </w:p>
    <w:p>
      <w:pPr>
        <w:pStyle w:val="BodyText"/>
        <w:spacing w:line="367" w:lineRule="auto" w:before="127"/>
        <w:ind w:left="116" w:right="900"/>
        <w:jc w:val="both"/>
      </w:pPr>
      <w:r>
        <w:rPr/>
        <w:t>The protected areas represent an important product for tourism due to the beauty of </w:t>
      </w:r>
      <w:r>
        <w:rPr>
          <w:spacing w:val="-3"/>
        </w:rPr>
        <w:t>its </w:t>
      </w:r>
      <w:r>
        <w:rPr/>
        <w:t>landscapes and biodiversity. However, tourism has become especially relevant for the conservation of protected areas for the enjoyment of human beings and to contribute to the economic development of local communities. The visitor, as one of the major players within these spaces, is a determinant for preservation or otherwise  for  degradation factor.</w:t>
      </w:r>
    </w:p>
    <w:p>
      <w:pPr>
        <w:pStyle w:val="BodyText"/>
        <w:spacing w:line="364" w:lineRule="auto" w:before="117"/>
        <w:ind w:left="116" w:right="894"/>
        <w:jc w:val="both"/>
      </w:pPr>
      <w:r>
        <w:rPr/>
        <w:t>Some pro-environmental behavior studies have identified a number of elements that the individual states in their interaction with nature, which in the case of tourism it is very useful to understand how visitors behave in a natural area tourist use and encourage responsible behavior.</w:t>
      </w:r>
    </w:p>
    <w:p>
      <w:pPr>
        <w:pStyle w:val="BodyText"/>
        <w:spacing w:line="364" w:lineRule="auto" w:before="120"/>
        <w:ind w:left="115" w:right="895"/>
        <w:jc w:val="both"/>
      </w:pPr>
      <w:r>
        <w:rPr/>
        <w:t>This research describes the eco-friendly visitor behavior Desierto de los Leones National Park (PNDL), a protected natural area (PNA) for tourist use. The research design was quantitative, </w:t>
      </w:r>
      <w:r>
        <w:rPr>
          <w:spacing w:val="-3"/>
        </w:rPr>
        <w:t>was </w:t>
      </w:r>
      <w:r>
        <w:rPr/>
        <w:t>designed and implemented a survey of park visitors, and a statistical analysis of the results was performed. Among the key findings are reported to the visitor   </w:t>
      </w:r>
      <w:r>
        <w:rPr>
          <w:spacing w:val="-5"/>
        </w:rPr>
        <w:t>if  </w:t>
      </w:r>
      <w:r>
        <w:rPr/>
        <w:t>you are aware of environmental issues </w:t>
      </w:r>
      <w:r>
        <w:rPr>
          <w:spacing w:val="-3"/>
        </w:rPr>
        <w:t>and </w:t>
      </w:r>
      <w:r>
        <w:rPr/>
        <w:t>environmental action strategies, but most   of these have few activities for the environment despite having stated </w:t>
      </w:r>
      <w:r>
        <w:rPr>
          <w:spacing w:val="-3"/>
        </w:rPr>
        <w:t>and  </w:t>
      </w:r>
      <w:r>
        <w:rPr/>
        <w:t>environmentally responsible attitude regarding care of natural areas where tourism is permitted. It was found that the more eco-friendly visitor behavior reports when your knowledge </w:t>
      </w:r>
      <w:r>
        <w:rPr>
          <w:spacing w:val="-5"/>
        </w:rPr>
        <w:t>is </w:t>
      </w:r>
      <w:r>
        <w:rPr/>
        <w:t>greater, as is their responsibility and  environmental  attitude,  however, lower behavior in favor of the conservation and preservation of natural areas,  occurs when unknown environmental action strategies, environmental  awareness  </w:t>
      </w:r>
      <w:r>
        <w:rPr>
          <w:spacing w:val="-5"/>
        </w:rPr>
        <w:t>is  </w:t>
      </w:r>
      <w:r>
        <w:rPr/>
        <w:t>lower and </w:t>
      </w:r>
      <w:r>
        <w:rPr>
          <w:spacing w:val="-3"/>
        </w:rPr>
        <w:t>its </w:t>
      </w:r>
      <w:r>
        <w:rPr/>
        <w:t>activities for the environment </w:t>
      </w:r>
      <w:r>
        <w:rPr>
          <w:spacing w:val="-3"/>
        </w:rPr>
        <w:t>are </w:t>
      </w:r>
      <w:r>
        <w:rPr/>
        <w:t> limited.</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line="244" w:lineRule="auto" w:before="145"/>
        <w:ind w:left="115" w:right="891"/>
        <w:jc w:val="both"/>
      </w:pPr>
      <w:r>
        <w:rPr>
          <w:b/>
        </w:rPr>
        <w:t>Keywords: </w:t>
      </w:r>
      <w:r>
        <w:rPr/>
        <w:t>eco-friendly behavior, Environmental Psychology, Tourism, National Parks, Sustainability.</w:t>
      </w:r>
    </w:p>
    <w:p>
      <w:pPr>
        <w:spacing w:after="0" w:line="244" w:lineRule="auto"/>
        <w:jc w:val="both"/>
        <w:sectPr>
          <w:pgSz w:w="11910" w:h="16840"/>
          <w:pgMar w:header="1066" w:footer="0" w:top="1460" w:bottom="280" w:left="1540" w:right="200"/>
        </w:sectPr>
      </w:pPr>
    </w:p>
    <w:p>
      <w:pPr>
        <w:pStyle w:val="BodyText"/>
        <w:rPr>
          <w:sz w:val="20"/>
        </w:rPr>
      </w:pPr>
    </w:p>
    <w:p>
      <w:pPr>
        <w:pStyle w:val="BodyText"/>
        <w:spacing w:before="10"/>
        <w:rPr>
          <w:sz w:val="17"/>
        </w:rPr>
      </w:pPr>
    </w:p>
    <w:p>
      <w:pPr>
        <w:pStyle w:val="Heading2"/>
        <w:ind w:left="0" w:right="785"/>
        <w:jc w:val="center"/>
      </w:pPr>
      <w:r>
        <w:rPr/>
        <w:t>ÍNDICE GENERAL</w:t>
      </w:r>
    </w:p>
    <w:p>
      <w:pPr>
        <w:pStyle w:val="BodyText"/>
        <w:spacing w:before="114"/>
        <w:ind w:left="49" w:right="1128"/>
        <w:jc w:val="right"/>
      </w:pPr>
      <w:r>
        <w:rPr/>
        <w:t>Página</w:t>
      </w:r>
    </w:p>
    <w:p>
      <w:pPr>
        <w:pStyle w:val="BodyText"/>
        <w:rPr>
          <w:sz w:val="20"/>
        </w:rPr>
      </w:pPr>
    </w:p>
    <w:p>
      <w:pPr>
        <w:pStyle w:val="BodyText"/>
        <w:spacing w:before="9"/>
        <w:rPr>
          <w:sz w:val="17"/>
        </w:rPr>
      </w:pPr>
    </w:p>
    <w:p>
      <w:pPr>
        <w:spacing w:after="0"/>
        <w:rPr>
          <w:sz w:val="17"/>
        </w:rPr>
        <w:sectPr>
          <w:pgSz w:w="11910" w:h="16840"/>
          <w:pgMar w:header="1066" w:footer="0" w:top="1460" w:bottom="1937" w:left="1540" w:right="200"/>
        </w:sectPr>
      </w:pPr>
    </w:p>
    <w:sdt>
      <w:sdtPr>
        <w:docPartObj>
          <w:docPartGallery w:val="Table of Contents"/>
          <w:docPartUnique/>
        </w:docPartObj>
      </w:sdtPr>
      <w:sdtEndPr/>
      <w:sdtContent>
        <w:p>
          <w:pPr>
            <w:pStyle w:val="TOC1"/>
            <w:tabs>
              <w:tab w:pos="8712" w:val="left" w:leader="none"/>
            </w:tabs>
            <w:spacing w:before="74"/>
            <w:rPr>
              <w:b w:val="0"/>
            </w:rPr>
          </w:pPr>
          <w:r>
            <w:rPr/>
            <w:t>Introducción</w:t>
          </w:r>
          <w:r>
            <w:rPr>
              <w:spacing w:val="13"/>
            </w:rPr>
            <w:t> </w:t>
          </w:r>
          <w:r>
            <w:rPr/>
            <w:t>(Protocolo)</w:t>
          </w:r>
          <w:r>
            <w:rPr>
              <w:rFonts w:ascii="Times New Roman" w:hAnsi="Times New Roman"/>
              <w:b w:val="0"/>
            </w:rPr>
            <w:tab/>
          </w:r>
          <w:r>
            <w:rPr>
              <w:b w:val="0"/>
            </w:rPr>
            <w:t>1</w:t>
          </w:r>
        </w:p>
        <w:p>
          <w:pPr>
            <w:pStyle w:val="TOC1"/>
            <w:spacing w:before="508"/>
            <w:ind w:right="0"/>
            <w:jc w:val="both"/>
          </w:pPr>
          <w:r>
            <w:rPr/>
            <w:t>CAPÍTULO </w:t>
          </w:r>
          <w:r>
            <w:rPr>
              <w:spacing w:val="2"/>
            </w:rPr>
            <w:t>1. </w:t>
          </w:r>
          <w:r>
            <w:rPr/>
            <w:t>Sustentabilidad y</w:t>
          </w:r>
          <w:r>
            <w:rPr>
              <w:spacing w:val="50"/>
            </w:rPr>
            <w:t> </w:t>
          </w:r>
          <w:r>
            <w:rPr/>
            <w:t>Psicología</w:t>
          </w:r>
        </w:p>
        <w:p>
          <w:pPr>
            <w:pStyle w:val="TOC2"/>
            <w:numPr>
              <w:ilvl w:val="1"/>
              <w:numId w:val="1"/>
            </w:numPr>
            <w:tabs>
              <w:tab w:pos="491" w:val="left" w:leader="none"/>
              <w:tab w:pos="8775" w:val="left" w:leader="none"/>
            </w:tabs>
            <w:spacing w:line="240" w:lineRule="auto" w:before="119" w:after="0"/>
            <w:ind w:left="490" w:right="0" w:hanging="374"/>
            <w:jc w:val="left"/>
          </w:pPr>
          <w:hyperlink w:history="true" w:anchor="_TOC_250034">
            <w:r>
              <w:rPr/>
              <w:t>Origen de la</w:t>
            </w:r>
            <w:r>
              <w:rPr>
                <w:spacing w:val="27"/>
              </w:rPr>
              <w:t> </w:t>
            </w:r>
            <w:r>
              <w:rPr/>
              <w:t>preocupación</w:t>
            </w:r>
            <w:r>
              <w:rPr>
                <w:spacing w:val="9"/>
              </w:rPr>
              <w:t> </w:t>
            </w:r>
            <w:r>
              <w:rPr/>
              <w:t>ambiental</w:t>
            </w:r>
            <w:r>
              <w:rPr>
                <w:rFonts w:ascii="Times New Roman" w:hAnsi="Times New Roman"/>
              </w:rPr>
              <w:tab/>
            </w:r>
            <w:r>
              <w:rPr/>
              <w:t>6</w:t>
            </w:r>
          </w:hyperlink>
        </w:p>
        <w:p>
          <w:pPr>
            <w:pStyle w:val="TOC2"/>
            <w:numPr>
              <w:ilvl w:val="1"/>
              <w:numId w:val="1"/>
            </w:numPr>
            <w:tabs>
              <w:tab w:pos="491" w:val="left" w:leader="none"/>
              <w:tab w:pos="8645" w:val="left" w:leader="none"/>
            </w:tabs>
            <w:spacing w:line="240" w:lineRule="auto" w:before="119" w:after="0"/>
            <w:ind w:left="490" w:right="0" w:hanging="374"/>
            <w:jc w:val="left"/>
          </w:pPr>
          <w:r>
            <w:rPr/>
            <w:t>Educación</w:t>
          </w:r>
          <w:r>
            <w:rPr>
              <w:spacing w:val="26"/>
            </w:rPr>
            <w:t> </w:t>
          </w:r>
          <w:r>
            <w:rPr/>
            <w:t>Ambiente</w:t>
          </w:r>
          <w:r>
            <w:rPr>
              <w:rFonts w:ascii="Times New Roman" w:hAnsi="Times New Roman"/>
            </w:rPr>
            <w:tab/>
          </w:r>
          <w:r>
            <w:rPr/>
            <w:t>10</w:t>
          </w:r>
        </w:p>
        <w:p>
          <w:pPr>
            <w:pStyle w:val="TOC2"/>
            <w:numPr>
              <w:ilvl w:val="1"/>
              <w:numId w:val="1"/>
            </w:numPr>
            <w:tabs>
              <w:tab w:pos="491" w:val="left" w:leader="none"/>
              <w:tab w:pos="8645" w:val="left" w:leader="none"/>
            </w:tabs>
            <w:spacing w:line="240" w:lineRule="auto" w:before="124" w:after="0"/>
            <w:ind w:left="490" w:right="0" w:hanging="374"/>
            <w:jc w:val="left"/>
          </w:pPr>
          <w:hyperlink w:history="true" w:anchor="_TOC_250033">
            <w:r>
              <w:rPr/>
              <w:t>Desarrollo</w:t>
            </w:r>
            <w:r>
              <w:rPr>
                <w:spacing w:val="19"/>
              </w:rPr>
              <w:t> </w:t>
            </w:r>
            <w:r>
              <w:rPr/>
              <w:t>sustentable</w:t>
            </w:r>
            <w:r>
              <w:rPr>
                <w:rFonts w:ascii="Times New Roman"/>
              </w:rPr>
              <w:tab/>
            </w:r>
            <w:r>
              <w:rPr/>
              <w:t>13</w:t>
            </w:r>
          </w:hyperlink>
        </w:p>
        <w:p>
          <w:pPr>
            <w:pStyle w:val="TOC2"/>
            <w:numPr>
              <w:ilvl w:val="1"/>
              <w:numId w:val="1"/>
            </w:numPr>
            <w:tabs>
              <w:tab w:pos="491" w:val="left" w:leader="none"/>
              <w:tab w:pos="8645" w:val="left" w:leader="none"/>
            </w:tabs>
            <w:spacing w:line="240" w:lineRule="auto" w:before="119" w:after="0"/>
            <w:ind w:left="490" w:right="0" w:hanging="374"/>
            <w:jc w:val="left"/>
          </w:pPr>
          <w:hyperlink w:history="true" w:anchor="_TOC_250032">
            <w:r>
              <w:rPr/>
              <w:t>Sustentabilidad y</w:t>
            </w:r>
            <w:r>
              <w:rPr>
                <w:spacing w:val="25"/>
              </w:rPr>
              <w:t> </w:t>
            </w:r>
            <w:r>
              <w:rPr/>
              <w:t>Psicología</w:t>
            </w:r>
            <w:r>
              <w:rPr>
                <w:spacing w:val="15"/>
              </w:rPr>
              <w:t> </w:t>
            </w:r>
            <w:r>
              <w:rPr/>
              <w:t>ambiental</w:t>
            </w:r>
            <w:r>
              <w:rPr>
                <w:rFonts w:ascii="Times New Roman" w:hAnsi="Times New Roman"/>
              </w:rPr>
              <w:tab/>
            </w:r>
            <w:r>
              <w:rPr/>
              <w:t>15</w:t>
            </w:r>
          </w:hyperlink>
        </w:p>
        <w:p>
          <w:pPr>
            <w:pStyle w:val="TOC1"/>
            <w:tabs>
              <w:tab w:pos="8645" w:val="left" w:leader="none"/>
            </w:tabs>
            <w:spacing w:before="388"/>
            <w:rPr>
              <w:b w:val="0"/>
            </w:rPr>
          </w:pPr>
          <w:hyperlink w:history="true" w:anchor="_TOC_250031">
            <w:r>
              <w:rPr/>
              <w:t>CAPÍTULO </w:t>
            </w:r>
            <w:r>
              <w:rPr>
                <w:spacing w:val="2"/>
              </w:rPr>
              <w:t>2.</w:t>
            </w:r>
            <w:r>
              <w:rPr>
                <w:spacing w:val="15"/>
              </w:rPr>
              <w:t> </w:t>
            </w:r>
            <w:r>
              <w:rPr/>
              <w:t>Comportamiento</w:t>
            </w:r>
            <w:r>
              <w:rPr>
                <w:spacing w:val="12"/>
              </w:rPr>
              <w:t> </w:t>
            </w:r>
            <w:r>
              <w:rPr/>
              <w:t>Proambiental</w:t>
            </w:r>
            <w:r>
              <w:rPr>
                <w:rFonts w:ascii="Times New Roman" w:hAnsi="Times New Roman"/>
                <w:b w:val="0"/>
              </w:rPr>
              <w:tab/>
            </w:r>
            <w:r>
              <w:rPr>
                <w:b w:val="0"/>
              </w:rPr>
              <w:t>20</w:t>
            </w:r>
          </w:hyperlink>
        </w:p>
        <w:p>
          <w:pPr>
            <w:pStyle w:val="TOC2"/>
            <w:numPr>
              <w:ilvl w:val="1"/>
              <w:numId w:val="2"/>
            </w:numPr>
            <w:tabs>
              <w:tab w:pos="505" w:val="left" w:leader="none"/>
              <w:tab w:pos="8645" w:val="left" w:leader="none"/>
            </w:tabs>
            <w:spacing w:line="240" w:lineRule="auto" w:before="124" w:after="0"/>
            <w:ind w:left="504" w:right="0" w:hanging="388"/>
            <w:jc w:val="left"/>
          </w:pPr>
          <w:hyperlink w:history="true" w:anchor="_TOC_250030">
            <w:r>
              <w:rPr/>
              <w:t>Actitudes</w:t>
            </w:r>
            <w:r>
              <w:rPr>
                <w:spacing w:val="9"/>
              </w:rPr>
              <w:t> </w:t>
            </w:r>
            <w:r>
              <w:rPr/>
              <w:t>Ambientales</w:t>
            </w:r>
            <w:r>
              <w:rPr>
                <w:rFonts w:ascii="Times New Roman"/>
              </w:rPr>
              <w:tab/>
            </w:r>
            <w:r>
              <w:rPr/>
              <w:t>24</w:t>
            </w:r>
          </w:hyperlink>
        </w:p>
        <w:p>
          <w:pPr>
            <w:pStyle w:val="TOC5"/>
            <w:numPr>
              <w:ilvl w:val="1"/>
              <w:numId w:val="2"/>
            </w:numPr>
            <w:tabs>
              <w:tab w:pos="1196" w:val="left" w:leader="none"/>
              <w:tab w:pos="8645" w:val="left" w:leader="none"/>
            </w:tabs>
            <w:spacing w:line="240" w:lineRule="auto" w:before="119" w:after="0"/>
            <w:ind w:left="1195" w:right="0" w:hanging="388"/>
            <w:jc w:val="left"/>
          </w:pPr>
          <w:hyperlink w:history="true" w:anchor="_TOC_250029">
            <w:r>
              <w:rPr/>
              <w:t>Conciencia</w:t>
            </w:r>
            <w:r>
              <w:rPr>
                <w:spacing w:val="15"/>
              </w:rPr>
              <w:t> </w:t>
            </w:r>
            <w:r>
              <w:rPr/>
              <w:t>Ambiental</w:t>
            </w:r>
            <w:r>
              <w:rPr>
                <w:rFonts w:ascii="Times New Roman"/>
              </w:rPr>
              <w:tab/>
            </w:r>
            <w:r>
              <w:rPr/>
              <w:t>26</w:t>
            </w:r>
          </w:hyperlink>
        </w:p>
        <w:p>
          <w:pPr>
            <w:pStyle w:val="TOC2"/>
            <w:numPr>
              <w:ilvl w:val="1"/>
              <w:numId w:val="2"/>
            </w:numPr>
            <w:tabs>
              <w:tab w:pos="505" w:val="left" w:leader="none"/>
              <w:tab w:pos="8645" w:val="left" w:leader="none"/>
            </w:tabs>
            <w:spacing w:line="240" w:lineRule="auto" w:before="119" w:after="0"/>
            <w:ind w:left="504" w:right="0" w:hanging="388"/>
            <w:jc w:val="left"/>
          </w:pPr>
          <w:hyperlink w:history="true" w:anchor="_TOC_250028">
            <w:r>
              <w:rPr/>
              <w:t>Modelos de</w:t>
            </w:r>
            <w:r>
              <w:rPr>
                <w:spacing w:val="31"/>
              </w:rPr>
              <w:t> </w:t>
            </w:r>
            <w:r>
              <w:rPr/>
              <w:t>Comportamiento</w:t>
            </w:r>
            <w:r>
              <w:rPr>
                <w:spacing w:val="14"/>
              </w:rPr>
              <w:t> </w:t>
            </w:r>
            <w:r>
              <w:rPr/>
              <w:t>Proambiental</w:t>
            </w:r>
            <w:r>
              <w:rPr>
                <w:rFonts w:ascii="Times New Roman"/>
              </w:rPr>
              <w:tab/>
            </w:r>
            <w:r>
              <w:rPr/>
              <w:t>29</w:t>
            </w:r>
          </w:hyperlink>
        </w:p>
        <w:p>
          <w:pPr>
            <w:pStyle w:val="TOC5"/>
            <w:numPr>
              <w:ilvl w:val="2"/>
              <w:numId w:val="2"/>
            </w:numPr>
            <w:tabs>
              <w:tab w:pos="1388" w:val="left" w:leader="none"/>
              <w:tab w:pos="8669" w:val="left" w:leader="none"/>
            </w:tabs>
            <w:spacing w:line="240" w:lineRule="auto" w:before="119" w:after="0"/>
            <w:ind w:left="1387" w:right="0" w:hanging="585"/>
            <w:jc w:val="left"/>
          </w:pPr>
          <w:hyperlink w:history="true" w:anchor="_TOC_250027">
            <w:r>
              <w:rPr/>
              <w:t>Modelo de</w:t>
            </w:r>
            <w:r>
              <w:rPr>
                <w:spacing w:val="19"/>
              </w:rPr>
              <w:t> </w:t>
            </w:r>
            <w:r>
              <w:rPr/>
              <w:t>Conducta</w:t>
            </w:r>
            <w:r>
              <w:rPr>
                <w:spacing w:val="9"/>
              </w:rPr>
              <w:t> </w:t>
            </w:r>
            <w:r>
              <w:rPr/>
              <w:t>Ecológica</w:t>
            </w:r>
            <w:r>
              <w:rPr>
                <w:rFonts w:ascii="Times New Roman" w:hAnsi="Times New Roman"/>
              </w:rPr>
              <w:tab/>
            </w:r>
            <w:r>
              <w:rPr/>
              <w:t>29</w:t>
            </w:r>
          </w:hyperlink>
        </w:p>
        <w:p>
          <w:pPr>
            <w:pStyle w:val="TOC5"/>
            <w:numPr>
              <w:ilvl w:val="2"/>
              <w:numId w:val="2"/>
            </w:numPr>
            <w:tabs>
              <w:tab w:pos="1388" w:val="left" w:leader="none"/>
              <w:tab w:pos="8645" w:val="left" w:leader="none"/>
            </w:tabs>
            <w:spacing w:line="240" w:lineRule="auto" w:before="124" w:after="0"/>
            <w:ind w:left="1387" w:right="0" w:hanging="585"/>
            <w:jc w:val="left"/>
          </w:pPr>
          <w:hyperlink w:history="true" w:anchor="_TOC_250026">
            <w:r>
              <w:rPr/>
              <w:t>Modelo de</w:t>
            </w:r>
            <w:r>
              <w:rPr>
                <w:spacing w:val="24"/>
              </w:rPr>
              <w:t> </w:t>
            </w:r>
            <w:r>
              <w:rPr/>
              <w:t>Conducta</w:t>
            </w:r>
            <w:r>
              <w:rPr>
                <w:spacing w:val="12"/>
              </w:rPr>
              <w:t> </w:t>
            </w:r>
            <w:r>
              <w:rPr/>
              <w:t>Medioambiental</w:t>
            </w:r>
            <w:r>
              <w:rPr>
                <w:rFonts w:ascii="Times New Roman"/>
              </w:rPr>
              <w:tab/>
            </w:r>
            <w:r>
              <w:rPr/>
              <w:t>30</w:t>
            </w:r>
          </w:hyperlink>
        </w:p>
        <w:p>
          <w:pPr>
            <w:pStyle w:val="TOC5"/>
            <w:numPr>
              <w:ilvl w:val="2"/>
              <w:numId w:val="2"/>
            </w:numPr>
            <w:tabs>
              <w:tab w:pos="1388" w:val="left" w:leader="none"/>
              <w:tab w:pos="8645" w:val="left" w:leader="none"/>
            </w:tabs>
            <w:spacing w:line="240" w:lineRule="auto" w:before="119" w:after="0"/>
            <w:ind w:left="1387" w:right="0" w:hanging="585"/>
            <w:jc w:val="left"/>
          </w:pPr>
          <w:hyperlink w:history="true" w:anchor="_TOC_250025">
            <w:r>
              <w:rPr/>
              <w:t>Modelo</w:t>
            </w:r>
            <w:r>
              <w:rPr>
                <w:spacing w:val="8"/>
              </w:rPr>
              <w:t> </w:t>
            </w:r>
            <w:r>
              <w:rPr/>
              <w:t>de</w:t>
            </w:r>
            <w:r>
              <w:rPr>
                <w:spacing w:val="8"/>
              </w:rPr>
              <w:t> </w:t>
            </w:r>
            <w:r>
              <w:rPr/>
              <w:t>Geller</w:t>
            </w:r>
            <w:r>
              <w:rPr>
                <w:rFonts w:ascii="Times New Roman"/>
              </w:rPr>
              <w:tab/>
            </w:r>
            <w:r>
              <w:rPr/>
              <w:t>31</w:t>
            </w:r>
          </w:hyperlink>
        </w:p>
        <w:p>
          <w:pPr>
            <w:pStyle w:val="TOC5"/>
            <w:numPr>
              <w:ilvl w:val="2"/>
              <w:numId w:val="2"/>
            </w:numPr>
            <w:tabs>
              <w:tab w:pos="1388" w:val="left" w:leader="none"/>
              <w:tab w:pos="8645" w:val="left" w:leader="none"/>
            </w:tabs>
            <w:spacing w:line="240" w:lineRule="auto" w:before="124" w:after="0"/>
            <w:ind w:left="1387" w:right="0" w:hanging="585"/>
            <w:jc w:val="left"/>
          </w:pPr>
          <w:hyperlink w:history="true" w:anchor="_TOC_250024">
            <w:r>
              <w:rPr/>
              <w:t>Modelo</w:t>
            </w:r>
            <w:r>
              <w:rPr>
                <w:spacing w:val="11"/>
              </w:rPr>
              <w:t> </w:t>
            </w:r>
            <w:r>
              <w:rPr/>
              <w:t>de</w:t>
            </w:r>
            <w:r>
              <w:rPr>
                <w:spacing w:val="11"/>
              </w:rPr>
              <w:t> </w:t>
            </w:r>
            <w:r>
              <w:rPr/>
              <w:t>Costanzo</w:t>
            </w:r>
            <w:r>
              <w:rPr>
                <w:rFonts w:ascii="Times New Roman"/>
              </w:rPr>
              <w:tab/>
            </w:r>
            <w:r>
              <w:rPr/>
              <w:t>34</w:t>
            </w:r>
          </w:hyperlink>
        </w:p>
        <w:p>
          <w:pPr>
            <w:pStyle w:val="TOC5"/>
            <w:numPr>
              <w:ilvl w:val="2"/>
              <w:numId w:val="2"/>
            </w:numPr>
            <w:tabs>
              <w:tab w:pos="1388" w:val="left" w:leader="none"/>
              <w:tab w:pos="8645" w:val="left" w:leader="none"/>
            </w:tabs>
            <w:spacing w:line="240" w:lineRule="auto" w:before="114" w:after="0"/>
            <w:ind w:left="1387" w:right="0" w:hanging="585"/>
            <w:jc w:val="left"/>
          </w:pPr>
          <w:hyperlink w:history="true" w:anchor="_TOC_250023">
            <w:r>
              <w:rPr/>
              <w:t>Modelo de Stern, Dietz</w:t>
            </w:r>
            <w:r>
              <w:rPr>
                <w:spacing w:val="29"/>
              </w:rPr>
              <w:t> </w:t>
            </w:r>
            <w:r>
              <w:rPr/>
              <w:t>y</w:t>
            </w:r>
            <w:r>
              <w:rPr>
                <w:spacing w:val="1"/>
              </w:rPr>
              <w:t> </w:t>
            </w:r>
            <w:r>
              <w:rPr/>
              <w:t>Black</w:t>
            </w:r>
            <w:r>
              <w:rPr>
                <w:rFonts w:ascii="Times New Roman"/>
              </w:rPr>
              <w:tab/>
            </w:r>
            <w:r>
              <w:rPr/>
              <w:t>34</w:t>
            </w:r>
          </w:hyperlink>
        </w:p>
        <w:p>
          <w:pPr>
            <w:pStyle w:val="TOC5"/>
            <w:numPr>
              <w:ilvl w:val="2"/>
              <w:numId w:val="2"/>
            </w:numPr>
            <w:tabs>
              <w:tab w:pos="1388" w:val="left" w:leader="none"/>
              <w:tab w:pos="8645" w:val="left" w:leader="none"/>
            </w:tabs>
            <w:spacing w:line="240" w:lineRule="auto" w:before="124" w:after="0"/>
            <w:ind w:left="1388" w:right="0" w:hanging="586"/>
            <w:jc w:val="left"/>
          </w:pPr>
          <w:hyperlink w:history="true" w:anchor="_TOC_250022">
            <w:r>
              <w:rPr/>
              <w:t>Modelo</w:t>
            </w:r>
            <w:r>
              <w:rPr>
                <w:spacing w:val="4"/>
              </w:rPr>
              <w:t> </w:t>
            </w:r>
            <w:r>
              <w:rPr/>
              <w:t>de</w:t>
            </w:r>
            <w:r>
              <w:rPr>
                <w:spacing w:val="4"/>
              </w:rPr>
              <w:t> </w:t>
            </w:r>
            <w:r>
              <w:rPr/>
              <w:t>Aguirre</w:t>
            </w:r>
            <w:r>
              <w:rPr>
                <w:rFonts w:ascii="Times New Roman"/>
              </w:rPr>
              <w:tab/>
            </w:r>
            <w:r>
              <w:rPr/>
              <w:t>37</w:t>
            </w:r>
          </w:hyperlink>
        </w:p>
        <w:p>
          <w:pPr>
            <w:pStyle w:val="TOC2"/>
            <w:numPr>
              <w:ilvl w:val="1"/>
              <w:numId w:val="2"/>
            </w:numPr>
            <w:tabs>
              <w:tab w:pos="505" w:val="left" w:leader="none"/>
              <w:tab w:pos="8645" w:val="left" w:leader="none"/>
            </w:tabs>
            <w:spacing w:line="240" w:lineRule="auto" w:before="119" w:after="0"/>
            <w:ind w:left="504" w:right="0" w:hanging="388"/>
            <w:jc w:val="left"/>
          </w:pPr>
          <w:hyperlink w:history="true" w:anchor="_TOC_250021">
            <w:r>
              <w:rPr/>
              <w:t>Factores </w:t>
            </w:r>
            <w:r>
              <w:rPr>
                <w:spacing w:val="-3"/>
              </w:rPr>
              <w:t>de</w:t>
            </w:r>
            <w:r>
              <w:rPr>
                <w:spacing w:val="32"/>
              </w:rPr>
              <w:t> </w:t>
            </w:r>
            <w:r>
              <w:rPr/>
              <w:t>Comportamiento</w:t>
            </w:r>
            <w:r>
              <w:rPr>
                <w:spacing w:val="14"/>
              </w:rPr>
              <w:t> </w:t>
            </w:r>
            <w:r>
              <w:rPr/>
              <w:t>Proambiental</w:t>
            </w:r>
            <w:r>
              <w:rPr>
                <w:rFonts w:ascii="Times New Roman"/>
              </w:rPr>
              <w:tab/>
            </w:r>
            <w:r>
              <w:rPr/>
              <w:t>38</w:t>
            </w:r>
          </w:hyperlink>
        </w:p>
        <w:p>
          <w:pPr>
            <w:pStyle w:val="TOC3"/>
            <w:spacing w:line="364" w:lineRule="auto" w:before="138"/>
            <w:ind w:right="1720"/>
            <w:jc w:val="both"/>
            <w:rPr>
              <w:b w:val="0"/>
              <w:i w:val="0"/>
              <w:sz w:val="23"/>
            </w:rPr>
          </w:pPr>
          <w:r>
            <w:rPr>
              <w:i w:val="0"/>
              <w:sz w:val="23"/>
            </w:rPr>
            <w:t>Capítulo de libro. Martínez, S. y Vargas E.E. </w:t>
          </w:r>
          <w:r>
            <w:rPr>
              <w:b w:val="0"/>
              <w:i w:val="0"/>
              <w:sz w:val="23"/>
            </w:rPr>
            <w:t>(2015). Factores de comportamiento proambiental y uso turístico en parques nacionales. En Barragán, J.F. y Maldonado, M. (2015). </w:t>
          </w:r>
          <w:r>
            <w:rPr>
              <w:b w:val="0"/>
              <w:i/>
              <w:sz w:val="23"/>
            </w:rPr>
            <w:t>El turismo y el desarrollo comunitario. </w:t>
          </w:r>
          <w:r>
            <w:rPr>
              <w:b w:val="0"/>
              <w:sz w:val="23"/>
            </w:rPr>
            <w:t>Investigaciones y propuestas</w:t>
          </w:r>
          <w:r>
            <w:rPr>
              <w:b w:val="0"/>
              <w:i w:val="0"/>
              <w:sz w:val="23"/>
            </w:rPr>
            <w:t>. Universidad Autónoma de Querétaro, ISBN: 978- 607-513-172-6</w:t>
          </w:r>
        </w:p>
        <w:p>
          <w:pPr>
            <w:pStyle w:val="TOC2"/>
            <w:numPr>
              <w:ilvl w:val="1"/>
              <w:numId w:val="2"/>
            </w:numPr>
            <w:tabs>
              <w:tab w:pos="505" w:val="left" w:leader="none"/>
              <w:tab w:pos="8631" w:val="left" w:leader="none"/>
            </w:tabs>
            <w:spacing w:line="240" w:lineRule="auto" w:before="5" w:after="0"/>
            <w:ind w:left="504" w:right="0" w:hanging="388"/>
            <w:jc w:val="left"/>
          </w:pPr>
          <w:hyperlink w:history="true" w:anchor="_TOC_250020">
            <w:r>
              <w:rPr/>
              <w:t>Medición del</w:t>
            </w:r>
            <w:r>
              <w:rPr>
                <w:spacing w:val="25"/>
              </w:rPr>
              <w:t> </w:t>
            </w:r>
            <w:r>
              <w:rPr/>
              <w:t>comportamiento</w:t>
            </w:r>
            <w:r>
              <w:rPr>
                <w:spacing w:val="14"/>
              </w:rPr>
              <w:t> </w:t>
            </w:r>
            <w:r>
              <w:rPr/>
              <w:t>proambiental</w:t>
            </w:r>
            <w:r>
              <w:rPr>
                <w:rFonts w:ascii="Times New Roman" w:hAnsi="Times New Roman"/>
              </w:rPr>
              <w:tab/>
            </w:r>
            <w:r>
              <w:rPr/>
              <w:t>59</w:t>
            </w:r>
          </w:hyperlink>
        </w:p>
        <w:p>
          <w:pPr>
            <w:pStyle w:val="TOC1"/>
            <w:spacing w:before="522"/>
            <w:ind w:right="0"/>
            <w:jc w:val="both"/>
          </w:pPr>
          <w:r>
            <w:rPr/>
            <w:t>CAPÍTULO </w:t>
          </w:r>
          <w:r>
            <w:rPr>
              <w:spacing w:val="2"/>
            </w:rPr>
            <w:t>3. </w:t>
          </w:r>
          <w:r>
            <w:rPr/>
            <w:t>Turismo y Áreas Naturales</w:t>
          </w:r>
          <w:r>
            <w:rPr>
              <w:spacing w:val="58"/>
            </w:rPr>
            <w:t> </w:t>
          </w:r>
          <w:r>
            <w:rPr/>
            <w:t>Protegidas</w:t>
          </w:r>
        </w:p>
        <w:p>
          <w:pPr>
            <w:pStyle w:val="TOC2"/>
            <w:numPr>
              <w:ilvl w:val="1"/>
              <w:numId w:val="3"/>
            </w:numPr>
            <w:tabs>
              <w:tab w:pos="505" w:val="left" w:leader="none"/>
              <w:tab w:pos="8669" w:val="left" w:leader="none"/>
            </w:tabs>
            <w:spacing w:line="240" w:lineRule="auto" w:before="124" w:after="0"/>
            <w:ind w:left="504" w:right="0" w:hanging="388"/>
            <w:jc w:val="left"/>
          </w:pPr>
          <w:hyperlink w:history="true" w:anchor="_TOC_250019">
            <w:r>
              <w:rPr/>
              <w:t>Turismo y</w:t>
            </w:r>
            <w:r>
              <w:rPr>
                <w:spacing w:val="17"/>
              </w:rPr>
              <w:t> </w:t>
            </w:r>
            <w:r>
              <w:rPr/>
              <w:t>Desarrollo</w:t>
            </w:r>
            <w:r>
              <w:rPr>
                <w:spacing w:val="14"/>
              </w:rPr>
              <w:t> </w:t>
            </w:r>
            <w:r>
              <w:rPr/>
              <w:t>Sustentable</w:t>
            </w:r>
            <w:r>
              <w:rPr>
                <w:rFonts w:ascii="Times New Roman"/>
              </w:rPr>
              <w:tab/>
            </w:r>
            <w:r>
              <w:rPr/>
              <w:t>62</w:t>
            </w:r>
          </w:hyperlink>
        </w:p>
        <w:p>
          <w:pPr>
            <w:pStyle w:val="TOC2"/>
            <w:numPr>
              <w:ilvl w:val="1"/>
              <w:numId w:val="3"/>
            </w:numPr>
            <w:tabs>
              <w:tab w:pos="505" w:val="left" w:leader="none"/>
              <w:tab w:pos="8669" w:val="left" w:leader="none"/>
            </w:tabs>
            <w:spacing w:line="240" w:lineRule="auto" w:before="114" w:after="0"/>
            <w:ind w:left="504" w:right="0" w:hanging="388"/>
            <w:jc w:val="left"/>
          </w:pPr>
          <w:hyperlink w:history="true" w:anchor="_TOC_250018">
            <w:r>
              <w:rPr/>
              <w:t>Uso turístico en Áreas</w:t>
            </w:r>
            <w:r>
              <w:rPr>
                <w:spacing w:val="36"/>
              </w:rPr>
              <w:t> </w:t>
            </w:r>
            <w:r>
              <w:rPr/>
              <w:t>Naturales</w:t>
            </w:r>
            <w:r>
              <w:rPr>
                <w:spacing w:val="7"/>
              </w:rPr>
              <w:t> </w:t>
            </w:r>
            <w:r>
              <w:rPr/>
              <w:t>Protegidas</w:t>
            </w:r>
            <w:r>
              <w:rPr>
                <w:rFonts w:ascii="Times New Roman" w:hAnsi="Times New Roman"/>
              </w:rPr>
              <w:tab/>
            </w:r>
            <w:r>
              <w:rPr/>
              <w:t>66</w:t>
            </w:r>
          </w:hyperlink>
        </w:p>
        <w:p>
          <w:pPr>
            <w:pStyle w:val="TOC2"/>
            <w:numPr>
              <w:ilvl w:val="1"/>
              <w:numId w:val="3"/>
            </w:numPr>
            <w:tabs>
              <w:tab w:pos="505" w:val="left" w:leader="none"/>
              <w:tab w:pos="8635" w:val="left" w:leader="none"/>
            </w:tabs>
            <w:spacing w:line="240" w:lineRule="auto" w:before="124" w:after="0"/>
            <w:ind w:left="504" w:right="0" w:hanging="388"/>
            <w:jc w:val="left"/>
          </w:pPr>
          <w:r>
            <w:rPr/>
            <w:t>Tipología del visitante en Áreas Naturales</w:t>
          </w:r>
          <w:r>
            <w:rPr>
              <w:spacing w:val="48"/>
            </w:rPr>
            <w:t> </w:t>
          </w:r>
          <w:r>
            <w:rPr/>
            <w:t>Protegidas</w:t>
          </w:r>
          <w:r>
            <w:rPr>
              <w:spacing w:val="12"/>
            </w:rPr>
            <w:t> </w:t>
          </w:r>
          <w:r>
            <w:rPr/>
            <w:t>(ANP)</w:t>
          </w:r>
          <w:r>
            <w:rPr>
              <w:rFonts w:ascii="Times New Roman" w:hAnsi="Times New Roman"/>
            </w:rPr>
            <w:tab/>
          </w:r>
          <w:r>
            <w:rPr/>
            <w:t>69</w:t>
          </w:r>
        </w:p>
        <w:p>
          <w:pPr>
            <w:pStyle w:val="TOC4"/>
            <w:numPr>
              <w:ilvl w:val="2"/>
              <w:numId w:val="3"/>
            </w:numPr>
            <w:tabs>
              <w:tab w:pos="1417" w:val="left" w:leader="none"/>
              <w:tab w:pos="8568" w:val="left" w:leader="none"/>
            </w:tabs>
            <w:spacing w:line="240" w:lineRule="auto" w:before="509" w:after="0"/>
            <w:ind w:left="1416" w:right="0" w:hanging="648"/>
            <w:jc w:val="left"/>
          </w:pPr>
          <w:r>
            <w:rPr/>
            <w:t>Características del visitante y Normatividad</w:t>
          </w:r>
          <w:r>
            <w:rPr>
              <w:spacing w:val="45"/>
            </w:rPr>
            <w:t> </w:t>
          </w:r>
          <w:r>
            <w:rPr/>
            <w:t>en</w:t>
          </w:r>
          <w:r>
            <w:rPr>
              <w:spacing w:val="6"/>
            </w:rPr>
            <w:t> </w:t>
          </w:r>
          <w:r>
            <w:rPr/>
            <w:t>ANP´s</w:t>
          </w:r>
          <w:r>
            <w:rPr>
              <w:rFonts w:ascii="Times New Roman" w:hAnsi="Times New Roman"/>
            </w:rPr>
            <w:tab/>
          </w:r>
          <w:r>
            <w:rPr/>
            <w:t>71</w:t>
          </w:r>
        </w:p>
        <w:p>
          <w:pPr>
            <w:pStyle w:val="TOC2"/>
            <w:tabs>
              <w:tab w:pos="802" w:val="left" w:leader="none"/>
              <w:tab w:pos="8578" w:val="left" w:leader="none"/>
            </w:tabs>
            <w:spacing w:before="114"/>
            <w:ind w:left="115" w:right="989" w:firstLine="0"/>
          </w:pPr>
          <w:r>
            <w:rPr/>
            <w:t>3.4.</w:t>
            <w:tab/>
            <w:t>Parque Nacional Desierto de los</w:t>
          </w:r>
          <w:r>
            <w:rPr>
              <w:spacing w:val="30"/>
            </w:rPr>
            <w:t> </w:t>
          </w:r>
          <w:r>
            <w:rPr/>
            <w:t>Leones</w:t>
          </w:r>
          <w:r>
            <w:rPr>
              <w:spacing w:val="11"/>
            </w:rPr>
            <w:t> </w:t>
          </w:r>
          <w:r>
            <w:rPr/>
            <w:t>(PNDL)</w:t>
          </w:r>
          <w:r>
            <w:rPr>
              <w:rFonts w:ascii="Times New Roman"/>
            </w:rPr>
            <w:tab/>
          </w:r>
          <w:r>
            <w:rPr/>
            <w:t>73</w:t>
          </w:r>
        </w:p>
        <w:p>
          <w:pPr>
            <w:pStyle w:val="TOC5"/>
            <w:tabs>
              <w:tab w:pos="8578" w:val="left" w:leader="none"/>
            </w:tabs>
            <w:ind w:left="802" w:right="989" w:firstLine="0"/>
          </w:pPr>
          <w:r>
            <w:rPr/>
            <w:t>3.4.1 Datos generales</w:t>
          </w:r>
          <w:r>
            <w:rPr>
              <w:spacing w:val="26"/>
            </w:rPr>
            <w:t> </w:t>
          </w:r>
          <w:r>
            <w:rPr/>
            <w:t>del</w:t>
          </w:r>
          <w:r>
            <w:rPr>
              <w:spacing w:val="-1"/>
            </w:rPr>
            <w:t> </w:t>
          </w:r>
          <w:r>
            <w:rPr/>
            <w:t>PNDL</w:t>
          </w:r>
          <w:r>
            <w:rPr>
              <w:rFonts w:ascii="Times New Roman"/>
            </w:rPr>
            <w:tab/>
          </w:r>
          <w:r>
            <w:rPr/>
            <w:t>73</w:t>
          </w:r>
        </w:p>
        <w:p>
          <w:pPr>
            <w:pStyle w:val="TOC5"/>
            <w:tabs>
              <w:tab w:pos="8578" w:val="left" w:leader="none"/>
            </w:tabs>
            <w:spacing w:before="119"/>
            <w:ind w:left="802" w:right="989" w:firstLine="0"/>
          </w:pPr>
          <w:r>
            <w:rPr/>
            <w:t>3.3.2 Atractivos de</w:t>
          </w:r>
          <w:r>
            <w:rPr>
              <w:spacing w:val="20"/>
            </w:rPr>
            <w:t> </w:t>
          </w:r>
          <w:r>
            <w:rPr/>
            <w:t>uso</w:t>
          </w:r>
          <w:r>
            <w:rPr>
              <w:spacing w:val="4"/>
            </w:rPr>
            <w:t> </w:t>
          </w:r>
          <w:r>
            <w:rPr/>
            <w:t>turístico</w:t>
          </w:r>
          <w:r>
            <w:rPr>
              <w:rFonts w:ascii="Times New Roman" w:hAnsi="Times New Roman"/>
            </w:rPr>
            <w:tab/>
          </w:r>
          <w:r>
            <w:rPr/>
            <w:t>74</w:t>
          </w:r>
        </w:p>
        <w:p>
          <w:pPr>
            <w:pStyle w:val="TOC2"/>
            <w:tabs>
              <w:tab w:pos="8578" w:val="left" w:leader="none"/>
            </w:tabs>
            <w:spacing w:before="124"/>
            <w:ind w:left="116" w:right="989" w:firstLine="0"/>
          </w:pPr>
          <w:r>
            <w:rPr/>
            <w:t>3.4 Situación medioambiental en</w:t>
          </w:r>
          <w:r>
            <w:rPr>
              <w:spacing w:val="27"/>
            </w:rPr>
            <w:t> </w:t>
          </w:r>
          <w:r>
            <w:rPr/>
            <w:t>el</w:t>
          </w:r>
          <w:r>
            <w:rPr>
              <w:spacing w:val="4"/>
            </w:rPr>
            <w:t> </w:t>
          </w:r>
          <w:r>
            <w:rPr/>
            <w:t>PNDL</w:t>
          </w:r>
          <w:r>
            <w:rPr>
              <w:rFonts w:ascii="Times New Roman" w:hAnsi="Times New Roman"/>
            </w:rPr>
            <w:tab/>
          </w:r>
          <w:r>
            <w:rPr/>
            <w:t>76</w:t>
          </w:r>
        </w:p>
        <w:p>
          <w:pPr>
            <w:pStyle w:val="TOC1"/>
          </w:pPr>
          <w:hyperlink w:history="true" w:anchor="_TOC_250017">
            <w:r>
              <w:rPr/>
              <w:t>CAPÍTULO 4. Diseño Metodológico</w:t>
            </w:r>
          </w:hyperlink>
        </w:p>
        <w:p>
          <w:pPr>
            <w:pStyle w:val="TOC2"/>
            <w:numPr>
              <w:ilvl w:val="1"/>
              <w:numId w:val="4"/>
            </w:numPr>
            <w:tabs>
              <w:tab w:pos="505" w:val="left" w:leader="none"/>
              <w:tab w:pos="8578" w:val="left" w:leader="none"/>
            </w:tabs>
            <w:spacing w:line="240" w:lineRule="auto" w:before="119" w:after="0"/>
            <w:ind w:left="504" w:right="0" w:hanging="388"/>
            <w:jc w:val="left"/>
          </w:pPr>
          <w:hyperlink w:history="true" w:anchor="_TOC_250016">
            <w:r>
              <w:rPr/>
              <w:t>Tipo</w:t>
            </w:r>
            <w:r>
              <w:rPr>
                <w:spacing w:val="9"/>
              </w:rPr>
              <w:t> </w:t>
            </w:r>
            <w:r>
              <w:rPr/>
              <w:t>de</w:t>
            </w:r>
            <w:r>
              <w:rPr>
                <w:spacing w:val="13"/>
              </w:rPr>
              <w:t> </w:t>
            </w:r>
            <w:r>
              <w:rPr/>
              <w:t>Investigación</w:t>
            </w:r>
            <w:r>
              <w:rPr>
                <w:rFonts w:ascii="Times New Roman" w:hAnsi="Times New Roman"/>
              </w:rPr>
              <w:tab/>
            </w:r>
            <w:r>
              <w:rPr/>
              <w:t>81</w:t>
            </w:r>
          </w:hyperlink>
        </w:p>
        <w:p>
          <w:pPr>
            <w:pStyle w:val="TOC2"/>
            <w:numPr>
              <w:ilvl w:val="1"/>
              <w:numId w:val="4"/>
            </w:numPr>
            <w:tabs>
              <w:tab w:pos="505" w:val="left" w:leader="none"/>
              <w:tab w:pos="8578" w:val="left" w:leader="none"/>
            </w:tabs>
            <w:spacing w:line="240" w:lineRule="auto" w:before="124" w:after="0"/>
            <w:ind w:left="504" w:right="0" w:hanging="388"/>
            <w:jc w:val="left"/>
          </w:pPr>
          <w:hyperlink w:history="true" w:anchor="_TOC_250015">
            <w:r>
              <w:rPr/>
              <w:t>Población</w:t>
            </w:r>
            <w:r>
              <w:rPr>
                <w:spacing w:val="11"/>
              </w:rPr>
              <w:t> </w:t>
            </w:r>
            <w:r>
              <w:rPr/>
              <w:t>y</w:t>
            </w:r>
            <w:r>
              <w:rPr>
                <w:spacing w:val="4"/>
              </w:rPr>
              <w:t> </w:t>
            </w:r>
            <w:r>
              <w:rPr/>
              <w:t>muestra</w:t>
            </w:r>
            <w:r>
              <w:rPr>
                <w:rFonts w:ascii="Times New Roman" w:hAnsi="Times New Roman"/>
              </w:rPr>
              <w:tab/>
            </w:r>
            <w:r>
              <w:rPr/>
              <w:t>81</w:t>
            </w:r>
          </w:hyperlink>
        </w:p>
        <w:p>
          <w:pPr>
            <w:pStyle w:val="TOC2"/>
            <w:numPr>
              <w:ilvl w:val="1"/>
              <w:numId w:val="4"/>
            </w:numPr>
            <w:tabs>
              <w:tab w:pos="505" w:val="left" w:leader="none"/>
              <w:tab w:pos="8578" w:val="left" w:leader="none"/>
            </w:tabs>
            <w:spacing w:line="240" w:lineRule="auto" w:before="119" w:after="0"/>
            <w:ind w:left="504" w:right="0" w:hanging="388"/>
            <w:jc w:val="left"/>
          </w:pPr>
          <w:hyperlink w:history="true" w:anchor="_TOC_250014">
            <w:r>
              <w:rPr/>
              <w:t>Diseño</w:t>
            </w:r>
            <w:r>
              <w:rPr>
                <w:spacing w:val="14"/>
              </w:rPr>
              <w:t> </w:t>
            </w:r>
            <w:r>
              <w:rPr>
                <w:spacing w:val="-3"/>
              </w:rPr>
              <w:t>del</w:t>
            </w:r>
            <w:r>
              <w:rPr>
                <w:spacing w:val="16"/>
              </w:rPr>
              <w:t> </w:t>
            </w:r>
            <w:r>
              <w:rPr/>
              <w:t>instrumento</w:t>
            </w:r>
            <w:r>
              <w:rPr>
                <w:rFonts w:ascii="Times New Roman" w:hAnsi="Times New Roman"/>
              </w:rPr>
              <w:tab/>
            </w:r>
            <w:r>
              <w:rPr/>
              <w:t>83</w:t>
            </w:r>
          </w:hyperlink>
        </w:p>
        <w:p>
          <w:pPr>
            <w:pStyle w:val="TOC2"/>
            <w:numPr>
              <w:ilvl w:val="1"/>
              <w:numId w:val="4"/>
            </w:numPr>
            <w:tabs>
              <w:tab w:pos="505" w:val="left" w:leader="none"/>
              <w:tab w:pos="8578" w:val="left" w:leader="none"/>
            </w:tabs>
            <w:spacing w:line="240" w:lineRule="auto" w:before="124" w:after="0"/>
            <w:ind w:left="504" w:right="0" w:hanging="388"/>
            <w:jc w:val="left"/>
          </w:pPr>
          <w:r>
            <w:rPr/>
            <w:t>Operacionalización</w:t>
          </w:r>
          <w:r>
            <w:rPr>
              <w:spacing w:val="10"/>
            </w:rPr>
            <w:t> </w:t>
          </w:r>
          <w:r>
            <w:rPr/>
            <w:t>de</w:t>
          </w:r>
          <w:r>
            <w:rPr>
              <w:spacing w:val="10"/>
            </w:rPr>
            <w:t> </w:t>
          </w:r>
          <w:r>
            <w:rPr/>
            <w:t>variables</w:t>
          </w:r>
          <w:r>
            <w:rPr>
              <w:rFonts w:ascii="Times New Roman" w:hAnsi="Times New Roman"/>
            </w:rPr>
            <w:tab/>
          </w:r>
          <w:r>
            <w:rPr/>
            <w:t>83</w:t>
          </w:r>
        </w:p>
        <w:p>
          <w:pPr>
            <w:pStyle w:val="TOC2"/>
            <w:numPr>
              <w:ilvl w:val="1"/>
              <w:numId w:val="4"/>
            </w:numPr>
            <w:tabs>
              <w:tab w:pos="505" w:val="left" w:leader="none"/>
              <w:tab w:pos="8578" w:val="left" w:leader="none"/>
            </w:tabs>
            <w:spacing w:line="240" w:lineRule="auto" w:before="114" w:after="0"/>
            <w:ind w:left="504" w:right="0" w:hanging="388"/>
            <w:jc w:val="left"/>
          </w:pPr>
          <w:hyperlink w:history="true" w:anchor="_TOC_250013">
            <w:r>
              <w:rPr/>
              <w:t>Confiabilidad</w:t>
            </w:r>
            <w:r>
              <w:rPr>
                <w:spacing w:val="15"/>
              </w:rPr>
              <w:t> </w:t>
            </w:r>
            <w:r>
              <w:rPr/>
              <w:t>del</w:t>
            </w:r>
            <w:r>
              <w:rPr>
                <w:spacing w:val="11"/>
              </w:rPr>
              <w:t> </w:t>
            </w:r>
            <w:r>
              <w:rPr/>
              <w:t>instrumento</w:t>
            </w:r>
            <w:r>
              <w:rPr>
                <w:rFonts w:ascii="Times New Roman"/>
              </w:rPr>
              <w:tab/>
            </w:r>
            <w:r>
              <w:rPr/>
              <w:t>86</w:t>
            </w:r>
          </w:hyperlink>
        </w:p>
        <w:p>
          <w:pPr>
            <w:pStyle w:val="TOC5"/>
            <w:numPr>
              <w:ilvl w:val="2"/>
              <w:numId w:val="4"/>
            </w:numPr>
            <w:tabs>
              <w:tab w:pos="1450" w:val="left" w:leader="none"/>
              <w:tab w:pos="8578" w:val="left" w:leader="none"/>
            </w:tabs>
            <w:spacing w:line="240" w:lineRule="auto" w:before="124" w:after="0"/>
            <w:ind w:left="1449" w:right="0" w:hanging="647"/>
            <w:jc w:val="left"/>
          </w:pPr>
          <w:hyperlink w:history="true" w:anchor="_TOC_250012">
            <w:r>
              <w:rPr/>
              <w:t>Validez</w:t>
            </w:r>
            <w:r>
              <w:rPr>
                <w:rFonts w:ascii="Times New Roman"/>
              </w:rPr>
              <w:tab/>
            </w:r>
            <w:r>
              <w:rPr/>
              <w:t>86</w:t>
            </w:r>
          </w:hyperlink>
        </w:p>
        <w:p>
          <w:pPr>
            <w:pStyle w:val="TOC2"/>
            <w:numPr>
              <w:ilvl w:val="1"/>
              <w:numId w:val="4"/>
            </w:numPr>
            <w:tabs>
              <w:tab w:pos="505" w:val="left" w:leader="none"/>
              <w:tab w:pos="8578" w:val="left" w:leader="none"/>
            </w:tabs>
            <w:spacing w:line="240" w:lineRule="auto" w:before="119" w:after="0"/>
            <w:ind w:left="504" w:right="0" w:hanging="388"/>
            <w:jc w:val="left"/>
          </w:pPr>
          <w:hyperlink w:history="true" w:anchor="_TOC_250011">
            <w:r>
              <w:rPr/>
              <w:t>Procesamiento</w:t>
            </w:r>
            <w:r>
              <w:rPr>
                <w:spacing w:val="10"/>
              </w:rPr>
              <w:t> </w:t>
            </w:r>
            <w:r>
              <w:rPr/>
              <w:t>de</w:t>
            </w:r>
            <w:r>
              <w:rPr>
                <w:spacing w:val="10"/>
              </w:rPr>
              <w:t> </w:t>
            </w:r>
            <w:r>
              <w:rPr/>
              <w:t>Datos</w:t>
            </w:r>
            <w:r>
              <w:rPr>
                <w:rFonts w:ascii="Times New Roman"/>
              </w:rPr>
              <w:tab/>
            </w:r>
            <w:r>
              <w:rPr/>
              <w:t>87</w:t>
            </w:r>
          </w:hyperlink>
        </w:p>
        <w:p>
          <w:pPr>
            <w:pStyle w:val="TOC2"/>
            <w:numPr>
              <w:ilvl w:val="1"/>
              <w:numId w:val="4"/>
            </w:numPr>
            <w:tabs>
              <w:tab w:pos="505" w:val="left" w:leader="none"/>
              <w:tab w:pos="8578" w:val="left" w:leader="none"/>
            </w:tabs>
            <w:spacing w:line="240" w:lineRule="auto" w:before="124" w:after="0"/>
            <w:ind w:left="504" w:right="0" w:hanging="388"/>
            <w:jc w:val="left"/>
          </w:pPr>
          <w:r>
            <w:rPr/>
            <w:t>Correlación</w:t>
          </w:r>
          <w:r>
            <w:rPr>
              <w:spacing w:val="11"/>
            </w:rPr>
            <w:t> </w:t>
          </w:r>
          <w:r>
            <w:rPr/>
            <w:t>de</w:t>
          </w:r>
          <w:r>
            <w:rPr>
              <w:spacing w:val="11"/>
            </w:rPr>
            <w:t> </w:t>
          </w:r>
          <w:r>
            <w:rPr/>
            <w:t>Pearson</w:t>
          </w:r>
          <w:r>
            <w:rPr>
              <w:rFonts w:ascii="Times New Roman" w:hAnsi="Times New Roman"/>
            </w:rPr>
            <w:tab/>
          </w:r>
          <w:r>
            <w:rPr/>
            <w:t>88</w:t>
          </w:r>
        </w:p>
        <w:p>
          <w:pPr>
            <w:pStyle w:val="TOC2"/>
            <w:tabs>
              <w:tab w:pos="8578" w:val="left" w:leader="none"/>
            </w:tabs>
            <w:ind w:left="115" w:right="989" w:firstLine="0"/>
          </w:pPr>
          <w:hyperlink w:history="true" w:anchor="_TOC_250010">
            <w:r>
              <w:rPr/>
              <w:t>4.8.</w:t>
            </w:r>
            <w:r>
              <w:rPr>
                <w:spacing w:val="3"/>
              </w:rPr>
              <w:t> </w:t>
            </w:r>
            <w:r>
              <w:rPr/>
              <w:t>Regresión</w:t>
            </w:r>
            <w:r>
              <w:rPr>
                <w:spacing w:val="5"/>
              </w:rPr>
              <w:t> </w:t>
            </w:r>
            <w:r>
              <w:rPr/>
              <w:t>Lineal</w:t>
            </w:r>
            <w:r>
              <w:rPr>
                <w:rFonts w:ascii="Times New Roman" w:hAnsi="Times New Roman"/>
              </w:rPr>
              <w:tab/>
            </w:r>
            <w:r>
              <w:rPr/>
              <w:t>89</w:t>
            </w:r>
          </w:hyperlink>
        </w:p>
        <w:p>
          <w:pPr>
            <w:pStyle w:val="TOC1"/>
            <w:spacing w:line="247" w:lineRule="auto"/>
          </w:pPr>
          <w:r>
            <w:rPr/>
            <w:t>CAPÍTULO 5. Comportamiento Proambiental del visitante en el Parque Nacional Desierto de los Leones.</w:t>
          </w:r>
        </w:p>
        <w:p>
          <w:pPr>
            <w:pStyle w:val="TOC2"/>
            <w:numPr>
              <w:ilvl w:val="1"/>
              <w:numId w:val="5"/>
            </w:numPr>
            <w:tabs>
              <w:tab w:pos="505" w:val="left" w:leader="none"/>
              <w:tab w:pos="8645" w:val="left" w:leader="none"/>
            </w:tabs>
            <w:spacing w:line="240" w:lineRule="auto" w:before="107" w:after="0"/>
            <w:ind w:left="504" w:right="0" w:hanging="388"/>
            <w:jc w:val="left"/>
          </w:pPr>
          <w:hyperlink w:history="true" w:anchor="_TOC_250009">
            <w:r>
              <w:rPr/>
              <w:t>Resultados</w:t>
            </w:r>
            <w:r>
              <w:rPr>
                <w:rFonts w:ascii="Times New Roman"/>
              </w:rPr>
              <w:tab/>
            </w:r>
            <w:r>
              <w:rPr/>
              <w:t>91</w:t>
            </w:r>
          </w:hyperlink>
        </w:p>
        <w:p>
          <w:pPr>
            <w:pStyle w:val="TOC5"/>
            <w:tabs>
              <w:tab w:pos="8631" w:val="left" w:leader="none"/>
            </w:tabs>
            <w:ind w:left="802" w:right="989" w:firstLine="0"/>
          </w:pPr>
          <w:hyperlink w:history="true" w:anchor="_TOC_250008">
            <w:r>
              <w:rPr/>
              <w:t>5.1.1 Características de</w:t>
            </w:r>
            <w:r>
              <w:rPr>
                <w:spacing w:val="26"/>
              </w:rPr>
              <w:t> </w:t>
            </w:r>
            <w:r>
              <w:rPr/>
              <w:t>la</w:t>
            </w:r>
            <w:r>
              <w:rPr>
                <w:spacing w:val="7"/>
              </w:rPr>
              <w:t> </w:t>
            </w:r>
            <w:r>
              <w:rPr/>
              <w:t>muestra</w:t>
            </w:r>
            <w:r>
              <w:rPr>
                <w:rFonts w:ascii="Times New Roman" w:hAnsi="Times New Roman"/>
              </w:rPr>
              <w:tab/>
            </w:r>
            <w:r>
              <w:rPr/>
              <w:t>91</w:t>
            </w:r>
          </w:hyperlink>
        </w:p>
        <w:p>
          <w:pPr>
            <w:pStyle w:val="TOC2"/>
            <w:tabs>
              <w:tab w:pos="8602" w:val="left" w:leader="none"/>
            </w:tabs>
            <w:spacing w:line="244" w:lineRule="auto"/>
            <w:ind w:left="115" w:right="989" w:firstLine="0"/>
          </w:pPr>
          <w:r>
            <w:rPr/>
            <w:t>Artículo de Investigación enviado a </w:t>
          </w:r>
          <w:r>
            <w:rPr>
              <w:spacing w:val="-5"/>
            </w:rPr>
            <w:t>la </w:t>
          </w:r>
          <w:r>
            <w:rPr/>
            <w:t>revista Luna Azul de </w:t>
          </w:r>
          <w:r>
            <w:rPr>
              <w:spacing w:val="-5"/>
            </w:rPr>
            <w:t>la </w:t>
          </w:r>
          <w:r>
            <w:rPr/>
            <w:t>Universidad de Caldas Colombia, indizada en Directory of Open Access Journals, Index Copernicus Journals Master List, Publindex, Cab Abstracts, Lantin Index y Redalyc, con registro ISSN- 1909- 2474.</w:t>
          </w:r>
          <w:r>
            <w:rPr>
              <w:rFonts w:ascii="Times New Roman" w:hAnsi="Times New Roman"/>
            </w:rPr>
            <w:tab/>
          </w:r>
          <w:r>
            <w:rPr/>
            <w:t>96</w:t>
          </w:r>
        </w:p>
        <w:p>
          <w:pPr>
            <w:pStyle w:val="TOC2"/>
            <w:numPr>
              <w:ilvl w:val="1"/>
              <w:numId w:val="5"/>
            </w:numPr>
            <w:tabs>
              <w:tab w:pos="505" w:val="left" w:leader="none"/>
              <w:tab w:pos="8602" w:val="left" w:leader="none"/>
            </w:tabs>
            <w:spacing w:line="240" w:lineRule="auto" w:before="114" w:after="0"/>
            <w:ind w:left="504" w:right="0" w:hanging="388"/>
            <w:jc w:val="left"/>
          </w:pPr>
          <w:hyperlink w:history="true" w:anchor="_TOC_250007">
            <w:r>
              <w:rPr/>
              <w:t>Introducción</w:t>
            </w:r>
            <w:r>
              <w:rPr>
                <w:rFonts w:ascii="Times New Roman" w:hAnsi="Times New Roman"/>
              </w:rPr>
              <w:tab/>
            </w:r>
            <w:r>
              <w:rPr/>
              <w:t>98</w:t>
            </w:r>
          </w:hyperlink>
        </w:p>
        <w:p>
          <w:pPr>
            <w:pStyle w:val="TOC2"/>
            <w:numPr>
              <w:ilvl w:val="1"/>
              <w:numId w:val="5"/>
            </w:numPr>
            <w:tabs>
              <w:tab w:pos="505" w:val="left" w:leader="none"/>
              <w:tab w:pos="8631" w:val="left" w:leader="none"/>
            </w:tabs>
            <w:spacing w:line="240" w:lineRule="auto" w:before="124" w:after="0"/>
            <w:ind w:left="504" w:right="0" w:hanging="388"/>
            <w:jc w:val="left"/>
          </w:pPr>
          <w:hyperlink w:history="true" w:anchor="_TOC_250006">
            <w:r>
              <w:rPr/>
              <w:t>Revisión de</w:t>
            </w:r>
            <w:r>
              <w:rPr>
                <w:spacing w:val="12"/>
              </w:rPr>
              <w:t> </w:t>
            </w:r>
            <w:r>
              <w:rPr/>
              <w:t>la</w:t>
            </w:r>
            <w:r>
              <w:rPr>
                <w:spacing w:val="6"/>
              </w:rPr>
              <w:t> </w:t>
            </w:r>
            <w:r>
              <w:rPr/>
              <w:t>literatura</w:t>
            </w:r>
            <w:r>
              <w:rPr>
                <w:rFonts w:ascii="Times New Roman" w:hAnsi="Times New Roman"/>
              </w:rPr>
              <w:tab/>
            </w:r>
            <w:r>
              <w:rPr/>
              <w:t>99</w:t>
            </w:r>
          </w:hyperlink>
        </w:p>
        <w:p>
          <w:pPr>
            <w:pStyle w:val="TOC2"/>
            <w:numPr>
              <w:ilvl w:val="1"/>
              <w:numId w:val="5"/>
            </w:numPr>
            <w:tabs>
              <w:tab w:pos="505" w:val="left" w:leader="none"/>
              <w:tab w:pos="8563" w:val="left" w:leader="none"/>
            </w:tabs>
            <w:spacing w:line="240" w:lineRule="auto" w:before="119" w:after="0"/>
            <w:ind w:left="504" w:right="0" w:hanging="388"/>
            <w:jc w:val="left"/>
          </w:pPr>
          <w:hyperlink w:history="true" w:anchor="_TOC_250005">
            <w:r>
              <w:rPr/>
              <w:t>El constructo del</w:t>
            </w:r>
            <w:r>
              <w:rPr>
                <w:spacing w:val="37"/>
              </w:rPr>
              <w:t> </w:t>
            </w:r>
            <w:r>
              <w:rPr/>
              <w:t>comportamiento</w:t>
            </w:r>
            <w:r>
              <w:rPr>
                <w:spacing w:val="16"/>
              </w:rPr>
              <w:t> </w:t>
            </w:r>
            <w:r>
              <w:rPr/>
              <w:t>proambiental</w:t>
            </w:r>
            <w:r>
              <w:rPr>
                <w:rFonts w:ascii="Times New Roman"/>
              </w:rPr>
              <w:tab/>
            </w:r>
            <w:r>
              <w:rPr/>
              <w:t>103</w:t>
            </w:r>
          </w:hyperlink>
        </w:p>
        <w:p>
          <w:pPr>
            <w:pStyle w:val="TOC2"/>
            <w:numPr>
              <w:ilvl w:val="1"/>
              <w:numId w:val="5"/>
            </w:numPr>
            <w:tabs>
              <w:tab w:pos="505" w:val="left" w:leader="none"/>
              <w:tab w:pos="8539" w:val="left" w:leader="none"/>
            </w:tabs>
            <w:spacing w:line="240" w:lineRule="auto" w:before="124" w:after="0"/>
            <w:ind w:left="504" w:right="0" w:hanging="388"/>
            <w:jc w:val="left"/>
          </w:pPr>
          <w:hyperlink w:history="true" w:anchor="_TOC_250004">
            <w:r>
              <w:rPr/>
              <w:t>Parque Nacional Desierto de</w:t>
            </w:r>
            <w:r>
              <w:rPr>
                <w:spacing w:val="26"/>
              </w:rPr>
              <w:t> </w:t>
            </w:r>
            <w:r>
              <w:rPr/>
              <w:t>los</w:t>
            </w:r>
            <w:r>
              <w:rPr>
                <w:spacing w:val="12"/>
              </w:rPr>
              <w:t> </w:t>
            </w:r>
            <w:r>
              <w:rPr/>
              <w:t>Leones</w:t>
            </w:r>
            <w:r>
              <w:rPr>
                <w:rFonts w:ascii="Times New Roman"/>
              </w:rPr>
              <w:tab/>
            </w:r>
            <w:r>
              <w:rPr/>
              <w:t>107</w:t>
            </w:r>
          </w:hyperlink>
        </w:p>
        <w:p>
          <w:pPr>
            <w:pStyle w:val="TOC2"/>
            <w:numPr>
              <w:ilvl w:val="1"/>
              <w:numId w:val="5"/>
            </w:numPr>
            <w:tabs>
              <w:tab w:pos="505" w:val="left" w:leader="none"/>
              <w:tab w:pos="8563" w:val="left" w:leader="none"/>
            </w:tabs>
            <w:spacing w:line="240" w:lineRule="auto" w:before="114" w:after="0"/>
            <w:ind w:left="504" w:right="0" w:hanging="388"/>
            <w:jc w:val="left"/>
          </w:pPr>
          <w:hyperlink w:history="true" w:anchor="_TOC_250003">
            <w:r>
              <w:rPr/>
              <w:t>Método</w:t>
            </w:r>
            <w:r>
              <w:rPr>
                <w:rFonts w:ascii="Times New Roman" w:hAnsi="Times New Roman"/>
              </w:rPr>
              <w:tab/>
            </w:r>
            <w:r>
              <w:rPr/>
              <w:t>108</w:t>
            </w:r>
          </w:hyperlink>
        </w:p>
        <w:p>
          <w:pPr>
            <w:pStyle w:val="TOC2"/>
            <w:numPr>
              <w:ilvl w:val="1"/>
              <w:numId w:val="5"/>
            </w:numPr>
            <w:tabs>
              <w:tab w:pos="505" w:val="left" w:leader="none"/>
              <w:tab w:pos="8563" w:val="left" w:leader="none"/>
            </w:tabs>
            <w:spacing w:line="240" w:lineRule="auto" w:before="124" w:after="0"/>
            <w:ind w:left="504" w:right="0" w:hanging="388"/>
            <w:jc w:val="left"/>
          </w:pPr>
          <w:hyperlink w:history="true" w:anchor="_TOC_250002">
            <w:r>
              <w:rPr/>
              <w:t>Resultados</w:t>
            </w:r>
            <w:r>
              <w:rPr>
                <w:rFonts w:ascii="Times New Roman"/>
              </w:rPr>
              <w:tab/>
            </w:r>
            <w:r>
              <w:rPr/>
              <w:t>109</w:t>
            </w:r>
          </w:hyperlink>
        </w:p>
        <w:p>
          <w:pPr>
            <w:pStyle w:val="TOC2"/>
            <w:numPr>
              <w:ilvl w:val="1"/>
              <w:numId w:val="5"/>
            </w:numPr>
            <w:tabs>
              <w:tab w:pos="505" w:val="left" w:leader="none"/>
              <w:tab w:pos="8578" w:val="left" w:leader="none"/>
            </w:tabs>
            <w:spacing w:line="240" w:lineRule="auto" w:before="119" w:after="0"/>
            <w:ind w:left="504" w:right="0" w:hanging="388"/>
            <w:jc w:val="left"/>
          </w:pPr>
          <w:r>
            <w:rPr/>
            <w:t>Discusión</w:t>
          </w:r>
          <w:r>
            <w:rPr>
              <w:spacing w:val="12"/>
            </w:rPr>
            <w:t> </w:t>
          </w:r>
          <w:r>
            <w:rPr/>
            <w:t>de</w:t>
          </w:r>
          <w:r>
            <w:rPr>
              <w:spacing w:val="12"/>
            </w:rPr>
            <w:t> </w:t>
          </w:r>
          <w:r>
            <w:rPr/>
            <w:t>Resultados</w:t>
          </w:r>
          <w:r>
            <w:rPr>
              <w:rFonts w:ascii="Times New Roman" w:hAnsi="Times New Roman"/>
            </w:rPr>
            <w:tab/>
          </w:r>
          <w:r>
            <w:rPr/>
            <w:t>114</w:t>
          </w:r>
        </w:p>
        <w:p>
          <w:pPr>
            <w:pStyle w:val="TOC3"/>
            <w:tabs>
              <w:tab w:pos="8578" w:val="left" w:leader="none"/>
            </w:tabs>
            <w:spacing w:before="508"/>
            <w:ind w:left="116"/>
            <w:rPr>
              <w:b w:val="0"/>
              <w:i w:val="0"/>
              <w:sz w:val="23"/>
            </w:rPr>
          </w:pPr>
          <w:hyperlink w:history="true" w:anchor="_TOC_250001">
            <w:r>
              <w:rPr>
                <w:i w:val="0"/>
                <w:sz w:val="23"/>
              </w:rPr>
              <w:t>CONCLUSIONES</w:t>
            </w:r>
            <w:r>
              <w:rPr>
                <w:rFonts w:ascii="Times New Roman"/>
                <w:b w:val="0"/>
                <w:i w:val="0"/>
                <w:sz w:val="23"/>
              </w:rPr>
              <w:tab/>
            </w:r>
            <w:r>
              <w:rPr>
                <w:b w:val="0"/>
                <w:i w:val="0"/>
                <w:sz w:val="23"/>
              </w:rPr>
              <w:t>119</w:t>
            </w:r>
          </w:hyperlink>
        </w:p>
        <w:p>
          <w:pPr>
            <w:pStyle w:val="TOC3"/>
            <w:tabs>
              <w:tab w:pos="8578" w:val="left" w:leader="none"/>
            </w:tabs>
            <w:ind w:left="116"/>
            <w:rPr>
              <w:b w:val="0"/>
              <w:i w:val="0"/>
              <w:sz w:val="23"/>
            </w:rPr>
          </w:pPr>
          <w:hyperlink w:history="true" w:anchor="_TOC_250000">
            <w:r>
              <w:rPr>
                <w:i w:val="0"/>
                <w:sz w:val="23"/>
              </w:rPr>
              <w:t>REFERENCIAS</w:t>
            </w:r>
            <w:r>
              <w:rPr>
                <w:rFonts w:ascii="Times New Roman"/>
                <w:b w:val="0"/>
                <w:i w:val="0"/>
                <w:sz w:val="23"/>
              </w:rPr>
              <w:tab/>
            </w:r>
            <w:r>
              <w:rPr>
                <w:b w:val="0"/>
                <w:i w:val="0"/>
                <w:sz w:val="23"/>
              </w:rPr>
              <w:t>122</w:t>
            </w:r>
          </w:hyperlink>
        </w:p>
        <w:p>
          <w:pPr>
            <w:pStyle w:val="TOC3"/>
            <w:tabs>
              <w:tab w:pos="8501" w:val="left" w:leader="none"/>
            </w:tabs>
            <w:spacing w:before="509"/>
            <w:ind w:right="0"/>
            <w:rPr>
              <w:b w:val="0"/>
              <w:i w:val="0"/>
              <w:sz w:val="23"/>
            </w:rPr>
          </w:pPr>
          <w:r>
            <w:rPr>
              <w:i w:val="0"/>
              <w:sz w:val="23"/>
            </w:rPr>
            <w:t>ANEXOS</w:t>
            <w:tab/>
          </w:r>
          <w:r>
            <w:rPr>
              <w:b w:val="0"/>
              <w:i w:val="0"/>
              <w:sz w:val="23"/>
            </w:rPr>
            <w:t>Página</w:t>
          </w:r>
        </w:p>
        <w:p>
          <w:pPr>
            <w:pStyle w:val="TOC2"/>
            <w:tabs>
              <w:tab w:pos="8578" w:val="left" w:leader="none"/>
            </w:tabs>
            <w:spacing w:before="503"/>
            <w:ind w:left="115" w:right="989" w:firstLine="0"/>
          </w:pPr>
          <w:r>
            <w:rPr/>
            <w:t>Anexo 1. Cuestionario a visitantes</w:t>
          </w:r>
          <w:r>
            <w:rPr>
              <w:spacing w:val="35"/>
            </w:rPr>
            <w:t> </w:t>
          </w:r>
          <w:r>
            <w:rPr/>
            <w:t>del</w:t>
          </w:r>
          <w:r>
            <w:rPr>
              <w:spacing w:val="-1"/>
            </w:rPr>
            <w:t> </w:t>
          </w:r>
          <w:r>
            <w:rPr/>
            <w:t>PNDL</w:t>
          </w:r>
          <w:r>
            <w:rPr>
              <w:rFonts w:ascii="Times New Roman"/>
            </w:rPr>
            <w:tab/>
          </w:r>
          <w:r>
            <w:rPr/>
            <w:t>134</w:t>
          </w:r>
        </w:p>
        <w:p>
          <w:pPr>
            <w:pStyle w:val="TOC2"/>
            <w:tabs>
              <w:tab w:pos="8578" w:val="left" w:leader="none"/>
            </w:tabs>
            <w:ind w:left="115" w:right="989" w:firstLine="0"/>
          </w:pPr>
          <w:r>
            <w:rPr/>
            <w:t>Anexo 2. Biodiversidad en</w:t>
          </w:r>
          <w:r>
            <w:rPr>
              <w:spacing w:val="25"/>
            </w:rPr>
            <w:t> </w:t>
          </w:r>
          <w:r>
            <w:rPr/>
            <w:t>el</w:t>
          </w:r>
          <w:r>
            <w:rPr>
              <w:spacing w:val="1"/>
            </w:rPr>
            <w:t> </w:t>
          </w:r>
          <w:r>
            <w:rPr/>
            <w:t>PNDL</w:t>
          </w:r>
          <w:r>
            <w:rPr>
              <w:rFonts w:ascii="Times New Roman"/>
            </w:rPr>
            <w:tab/>
          </w:r>
          <w:r>
            <w:rPr/>
            <w:t>141</w:t>
          </w:r>
        </w:p>
        <w:p>
          <w:pPr>
            <w:pStyle w:val="TOC2"/>
            <w:tabs>
              <w:tab w:pos="8563" w:val="left" w:leader="none"/>
            </w:tabs>
            <w:spacing w:before="124"/>
            <w:ind w:left="115" w:right="989" w:firstLine="0"/>
          </w:pPr>
          <w:r>
            <w:rPr/>
            <w:t>Anexo 3. Impactos ambientales en</w:t>
          </w:r>
          <w:r>
            <w:rPr>
              <w:spacing w:val="43"/>
            </w:rPr>
            <w:t> </w:t>
          </w:r>
          <w:r>
            <w:rPr/>
            <w:t>el</w:t>
          </w:r>
          <w:r>
            <w:rPr>
              <w:spacing w:val="-1"/>
            </w:rPr>
            <w:t> </w:t>
          </w:r>
          <w:r>
            <w:rPr/>
            <w:t>PNDL</w:t>
          </w:r>
          <w:r>
            <w:rPr>
              <w:rFonts w:ascii="Times New Roman"/>
            </w:rPr>
            <w:tab/>
          </w:r>
          <w:r>
            <w:rPr/>
            <w:t>142</w:t>
          </w:r>
        </w:p>
        <w:p>
          <w:pPr>
            <w:pStyle w:val="TOC2"/>
            <w:tabs>
              <w:tab w:pos="8563" w:val="left" w:leader="none"/>
            </w:tabs>
            <w:ind w:left="115" w:right="989" w:firstLine="0"/>
          </w:pPr>
          <w:r>
            <w:rPr/>
            <w:t>Anexo 4. Uso turístico</w:t>
          </w:r>
          <w:r>
            <w:rPr>
              <w:spacing w:val="26"/>
            </w:rPr>
            <w:t> </w:t>
          </w:r>
          <w:r>
            <w:rPr/>
            <w:t>del PNDL</w:t>
          </w:r>
          <w:r>
            <w:rPr>
              <w:rFonts w:ascii="Times New Roman" w:hAnsi="Times New Roman"/>
            </w:rPr>
            <w:tab/>
          </w:r>
          <w:r>
            <w:rPr/>
            <w:t>143</w:t>
          </w:r>
        </w:p>
      </w:sdtContent>
    </w:sdt>
    <w:p>
      <w:pPr>
        <w:spacing w:after="0"/>
        <w:sectPr>
          <w:type w:val="continuous"/>
          <w:pgSz w:w="11910" w:h="16840"/>
          <w:pgMar w:top="1475" w:bottom="1937" w:left="1540" w:right="200"/>
        </w:sectPr>
      </w:pPr>
    </w:p>
    <w:p>
      <w:pPr>
        <w:tabs>
          <w:tab w:pos="8223" w:val="left" w:leader="none"/>
        </w:tabs>
        <w:spacing w:before="892"/>
        <w:ind w:left="2962" w:right="989" w:firstLine="0"/>
        <w:jc w:val="left"/>
        <w:rPr>
          <w:sz w:val="23"/>
        </w:rPr>
      </w:pPr>
      <w:r>
        <w:rPr>
          <w:b/>
          <w:sz w:val="23"/>
        </w:rPr>
        <w:t>ÍNDICE</w:t>
      </w:r>
      <w:r>
        <w:rPr>
          <w:b/>
          <w:spacing w:val="6"/>
          <w:sz w:val="23"/>
        </w:rPr>
        <w:t> </w:t>
      </w:r>
      <w:r>
        <w:rPr>
          <w:b/>
          <w:sz w:val="23"/>
        </w:rPr>
        <w:t>DE</w:t>
      </w:r>
      <w:r>
        <w:rPr>
          <w:b/>
          <w:spacing w:val="6"/>
          <w:sz w:val="23"/>
        </w:rPr>
        <w:t> </w:t>
      </w:r>
      <w:r>
        <w:rPr>
          <w:b/>
          <w:sz w:val="23"/>
        </w:rPr>
        <w:t>TABLAS</w:t>
        <w:tab/>
      </w:r>
      <w:r>
        <w:rPr>
          <w:sz w:val="23"/>
        </w:rPr>
        <w:t>Página</w:t>
      </w:r>
    </w:p>
    <w:p>
      <w:pPr>
        <w:pStyle w:val="ListParagraph"/>
        <w:numPr>
          <w:ilvl w:val="0"/>
          <w:numId w:val="6"/>
        </w:numPr>
        <w:tabs>
          <w:tab w:pos="467" w:val="left" w:leader="none"/>
          <w:tab w:pos="8525" w:val="left" w:leader="none"/>
        </w:tabs>
        <w:spacing w:line="240" w:lineRule="auto" w:before="273" w:after="0"/>
        <w:ind w:left="466" w:right="0" w:hanging="350"/>
        <w:jc w:val="left"/>
        <w:rPr>
          <w:sz w:val="23"/>
        </w:rPr>
      </w:pPr>
      <w:r>
        <w:rPr>
          <w:sz w:val="23"/>
        </w:rPr>
        <w:t>Principales aportaciones ante </w:t>
      </w:r>
      <w:r>
        <w:rPr>
          <w:spacing w:val="-5"/>
          <w:sz w:val="23"/>
        </w:rPr>
        <w:t>la  </w:t>
      </w:r>
      <w:r>
        <w:rPr>
          <w:sz w:val="23"/>
        </w:rPr>
        <w:t>preocupación</w:t>
      </w:r>
      <w:r>
        <w:rPr>
          <w:spacing w:val="12"/>
          <w:sz w:val="23"/>
        </w:rPr>
        <w:t> </w:t>
      </w:r>
      <w:r>
        <w:rPr>
          <w:sz w:val="23"/>
        </w:rPr>
        <w:t>ambiental</w:t>
      </w:r>
      <w:r>
        <w:rPr>
          <w:rFonts w:ascii="Times New Roman" w:hAnsi="Times New Roman"/>
          <w:sz w:val="23"/>
        </w:rPr>
        <w:tab/>
      </w:r>
      <w:r>
        <w:rPr>
          <w:sz w:val="23"/>
        </w:rPr>
        <w:t>8</w:t>
      </w:r>
    </w:p>
    <w:p>
      <w:pPr>
        <w:pStyle w:val="ListParagraph"/>
        <w:numPr>
          <w:ilvl w:val="0"/>
          <w:numId w:val="6"/>
        </w:numPr>
        <w:tabs>
          <w:tab w:pos="467" w:val="left" w:leader="none"/>
          <w:tab w:pos="8458" w:val="left" w:leader="none"/>
        </w:tabs>
        <w:spacing w:line="264" w:lineRule="exact" w:before="0" w:after="0"/>
        <w:ind w:left="466" w:right="0" w:hanging="350"/>
        <w:jc w:val="left"/>
        <w:rPr>
          <w:sz w:val="23"/>
        </w:rPr>
      </w:pPr>
      <w:r>
        <w:rPr>
          <w:sz w:val="23"/>
        </w:rPr>
        <w:t>Escalas de medición del</w:t>
      </w:r>
      <w:r>
        <w:rPr>
          <w:spacing w:val="48"/>
          <w:sz w:val="23"/>
        </w:rPr>
        <w:t> </w:t>
      </w:r>
      <w:r>
        <w:rPr>
          <w:sz w:val="23"/>
        </w:rPr>
        <w:t>comportamiento</w:t>
      </w:r>
      <w:r>
        <w:rPr>
          <w:spacing w:val="13"/>
          <w:sz w:val="23"/>
        </w:rPr>
        <w:t> </w:t>
      </w:r>
      <w:r>
        <w:rPr>
          <w:sz w:val="23"/>
        </w:rPr>
        <w:t>proambiental</w:t>
      </w:r>
      <w:r>
        <w:rPr>
          <w:rFonts w:ascii="Times New Roman" w:hAnsi="Times New Roman"/>
          <w:sz w:val="23"/>
        </w:rPr>
        <w:tab/>
      </w:r>
      <w:r>
        <w:rPr>
          <w:sz w:val="23"/>
        </w:rPr>
        <w:t>60</w:t>
      </w:r>
    </w:p>
    <w:p>
      <w:pPr>
        <w:pStyle w:val="ListParagraph"/>
        <w:numPr>
          <w:ilvl w:val="0"/>
          <w:numId w:val="6"/>
        </w:numPr>
        <w:tabs>
          <w:tab w:pos="467" w:val="left" w:leader="none"/>
          <w:tab w:pos="8487" w:val="left" w:leader="none"/>
        </w:tabs>
        <w:spacing w:line="264" w:lineRule="exact" w:before="9" w:after="0"/>
        <w:ind w:left="466" w:right="0" w:hanging="350"/>
        <w:jc w:val="left"/>
        <w:rPr>
          <w:sz w:val="23"/>
        </w:rPr>
      </w:pPr>
      <w:r>
        <w:rPr>
          <w:sz w:val="23"/>
        </w:rPr>
        <w:t>Tipologia</w:t>
      </w:r>
      <w:r>
        <w:rPr>
          <w:spacing w:val="10"/>
          <w:sz w:val="23"/>
        </w:rPr>
        <w:t> </w:t>
      </w:r>
      <w:r>
        <w:rPr>
          <w:sz w:val="23"/>
        </w:rPr>
        <w:t>del</w:t>
      </w:r>
      <w:r>
        <w:rPr>
          <w:spacing w:val="7"/>
          <w:sz w:val="23"/>
        </w:rPr>
        <w:t> </w:t>
      </w:r>
      <w:r>
        <w:rPr>
          <w:sz w:val="23"/>
        </w:rPr>
        <w:t>visitante</w:t>
      </w:r>
      <w:r>
        <w:rPr>
          <w:rFonts w:ascii="Times New Roman"/>
          <w:sz w:val="23"/>
        </w:rPr>
        <w:tab/>
      </w:r>
      <w:r>
        <w:rPr>
          <w:sz w:val="23"/>
        </w:rPr>
        <w:t>69</w:t>
      </w:r>
    </w:p>
    <w:p>
      <w:pPr>
        <w:pStyle w:val="ListParagraph"/>
        <w:numPr>
          <w:ilvl w:val="0"/>
          <w:numId w:val="6"/>
        </w:numPr>
        <w:tabs>
          <w:tab w:pos="467" w:val="left" w:leader="none"/>
          <w:tab w:pos="8487" w:val="left" w:leader="none"/>
        </w:tabs>
        <w:spacing w:line="264" w:lineRule="exact" w:before="0" w:after="0"/>
        <w:ind w:left="466" w:right="0" w:hanging="350"/>
        <w:jc w:val="left"/>
        <w:rPr>
          <w:sz w:val="23"/>
        </w:rPr>
      </w:pPr>
      <w:r>
        <w:rPr>
          <w:sz w:val="23"/>
        </w:rPr>
        <w:t>Normatividad del visitante</w:t>
      </w:r>
      <w:r>
        <w:rPr>
          <w:spacing w:val="22"/>
          <w:sz w:val="23"/>
        </w:rPr>
        <w:t> </w:t>
      </w:r>
      <w:r>
        <w:rPr>
          <w:sz w:val="23"/>
        </w:rPr>
        <w:t>en</w:t>
      </w:r>
      <w:r>
        <w:rPr>
          <w:spacing w:val="11"/>
          <w:sz w:val="23"/>
        </w:rPr>
        <w:t> </w:t>
      </w:r>
      <w:r>
        <w:rPr>
          <w:sz w:val="23"/>
        </w:rPr>
        <w:t>ANP´s</w:t>
      </w:r>
      <w:r>
        <w:rPr>
          <w:rFonts w:ascii="Times New Roman" w:hAnsi="Times New Roman"/>
          <w:sz w:val="23"/>
        </w:rPr>
        <w:tab/>
      </w:r>
      <w:r>
        <w:rPr>
          <w:sz w:val="23"/>
        </w:rPr>
        <w:t>72</w:t>
      </w:r>
    </w:p>
    <w:p>
      <w:pPr>
        <w:pStyle w:val="ListParagraph"/>
        <w:numPr>
          <w:ilvl w:val="0"/>
          <w:numId w:val="6"/>
        </w:numPr>
        <w:tabs>
          <w:tab w:pos="467" w:val="left" w:leader="none"/>
          <w:tab w:pos="8717" w:val="right" w:leader="none"/>
        </w:tabs>
        <w:spacing w:line="264" w:lineRule="exact" w:before="9" w:after="0"/>
        <w:ind w:left="466" w:right="0" w:hanging="350"/>
        <w:jc w:val="left"/>
        <w:rPr>
          <w:sz w:val="23"/>
        </w:rPr>
      </w:pPr>
      <w:r>
        <w:rPr>
          <w:sz w:val="23"/>
        </w:rPr>
        <w:t>Ficha técnica de</w:t>
      </w:r>
      <w:r>
        <w:rPr>
          <w:spacing w:val="-1"/>
          <w:sz w:val="23"/>
        </w:rPr>
        <w:t> </w:t>
      </w:r>
      <w:r>
        <w:rPr>
          <w:sz w:val="23"/>
        </w:rPr>
        <w:t>la</w:t>
      </w:r>
      <w:r>
        <w:rPr>
          <w:spacing w:val="2"/>
          <w:sz w:val="23"/>
        </w:rPr>
        <w:t> </w:t>
      </w:r>
      <w:r>
        <w:rPr>
          <w:sz w:val="23"/>
        </w:rPr>
        <w:t>muestra</w:t>
      </w:r>
      <w:r>
        <w:rPr>
          <w:rFonts w:ascii="Times New Roman" w:hAnsi="Times New Roman"/>
          <w:sz w:val="23"/>
        </w:rPr>
        <w:tab/>
      </w:r>
      <w:r>
        <w:rPr>
          <w:sz w:val="23"/>
        </w:rPr>
        <w:t>82</w:t>
      </w:r>
    </w:p>
    <w:p>
      <w:pPr>
        <w:pStyle w:val="ListParagraph"/>
        <w:numPr>
          <w:ilvl w:val="0"/>
          <w:numId w:val="6"/>
        </w:numPr>
        <w:tabs>
          <w:tab w:pos="467" w:val="left" w:leader="none"/>
          <w:tab w:pos="8717" w:val="right" w:leader="none"/>
        </w:tabs>
        <w:spacing w:line="264" w:lineRule="exact" w:before="0" w:after="0"/>
        <w:ind w:left="466" w:right="0" w:hanging="350"/>
        <w:jc w:val="left"/>
        <w:rPr>
          <w:sz w:val="23"/>
        </w:rPr>
      </w:pPr>
      <w:r>
        <w:rPr>
          <w:sz w:val="23"/>
        </w:rPr>
        <w:t>Operacionalización</w:t>
      </w:r>
      <w:r>
        <w:rPr>
          <w:spacing w:val="2"/>
          <w:sz w:val="23"/>
        </w:rPr>
        <w:t> </w:t>
      </w:r>
      <w:r>
        <w:rPr>
          <w:sz w:val="23"/>
        </w:rPr>
        <w:t>de</w:t>
      </w:r>
      <w:r>
        <w:rPr>
          <w:spacing w:val="2"/>
          <w:sz w:val="23"/>
        </w:rPr>
        <w:t> </w:t>
      </w:r>
      <w:r>
        <w:rPr>
          <w:sz w:val="23"/>
        </w:rPr>
        <w:t>variables</w:t>
      </w:r>
      <w:r>
        <w:rPr>
          <w:rFonts w:ascii="Times New Roman" w:hAnsi="Times New Roman"/>
          <w:sz w:val="23"/>
        </w:rPr>
        <w:tab/>
      </w:r>
      <w:r>
        <w:rPr>
          <w:sz w:val="23"/>
        </w:rPr>
        <w:t>84</w:t>
      </w:r>
    </w:p>
    <w:p>
      <w:pPr>
        <w:pStyle w:val="ListParagraph"/>
        <w:numPr>
          <w:ilvl w:val="0"/>
          <w:numId w:val="6"/>
        </w:numPr>
        <w:tabs>
          <w:tab w:pos="467" w:val="left" w:leader="none"/>
          <w:tab w:pos="8717" w:val="right" w:leader="none"/>
        </w:tabs>
        <w:spacing w:line="264" w:lineRule="exact" w:before="9" w:after="0"/>
        <w:ind w:left="466" w:right="0" w:hanging="350"/>
        <w:jc w:val="left"/>
        <w:rPr>
          <w:sz w:val="23"/>
        </w:rPr>
      </w:pPr>
      <w:r>
        <w:rPr>
          <w:sz w:val="23"/>
        </w:rPr>
        <w:t>Confiabilidad</w:t>
      </w:r>
      <w:r>
        <w:rPr>
          <w:spacing w:val="2"/>
          <w:sz w:val="23"/>
        </w:rPr>
        <w:t> </w:t>
      </w:r>
      <w:r>
        <w:rPr>
          <w:sz w:val="23"/>
        </w:rPr>
        <w:t>del</w:t>
      </w:r>
      <w:r>
        <w:rPr>
          <w:spacing w:val="-1"/>
          <w:sz w:val="23"/>
        </w:rPr>
        <w:t> </w:t>
      </w:r>
      <w:r>
        <w:rPr>
          <w:sz w:val="23"/>
        </w:rPr>
        <w:t>instrumento</w:t>
      </w:r>
      <w:r>
        <w:rPr>
          <w:rFonts w:ascii="Times New Roman"/>
          <w:sz w:val="23"/>
        </w:rPr>
        <w:tab/>
      </w:r>
      <w:r>
        <w:rPr>
          <w:sz w:val="23"/>
        </w:rPr>
        <w:t>85</w:t>
      </w:r>
    </w:p>
    <w:p>
      <w:pPr>
        <w:pStyle w:val="ListParagraph"/>
        <w:numPr>
          <w:ilvl w:val="0"/>
          <w:numId w:val="6"/>
        </w:numPr>
        <w:tabs>
          <w:tab w:pos="467" w:val="left" w:leader="none"/>
          <w:tab w:pos="8717" w:val="right" w:leader="none"/>
        </w:tabs>
        <w:spacing w:line="264" w:lineRule="exact" w:before="0" w:after="0"/>
        <w:ind w:left="466" w:right="0" w:hanging="350"/>
        <w:jc w:val="left"/>
        <w:rPr>
          <w:sz w:val="23"/>
        </w:rPr>
      </w:pPr>
      <w:r>
        <w:rPr>
          <w:sz w:val="23"/>
        </w:rPr>
        <w:t>Matriz de</w:t>
      </w:r>
      <w:r>
        <w:rPr>
          <w:spacing w:val="3"/>
          <w:sz w:val="23"/>
        </w:rPr>
        <w:t> </w:t>
      </w:r>
      <w:r>
        <w:rPr>
          <w:sz w:val="23"/>
        </w:rPr>
        <w:t>componentes</w:t>
      </w:r>
      <w:r>
        <w:rPr>
          <w:spacing w:val="6"/>
          <w:sz w:val="23"/>
        </w:rPr>
        <w:t> </w:t>
      </w:r>
      <w:r>
        <w:rPr>
          <w:sz w:val="23"/>
        </w:rPr>
        <w:t>rotados</w:t>
      </w:r>
      <w:r>
        <w:rPr>
          <w:rFonts w:ascii="Times New Roman"/>
          <w:sz w:val="23"/>
        </w:rPr>
        <w:tab/>
      </w:r>
      <w:r>
        <w:rPr>
          <w:sz w:val="23"/>
        </w:rPr>
        <w:t>87</w:t>
      </w:r>
    </w:p>
    <w:p>
      <w:pPr>
        <w:pStyle w:val="ListParagraph"/>
        <w:numPr>
          <w:ilvl w:val="0"/>
          <w:numId w:val="6"/>
        </w:numPr>
        <w:tabs>
          <w:tab w:pos="467" w:val="left" w:leader="none"/>
          <w:tab w:pos="8717" w:val="right" w:leader="none"/>
        </w:tabs>
        <w:spacing w:line="264" w:lineRule="exact" w:before="9" w:after="0"/>
        <w:ind w:left="466" w:right="0" w:hanging="350"/>
        <w:jc w:val="left"/>
        <w:rPr>
          <w:sz w:val="23"/>
        </w:rPr>
      </w:pPr>
      <w:r>
        <w:rPr>
          <w:sz w:val="23"/>
        </w:rPr>
        <w:t>Correlación</w:t>
      </w:r>
      <w:r>
        <w:rPr>
          <w:spacing w:val="-2"/>
          <w:sz w:val="23"/>
        </w:rPr>
        <w:t> </w:t>
      </w:r>
      <w:r>
        <w:rPr>
          <w:sz w:val="23"/>
        </w:rPr>
        <w:t>de</w:t>
      </w:r>
      <w:r>
        <w:rPr>
          <w:spacing w:val="2"/>
          <w:sz w:val="23"/>
        </w:rPr>
        <w:t> </w:t>
      </w:r>
      <w:r>
        <w:rPr>
          <w:sz w:val="23"/>
        </w:rPr>
        <w:t>Pearson</w:t>
      </w:r>
      <w:r>
        <w:rPr>
          <w:rFonts w:ascii="Times New Roman" w:hAnsi="Times New Roman"/>
          <w:sz w:val="23"/>
        </w:rPr>
        <w:tab/>
      </w:r>
      <w:r>
        <w:rPr>
          <w:sz w:val="23"/>
        </w:rPr>
        <w:t>89</w:t>
      </w:r>
    </w:p>
    <w:p>
      <w:pPr>
        <w:pStyle w:val="ListParagraph"/>
        <w:numPr>
          <w:ilvl w:val="0"/>
          <w:numId w:val="6"/>
        </w:numPr>
        <w:tabs>
          <w:tab w:pos="467" w:val="left" w:leader="none"/>
          <w:tab w:pos="8717" w:val="right" w:leader="none"/>
        </w:tabs>
        <w:spacing w:line="264" w:lineRule="exact" w:before="0" w:after="0"/>
        <w:ind w:left="466" w:right="0" w:hanging="350"/>
        <w:jc w:val="left"/>
        <w:rPr>
          <w:sz w:val="23"/>
        </w:rPr>
      </w:pPr>
      <w:r>
        <w:rPr>
          <w:sz w:val="23"/>
        </w:rPr>
        <w:t>Resumen</w:t>
      </w:r>
      <w:r>
        <w:rPr>
          <w:spacing w:val="-2"/>
          <w:sz w:val="23"/>
        </w:rPr>
        <w:t> </w:t>
      </w:r>
      <w:r>
        <w:rPr>
          <w:sz w:val="23"/>
        </w:rPr>
        <w:t>del</w:t>
      </w:r>
      <w:r>
        <w:rPr>
          <w:spacing w:val="-6"/>
          <w:sz w:val="23"/>
        </w:rPr>
        <w:t> </w:t>
      </w:r>
      <w:r>
        <w:rPr>
          <w:sz w:val="23"/>
        </w:rPr>
        <w:t>modelo</w:t>
      </w:r>
      <w:r>
        <w:rPr>
          <w:rFonts w:ascii="Times New Roman"/>
          <w:sz w:val="23"/>
        </w:rPr>
        <w:tab/>
      </w:r>
      <w:r>
        <w:rPr>
          <w:sz w:val="23"/>
        </w:rPr>
        <w:t>90</w:t>
      </w:r>
    </w:p>
    <w:p>
      <w:pPr>
        <w:pStyle w:val="ListParagraph"/>
        <w:numPr>
          <w:ilvl w:val="0"/>
          <w:numId w:val="6"/>
        </w:numPr>
        <w:tabs>
          <w:tab w:pos="467" w:val="left" w:leader="none"/>
          <w:tab w:pos="8717" w:val="right" w:leader="none"/>
        </w:tabs>
        <w:spacing w:line="264" w:lineRule="exact" w:before="9" w:after="0"/>
        <w:ind w:left="466" w:right="0" w:hanging="350"/>
        <w:jc w:val="left"/>
        <w:rPr>
          <w:sz w:val="23"/>
        </w:rPr>
      </w:pPr>
      <w:r>
        <w:rPr>
          <w:sz w:val="23"/>
        </w:rPr>
        <w:t>Frecuencia de edad de</w:t>
      </w:r>
      <w:r>
        <w:rPr>
          <w:spacing w:val="6"/>
          <w:sz w:val="23"/>
        </w:rPr>
        <w:t> </w:t>
      </w:r>
      <w:r>
        <w:rPr>
          <w:sz w:val="23"/>
        </w:rPr>
        <w:t>los</w:t>
      </w:r>
      <w:r>
        <w:rPr>
          <w:spacing w:val="1"/>
          <w:sz w:val="23"/>
        </w:rPr>
        <w:t> </w:t>
      </w:r>
      <w:r>
        <w:rPr>
          <w:sz w:val="23"/>
        </w:rPr>
        <w:t>visitantes</w:t>
      </w:r>
      <w:r>
        <w:rPr>
          <w:rFonts w:ascii="Times New Roman"/>
          <w:sz w:val="23"/>
        </w:rPr>
        <w:tab/>
      </w:r>
      <w:r>
        <w:rPr>
          <w:sz w:val="23"/>
        </w:rPr>
        <w:t>91</w:t>
      </w:r>
    </w:p>
    <w:p>
      <w:pPr>
        <w:pStyle w:val="ListParagraph"/>
        <w:numPr>
          <w:ilvl w:val="0"/>
          <w:numId w:val="6"/>
        </w:numPr>
        <w:tabs>
          <w:tab w:pos="467" w:val="left" w:leader="none"/>
          <w:tab w:pos="8717" w:val="right" w:leader="none"/>
        </w:tabs>
        <w:spacing w:line="264" w:lineRule="exact" w:before="0" w:after="0"/>
        <w:ind w:left="466" w:right="0" w:hanging="350"/>
        <w:jc w:val="left"/>
        <w:rPr>
          <w:sz w:val="23"/>
        </w:rPr>
      </w:pPr>
      <w:r>
        <w:rPr>
          <w:sz w:val="23"/>
        </w:rPr>
        <w:t>Procedencia de</w:t>
      </w:r>
      <w:r>
        <w:rPr>
          <w:spacing w:val="4"/>
          <w:sz w:val="23"/>
        </w:rPr>
        <w:t> </w:t>
      </w:r>
      <w:r>
        <w:rPr>
          <w:sz w:val="23"/>
        </w:rPr>
        <w:t>los</w:t>
      </w:r>
      <w:r>
        <w:rPr>
          <w:spacing w:val="1"/>
          <w:sz w:val="23"/>
        </w:rPr>
        <w:t> </w:t>
      </w:r>
      <w:r>
        <w:rPr>
          <w:sz w:val="23"/>
        </w:rPr>
        <w:t>visitantes</w:t>
      </w:r>
      <w:r>
        <w:rPr>
          <w:rFonts w:ascii="Times New Roman"/>
          <w:sz w:val="23"/>
        </w:rPr>
        <w:tab/>
      </w:r>
      <w:r>
        <w:rPr>
          <w:sz w:val="23"/>
        </w:rPr>
        <w:t>92</w:t>
      </w:r>
    </w:p>
    <w:p>
      <w:pPr>
        <w:pStyle w:val="ListParagraph"/>
        <w:numPr>
          <w:ilvl w:val="0"/>
          <w:numId w:val="6"/>
        </w:numPr>
        <w:tabs>
          <w:tab w:pos="467" w:val="left" w:leader="none"/>
          <w:tab w:pos="8717" w:val="right" w:leader="none"/>
        </w:tabs>
        <w:spacing w:line="264" w:lineRule="exact" w:before="9" w:after="0"/>
        <w:ind w:left="466" w:right="0" w:hanging="350"/>
        <w:jc w:val="left"/>
        <w:rPr>
          <w:sz w:val="23"/>
        </w:rPr>
      </w:pPr>
      <w:r>
        <w:rPr>
          <w:sz w:val="23"/>
        </w:rPr>
        <w:t>Conocimiento de</w:t>
      </w:r>
      <w:r>
        <w:rPr>
          <w:spacing w:val="4"/>
          <w:sz w:val="23"/>
        </w:rPr>
        <w:t> </w:t>
      </w:r>
      <w:r>
        <w:rPr>
          <w:sz w:val="23"/>
        </w:rPr>
        <w:t>temas</w:t>
      </w:r>
      <w:r>
        <w:rPr>
          <w:spacing w:val="6"/>
          <w:sz w:val="23"/>
        </w:rPr>
        <w:t> </w:t>
      </w:r>
      <w:r>
        <w:rPr>
          <w:sz w:val="23"/>
        </w:rPr>
        <w:t>ambientales</w:t>
      </w:r>
      <w:r>
        <w:rPr>
          <w:rFonts w:ascii="Times New Roman"/>
          <w:sz w:val="23"/>
        </w:rPr>
        <w:tab/>
      </w:r>
      <w:r>
        <w:rPr>
          <w:sz w:val="23"/>
        </w:rPr>
        <w:t>92</w:t>
      </w:r>
    </w:p>
    <w:p>
      <w:pPr>
        <w:pStyle w:val="ListParagraph"/>
        <w:numPr>
          <w:ilvl w:val="0"/>
          <w:numId w:val="6"/>
        </w:numPr>
        <w:tabs>
          <w:tab w:pos="467" w:val="left" w:leader="none"/>
          <w:tab w:pos="8717" w:val="right" w:leader="none"/>
        </w:tabs>
        <w:spacing w:line="264" w:lineRule="exact" w:before="0" w:after="0"/>
        <w:ind w:left="466" w:right="0" w:hanging="350"/>
        <w:jc w:val="left"/>
        <w:rPr>
          <w:sz w:val="23"/>
        </w:rPr>
      </w:pPr>
      <w:r>
        <w:rPr>
          <w:sz w:val="23"/>
        </w:rPr>
        <w:t>Actividades</w:t>
      </w:r>
      <w:r>
        <w:rPr>
          <w:spacing w:val="1"/>
          <w:sz w:val="23"/>
        </w:rPr>
        <w:t> </w:t>
      </w:r>
      <w:r>
        <w:rPr>
          <w:sz w:val="23"/>
        </w:rPr>
        <w:t>ambientales</w:t>
      </w:r>
      <w:r>
        <w:rPr>
          <w:rFonts w:ascii="Times New Roman"/>
          <w:sz w:val="23"/>
        </w:rPr>
        <w:tab/>
      </w:r>
      <w:r>
        <w:rPr>
          <w:sz w:val="23"/>
        </w:rPr>
        <w:t>93</w:t>
      </w:r>
    </w:p>
    <w:p>
      <w:pPr>
        <w:pStyle w:val="ListParagraph"/>
        <w:numPr>
          <w:ilvl w:val="0"/>
          <w:numId w:val="6"/>
        </w:numPr>
        <w:tabs>
          <w:tab w:pos="467" w:val="left" w:leader="none"/>
          <w:tab w:pos="8717" w:val="right" w:leader="none"/>
        </w:tabs>
        <w:spacing w:line="240" w:lineRule="auto" w:before="4" w:after="0"/>
        <w:ind w:left="466" w:right="0" w:hanging="350"/>
        <w:jc w:val="left"/>
        <w:rPr>
          <w:sz w:val="23"/>
        </w:rPr>
      </w:pPr>
      <w:r>
        <w:rPr>
          <w:sz w:val="23"/>
        </w:rPr>
        <w:t>Estrategias de</w:t>
      </w:r>
      <w:r>
        <w:rPr>
          <w:spacing w:val="5"/>
          <w:sz w:val="23"/>
        </w:rPr>
        <w:t> </w:t>
      </w:r>
      <w:r>
        <w:rPr>
          <w:sz w:val="23"/>
        </w:rPr>
        <w:t>acción</w:t>
      </w:r>
      <w:r>
        <w:rPr>
          <w:spacing w:val="-2"/>
          <w:sz w:val="23"/>
        </w:rPr>
        <w:t> </w:t>
      </w:r>
      <w:r>
        <w:rPr>
          <w:sz w:val="23"/>
        </w:rPr>
        <w:t>ambiental</w:t>
      </w:r>
      <w:r>
        <w:rPr>
          <w:rFonts w:ascii="Times New Roman" w:hAnsi="Times New Roman"/>
          <w:sz w:val="23"/>
        </w:rPr>
        <w:tab/>
      </w:r>
      <w:r>
        <w:rPr>
          <w:sz w:val="23"/>
        </w:rPr>
        <w:t>94</w:t>
      </w:r>
    </w:p>
    <w:p>
      <w:pPr>
        <w:pStyle w:val="ListParagraph"/>
        <w:numPr>
          <w:ilvl w:val="0"/>
          <w:numId w:val="6"/>
        </w:numPr>
        <w:tabs>
          <w:tab w:pos="467" w:val="left" w:leader="none"/>
          <w:tab w:pos="8717" w:val="right" w:leader="none"/>
        </w:tabs>
        <w:spacing w:line="240" w:lineRule="auto" w:before="4" w:after="0"/>
        <w:ind w:left="466" w:right="0" w:hanging="350"/>
        <w:jc w:val="left"/>
        <w:rPr>
          <w:sz w:val="23"/>
        </w:rPr>
      </w:pPr>
      <w:r>
        <w:rPr>
          <w:sz w:val="23"/>
        </w:rPr>
        <w:t>Actitud</w:t>
      </w:r>
      <w:r>
        <w:rPr>
          <w:spacing w:val="2"/>
          <w:sz w:val="23"/>
        </w:rPr>
        <w:t> </w:t>
      </w:r>
      <w:r>
        <w:rPr>
          <w:sz w:val="23"/>
        </w:rPr>
        <w:t>ambiental</w:t>
      </w:r>
      <w:r>
        <w:rPr>
          <w:rFonts w:ascii="Times New Roman"/>
          <w:sz w:val="23"/>
        </w:rPr>
        <w:tab/>
      </w:r>
      <w:r>
        <w:rPr>
          <w:sz w:val="23"/>
        </w:rPr>
        <w:t>95</w:t>
      </w:r>
    </w:p>
    <w:p>
      <w:pPr>
        <w:pStyle w:val="BodyText"/>
        <w:spacing w:before="273"/>
        <w:ind w:left="49" w:right="1196"/>
        <w:jc w:val="right"/>
      </w:pPr>
      <w:r>
        <w:rPr/>
        <w:t>Página</w:t>
      </w:r>
    </w:p>
    <w:p>
      <w:pPr>
        <w:pStyle w:val="Heading2"/>
        <w:spacing w:before="4"/>
        <w:ind w:left="2914" w:right="989"/>
        <w:jc w:val="left"/>
      </w:pPr>
      <w:r>
        <w:rPr/>
        <w:t>ÍNDICE DE FIGURAS</w:t>
      </w:r>
    </w:p>
    <w:p>
      <w:pPr>
        <w:pStyle w:val="ListParagraph"/>
        <w:numPr>
          <w:ilvl w:val="0"/>
          <w:numId w:val="7"/>
        </w:numPr>
        <w:tabs>
          <w:tab w:pos="390" w:val="left" w:leader="none"/>
          <w:tab w:pos="8732" w:val="right" w:leader="none"/>
        </w:tabs>
        <w:spacing w:line="240" w:lineRule="auto" w:before="273" w:after="0"/>
        <w:ind w:left="389" w:right="0" w:hanging="273"/>
        <w:jc w:val="left"/>
        <w:rPr>
          <w:sz w:val="23"/>
        </w:rPr>
      </w:pPr>
      <w:r>
        <w:rPr>
          <w:sz w:val="23"/>
        </w:rPr>
        <w:t>Trayectoria de la</w:t>
      </w:r>
      <w:r>
        <w:rPr>
          <w:spacing w:val="14"/>
          <w:sz w:val="23"/>
        </w:rPr>
        <w:t> </w:t>
      </w:r>
      <w:r>
        <w:rPr>
          <w:sz w:val="23"/>
        </w:rPr>
        <w:t>educación</w:t>
      </w:r>
      <w:r>
        <w:rPr>
          <w:spacing w:val="2"/>
          <w:sz w:val="23"/>
        </w:rPr>
        <w:t> </w:t>
      </w:r>
      <w:r>
        <w:rPr>
          <w:sz w:val="23"/>
        </w:rPr>
        <w:t>ambiental.</w:t>
      </w:r>
      <w:r>
        <w:rPr>
          <w:rFonts w:ascii="Times New Roman" w:hAnsi="Times New Roman"/>
          <w:sz w:val="23"/>
        </w:rPr>
        <w:tab/>
      </w:r>
      <w:r>
        <w:rPr>
          <w:sz w:val="23"/>
        </w:rPr>
        <w:t>11</w:t>
      </w:r>
    </w:p>
    <w:p>
      <w:pPr>
        <w:pStyle w:val="ListParagraph"/>
        <w:numPr>
          <w:ilvl w:val="0"/>
          <w:numId w:val="7"/>
        </w:numPr>
        <w:tabs>
          <w:tab w:pos="390" w:val="left" w:leader="none"/>
          <w:tab w:pos="8732" w:val="right" w:leader="none"/>
        </w:tabs>
        <w:spacing w:line="240" w:lineRule="auto" w:before="4" w:after="0"/>
        <w:ind w:left="389" w:right="0" w:hanging="273"/>
        <w:jc w:val="left"/>
        <w:rPr>
          <w:sz w:val="23"/>
        </w:rPr>
      </w:pPr>
      <w:r>
        <w:rPr>
          <w:sz w:val="23"/>
        </w:rPr>
        <w:t>Dimensiones </w:t>
      </w:r>
      <w:r>
        <w:rPr>
          <w:spacing w:val="-3"/>
          <w:sz w:val="23"/>
        </w:rPr>
        <w:t>de </w:t>
      </w:r>
      <w:r>
        <w:rPr>
          <w:sz w:val="23"/>
        </w:rPr>
        <w:t>la educación ambiental para</w:t>
      </w:r>
      <w:r>
        <w:rPr>
          <w:spacing w:val="30"/>
          <w:sz w:val="23"/>
        </w:rPr>
        <w:t> </w:t>
      </w:r>
      <w:r>
        <w:rPr>
          <w:sz w:val="23"/>
        </w:rPr>
        <w:t>la</w:t>
      </w:r>
      <w:r>
        <w:rPr>
          <w:spacing w:val="3"/>
          <w:sz w:val="23"/>
        </w:rPr>
        <w:t> </w:t>
      </w:r>
      <w:r>
        <w:rPr>
          <w:sz w:val="23"/>
        </w:rPr>
        <w:t>sustentabilidad</w:t>
      </w:r>
      <w:r>
        <w:rPr>
          <w:rFonts w:ascii="Times New Roman" w:hAnsi="Times New Roman"/>
          <w:sz w:val="23"/>
        </w:rPr>
        <w:tab/>
      </w:r>
      <w:r>
        <w:rPr>
          <w:sz w:val="23"/>
        </w:rPr>
        <w:t>12</w:t>
      </w:r>
    </w:p>
    <w:p>
      <w:pPr>
        <w:pStyle w:val="ListParagraph"/>
        <w:numPr>
          <w:ilvl w:val="0"/>
          <w:numId w:val="7"/>
        </w:numPr>
        <w:tabs>
          <w:tab w:pos="390" w:val="left" w:leader="none"/>
          <w:tab w:pos="8746" w:val="right" w:leader="none"/>
        </w:tabs>
        <w:spacing w:line="240" w:lineRule="auto" w:before="4" w:after="0"/>
        <w:ind w:left="389" w:right="0" w:hanging="273"/>
        <w:jc w:val="left"/>
        <w:rPr>
          <w:sz w:val="23"/>
        </w:rPr>
      </w:pPr>
      <w:r>
        <w:rPr>
          <w:sz w:val="23"/>
        </w:rPr>
        <w:t>Campos de acción de </w:t>
      </w:r>
      <w:r>
        <w:rPr>
          <w:spacing w:val="-5"/>
          <w:sz w:val="23"/>
        </w:rPr>
        <w:t>la</w:t>
      </w:r>
      <w:r>
        <w:rPr>
          <w:spacing w:val="16"/>
          <w:sz w:val="23"/>
        </w:rPr>
        <w:t> </w:t>
      </w:r>
      <w:r>
        <w:rPr>
          <w:sz w:val="23"/>
        </w:rPr>
        <w:t>psicología</w:t>
      </w:r>
      <w:r>
        <w:rPr>
          <w:spacing w:val="2"/>
          <w:sz w:val="23"/>
        </w:rPr>
        <w:t> </w:t>
      </w:r>
      <w:r>
        <w:rPr>
          <w:sz w:val="23"/>
        </w:rPr>
        <w:t>ambiental</w:t>
      </w:r>
      <w:r>
        <w:rPr>
          <w:rFonts w:ascii="Times New Roman" w:hAnsi="Times New Roman"/>
          <w:sz w:val="23"/>
        </w:rPr>
        <w:tab/>
      </w:r>
      <w:r>
        <w:rPr>
          <w:sz w:val="23"/>
        </w:rPr>
        <w:t>17</w:t>
      </w:r>
    </w:p>
    <w:p>
      <w:pPr>
        <w:pStyle w:val="ListParagraph"/>
        <w:numPr>
          <w:ilvl w:val="0"/>
          <w:numId w:val="7"/>
        </w:numPr>
        <w:tabs>
          <w:tab w:pos="390" w:val="left" w:leader="none"/>
          <w:tab w:pos="8746" w:val="right" w:leader="none"/>
        </w:tabs>
        <w:spacing w:line="240" w:lineRule="auto" w:before="4" w:after="0"/>
        <w:ind w:left="389" w:right="0" w:hanging="273"/>
        <w:jc w:val="left"/>
        <w:rPr>
          <w:sz w:val="23"/>
        </w:rPr>
      </w:pPr>
      <w:r>
        <w:rPr>
          <w:sz w:val="23"/>
        </w:rPr>
        <w:t>Modelo de</w:t>
      </w:r>
      <w:r>
        <w:rPr>
          <w:spacing w:val="-4"/>
          <w:sz w:val="23"/>
        </w:rPr>
        <w:t> </w:t>
      </w:r>
      <w:r>
        <w:rPr>
          <w:sz w:val="23"/>
        </w:rPr>
        <w:t>conducta</w:t>
      </w:r>
      <w:r>
        <w:rPr>
          <w:spacing w:val="2"/>
          <w:sz w:val="23"/>
        </w:rPr>
        <w:t> </w:t>
      </w:r>
      <w:r>
        <w:rPr>
          <w:sz w:val="23"/>
        </w:rPr>
        <w:t>ecológica</w:t>
      </w:r>
      <w:r>
        <w:rPr>
          <w:rFonts w:ascii="Times New Roman" w:hAnsi="Times New Roman"/>
          <w:sz w:val="23"/>
        </w:rPr>
        <w:tab/>
      </w:r>
      <w:r>
        <w:rPr>
          <w:sz w:val="23"/>
        </w:rPr>
        <w:t>30</w:t>
      </w:r>
    </w:p>
    <w:p>
      <w:pPr>
        <w:pStyle w:val="ListParagraph"/>
        <w:numPr>
          <w:ilvl w:val="0"/>
          <w:numId w:val="7"/>
        </w:numPr>
        <w:tabs>
          <w:tab w:pos="390" w:val="left" w:leader="none"/>
          <w:tab w:pos="8746" w:val="right" w:leader="none"/>
        </w:tabs>
        <w:spacing w:line="240" w:lineRule="auto" w:before="4" w:after="0"/>
        <w:ind w:left="389" w:right="0" w:hanging="273"/>
        <w:jc w:val="left"/>
        <w:rPr>
          <w:sz w:val="23"/>
        </w:rPr>
      </w:pPr>
      <w:r>
        <w:rPr>
          <w:sz w:val="23"/>
        </w:rPr>
        <w:t>Modelo de</w:t>
      </w:r>
      <w:r>
        <w:rPr>
          <w:spacing w:val="-4"/>
          <w:sz w:val="23"/>
        </w:rPr>
        <w:t> </w:t>
      </w:r>
      <w:r>
        <w:rPr>
          <w:sz w:val="23"/>
        </w:rPr>
        <w:t>conducta</w:t>
      </w:r>
      <w:r>
        <w:rPr>
          <w:spacing w:val="2"/>
          <w:sz w:val="23"/>
        </w:rPr>
        <w:t> </w:t>
      </w:r>
      <w:r>
        <w:rPr>
          <w:sz w:val="23"/>
        </w:rPr>
        <w:t>medioambiental</w:t>
      </w:r>
      <w:r>
        <w:rPr>
          <w:rFonts w:ascii="Times New Roman"/>
          <w:sz w:val="23"/>
        </w:rPr>
        <w:tab/>
      </w:r>
      <w:r>
        <w:rPr>
          <w:sz w:val="23"/>
        </w:rPr>
        <w:t>31</w:t>
      </w:r>
    </w:p>
    <w:p>
      <w:pPr>
        <w:pStyle w:val="ListParagraph"/>
        <w:numPr>
          <w:ilvl w:val="0"/>
          <w:numId w:val="7"/>
        </w:numPr>
        <w:tabs>
          <w:tab w:pos="390" w:val="left" w:leader="none"/>
          <w:tab w:pos="8746" w:val="right" w:leader="none"/>
        </w:tabs>
        <w:spacing w:line="264" w:lineRule="exact" w:before="4" w:after="0"/>
        <w:ind w:left="389" w:right="0" w:hanging="273"/>
        <w:jc w:val="left"/>
        <w:rPr>
          <w:sz w:val="23"/>
        </w:rPr>
      </w:pPr>
      <w:r>
        <w:rPr>
          <w:sz w:val="23"/>
        </w:rPr>
        <w:t>Modelo</w:t>
      </w:r>
      <w:r>
        <w:rPr>
          <w:spacing w:val="2"/>
          <w:sz w:val="23"/>
        </w:rPr>
        <w:t> </w:t>
      </w:r>
      <w:r>
        <w:rPr>
          <w:sz w:val="23"/>
        </w:rPr>
        <w:t>de</w:t>
      </w:r>
      <w:r>
        <w:rPr>
          <w:spacing w:val="-2"/>
          <w:sz w:val="23"/>
        </w:rPr>
        <w:t> </w:t>
      </w:r>
      <w:r>
        <w:rPr>
          <w:sz w:val="23"/>
        </w:rPr>
        <w:t>Geller</w:t>
      </w:r>
      <w:r>
        <w:rPr>
          <w:rFonts w:ascii="Times New Roman"/>
          <w:sz w:val="23"/>
        </w:rPr>
        <w:tab/>
      </w:r>
      <w:r>
        <w:rPr>
          <w:sz w:val="23"/>
        </w:rPr>
        <w:t>33</w:t>
      </w:r>
    </w:p>
    <w:p>
      <w:pPr>
        <w:pStyle w:val="ListParagraph"/>
        <w:numPr>
          <w:ilvl w:val="0"/>
          <w:numId w:val="7"/>
        </w:numPr>
        <w:tabs>
          <w:tab w:pos="390" w:val="left" w:leader="none"/>
          <w:tab w:pos="8746" w:val="right" w:leader="none"/>
        </w:tabs>
        <w:spacing w:line="264" w:lineRule="exact" w:before="0" w:after="0"/>
        <w:ind w:left="389" w:right="0" w:hanging="273"/>
        <w:jc w:val="left"/>
        <w:rPr>
          <w:sz w:val="23"/>
        </w:rPr>
      </w:pPr>
      <w:r>
        <w:rPr>
          <w:sz w:val="23"/>
        </w:rPr>
        <w:t>Modelo</w:t>
      </w:r>
      <w:r>
        <w:rPr>
          <w:spacing w:val="2"/>
          <w:sz w:val="23"/>
        </w:rPr>
        <w:t> </w:t>
      </w:r>
      <w:r>
        <w:rPr>
          <w:sz w:val="23"/>
        </w:rPr>
        <w:t>de</w:t>
      </w:r>
      <w:r>
        <w:rPr>
          <w:spacing w:val="-2"/>
          <w:sz w:val="23"/>
        </w:rPr>
        <w:t> </w:t>
      </w:r>
      <w:r>
        <w:rPr>
          <w:sz w:val="23"/>
        </w:rPr>
        <w:t>Constanzo</w:t>
      </w:r>
      <w:r>
        <w:rPr>
          <w:rFonts w:ascii="Times New Roman"/>
          <w:sz w:val="23"/>
        </w:rPr>
        <w:tab/>
      </w:r>
      <w:r>
        <w:rPr>
          <w:sz w:val="23"/>
        </w:rPr>
        <w:t>34</w:t>
      </w:r>
    </w:p>
    <w:p>
      <w:pPr>
        <w:pStyle w:val="ListParagraph"/>
        <w:numPr>
          <w:ilvl w:val="0"/>
          <w:numId w:val="7"/>
        </w:numPr>
        <w:tabs>
          <w:tab w:pos="390" w:val="left" w:leader="none"/>
        </w:tabs>
        <w:spacing w:line="264" w:lineRule="exact" w:before="9" w:after="0"/>
        <w:ind w:left="389" w:right="0" w:hanging="273"/>
        <w:jc w:val="left"/>
        <w:rPr>
          <w:sz w:val="23"/>
        </w:rPr>
      </w:pPr>
      <w:r>
        <w:rPr>
          <w:sz w:val="23"/>
        </w:rPr>
        <w:t>Modelo esquemático de los procesos de cambio normativo en  </w:t>
      </w:r>
      <w:r>
        <w:rPr>
          <w:spacing w:val="52"/>
          <w:sz w:val="23"/>
        </w:rPr>
        <w:t> </w:t>
      </w:r>
      <w:r>
        <w:rPr>
          <w:sz w:val="23"/>
        </w:rPr>
        <w:t>individuos</w:t>
      </w:r>
    </w:p>
    <w:p>
      <w:pPr>
        <w:pStyle w:val="BodyText"/>
        <w:tabs>
          <w:tab w:pos="8746" w:val="right" w:leader="none"/>
        </w:tabs>
        <w:spacing w:line="264" w:lineRule="exact"/>
        <w:ind w:left="389"/>
      </w:pPr>
      <w:r>
        <w:rPr/>
        <w:t>y</w:t>
      </w:r>
      <w:r>
        <w:rPr>
          <w:spacing w:val="-4"/>
        </w:rPr>
        <w:t> </w:t>
      </w:r>
      <w:r>
        <w:rPr/>
        <w:t>sociedad</w:t>
      </w:r>
      <w:r>
        <w:rPr>
          <w:rFonts w:ascii="Times New Roman"/>
        </w:rPr>
        <w:tab/>
      </w:r>
      <w:r>
        <w:rPr/>
        <w:t>35</w:t>
      </w:r>
    </w:p>
    <w:p>
      <w:pPr>
        <w:pStyle w:val="ListParagraph"/>
        <w:numPr>
          <w:ilvl w:val="0"/>
          <w:numId w:val="7"/>
        </w:numPr>
        <w:tabs>
          <w:tab w:pos="390" w:val="left" w:leader="none"/>
          <w:tab w:pos="8746" w:val="right" w:leader="none"/>
        </w:tabs>
        <w:spacing w:line="240" w:lineRule="auto" w:before="4" w:after="0"/>
        <w:ind w:left="389" w:right="0" w:hanging="273"/>
        <w:jc w:val="left"/>
        <w:rPr>
          <w:sz w:val="23"/>
        </w:rPr>
      </w:pPr>
      <w:r>
        <w:rPr>
          <w:sz w:val="23"/>
        </w:rPr>
        <w:t>Modelo causal de preocupación</w:t>
      </w:r>
      <w:r>
        <w:rPr>
          <w:spacing w:val="2"/>
          <w:sz w:val="23"/>
        </w:rPr>
        <w:t> </w:t>
      </w:r>
      <w:r>
        <w:rPr>
          <w:sz w:val="23"/>
        </w:rPr>
        <w:t>ambiental</w:t>
      </w:r>
      <w:r>
        <w:rPr>
          <w:rFonts w:ascii="Times New Roman" w:hAnsi="Times New Roman"/>
          <w:sz w:val="23"/>
        </w:rPr>
        <w:tab/>
      </w:r>
      <w:r>
        <w:rPr>
          <w:sz w:val="23"/>
        </w:rPr>
        <w:t>36</w:t>
      </w:r>
    </w:p>
    <w:p>
      <w:pPr>
        <w:pStyle w:val="ListParagraph"/>
        <w:numPr>
          <w:ilvl w:val="0"/>
          <w:numId w:val="7"/>
        </w:numPr>
        <w:tabs>
          <w:tab w:pos="529" w:val="left" w:leader="none"/>
          <w:tab w:pos="8746" w:val="right" w:leader="none"/>
        </w:tabs>
        <w:spacing w:line="240" w:lineRule="auto" w:before="4" w:after="0"/>
        <w:ind w:left="528" w:right="0" w:hanging="412"/>
        <w:jc w:val="left"/>
        <w:rPr>
          <w:sz w:val="23"/>
        </w:rPr>
      </w:pPr>
      <w:r>
        <w:rPr>
          <w:sz w:val="23"/>
        </w:rPr>
        <w:t>Modelo</w:t>
      </w:r>
      <w:r>
        <w:rPr>
          <w:spacing w:val="-2"/>
          <w:sz w:val="23"/>
        </w:rPr>
        <w:t> </w:t>
      </w:r>
      <w:r>
        <w:rPr>
          <w:sz w:val="23"/>
        </w:rPr>
        <w:t>de</w:t>
      </w:r>
      <w:r>
        <w:rPr>
          <w:spacing w:val="2"/>
          <w:sz w:val="23"/>
        </w:rPr>
        <w:t> </w:t>
      </w:r>
      <w:r>
        <w:rPr>
          <w:sz w:val="23"/>
        </w:rPr>
        <w:t>Aguirre</w:t>
      </w:r>
      <w:r>
        <w:rPr>
          <w:rFonts w:ascii="Times New Roman"/>
          <w:sz w:val="23"/>
        </w:rPr>
        <w:tab/>
      </w:r>
      <w:r>
        <w:rPr>
          <w:sz w:val="23"/>
        </w:rPr>
        <w:t>37</w:t>
      </w:r>
    </w:p>
    <w:p>
      <w:pPr>
        <w:spacing w:after="0" w:line="240" w:lineRule="auto"/>
        <w:jc w:val="left"/>
        <w:rPr>
          <w:sz w:val="23"/>
        </w:rPr>
        <w:sectPr>
          <w:type w:val="continuous"/>
          <w:pgSz w:w="11910" w:h="16840"/>
          <w:pgMar w:top="1460" w:bottom="280" w:left="1540" w:right="200"/>
        </w:sectPr>
      </w:pPr>
    </w:p>
    <w:p>
      <w:pPr>
        <w:pStyle w:val="BodyText"/>
        <w:rPr>
          <w:sz w:val="22"/>
        </w:rPr>
      </w:pPr>
    </w:p>
    <w:p>
      <w:pPr>
        <w:pStyle w:val="BodyText"/>
        <w:spacing w:before="3"/>
        <w:rPr>
          <w:sz w:val="22"/>
        </w:rPr>
      </w:pPr>
    </w:p>
    <w:p>
      <w:pPr>
        <w:pStyle w:val="Heading2"/>
        <w:spacing w:before="0"/>
        <w:ind w:left="0" w:right="787"/>
        <w:jc w:val="center"/>
      </w:pPr>
      <w:r>
        <w:rPr/>
        <w:t>INTRODUCCIÓN</w:t>
      </w:r>
    </w:p>
    <w:p>
      <w:pPr>
        <w:pStyle w:val="BodyText"/>
        <w:rPr>
          <w:b/>
          <w:sz w:val="22"/>
        </w:rPr>
      </w:pPr>
    </w:p>
    <w:p>
      <w:pPr>
        <w:pStyle w:val="BodyText"/>
        <w:spacing w:line="364" w:lineRule="auto" w:before="1"/>
        <w:ind w:left="116" w:right="892"/>
        <w:jc w:val="both"/>
      </w:pPr>
      <w:r>
        <w:rPr/>
        <w:t>El sector turístico </w:t>
      </w:r>
      <w:r>
        <w:rPr>
          <w:spacing w:val="-3"/>
        </w:rPr>
        <w:t>es </w:t>
      </w:r>
      <w:r>
        <w:rPr/>
        <w:t>una de las principales actividades económicas, que mueve en todo  el mundo a millones de turistas y miles de millones de dólares. En  el primer semestre  del año 2015, los destinos turísticos en </w:t>
      </w:r>
      <w:r>
        <w:rPr>
          <w:spacing w:val="-3"/>
        </w:rPr>
        <w:t>todo </w:t>
      </w:r>
      <w:r>
        <w:rPr/>
        <w:t>el mundo, registraron 538 millones  de turistas, </w:t>
      </w:r>
      <w:r>
        <w:rPr>
          <w:spacing w:val="-3"/>
        </w:rPr>
        <w:t>es </w:t>
      </w:r>
      <w:r>
        <w:rPr/>
        <w:t>decir, un aumento del 4 % en el flujo de turistas </w:t>
      </w:r>
      <w:r>
        <w:rPr>
          <w:spacing w:val="2"/>
        </w:rPr>
        <w:t>con </w:t>
      </w:r>
      <w:r>
        <w:rPr/>
        <w:t>21 millones más que en  el mismo periodo del 2014 (OMT, 2015). No obstante, los impactos negativos sociales y ambientales del turismo hoy en día son motivo de evaluación; cada vez es </w:t>
      </w:r>
      <w:r>
        <w:rPr>
          <w:spacing w:val="-3"/>
        </w:rPr>
        <w:t>mayor </w:t>
      </w:r>
      <w:r>
        <w:rPr>
          <w:spacing w:val="4"/>
        </w:rPr>
        <w:t>el </w:t>
      </w:r>
      <w:r>
        <w:rPr/>
        <w:t>número de organizaciones sociales que exigen a los líderes del sector turístico -y  también a los propios turistas- que adopten </w:t>
      </w:r>
      <w:r>
        <w:rPr>
          <w:spacing w:val="-3"/>
        </w:rPr>
        <w:t>una </w:t>
      </w:r>
      <w:r>
        <w:rPr/>
        <w:t>actitud más </w:t>
      </w:r>
      <w:r>
        <w:rPr>
          <w:spacing w:val="29"/>
        </w:rPr>
        <w:t> </w:t>
      </w:r>
      <w:r>
        <w:rPr/>
        <w:t>responsable.</w:t>
      </w:r>
    </w:p>
    <w:p>
      <w:pPr>
        <w:pStyle w:val="BodyText"/>
        <w:spacing w:line="364" w:lineRule="auto" w:before="120"/>
        <w:ind w:left="116" w:right="895"/>
        <w:jc w:val="both"/>
      </w:pPr>
      <w:r>
        <w:rPr/>
        <w:t>En este sentido el turismo se ha mostrado especialmente violento con el ambiente al urbanizar zonas naturales modificando el paisaje, ha habido un consumo excesivo del agua, problemas relacionados con el tratamiento de basura, contaminación del aire por residuos líquidos, gaseosos y destrucción de monumentos históricos, todo ello con la finalidad de favorecer actividades de ocio.</w:t>
      </w:r>
    </w:p>
    <w:p>
      <w:pPr>
        <w:pStyle w:val="BodyText"/>
        <w:spacing w:line="367" w:lineRule="auto" w:before="120"/>
        <w:ind w:left="115" w:right="892"/>
        <w:jc w:val="both"/>
      </w:pPr>
      <w:r>
        <w:rPr>
          <w:spacing w:val="-3"/>
        </w:rPr>
        <w:t>Sin </w:t>
      </w:r>
      <w:r>
        <w:rPr/>
        <w:t>embargo, en las últimas décadas se </w:t>
      </w:r>
      <w:r>
        <w:rPr>
          <w:spacing w:val="-3"/>
        </w:rPr>
        <w:t>ha </w:t>
      </w:r>
      <w:r>
        <w:rPr/>
        <w:t>observado un importante cambio  en la  actitud y en el comportamiento del visitante de un destino turístico </w:t>
      </w:r>
      <w:r>
        <w:rPr>
          <w:spacing w:val="2"/>
        </w:rPr>
        <w:t>con </w:t>
      </w:r>
      <w:r>
        <w:rPr/>
        <w:t>respecto al ambiente. Así, existen turistas que están muy preocupados por los problemas ambienta- les, sobre todo, por </w:t>
      </w:r>
      <w:r>
        <w:rPr>
          <w:spacing w:val="-5"/>
        </w:rPr>
        <w:t>la </w:t>
      </w:r>
      <w:r>
        <w:rPr/>
        <w:t>contaminación, destrucción y extinción de los paisajes naturales.   A esto </w:t>
      </w:r>
      <w:r>
        <w:rPr>
          <w:spacing w:val="3"/>
        </w:rPr>
        <w:t>se </w:t>
      </w:r>
      <w:r>
        <w:rPr/>
        <w:t>le añade el hecho de </w:t>
      </w:r>
      <w:r>
        <w:rPr>
          <w:spacing w:val="-3"/>
        </w:rPr>
        <w:t>que </w:t>
      </w:r>
      <w:r>
        <w:rPr/>
        <w:t>además, estarían dispuestos a pagar </w:t>
      </w:r>
      <w:r>
        <w:rPr>
          <w:spacing w:val="-3"/>
        </w:rPr>
        <w:t>más </w:t>
      </w:r>
      <w:r>
        <w:rPr/>
        <w:t>por </w:t>
      </w:r>
      <w:r>
        <w:rPr>
          <w:spacing w:val="-3"/>
        </w:rPr>
        <w:t>un </w:t>
      </w:r>
      <w:r>
        <w:rPr/>
        <w:t>producto si con </w:t>
      </w:r>
      <w:r>
        <w:rPr>
          <w:spacing w:val="-3"/>
        </w:rPr>
        <w:t>ello </w:t>
      </w:r>
      <w:r>
        <w:rPr>
          <w:spacing w:val="3"/>
        </w:rPr>
        <w:t>se </w:t>
      </w:r>
      <w:r>
        <w:rPr/>
        <w:t>protegiese al ambiente, e incluso tratarían de que </w:t>
      </w:r>
      <w:r>
        <w:rPr>
          <w:spacing w:val="3"/>
        </w:rPr>
        <w:t>se </w:t>
      </w:r>
      <w:r>
        <w:rPr/>
        <w:t>prohibiese    </w:t>
      </w:r>
      <w:r>
        <w:rPr>
          <w:spacing w:val="-5"/>
        </w:rPr>
        <w:t>la </w:t>
      </w:r>
      <w:r>
        <w:rPr/>
        <w:t>venta de productos por razones ambientales (Fundación Entorno, </w:t>
      </w:r>
      <w:r>
        <w:rPr>
          <w:spacing w:val="32"/>
        </w:rPr>
        <w:t> </w:t>
      </w:r>
      <w:r>
        <w:rPr/>
        <w:t>2011).</w:t>
      </w:r>
    </w:p>
    <w:p>
      <w:pPr>
        <w:pStyle w:val="BodyText"/>
        <w:spacing w:line="364" w:lineRule="auto" w:before="117"/>
        <w:ind w:left="116" w:right="893"/>
        <w:jc w:val="both"/>
      </w:pPr>
      <w:r>
        <w:rPr/>
        <w:t>Por otro lado, la temática ambiental ha sido objeto de interés creciente  y  la  preocupación por la degradación del ambiente se ha convertido en un problema central. Aunque Lomborg (2001) afirme que los problemas  relacionados  con esa temática no  son tan graves como los que divulgan los organismos que se dedican a ese tipo de estudios y que las personas tienen tendencia a una visión negativa y catastrófica sobre   </w:t>
      </w:r>
      <w:r>
        <w:rPr>
          <w:spacing w:val="-5"/>
        </w:rPr>
        <w:t>la </w:t>
      </w:r>
      <w:r>
        <w:rPr/>
        <w:t>cuestión ambiental, es innegable que la relación entre el hombre y el  ambiente necesita cambiar. En particular, la acción del hombre sobre </w:t>
      </w:r>
      <w:r>
        <w:rPr>
          <w:spacing w:val="-5"/>
        </w:rPr>
        <w:t>la </w:t>
      </w:r>
      <w:r>
        <w:rPr/>
        <w:t>naturaleza, incluyendo la forma de utilización de los recursos naturales y </w:t>
      </w:r>
      <w:r>
        <w:rPr>
          <w:spacing w:val="-5"/>
        </w:rPr>
        <w:t>la </w:t>
      </w:r>
      <w:r>
        <w:rPr/>
        <w:t>gestión de estos recursos  –  renovables o no-, necesita ciertas</w:t>
      </w:r>
      <w:r>
        <w:rPr>
          <w:spacing w:val="49"/>
        </w:rPr>
        <w:t> </w:t>
      </w:r>
      <w:r>
        <w:rPr/>
        <w:t>mejoras.</w:t>
      </w:r>
    </w:p>
    <w:p>
      <w:pPr>
        <w:spacing w:after="0" w:line="364" w:lineRule="auto"/>
        <w:jc w:val="both"/>
        <w:sectPr>
          <w:footerReference w:type="default" r:id="rId10"/>
          <w:pgSz w:w="11910" w:h="16840"/>
          <w:pgMar w:footer="1715" w:header="1066" w:top="1460" w:bottom="1900" w:left="1540" w:right="200"/>
          <w:pgNumType w:start="1"/>
        </w:sectPr>
      </w:pPr>
    </w:p>
    <w:p>
      <w:pPr>
        <w:pStyle w:val="BodyText"/>
        <w:rPr>
          <w:sz w:val="20"/>
        </w:rPr>
      </w:pPr>
    </w:p>
    <w:p>
      <w:pPr>
        <w:pStyle w:val="BodyText"/>
        <w:spacing w:before="10"/>
        <w:rPr>
          <w:sz w:val="17"/>
        </w:rPr>
      </w:pPr>
    </w:p>
    <w:p>
      <w:pPr>
        <w:pStyle w:val="BodyText"/>
        <w:spacing w:line="364" w:lineRule="auto" w:before="74"/>
        <w:ind w:left="115" w:right="895"/>
        <w:jc w:val="both"/>
      </w:pPr>
      <w:r>
        <w:rPr/>
        <w:t>Por otro lado, la intervención del turismo en las Áreas Naturales Protegidas, específicamente en los Parques Nacionales, está marcando una pauta para la sensibilización de los visitantes con respecto a las riquezas naturales. Sin embargo  desde el planteamiento de un desarrollo sustentable, el medio se va adoptando la idea  de que el ser humano </w:t>
      </w:r>
      <w:r>
        <w:rPr>
          <w:spacing w:val="-3"/>
        </w:rPr>
        <w:t>es </w:t>
      </w:r>
      <w:r>
        <w:rPr/>
        <w:t>uno </w:t>
      </w:r>
      <w:r>
        <w:rPr>
          <w:spacing w:val="-3"/>
        </w:rPr>
        <w:t>de </w:t>
      </w:r>
      <w:r>
        <w:rPr/>
        <w:t>los principales  responsables de los cambios  </w:t>
      </w:r>
      <w:r>
        <w:rPr>
          <w:spacing w:val="-3"/>
        </w:rPr>
        <w:t>que </w:t>
      </w:r>
      <w:r>
        <w:rPr/>
        <w:t>se  van produciendo en el entorno. Como apunta Corraliza (1997; 2001), no se trata de problemas ambientales, sino de un “problema de la humanidad”, porque con su comportamiento agrava el deterioro del ambiente, o bien, por los efectos negativos </w:t>
      </w:r>
      <w:r>
        <w:rPr>
          <w:spacing w:val="-3"/>
        </w:rPr>
        <w:t>que </w:t>
      </w:r>
      <w:r>
        <w:rPr/>
        <w:t>en consecuencia </w:t>
      </w:r>
      <w:r>
        <w:rPr>
          <w:spacing w:val="3"/>
        </w:rPr>
        <w:t>se </w:t>
      </w:r>
      <w:r>
        <w:rPr/>
        <w:t>producen sobre la vida </w:t>
      </w:r>
      <w:r>
        <w:rPr>
          <w:spacing w:val="-3"/>
        </w:rPr>
        <w:t>de </w:t>
      </w:r>
      <w:r>
        <w:rPr/>
        <w:t>las </w:t>
      </w:r>
      <w:r>
        <w:rPr>
          <w:spacing w:val="4"/>
        </w:rPr>
        <w:t> </w:t>
      </w:r>
      <w:r>
        <w:rPr/>
        <w:t>personas.</w:t>
      </w:r>
    </w:p>
    <w:p>
      <w:pPr>
        <w:pStyle w:val="BodyText"/>
        <w:spacing w:line="364" w:lineRule="auto" w:before="120"/>
        <w:ind w:left="116" w:right="897"/>
        <w:jc w:val="both"/>
      </w:pPr>
      <w:r>
        <w:rPr/>
        <w:t>En esta misma línea, Oskamp señala “que los problemas ambientales están causados por el comportamiento humano </w:t>
      </w:r>
      <w:r>
        <w:rPr>
          <w:spacing w:val="-4"/>
        </w:rPr>
        <w:t>y, </w:t>
      </w:r>
      <w:r>
        <w:rPr/>
        <w:t>sin duda, influirán sobre él” (Oskamp, 2000: 501). La percepción por parte del hombre de las consecuencias negativas que para su salud y bienestar tiene </w:t>
      </w:r>
      <w:r>
        <w:rPr>
          <w:spacing w:val="3"/>
        </w:rPr>
        <w:t>su </w:t>
      </w:r>
      <w:r>
        <w:rPr/>
        <w:t>propio comportamiento con relación al ambiente, es cada vez más, llevándolo a adquirir esa conciencia ambiental, entendida como un conjunto de valores, actitudes, creencias y normas que tienen como objeto de atención el ambiente en su conjunto o en aspectos particulares (Corraliza,</w:t>
      </w:r>
      <w:r>
        <w:rPr>
          <w:spacing w:val="57"/>
        </w:rPr>
        <w:t> </w:t>
      </w:r>
      <w:r>
        <w:rPr/>
        <w:t>2001).</w:t>
      </w:r>
    </w:p>
    <w:p>
      <w:pPr>
        <w:pStyle w:val="BodyText"/>
        <w:spacing w:line="364" w:lineRule="auto" w:before="125"/>
        <w:ind w:left="115" w:right="891"/>
        <w:jc w:val="both"/>
      </w:pPr>
      <w:r>
        <w:rPr/>
        <w:t>Ante esta situación se plantea la urgencia de analizar el comportamiento del turista en   las Áreas Naturales Protegidas, a fin de comprender la naturaleza de los problemas ambientales, poder analizar sus causas y comprender las consecuencias que pueden acarrear para las personas y analizar la necesidad </w:t>
      </w:r>
      <w:r>
        <w:rPr>
          <w:spacing w:val="-3"/>
        </w:rPr>
        <w:t>de </w:t>
      </w:r>
      <w:r>
        <w:rPr/>
        <w:t>contemplar la relación entre la conducta y el ambiente, pero sobre todo la forma en que </w:t>
      </w:r>
      <w:r>
        <w:rPr>
          <w:spacing w:val="-5"/>
        </w:rPr>
        <w:t>la </w:t>
      </w:r>
      <w:r>
        <w:rPr/>
        <w:t>actividad turística en los Parques Nacionales puede incidir en la  generación  de  comportamientos proambientales, pues como ya se ha mencionado la actividad turística depende </w:t>
      </w:r>
      <w:r>
        <w:rPr>
          <w:spacing w:val="-3"/>
        </w:rPr>
        <w:t>en </w:t>
      </w:r>
      <w:r>
        <w:rPr/>
        <w:t>su mayoría de los recursos que la naturaleza aporta como atractivo al hombre  y  la  situación ambiental que </w:t>
      </w:r>
      <w:r>
        <w:rPr>
          <w:spacing w:val="3"/>
        </w:rPr>
        <w:t>se </w:t>
      </w:r>
      <w:r>
        <w:rPr/>
        <w:t>está viviendo actualmente, es una señal de alarma que enuncia su fragilidad. Muestra de ello es el Parque Nacional Desierto de los Leones, el primer Parque Nacional de México, decretado el 15 de noviembre </w:t>
      </w:r>
      <w:r>
        <w:rPr>
          <w:spacing w:val="3"/>
        </w:rPr>
        <w:t>de </w:t>
      </w:r>
      <w:r>
        <w:rPr/>
        <w:t>1917 por el presidente Venustiano Carranza, denominado actualmente  “Parque  Recreativo  y Cultural Desierto de los Leones”, el cual está manifestando actualmente señales de su fragilidad.</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1"/>
        <w:jc w:val="both"/>
      </w:pPr>
      <w:r>
        <w:rPr/>
        <w:t>Con una extensión aproximada de 1500 hectáreas, recibe cerca de 33 mil visitantes al año, es una maravillosa zona boscosa con cerros, barrancas y manantiales que abastecen de agua a la zona poniente del Distrito Federal, por lo que su importancia ambiental como pulmón de la ciudad de México es vital, dada la situación de contaminación que prevalece en dicho lugar.</w:t>
      </w:r>
    </w:p>
    <w:p>
      <w:pPr>
        <w:pStyle w:val="BodyText"/>
        <w:spacing w:line="367" w:lineRule="auto" w:before="120"/>
        <w:ind w:left="115" w:right="896"/>
        <w:jc w:val="both"/>
      </w:pPr>
      <w:r>
        <w:rPr>
          <w:spacing w:val="-3"/>
        </w:rPr>
        <w:t>Sin </w:t>
      </w:r>
      <w:r>
        <w:rPr/>
        <w:t>embargo, </w:t>
      </w:r>
      <w:r>
        <w:rPr>
          <w:spacing w:val="-5"/>
        </w:rPr>
        <w:t>la </w:t>
      </w:r>
      <w:r>
        <w:rPr/>
        <w:t>degradación de este parque nacional está en aumento debido al comportamiento inapropiado que los visitantes han manifestado con respecto a los recursos naturales que este ofrece para su recreación, por ello es que  bajo  este  contexto se plantearon las siguientes preguntas de </w:t>
      </w:r>
      <w:r>
        <w:rPr>
          <w:spacing w:val="5"/>
        </w:rPr>
        <w:t> </w:t>
      </w:r>
      <w:r>
        <w:rPr/>
        <w:t>investigación:</w:t>
      </w:r>
    </w:p>
    <w:p>
      <w:pPr>
        <w:pStyle w:val="BodyText"/>
        <w:spacing w:line="362" w:lineRule="auto" w:before="117"/>
        <w:ind w:left="115" w:right="902"/>
        <w:jc w:val="both"/>
      </w:pPr>
      <w:r>
        <w:rPr/>
        <w:t>¿Existe una conciencia ambiental entre los visitantes que acuden al Parque Nacional Desierto de los Leones?</w:t>
      </w:r>
    </w:p>
    <w:p>
      <w:pPr>
        <w:pStyle w:val="BodyText"/>
        <w:spacing w:line="369" w:lineRule="auto" w:before="123"/>
        <w:ind w:left="115" w:right="900"/>
        <w:jc w:val="both"/>
      </w:pPr>
      <w:r>
        <w:rPr/>
        <w:t>¿Las actitudes de los visitantes están relacionadas con </w:t>
      </w:r>
      <w:r>
        <w:rPr>
          <w:spacing w:val="-5"/>
        </w:rPr>
        <w:t>la </w:t>
      </w:r>
      <w:r>
        <w:rPr/>
        <w:t>conservación de  la  naturaleza?</w:t>
      </w:r>
    </w:p>
    <w:p>
      <w:pPr>
        <w:pStyle w:val="BodyText"/>
        <w:spacing w:line="364" w:lineRule="auto" w:before="115"/>
        <w:ind w:left="115" w:right="900"/>
        <w:jc w:val="both"/>
      </w:pPr>
      <w:r>
        <w:rPr/>
        <w:t>¿Qué aspectos inciden para que se genere un comportamiento pro ambiental en el turismo?</w:t>
      </w:r>
    </w:p>
    <w:p>
      <w:pPr>
        <w:pStyle w:val="BodyText"/>
        <w:spacing w:line="364" w:lineRule="auto" w:before="120"/>
        <w:ind w:left="115" w:right="903"/>
        <w:jc w:val="both"/>
      </w:pPr>
      <w:r>
        <w:rPr/>
        <w:t>Para dar respuesta a estas preguntas se planteó como objetivo general de la investigación:</w:t>
      </w:r>
    </w:p>
    <w:p>
      <w:pPr>
        <w:pStyle w:val="BodyText"/>
        <w:spacing w:line="364" w:lineRule="auto" w:before="120"/>
        <w:ind w:left="115" w:right="900"/>
        <w:jc w:val="both"/>
      </w:pPr>
      <w:r>
        <w:rPr/>
        <w:t>Analizar los factores que inciden en el comportamiento proambiental de los visitantes   del Parque Nacional Desierto de los Leones y su contribución a </w:t>
      </w:r>
      <w:r>
        <w:rPr>
          <w:spacing w:val="-5"/>
        </w:rPr>
        <w:t>la </w:t>
      </w:r>
      <w:r>
        <w:rPr>
          <w:spacing w:val="35"/>
        </w:rPr>
        <w:t> </w:t>
      </w:r>
      <w:r>
        <w:rPr/>
        <w:t>sustentabilidad.</w:t>
      </w:r>
    </w:p>
    <w:p>
      <w:pPr>
        <w:pStyle w:val="BodyText"/>
        <w:spacing w:before="5"/>
        <w:ind w:left="116"/>
        <w:jc w:val="both"/>
      </w:pPr>
      <w:r>
        <w:rPr/>
        <w:t>Y los objetivos específicos:</w:t>
      </w:r>
    </w:p>
    <w:p>
      <w:pPr>
        <w:pStyle w:val="ListParagraph"/>
        <w:numPr>
          <w:ilvl w:val="1"/>
          <w:numId w:val="7"/>
        </w:numPr>
        <w:tabs>
          <w:tab w:pos="816" w:val="left" w:leader="none"/>
          <w:tab w:pos="817" w:val="left" w:leader="none"/>
        </w:tabs>
        <w:spacing w:line="357" w:lineRule="auto" w:before="137" w:after="0"/>
        <w:ind w:left="816" w:right="899" w:hanging="350"/>
        <w:jc w:val="left"/>
        <w:rPr>
          <w:sz w:val="23"/>
        </w:rPr>
      </w:pPr>
      <w:r>
        <w:rPr>
          <w:sz w:val="23"/>
        </w:rPr>
        <w:t>Determinar los principios de la sustentabilidad y su aplicación a la actividad turística.</w:t>
      </w:r>
    </w:p>
    <w:p>
      <w:pPr>
        <w:pStyle w:val="ListParagraph"/>
        <w:numPr>
          <w:ilvl w:val="1"/>
          <w:numId w:val="7"/>
        </w:numPr>
        <w:tabs>
          <w:tab w:pos="816" w:val="left" w:leader="none"/>
          <w:tab w:pos="817" w:val="left" w:leader="none"/>
        </w:tabs>
        <w:spacing w:line="360" w:lineRule="auto" w:before="11" w:after="0"/>
        <w:ind w:left="816" w:right="907" w:hanging="350"/>
        <w:jc w:val="left"/>
        <w:rPr>
          <w:sz w:val="23"/>
        </w:rPr>
      </w:pPr>
      <w:r>
        <w:rPr>
          <w:sz w:val="23"/>
        </w:rPr>
        <w:t>Reconocer cómo se construyen los comportamientos proambiental de  los  usuarios de un espacio natural</w:t>
      </w:r>
      <w:r>
        <w:rPr>
          <w:spacing w:val="43"/>
          <w:sz w:val="23"/>
        </w:rPr>
        <w:t> </w:t>
      </w:r>
      <w:r>
        <w:rPr>
          <w:sz w:val="23"/>
        </w:rPr>
        <w:t>turístico.</w:t>
      </w:r>
    </w:p>
    <w:p>
      <w:pPr>
        <w:pStyle w:val="ListParagraph"/>
        <w:numPr>
          <w:ilvl w:val="1"/>
          <w:numId w:val="7"/>
        </w:numPr>
        <w:tabs>
          <w:tab w:pos="816" w:val="left" w:leader="none"/>
          <w:tab w:pos="817" w:val="left" w:leader="none"/>
        </w:tabs>
        <w:spacing w:line="360" w:lineRule="auto" w:before="4" w:after="0"/>
        <w:ind w:left="816" w:right="899" w:hanging="350"/>
        <w:jc w:val="left"/>
        <w:rPr>
          <w:sz w:val="23"/>
        </w:rPr>
      </w:pPr>
      <w:r>
        <w:rPr>
          <w:sz w:val="23"/>
        </w:rPr>
        <w:t>Identificar los factores que permiten evaluar </w:t>
      </w:r>
      <w:r>
        <w:rPr>
          <w:spacing w:val="-5"/>
          <w:sz w:val="23"/>
        </w:rPr>
        <w:t>la </w:t>
      </w:r>
      <w:r>
        <w:rPr>
          <w:sz w:val="23"/>
        </w:rPr>
        <w:t>conciencia y las actitudes pro ambiental.</w:t>
      </w:r>
    </w:p>
    <w:p>
      <w:pPr>
        <w:pStyle w:val="ListParagraph"/>
        <w:numPr>
          <w:ilvl w:val="1"/>
          <w:numId w:val="7"/>
        </w:numPr>
        <w:tabs>
          <w:tab w:pos="816" w:val="left" w:leader="none"/>
          <w:tab w:pos="817" w:val="left" w:leader="none"/>
        </w:tabs>
        <w:spacing w:line="360" w:lineRule="auto" w:before="4" w:after="0"/>
        <w:ind w:left="816" w:right="894" w:hanging="350"/>
        <w:jc w:val="left"/>
        <w:rPr>
          <w:sz w:val="23"/>
        </w:rPr>
      </w:pPr>
      <w:r>
        <w:rPr>
          <w:sz w:val="23"/>
        </w:rPr>
        <w:t>Evaluar los comportamientos proambientales de los visitantes del  Parque Nacional Desierto de los</w:t>
      </w:r>
      <w:r>
        <w:rPr>
          <w:spacing w:val="34"/>
          <w:sz w:val="23"/>
        </w:rPr>
        <w:t> </w:t>
      </w:r>
      <w:r>
        <w:rPr>
          <w:sz w:val="23"/>
        </w:rPr>
        <w:t>Leones</w:t>
      </w:r>
    </w:p>
    <w:p>
      <w:pPr>
        <w:spacing w:after="0" w:line="360" w:lineRule="auto"/>
        <w:jc w:val="left"/>
        <w:rPr>
          <w:sz w:val="23"/>
        </w:rPr>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7"/>
        <w:jc w:val="both"/>
      </w:pPr>
      <w:r>
        <w:rPr/>
        <w:t>Para el logro de los objetivos, la presente investigación es de carácter exploratorio </w:t>
      </w:r>
      <w:r>
        <w:rPr>
          <w:spacing w:val="-4"/>
        </w:rPr>
        <w:t>ya</w:t>
      </w:r>
      <w:r>
        <w:rPr>
          <w:spacing w:val="55"/>
        </w:rPr>
        <w:t> </w:t>
      </w:r>
      <w:r>
        <w:rPr/>
        <w:t>que pretende indagar sobre sobre un fenómeno que </w:t>
      </w:r>
      <w:r>
        <w:rPr>
          <w:spacing w:val="-3"/>
        </w:rPr>
        <w:t>es  </w:t>
      </w:r>
      <w:r>
        <w:rPr/>
        <w:t>prácticamente desconocido en  el sector turístico y </w:t>
      </w:r>
      <w:r>
        <w:rPr>
          <w:spacing w:val="3"/>
        </w:rPr>
        <w:t>se </w:t>
      </w:r>
      <w:r>
        <w:rPr/>
        <w:t>abordó desde el enfoque cuantitativo con la finalidad de  recolectar, medir y analizar de manera estadística los datos recabados, para la comprensión e interpretación del objeto de</w:t>
      </w:r>
      <w:r>
        <w:rPr>
          <w:spacing w:val="55"/>
        </w:rPr>
        <w:t> </w:t>
      </w:r>
      <w:r>
        <w:rPr/>
        <w:t>estudio.</w:t>
      </w:r>
    </w:p>
    <w:p>
      <w:pPr>
        <w:pStyle w:val="BodyText"/>
        <w:spacing w:before="120"/>
        <w:ind w:left="116"/>
        <w:jc w:val="both"/>
      </w:pPr>
      <w:r>
        <w:rPr/>
        <w:t>Así entonces el documento está integrado de la siguiente  manera:</w:t>
      </w:r>
    </w:p>
    <w:p>
      <w:pPr>
        <w:pStyle w:val="BodyText"/>
        <w:rPr>
          <w:sz w:val="22"/>
        </w:rPr>
      </w:pPr>
    </w:p>
    <w:p>
      <w:pPr>
        <w:pStyle w:val="BodyText"/>
        <w:spacing w:line="364" w:lineRule="auto" w:before="1"/>
        <w:ind w:left="115" w:right="895"/>
        <w:jc w:val="both"/>
      </w:pPr>
      <w:r>
        <w:rPr/>
        <w:t>En el Capítulo 1 se aborda el origen de la preocupación ambiental tras el deterioro del ambiente y los problemas que esto significaba para la salud humana. Se plantea en primera instancia el surgimiento de la Educación Ambiental como una herramienta para frenar la degradación de una manera política, social y cultural que concientizará a la sociedad sobre la crisis ambiental. Se describe también al Desarrollo Sustentable y la manera en que surge como un principio organizador de la sociedad que implica a todos los sectores sociales a participar en la mitigación de los impactos ambientales, asegurando el porvenir de las generaciones futuras. De igual forma en el capítulo se expone la manera en que la educación ambiental y la sustentabilidad se apoyan de la Psicología Ambiental como una herramienta que ayuda a estudiar y entender la relación hombre – naturaleza, con el fin de identificar las causas y consecuencias de dicha interacción.</w:t>
      </w:r>
    </w:p>
    <w:p>
      <w:pPr>
        <w:pStyle w:val="BodyText"/>
        <w:spacing w:line="364" w:lineRule="auto" w:before="120"/>
        <w:ind w:left="116" w:right="899"/>
        <w:jc w:val="both"/>
      </w:pPr>
      <w:r>
        <w:rPr/>
        <w:t>En un segundo capítulo </w:t>
      </w:r>
      <w:r>
        <w:rPr>
          <w:spacing w:val="3"/>
        </w:rPr>
        <w:t>se </w:t>
      </w:r>
      <w:r>
        <w:rPr/>
        <w:t>expone la descripción </w:t>
      </w:r>
      <w:r>
        <w:rPr>
          <w:spacing w:val="2"/>
        </w:rPr>
        <w:t>del </w:t>
      </w:r>
      <w:r>
        <w:rPr/>
        <w:t>Comportamiento Proambiental, como ese conjunto de acciones encaminadas a la preservación del ambiente, la evolución que </w:t>
      </w:r>
      <w:r>
        <w:rPr>
          <w:spacing w:val="-3"/>
        </w:rPr>
        <w:t>ha </w:t>
      </w:r>
      <w:r>
        <w:rPr/>
        <w:t>mostrado en </w:t>
      </w:r>
      <w:r>
        <w:rPr>
          <w:spacing w:val="-5"/>
        </w:rPr>
        <w:t>la </w:t>
      </w:r>
      <w:r>
        <w:rPr/>
        <w:t>investigación de dichos comportamientos y la importancia de la definición de la actitud y la conciencia ambiental para su comprensión  y estudio. Así mismo, se exponen los modelos diseñados para analizar los comportamientos proambientales, los factores que permiten identificarlos y las escalas utilizadas para</w:t>
      </w:r>
      <w:r>
        <w:rPr>
          <w:spacing w:val="25"/>
        </w:rPr>
        <w:t> </w:t>
      </w:r>
      <w:r>
        <w:rPr/>
        <w:t>medirlos.</w:t>
      </w:r>
    </w:p>
    <w:p>
      <w:pPr>
        <w:pStyle w:val="BodyText"/>
        <w:spacing w:line="364" w:lineRule="auto" w:before="125"/>
        <w:ind w:left="116" w:right="901"/>
        <w:jc w:val="both"/>
      </w:pPr>
      <w:r>
        <w:rPr/>
        <w:t>El capítulo 3, presenta </w:t>
      </w:r>
      <w:r>
        <w:rPr>
          <w:spacing w:val="-5"/>
        </w:rPr>
        <w:t>la </w:t>
      </w:r>
      <w:r>
        <w:rPr/>
        <w:t>forma en que el turismo ha evolucionado de acuerdo al gusto    y necesidades </w:t>
      </w:r>
      <w:r>
        <w:rPr>
          <w:spacing w:val="-3"/>
        </w:rPr>
        <w:t>del </w:t>
      </w:r>
      <w:r>
        <w:rPr/>
        <w:t>turista, así como ha tenido que adoptar también los principios de la sustentabilidad para garantizar la preservación de los destinos turísticos con respecto a su ambiente natural y cultural con la finalidad de lograr un desarrollo equilibrado que beneficie a las comunidades receptoras, a las empresas turísticas y a los  propios  turistas.</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4"/>
        <w:jc w:val="both"/>
      </w:pPr>
      <w:r>
        <w:rPr/>
        <w:t>Así mismo, se describe la importancia de las Áreas Naturales Protegidas y la manera en que se han convertido en espacios importantes para la actividad turística. Denotando también la participación de las instituciones como SEMARNAT y CONANP en la implementación de cierta normatividad que </w:t>
      </w:r>
      <w:r>
        <w:rPr>
          <w:spacing w:val="-3"/>
        </w:rPr>
        <w:t>rige </w:t>
      </w:r>
      <w:r>
        <w:rPr/>
        <w:t>el uso turístico de las mismas. Y finalmente también expone la descripción contextual, el uso turístico y los impactos ambientales que presenta el Parque Nacional Desierto de  los Leones, que </w:t>
      </w:r>
      <w:r>
        <w:rPr>
          <w:spacing w:val="-3"/>
        </w:rPr>
        <w:t>es  </w:t>
      </w:r>
      <w:r>
        <w:rPr/>
        <w:t>el caso  de estudio del presente</w:t>
      </w:r>
      <w:r>
        <w:rPr>
          <w:spacing w:val="33"/>
        </w:rPr>
        <w:t> </w:t>
      </w:r>
      <w:r>
        <w:rPr/>
        <w:t>trabajo.</w:t>
      </w:r>
    </w:p>
    <w:p>
      <w:pPr>
        <w:pStyle w:val="BodyText"/>
        <w:spacing w:line="364" w:lineRule="auto" w:before="120"/>
        <w:ind w:left="116" w:right="896"/>
        <w:jc w:val="both"/>
      </w:pPr>
      <w:r>
        <w:rPr/>
        <w:t>Por otro lado en el Capítulo </w:t>
      </w:r>
      <w:r>
        <w:rPr>
          <w:spacing w:val="3"/>
        </w:rPr>
        <w:t>4, </w:t>
      </w:r>
      <w:r>
        <w:rPr/>
        <w:t>se describe el diseño metodológico,  el proceso  de análisis de datos y las técnicas estadísticas utilizadas para el procesamiento de la información.</w:t>
      </w:r>
    </w:p>
    <w:p>
      <w:pPr>
        <w:pStyle w:val="BodyText"/>
        <w:spacing w:line="364" w:lineRule="auto" w:before="120"/>
        <w:ind w:left="115" w:right="896"/>
        <w:jc w:val="both"/>
      </w:pPr>
      <w:r>
        <w:rPr/>
        <w:t>En el capítulo 5, se presentan los resultados obtenidos sobre el perfil del visitante del PNDL un artículo publicado construido a partir </w:t>
      </w:r>
      <w:r>
        <w:rPr>
          <w:spacing w:val="2"/>
        </w:rPr>
        <w:t>del </w:t>
      </w:r>
      <w:r>
        <w:rPr/>
        <w:t>diseño metodológico  en  donde se  dan a conocer los factores que permitieron determinar el comportamiento proambiental del visitante del PNDL y el modelo a través </w:t>
      </w:r>
      <w:r>
        <w:rPr>
          <w:spacing w:val="-3"/>
        </w:rPr>
        <w:t>del </w:t>
      </w:r>
      <w:r>
        <w:rPr/>
        <w:t>cual se </w:t>
      </w:r>
      <w:r>
        <w:rPr>
          <w:spacing w:val="24"/>
        </w:rPr>
        <w:t> </w:t>
      </w:r>
      <w:r>
        <w:rPr/>
        <w:t>identificaron.</w:t>
      </w:r>
    </w:p>
    <w:p>
      <w:pPr>
        <w:pStyle w:val="BodyText"/>
        <w:spacing w:before="120"/>
        <w:ind w:left="115"/>
        <w:jc w:val="both"/>
      </w:pPr>
      <w:r>
        <w:rPr/>
        <w:t>Y finalmente las conclusiones a </w:t>
      </w:r>
      <w:r>
        <w:rPr>
          <w:spacing w:val="-4"/>
        </w:rPr>
        <w:t>las </w:t>
      </w:r>
      <w:r>
        <w:rPr/>
        <w:t>que se llegaron en este proyecto de </w:t>
      </w:r>
      <w:r>
        <w:rPr>
          <w:spacing w:val="50"/>
        </w:rPr>
        <w:t> </w:t>
      </w:r>
      <w:r>
        <w:rPr/>
        <w:t>investigación.</w:t>
      </w:r>
    </w:p>
    <w:p>
      <w:pPr>
        <w:spacing w:after="0"/>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Heading2"/>
        <w:ind w:left="1263" w:right="989"/>
        <w:jc w:val="left"/>
      </w:pPr>
      <w:r>
        <w:rPr/>
        <w:t>CAPÍTULO 1.SUSTENTABILIDAD Y PSICOLOGÍA  AMBIENTAL</w:t>
      </w:r>
    </w:p>
    <w:p>
      <w:pPr>
        <w:pStyle w:val="BodyText"/>
        <w:rPr>
          <w:b/>
          <w:sz w:val="22"/>
        </w:rPr>
      </w:pPr>
    </w:p>
    <w:p>
      <w:pPr>
        <w:pStyle w:val="BodyText"/>
        <w:rPr>
          <w:b/>
          <w:sz w:val="22"/>
        </w:rPr>
      </w:pPr>
    </w:p>
    <w:p>
      <w:pPr>
        <w:pStyle w:val="BodyText"/>
        <w:spacing w:before="1"/>
        <w:rPr>
          <w:b/>
        </w:rPr>
      </w:pPr>
    </w:p>
    <w:p>
      <w:pPr>
        <w:pStyle w:val="Heading2"/>
        <w:numPr>
          <w:ilvl w:val="1"/>
          <w:numId w:val="8"/>
        </w:numPr>
        <w:tabs>
          <w:tab w:pos="803" w:val="left" w:leader="none"/>
        </w:tabs>
        <w:spacing w:line="240" w:lineRule="auto" w:before="1" w:after="0"/>
        <w:ind w:left="802" w:right="0" w:hanging="686"/>
        <w:jc w:val="both"/>
      </w:pPr>
      <w:bookmarkStart w:name="_TOC_250034" w:id="1"/>
      <w:r>
        <w:rPr/>
        <w:t>Origen de la preocupación</w:t>
      </w:r>
      <w:r>
        <w:rPr>
          <w:spacing w:val="49"/>
        </w:rPr>
        <w:t> </w:t>
      </w:r>
      <w:bookmarkEnd w:id="1"/>
      <w:r>
        <w:rPr/>
        <w:t>ambiental</w:t>
      </w:r>
    </w:p>
    <w:p>
      <w:pPr>
        <w:pStyle w:val="BodyText"/>
        <w:rPr>
          <w:b/>
          <w:sz w:val="22"/>
        </w:rPr>
      </w:pPr>
    </w:p>
    <w:p>
      <w:pPr>
        <w:pStyle w:val="BodyText"/>
        <w:spacing w:line="364" w:lineRule="auto" w:before="1"/>
        <w:ind w:left="115" w:right="896"/>
        <w:jc w:val="both"/>
      </w:pPr>
      <w:r>
        <w:rPr/>
        <w:t>El problema del ambiente no es solo un problema de esta época; el problema ambiental tiene sus comienzos desde que el hombre habita en la tierra. Actividades como la caza ayudaban a la extinción de las especies y otras como el pastoreo erosionaban la  tierra.</w:t>
      </w:r>
    </w:p>
    <w:p>
      <w:pPr>
        <w:pStyle w:val="BodyText"/>
        <w:spacing w:line="364" w:lineRule="auto" w:before="120"/>
        <w:ind w:left="115" w:right="896"/>
        <w:jc w:val="both"/>
      </w:pPr>
      <w:r>
        <w:rPr/>
        <w:t>La tala de árboles, para que estos pudieran ser utilizados como combustible y material  de construcción, conllevo a la deforestación de los bosques. </w:t>
      </w:r>
      <w:r>
        <w:rPr>
          <w:spacing w:val="3"/>
        </w:rPr>
        <w:t>En </w:t>
      </w:r>
      <w:r>
        <w:rPr/>
        <w:t>Gran Bretaña  aumentaba la quema de carbón; y pronto se reconoció que el carbón era causante de   los problemas de contaminación de la</w:t>
      </w:r>
      <w:r>
        <w:rPr>
          <w:spacing w:val="51"/>
        </w:rPr>
        <w:t> </w:t>
      </w:r>
      <w:r>
        <w:rPr/>
        <w:t>época.</w:t>
      </w:r>
    </w:p>
    <w:p>
      <w:pPr>
        <w:pStyle w:val="BodyText"/>
        <w:spacing w:line="364" w:lineRule="auto" w:before="120"/>
        <w:ind w:left="115" w:right="898"/>
        <w:jc w:val="both"/>
      </w:pPr>
      <w:r>
        <w:rPr/>
        <w:t>Ya en el siglo XVIII se dieron grandes cambios en la agricultura, la industria y el transporte en Europa gracias a la revolución industrial, ya que ésta trajo consigo la máquina de vapor, la cual permitía obtener energía a partir de vapor de  agua  en fábricas, ferrocarriles y barcos.</w:t>
      </w:r>
    </w:p>
    <w:p>
      <w:pPr>
        <w:pStyle w:val="BodyText"/>
        <w:spacing w:line="364" w:lineRule="auto" w:before="120"/>
        <w:ind w:left="115" w:right="896"/>
        <w:jc w:val="both"/>
      </w:pPr>
      <w:r>
        <w:rPr/>
        <w:t>Luego alrededor de 1960, debido a la baja producción agrícola, </w:t>
      </w:r>
      <w:r>
        <w:rPr>
          <w:spacing w:val="3"/>
        </w:rPr>
        <w:t>se </w:t>
      </w:r>
      <w:r>
        <w:rPr/>
        <w:t>utilizó la ciencia moderna para encontrar formas de producir más alimentos, lo que revolucionó la actividad agrícola. Comenzó </w:t>
      </w:r>
      <w:r>
        <w:rPr>
          <w:spacing w:val="-5"/>
        </w:rPr>
        <w:t>la </w:t>
      </w:r>
      <w:r>
        <w:rPr/>
        <w:t>explotación de monocultivos basada en la utilización masiva de fertilizantes, pesticidas y herbicidas. </w:t>
      </w:r>
      <w:r>
        <w:rPr>
          <w:spacing w:val="-4"/>
        </w:rPr>
        <w:t>Los </w:t>
      </w:r>
      <w:r>
        <w:rPr/>
        <w:t>aspectos negativos no tardaron </w:t>
      </w:r>
      <w:r>
        <w:rPr>
          <w:spacing w:val="-3"/>
        </w:rPr>
        <w:t>en </w:t>
      </w:r>
      <w:r>
        <w:rPr/>
        <w:t>aparecer, ya que, en muchos países el gran uso </w:t>
      </w:r>
      <w:r>
        <w:rPr>
          <w:spacing w:val="-3"/>
        </w:rPr>
        <w:t>de </w:t>
      </w:r>
      <w:r>
        <w:rPr/>
        <w:t>plaguicidas y otras sustancias agroquímicas causó un grave deterioro del ambiente y puso en peligro la salud pública;   a esto se </w:t>
      </w:r>
      <w:r>
        <w:rPr>
          <w:spacing w:val="-5"/>
        </w:rPr>
        <w:t>le </w:t>
      </w:r>
      <w:r>
        <w:rPr/>
        <w:t>llamo primavera silenciosa </w:t>
      </w:r>
      <w:r>
        <w:rPr>
          <w:spacing w:val="-3"/>
        </w:rPr>
        <w:t>por </w:t>
      </w:r>
      <w:r>
        <w:rPr/>
        <w:t>que el </w:t>
      </w:r>
      <w:r>
        <w:rPr>
          <w:spacing w:val="2"/>
        </w:rPr>
        <w:t>uso </w:t>
      </w:r>
      <w:r>
        <w:rPr/>
        <w:t>intensivo de agroquímicos represento </w:t>
      </w:r>
      <w:r>
        <w:rPr>
          <w:spacing w:val="-3"/>
        </w:rPr>
        <w:t>una </w:t>
      </w:r>
      <w:r>
        <w:rPr/>
        <w:t>amenaza sobre el ambiente y sobre los seres humanos. (Carson, </w:t>
      </w:r>
      <w:r>
        <w:rPr>
          <w:spacing w:val="52"/>
        </w:rPr>
        <w:t> </w:t>
      </w:r>
      <w:r>
        <w:rPr/>
        <w:t>1962)</w:t>
      </w:r>
    </w:p>
    <w:p>
      <w:pPr>
        <w:pStyle w:val="BodyText"/>
        <w:spacing w:line="364" w:lineRule="auto" w:before="120"/>
        <w:ind w:left="115" w:right="893"/>
        <w:jc w:val="both"/>
      </w:pPr>
      <w:r>
        <w:rPr/>
        <w:t>En los años que siguieron, un gran número de científicos y  profesionales  se preocuparon de medir y definir el deterioro que traía el mal uso de los recursos  naturales; se comparaba el aumento de las poblaciones con la creciente escasez de recursos para alimentarlas o para mantener </w:t>
      </w:r>
      <w:r>
        <w:rPr>
          <w:spacing w:val="4"/>
        </w:rPr>
        <w:t>el </w:t>
      </w:r>
      <w:r>
        <w:rPr/>
        <w:t>nivel técnico de la producción y servicios, de manera que era evidente la brecha creciente entre los países pobres e industrializados, el crecimiento urbano incontrolado, entre otros, que  a  su  vez  detonaron  </w:t>
      </w:r>
      <w:r>
        <w:rPr>
          <w:spacing w:val="-3"/>
        </w:rPr>
        <w:t>en  </w:t>
      </w:r>
      <w:r>
        <w:rPr/>
        <w:t>una  serie  de  incidentes  ambientales  </w:t>
      </w:r>
      <w:r>
        <w:rPr>
          <w:spacing w:val="-3"/>
        </w:rPr>
        <w:t>que  </w:t>
      </w:r>
      <w:r>
        <w:rPr/>
        <w:t>contribuyeron  a  mantener</w:t>
      </w:r>
      <w:r>
        <w:rPr>
          <w:spacing w:val="36"/>
        </w:rPr>
        <w:t> </w:t>
      </w:r>
      <w:r>
        <w:rPr/>
        <w:t>el</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115" w:right="904"/>
        <w:jc w:val="both"/>
      </w:pPr>
      <w:r>
        <w:rPr/>
        <w:t>interés público por la naturaleza desde una visión holística (integral) del sistema ambiental.</w:t>
      </w:r>
    </w:p>
    <w:p>
      <w:pPr>
        <w:pStyle w:val="BodyText"/>
        <w:spacing w:line="364" w:lineRule="auto" w:before="123"/>
        <w:ind w:left="116" w:right="896"/>
        <w:jc w:val="both"/>
      </w:pPr>
      <w:r>
        <w:rPr/>
        <w:t>En este sentido surge </w:t>
      </w:r>
      <w:r>
        <w:rPr>
          <w:spacing w:val="-5"/>
        </w:rPr>
        <w:t>la </w:t>
      </w:r>
      <w:r>
        <w:rPr/>
        <w:t>educación ambiental como una alternativa de solución a </w:t>
      </w:r>
      <w:r>
        <w:rPr>
          <w:spacing w:val="-4"/>
        </w:rPr>
        <w:t>los </w:t>
      </w:r>
      <w:r>
        <w:rPr/>
        <w:t>problemas ambientales, definiéndola como el instrumento político, social, cultural e institucional para concientizar a la sociedad sobre </w:t>
      </w:r>
      <w:r>
        <w:rPr>
          <w:spacing w:val="-5"/>
        </w:rPr>
        <w:t>la </w:t>
      </w:r>
      <w:r>
        <w:rPr/>
        <w:t>crisis  ambiental. Esto conllevó  a que en el primer pronunciamiento de alerta, según Cruces (1997), sobre los problemas socio-ambientales que ponían en </w:t>
      </w:r>
      <w:r>
        <w:rPr>
          <w:spacing w:val="-3"/>
        </w:rPr>
        <w:t>peligro </w:t>
      </w:r>
      <w:r>
        <w:rPr/>
        <w:t>el futuro de la humanidad, fue dado por el Club de Roma en 1968. Allí se plantearon seis importantes aspectos a ser considerados para evitar efectos irreversibles a nivel mundial, como: explosión demográfica, macro contaminación, uso incontrolado de energía, desequilibrio económico  entre  países,  crisis de valores y crisis política. Frente a estos hechos proponen como alternativa, generar conciencia en la opinión pública, establecer patrones de una nueva ética social    y orientar las conductas </w:t>
      </w:r>
      <w:r>
        <w:rPr>
          <w:spacing w:val="-3"/>
        </w:rPr>
        <w:t>de </w:t>
      </w:r>
      <w:r>
        <w:rPr/>
        <w:t>los seres</w:t>
      </w:r>
      <w:r>
        <w:rPr>
          <w:spacing w:val="62"/>
        </w:rPr>
        <w:t> </w:t>
      </w:r>
      <w:r>
        <w:rPr/>
        <w:t>humanos.</w:t>
      </w:r>
    </w:p>
    <w:p>
      <w:pPr>
        <w:pStyle w:val="BodyText"/>
        <w:spacing w:line="364" w:lineRule="auto" w:before="120"/>
        <w:ind w:left="115" w:right="894"/>
        <w:jc w:val="both"/>
      </w:pPr>
      <w:r>
        <w:rPr/>
        <w:t>Es decir, </w:t>
      </w:r>
      <w:r>
        <w:rPr>
          <w:spacing w:val="3"/>
        </w:rPr>
        <w:t>se </w:t>
      </w:r>
      <w:r>
        <w:rPr/>
        <w:t>plantean tres aspectos que desde cualquier óptica </w:t>
      </w:r>
      <w:r>
        <w:rPr>
          <w:spacing w:val="3"/>
        </w:rPr>
        <w:t>se </w:t>
      </w:r>
      <w:r>
        <w:rPr/>
        <w:t>visualizan como algunos de los objetivos que se alcanzan mediante </w:t>
      </w:r>
      <w:r>
        <w:rPr>
          <w:spacing w:val="-5"/>
        </w:rPr>
        <w:t>la </w:t>
      </w:r>
      <w:r>
        <w:rPr/>
        <w:t>implementación de un proceso educativo formal o no. Es por tanto, y aun cuando las deliberaciones de este grupo mostraran más una visión de tipo política, energética, alimentaria y demográfica que educativa, un primer asomo de </w:t>
      </w:r>
      <w:r>
        <w:rPr>
          <w:spacing w:val="-5"/>
        </w:rPr>
        <w:t>la </w:t>
      </w:r>
      <w:r>
        <w:rPr/>
        <w:t>importancia que posteriormente </w:t>
      </w:r>
      <w:r>
        <w:rPr>
          <w:spacing w:val="3"/>
        </w:rPr>
        <w:t>se </w:t>
      </w:r>
      <w:r>
        <w:rPr/>
        <w:t>le daría al  desarrollo e implementación de </w:t>
      </w:r>
      <w:r>
        <w:rPr>
          <w:spacing w:val="-5"/>
        </w:rPr>
        <w:t>la </w:t>
      </w:r>
      <w:r>
        <w:rPr/>
        <w:t>educación ambiental en  los  foros  internacionales. Esto </w:t>
      </w:r>
      <w:r>
        <w:rPr>
          <w:spacing w:val="3"/>
        </w:rPr>
        <w:t>se </w:t>
      </w:r>
      <w:r>
        <w:rPr/>
        <w:t>confirma cuando entre sus problemas inventariados, está el de considerar a la educación como inadecuada por sus planteamientos anacrónicos y sin articulación, proponiendo como solución una concienciación de la opinión pública acerca de la peligrosidad de </w:t>
      </w:r>
      <w:r>
        <w:rPr>
          <w:spacing w:val="-5"/>
        </w:rPr>
        <w:t>la </w:t>
      </w:r>
      <w:r>
        <w:rPr/>
        <w:t>situación, y la formulación de una nueva ética que dé sentido y orientación al comportamiento de </w:t>
      </w:r>
      <w:r>
        <w:rPr>
          <w:spacing w:val="-5"/>
        </w:rPr>
        <w:t>la </w:t>
      </w:r>
      <w:r>
        <w:rPr/>
        <w:t>Humanidad (King y Schneider </w:t>
      </w:r>
      <w:r>
        <w:rPr>
          <w:spacing w:val="36"/>
        </w:rPr>
        <w:t> </w:t>
      </w:r>
      <w:r>
        <w:rPr/>
        <w:t>1991).</w:t>
      </w:r>
    </w:p>
    <w:p>
      <w:pPr>
        <w:pStyle w:val="BodyText"/>
        <w:spacing w:line="367" w:lineRule="auto" w:before="120"/>
        <w:ind w:left="115" w:right="895"/>
        <w:jc w:val="both"/>
      </w:pPr>
      <w:r>
        <w:rPr>
          <w:spacing w:val="-3"/>
        </w:rPr>
        <w:t>Sin </w:t>
      </w:r>
      <w:r>
        <w:rPr/>
        <w:t>embargo, la expresión Educación Ambiental fue utilizada por primera vez en Estocolmo en el año </w:t>
      </w:r>
      <w:r>
        <w:rPr>
          <w:spacing w:val="-3"/>
        </w:rPr>
        <w:t>de  </w:t>
      </w:r>
      <w:r>
        <w:rPr/>
        <w:t>1972 durante la realización de la Conferencia Internacional  sobre el Medio Ambiente. De ahí en adelante se da </w:t>
      </w:r>
      <w:r>
        <w:rPr>
          <w:spacing w:val="-3"/>
        </w:rPr>
        <w:t>inicio </w:t>
      </w:r>
      <w:r>
        <w:rPr/>
        <w:t>a un proceso constante y paulatino de discusiones y consideraciones políticas </w:t>
      </w:r>
      <w:r>
        <w:rPr>
          <w:spacing w:val="-3"/>
        </w:rPr>
        <w:t>en </w:t>
      </w:r>
      <w:r>
        <w:rPr/>
        <w:t>relación a la implementación de acciones educativas tendientes al conocimiento, concientización, restauración y preservación del medio ambiente, tanto a nivel mundial, regional como local. A partir de estos  acontecimientos  comienzan  a aceptar términos,  prácticas  y concepciones</w:t>
      </w:r>
      <w:r>
        <w:rPr>
          <w:spacing w:val="51"/>
        </w:rPr>
        <w:t> </w:t>
      </w:r>
      <w:r>
        <w:rPr/>
        <w:t>como</w:t>
      </w:r>
    </w:p>
    <w:p>
      <w:pPr>
        <w:spacing w:after="0" w:line="367"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215" w:right="908"/>
        <w:jc w:val="both"/>
      </w:pPr>
      <w:r>
        <w:rPr/>
        <w:t>naturalista, conservacionista, ecologista, ambientalista, así como los de desarrollo sustentable.</w:t>
      </w:r>
    </w:p>
    <w:p>
      <w:pPr>
        <w:pStyle w:val="BodyText"/>
        <w:spacing w:line="367" w:lineRule="auto" w:before="123"/>
        <w:ind w:left="215" w:right="899"/>
        <w:jc w:val="both"/>
      </w:pPr>
      <w:r>
        <w:rPr/>
        <w:t>A continuación se muestra la tabla 1 con las aportaciones que hicieron las diferentes reuniones internacionales respecto al planteamiento de soluciones a la problemática ambiental.</w:t>
      </w:r>
    </w:p>
    <w:p>
      <w:pPr>
        <w:pStyle w:val="BodyText"/>
        <w:spacing w:before="117"/>
        <w:ind w:left="1185" w:right="512"/>
      </w:pPr>
      <w:r>
        <w:rPr/>
        <w:t>Tabla No. 1 Principales Aportaciones ante la Preocupación  Ambiental</w:t>
      </w:r>
    </w:p>
    <w:p>
      <w:pPr>
        <w:pStyle w:val="BodyText"/>
        <w:spacing w:before="5"/>
        <w:rPr>
          <w:sz w:val="22"/>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21"/>
        <w:gridCol w:w="6763"/>
      </w:tblGrid>
      <w:tr>
        <w:trPr>
          <w:trHeight w:val="576" w:hRule="exact"/>
        </w:trPr>
        <w:tc>
          <w:tcPr>
            <w:tcW w:w="2621" w:type="dxa"/>
          </w:tcPr>
          <w:p>
            <w:pPr>
              <w:pStyle w:val="TableParagraph"/>
              <w:spacing w:line="247" w:lineRule="auto"/>
              <w:ind w:left="369" w:firstLine="355"/>
              <w:rPr>
                <w:b/>
                <w:sz w:val="19"/>
              </w:rPr>
            </w:pPr>
            <w:r>
              <w:rPr>
                <w:b/>
                <w:w w:val="105"/>
                <w:sz w:val="19"/>
              </w:rPr>
              <w:t>REUNIONES </w:t>
            </w:r>
            <w:r>
              <w:rPr>
                <w:b/>
                <w:sz w:val="19"/>
              </w:rPr>
              <w:t>INTERNACIONALES</w:t>
            </w:r>
          </w:p>
        </w:tc>
        <w:tc>
          <w:tcPr>
            <w:tcW w:w="6763" w:type="dxa"/>
          </w:tcPr>
          <w:p>
            <w:pPr>
              <w:pStyle w:val="TableParagraph"/>
              <w:spacing w:before="109"/>
              <w:ind w:left="2851" w:right="2852"/>
              <w:jc w:val="center"/>
              <w:rPr>
                <w:b/>
                <w:sz w:val="19"/>
              </w:rPr>
            </w:pPr>
            <w:r>
              <w:rPr>
                <w:b/>
                <w:w w:val="105"/>
                <w:sz w:val="19"/>
              </w:rPr>
              <w:t>OBJETIVO</w:t>
            </w:r>
          </w:p>
        </w:tc>
      </w:tr>
      <w:tr>
        <w:trPr>
          <w:trHeight w:val="1606" w:hRule="exact"/>
        </w:trPr>
        <w:tc>
          <w:tcPr>
            <w:tcW w:w="2621" w:type="dxa"/>
            <w:tcBorders>
              <w:bottom w:val="single" w:sz="2" w:space="0" w:color="000000"/>
            </w:tcBorders>
          </w:tcPr>
          <w:p>
            <w:pPr>
              <w:pStyle w:val="TableParagraph"/>
              <w:rPr>
                <w:sz w:val="20"/>
              </w:rPr>
            </w:pPr>
          </w:p>
          <w:p>
            <w:pPr>
              <w:pStyle w:val="TableParagraph"/>
              <w:rPr>
                <w:sz w:val="20"/>
              </w:rPr>
            </w:pPr>
          </w:p>
          <w:p>
            <w:pPr>
              <w:pStyle w:val="TableParagraph"/>
              <w:spacing w:before="1"/>
              <w:rPr>
                <w:sz w:val="20"/>
              </w:rPr>
            </w:pPr>
          </w:p>
          <w:p>
            <w:pPr>
              <w:pStyle w:val="TableParagraph"/>
              <w:spacing w:line="216" w:lineRule="exact"/>
              <w:ind w:left="470" w:firstLine="129"/>
              <w:rPr>
                <w:sz w:val="19"/>
              </w:rPr>
            </w:pPr>
            <w:r>
              <w:rPr>
                <w:b/>
                <w:w w:val="105"/>
                <w:sz w:val="19"/>
              </w:rPr>
              <w:t>Conferencia de Estocolmo</w:t>
            </w:r>
            <w:r>
              <w:rPr>
                <w:i/>
                <w:w w:val="105"/>
                <w:sz w:val="19"/>
              </w:rPr>
              <w:t>. </w:t>
            </w:r>
            <w:r>
              <w:rPr>
                <w:w w:val="105"/>
                <w:sz w:val="19"/>
              </w:rPr>
              <w:t>(1972)</w:t>
            </w:r>
          </w:p>
        </w:tc>
        <w:tc>
          <w:tcPr>
            <w:tcW w:w="6763" w:type="dxa"/>
            <w:tcBorders>
              <w:bottom w:val="single" w:sz="2" w:space="0" w:color="000000"/>
            </w:tcBorders>
          </w:tcPr>
          <w:p>
            <w:pPr>
              <w:pStyle w:val="TableParagraph"/>
              <w:spacing w:line="247" w:lineRule="auto" w:before="13"/>
              <w:ind w:left="105" w:right="100"/>
              <w:jc w:val="both"/>
              <w:rPr>
                <w:sz w:val="19"/>
              </w:rPr>
            </w:pPr>
            <w:r>
              <w:rPr>
                <w:w w:val="105"/>
                <w:sz w:val="19"/>
              </w:rPr>
              <w:t>Estableció</w:t>
            </w:r>
            <w:r>
              <w:rPr>
                <w:spacing w:val="-15"/>
                <w:w w:val="105"/>
                <w:sz w:val="19"/>
              </w:rPr>
              <w:t> </w:t>
            </w:r>
            <w:r>
              <w:rPr>
                <w:w w:val="105"/>
                <w:sz w:val="19"/>
              </w:rPr>
              <w:t>la</w:t>
            </w:r>
            <w:r>
              <w:rPr>
                <w:spacing w:val="-11"/>
                <w:w w:val="105"/>
                <w:sz w:val="19"/>
              </w:rPr>
              <w:t> </w:t>
            </w:r>
            <w:r>
              <w:rPr>
                <w:w w:val="105"/>
                <w:sz w:val="19"/>
              </w:rPr>
              <w:t>imperiosa</w:t>
            </w:r>
            <w:r>
              <w:rPr>
                <w:spacing w:val="-15"/>
                <w:w w:val="105"/>
                <w:sz w:val="19"/>
              </w:rPr>
              <w:t> </w:t>
            </w:r>
            <w:r>
              <w:rPr>
                <w:w w:val="105"/>
                <w:sz w:val="19"/>
              </w:rPr>
              <w:t>necesidad</w:t>
            </w:r>
            <w:r>
              <w:rPr>
                <w:spacing w:val="-17"/>
                <w:w w:val="105"/>
                <w:sz w:val="19"/>
              </w:rPr>
              <w:t> </w:t>
            </w:r>
            <w:r>
              <w:rPr>
                <w:spacing w:val="2"/>
                <w:w w:val="105"/>
                <w:sz w:val="19"/>
              </w:rPr>
              <w:t>de</w:t>
            </w:r>
            <w:r>
              <w:rPr>
                <w:spacing w:val="-15"/>
                <w:w w:val="105"/>
                <w:sz w:val="19"/>
              </w:rPr>
              <w:t> </w:t>
            </w:r>
            <w:r>
              <w:rPr>
                <w:w w:val="105"/>
                <w:sz w:val="19"/>
              </w:rPr>
              <w:t>promover:</w:t>
            </w:r>
            <w:r>
              <w:rPr>
                <w:spacing w:val="-17"/>
                <w:w w:val="105"/>
                <w:sz w:val="19"/>
              </w:rPr>
              <w:t> </w:t>
            </w:r>
            <w:r>
              <w:rPr>
                <w:w w:val="105"/>
                <w:sz w:val="19"/>
              </w:rPr>
              <w:t>una</w:t>
            </w:r>
            <w:r>
              <w:rPr>
                <w:spacing w:val="-15"/>
                <w:w w:val="105"/>
                <w:sz w:val="19"/>
              </w:rPr>
              <w:t> </w:t>
            </w:r>
            <w:r>
              <w:rPr>
                <w:w w:val="105"/>
                <w:sz w:val="19"/>
              </w:rPr>
              <w:t>labor</w:t>
            </w:r>
            <w:r>
              <w:rPr>
                <w:spacing w:val="-14"/>
                <w:w w:val="105"/>
                <w:sz w:val="19"/>
              </w:rPr>
              <w:t> </w:t>
            </w:r>
            <w:r>
              <w:rPr>
                <w:w w:val="105"/>
                <w:sz w:val="19"/>
              </w:rPr>
              <w:t>de</w:t>
            </w:r>
            <w:r>
              <w:rPr>
                <w:spacing w:val="-15"/>
                <w:w w:val="105"/>
                <w:sz w:val="19"/>
              </w:rPr>
              <w:t> </w:t>
            </w:r>
            <w:r>
              <w:rPr>
                <w:w w:val="105"/>
                <w:sz w:val="19"/>
              </w:rPr>
              <w:t>educación</w:t>
            </w:r>
            <w:r>
              <w:rPr>
                <w:spacing w:val="-11"/>
                <w:w w:val="105"/>
                <w:sz w:val="19"/>
              </w:rPr>
              <w:t> </w:t>
            </w:r>
            <w:r>
              <w:rPr>
                <w:w w:val="105"/>
                <w:sz w:val="19"/>
              </w:rPr>
              <w:t>en cuestiones ambientales, dirigida tanto a las generaciones jóvenes como a los</w:t>
            </w:r>
            <w:r>
              <w:rPr>
                <w:spacing w:val="-13"/>
                <w:w w:val="105"/>
                <w:sz w:val="19"/>
              </w:rPr>
              <w:t> </w:t>
            </w:r>
            <w:r>
              <w:rPr>
                <w:w w:val="105"/>
                <w:sz w:val="19"/>
              </w:rPr>
              <w:t>adultos</w:t>
            </w:r>
            <w:r>
              <w:rPr>
                <w:spacing w:val="-9"/>
                <w:w w:val="105"/>
                <w:sz w:val="19"/>
              </w:rPr>
              <w:t> </w:t>
            </w:r>
            <w:r>
              <w:rPr>
                <w:w w:val="105"/>
                <w:sz w:val="19"/>
              </w:rPr>
              <w:t>y</w:t>
            </w:r>
            <w:r>
              <w:rPr>
                <w:spacing w:val="-17"/>
                <w:w w:val="105"/>
                <w:sz w:val="19"/>
              </w:rPr>
              <w:t> </w:t>
            </w:r>
            <w:r>
              <w:rPr>
                <w:w w:val="105"/>
                <w:sz w:val="19"/>
              </w:rPr>
              <w:t>que</w:t>
            </w:r>
            <w:r>
              <w:rPr>
                <w:spacing w:val="-15"/>
                <w:w w:val="105"/>
                <w:sz w:val="19"/>
              </w:rPr>
              <w:t> </w:t>
            </w:r>
            <w:r>
              <w:rPr>
                <w:w w:val="105"/>
                <w:sz w:val="19"/>
              </w:rPr>
              <w:t>presente</w:t>
            </w:r>
            <w:r>
              <w:rPr>
                <w:spacing w:val="-11"/>
                <w:w w:val="105"/>
                <w:sz w:val="19"/>
              </w:rPr>
              <w:t> </w:t>
            </w:r>
            <w:r>
              <w:rPr>
                <w:w w:val="105"/>
                <w:sz w:val="19"/>
              </w:rPr>
              <w:t>la</w:t>
            </w:r>
            <w:r>
              <w:rPr>
                <w:spacing w:val="-11"/>
                <w:w w:val="105"/>
                <w:sz w:val="19"/>
              </w:rPr>
              <w:t> </w:t>
            </w:r>
            <w:r>
              <w:rPr>
                <w:w w:val="105"/>
                <w:sz w:val="19"/>
              </w:rPr>
              <w:t>debida</w:t>
            </w:r>
            <w:r>
              <w:rPr>
                <w:spacing w:val="-11"/>
                <w:w w:val="105"/>
                <w:sz w:val="19"/>
              </w:rPr>
              <w:t> </w:t>
            </w:r>
            <w:r>
              <w:rPr>
                <w:w w:val="105"/>
                <w:sz w:val="19"/>
              </w:rPr>
              <w:t>atención</w:t>
            </w:r>
            <w:r>
              <w:rPr>
                <w:spacing w:val="-11"/>
                <w:w w:val="105"/>
                <w:sz w:val="19"/>
              </w:rPr>
              <w:t> </w:t>
            </w:r>
            <w:r>
              <w:rPr>
                <w:w w:val="105"/>
                <w:sz w:val="19"/>
              </w:rPr>
              <w:t>al</w:t>
            </w:r>
            <w:r>
              <w:rPr>
                <w:spacing w:val="-4"/>
                <w:w w:val="105"/>
                <w:sz w:val="19"/>
              </w:rPr>
              <w:t> </w:t>
            </w:r>
            <w:r>
              <w:rPr>
                <w:w w:val="105"/>
                <w:sz w:val="19"/>
              </w:rPr>
              <w:t>sector</w:t>
            </w:r>
            <w:r>
              <w:rPr>
                <w:spacing w:val="-14"/>
                <w:w w:val="105"/>
                <w:sz w:val="19"/>
              </w:rPr>
              <w:t> </w:t>
            </w:r>
            <w:r>
              <w:rPr>
                <w:w w:val="105"/>
                <w:sz w:val="19"/>
              </w:rPr>
              <w:t>de</w:t>
            </w:r>
            <w:r>
              <w:rPr>
                <w:spacing w:val="-11"/>
                <w:w w:val="105"/>
                <w:sz w:val="19"/>
              </w:rPr>
              <w:t> </w:t>
            </w:r>
            <w:r>
              <w:rPr>
                <w:w w:val="105"/>
                <w:sz w:val="19"/>
              </w:rPr>
              <w:t>población</w:t>
            </w:r>
            <w:r>
              <w:rPr>
                <w:spacing w:val="-15"/>
                <w:w w:val="105"/>
                <w:sz w:val="19"/>
              </w:rPr>
              <w:t> </w:t>
            </w:r>
            <w:r>
              <w:rPr>
                <w:w w:val="105"/>
                <w:sz w:val="19"/>
              </w:rPr>
              <w:t>menos privilegiado, para ensanchar las bases de una opinión pública bien informada y de una conducta </w:t>
            </w:r>
            <w:r>
              <w:rPr>
                <w:spacing w:val="2"/>
                <w:w w:val="105"/>
                <w:sz w:val="19"/>
              </w:rPr>
              <w:t>de </w:t>
            </w:r>
            <w:r>
              <w:rPr>
                <w:w w:val="105"/>
                <w:sz w:val="19"/>
              </w:rPr>
              <w:t>los individuos, de las empresas y </w:t>
            </w:r>
            <w:r>
              <w:rPr>
                <w:spacing w:val="2"/>
                <w:w w:val="105"/>
                <w:sz w:val="19"/>
              </w:rPr>
              <w:t>de </w:t>
            </w:r>
            <w:r>
              <w:rPr>
                <w:w w:val="105"/>
                <w:sz w:val="19"/>
              </w:rPr>
              <w:t>las colectividades</w:t>
            </w:r>
            <w:r>
              <w:rPr>
                <w:spacing w:val="-11"/>
                <w:w w:val="105"/>
                <w:sz w:val="19"/>
              </w:rPr>
              <w:t> </w:t>
            </w:r>
            <w:r>
              <w:rPr>
                <w:w w:val="105"/>
                <w:sz w:val="19"/>
              </w:rPr>
              <w:t>inspirada</w:t>
            </w:r>
            <w:r>
              <w:rPr>
                <w:spacing w:val="-9"/>
                <w:w w:val="105"/>
                <w:sz w:val="19"/>
              </w:rPr>
              <w:t> </w:t>
            </w:r>
            <w:r>
              <w:rPr>
                <w:w w:val="105"/>
                <w:sz w:val="19"/>
              </w:rPr>
              <w:t>en</w:t>
            </w:r>
            <w:r>
              <w:rPr>
                <w:spacing w:val="-9"/>
                <w:w w:val="105"/>
                <w:sz w:val="19"/>
              </w:rPr>
              <w:t> </w:t>
            </w:r>
            <w:r>
              <w:rPr>
                <w:w w:val="105"/>
                <w:sz w:val="19"/>
              </w:rPr>
              <w:t>el</w:t>
            </w:r>
            <w:r>
              <w:rPr>
                <w:spacing w:val="-7"/>
                <w:w w:val="105"/>
                <w:sz w:val="19"/>
              </w:rPr>
              <w:t> </w:t>
            </w:r>
            <w:r>
              <w:rPr>
                <w:w w:val="105"/>
                <w:sz w:val="19"/>
              </w:rPr>
              <w:t>sentido</w:t>
            </w:r>
            <w:r>
              <w:rPr>
                <w:spacing w:val="-9"/>
                <w:w w:val="105"/>
                <w:sz w:val="19"/>
              </w:rPr>
              <w:t> </w:t>
            </w:r>
            <w:r>
              <w:rPr>
                <w:w w:val="105"/>
                <w:sz w:val="19"/>
              </w:rPr>
              <w:t>de</w:t>
            </w:r>
            <w:r>
              <w:rPr>
                <w:spacing w:val="-9"/>
                <w:w w:val="105"/>
                <w:sz w:val="19"/>
              </w:rPr>
              <w:t> </w:t>
            </w:r>
            <w:r>
              <w:rPr>
                <w:w w:val="105"/>
                <w:sz w:val="19"/>
              </w:rPr>
              <w:t>su</w:t>
            </w:r>
            <w:r>
              <w:rPr>
                <w:spacing w:val="-5"/>
                <w:w w:val="105"/>
                <w:sz w:val="19"/>
              </w:rPr>
              <w:t> </w:t>
            </w:r>
            <w:r>
              <w:rPr>
                <w:w w:val="105"/>
                <w:sz w:val="19"/>
              </w:rPr>
              <w:t>responsabilidad</w:t>
            </w:r>
            <w:r>
              <w:rPr>
                <w:spacing w:val="-9"/>
                <w:w w:val="105"/>
                <w:sz w:val="19"/>
              </w:rPr>
              <w:t> </w:t>
            </w:r>
            <w:r>
              <w:rPr>
                <w:w w:val="105"/>
                <w:sz w:val="19"/>
              </w:rPr>
              <w:t>en</w:t>
            </w:r>
            <w:r>
              <w:rPr>
                <w:spacing w:val="-9"/>
                <w:w w:val="105"/>
                <w:sz w:val="19"/>
              </w:rPr>
              <w:t> </w:t>
            </w:r>
            <w:r>
              <w:rPr>
                <w:w w:val="105"/>
                <w:sz w:val="19"/>
              </w:rPr>
              <w:t>cuanto</w:t>
            </w:r>
            <w:r>
              <w:rPr>
                <w:spacing w:val="-13"/>
                <w:w w:val="105"/>
                <w:sz w:val="19"/>
              </w:rPr>
              <w:t> </w:t>
            </w:r>
            <w:r>
              <w:rPr>
                <w:w w:val="105"/>
                <w:sz w:val="19"/>
              </w:rPr>
              <w:t>a</w:t>
            </w:r>
            <w:r>
              <w:rPr>
                <w:spacing w:val="-9"/>
                <w:w w:val="105"/>
                <w:sz w:val="19"/>
              </w:rPr>
              <w:t> </w:t>
            </w:r>
            <w:r>
              <w:rPr>
                <w:w w:val="105"/>
                <w:sz w:val="19"/>
              </w:rPr>
              <w:t>la protección</w:t>
            </w:r>
            <w:r>
              <w:rPr>
                <w:spacing w:val="-17"/>
                <w:w w:val="105"/>
                <w:sz w:val="19"/>
              </w:rPr>
              <w:t> </w:t>
            </w:r>
            <w:r>
              <w:rPr>
                <w:w w:val="105"/>
                <w:sz w:val="19"/>
              </w:rPr>
              <w:t>y</w:t>
            </w:r>
            <w:r>
              <w:rPr>
                <w:spacing w:val="-22"/>
                <w:w w:val="105"/>
                <w:sz w:val="19"/>
              </w:rPr>
              <w:t> </w:t>
            </w:r>
            <w:r>
              <w:rPr>
                <w:w w:val="105"/>
                <w:sz w:val="19"/>
              </w:rPr>
              <w:t>mejoramiento</w:t>
            </w:r>
            <w:r>
              <w:rPr>
                <w:spacing w:val="-20"/>
                <w:w w:val="105"/>
                <w:sz w:val="19"/>
              </w:rPr>
              <w:t> </w:t>
            </w:r>
            <w:r>
              <w:rPr>
                <w:w w:val="105"/>
                <w:sz w:val="19"/>
              </w:rPr>
              <w:t>del</w:t>
            </w:r>
            <w:r>
              <w:rPr>
                <w:spacing w:val="-18"/>
                <w:w w:val="105"/>
                <w:sz w:val="19"/>
              </w:rPr>
              <w:t> </w:t>
            </w:r>
            <w:r>
              <w:rPr>
                <w:w w:val="105"/>
                <w:sz w:val="19"/>
              </w:rPr>
              <w:t>medio</w:t>
            </w:r>
            <w:r>
              <w:rPr>
                <w:spacing w:val="-17"/>
                <w:w w:val="105"/>
                <w:sz w:val="19"/>
              </w:rPr>
              <w:t> </w:t>
            </w:r>
            <w:r>
              <w:rPr>
                <w:w w:val="105"/>
                <w:sz w:val="19"/>
              </w:rPr>
              <w:t>en</w:t>
            </w:r>
            <w:r>
              <w:rPr>
                <w:spacing w:val="-17"/>
                <w:w w:val="105"/>
                <w:sz w:val="19"/>
              </w:rPr>
              <w:t> </w:t>
            </w:r>
            <w:r>
              <w:rPr>
                <w:spacing w:val="-3"/>
                <w:w w:val="105"/>
                <w:sz w:val="19"/>
              </w:rPr>
              <w:t>toda</w:t>
            </w:r>
            <w:r>
              <w:rPr>
                <w:spacing w:val="-17"/>
                <w:w w:val="105"/>
                <w:sz w:val="19"/>
              </w:rPr>
              <w:t> </w:t>
            </w:r>
            <w:r>
              <w:rPr>
                <w:w w:val="105"/>
                <w:sz w:val="19"/>
              </w:rPr>
              <w:t>su</w:t>
            </w:r>
            <w:r>
              <w:rPr>
                <w:spacing w:val="-17"/>
                <w:w w:val="105"/>
                <w:sz w:val="19"/>
              </w:rPr>
              <w:t> </w:t>
            </w:r>
            <w:r>
              <w:rPr>
                <w:w w:val="105"/>
                <w:sz w:val="19"/>
              </w:rPr>
              <w:t>dimensión</w:t>
            </w:r>
            <w:r>
              <w:rPr>
                <w:spacing w:val="-17"/>
                <w:w w:val="105"/>
                <w:sz w:val="19"/>
              </w:rPr>
              <w:t> </w:t>
            </w:r>
            <w:r>
              <w:rPr>
                <w:w w:val="105"/>
                <w:sz w:val="19"/>
              </w:rPr>
              <w:t>humana.</w:t>
            </w:r>
          </w:p>
        </w:tc>
      </w:tr>
      <w:tr>
        <w:trPr>
          <w:trHeight w:val="1126" w:hRule="exact"/>
        </w:trPr>
        <w:tc>
          <w:tcPr>
            <w:tcW w:w="2621" w:type="dxa"/>
            <w:tcBorders>
              <w:top w:val="single" w:sz="2" w:space="0" w:color="000000"/>
            </w:tcBorders>
          </w:tcPr>
          <w:p>
            <w:pPr>
              <w:pStyle w:val="TableParagraph"/>
              <w:rPr>
                <w:sz w:val="20"/>
              </w:rPr>
            </w:pPr>
          </w:p>
          <w:p>
            <w:pPr>
              <w:pStyle w:val="TableParagraph"/>
              <w:spacing w:before="9"/>
              <w:rPr>
                <w:sz w:val="28"/>
              </w:rPr>
            </w:pPr>
          </w:p>
          <w:p>
            <w:pPr>
              <w:pStyle w:val="TableParagraph"/>
              <w:ind w:left="158"/>
              <w:rPr>
                <w:sz w:val="19"/>
              </w:rPr>
            </w:pPr>
            <w:r>
              <w:rPr>
                <w:b/>
                <w:w w:val="105"/>
                <w:sz w:val="19"/>
              </w:rPr>
              <w:t>Carta de Belgrado </w:t>
            </w:r>
            <w:r>
              <w:rPr>
                <w:w w:val="105"/>
                <w:sz w:val="19"/>
              </w:rPr>
              <w:t>(1975)</w:t>
            </w:r>
          </w:p>
        </w:tc>
        <w:tc>
          <w:tcPr>
            <w:tcW w:w="6763" w:type="dxa"/>
            <w:tcBorders>
              <w:top w:val="single" w:sz="2" w:space="0" w:color="000000"/>
            </w:tcBorders>
          </w:tcPr>
          <w:p>
            <w:pPr>
              <w:pStyle w:val="TableParagraph"/>
              <w:spacing w:line="247" w:lineRule="auto"/>
              <w:ind w:left="105" w:right="103"/>
              <w:jc w:val="both"/>
              <w:rPr>
                <w:sz w:val="19"/>
              </w:rPr>
            </w:pPr>
            <w:r>
              <w:rPr>
                <w:w w:val="105"/>
                <w:sz w:val="19"/>
              </w:rPr>
              <w:t>Establece</w:t>
            </w:r>
            <w:r>
              <w:rPr>
                <w:spacing w:val="-18"/>
                <w:w w:val="105"/>
                <w:sz w:val="19"/>
              </w:rPr>
              <w:t> </w:t>
            </w:r>
            <w:r>
              <w:rPr>
                <w:w w:val="105"/>
                <w:sz w:val="19"/>
              </w:rPr>
              <w:t>que</w:t>
            </w:r>
            <w:r>
              <w:rPr>
                <w:spacing w:val="-18"/>
                <w:w w:val="105"/>
                <w:sz w:val="19"/>
              </w:rPr>
              <w:t> </w:t>
            </w:r>
            <w:r>
              <w:rPr>
                <w:w w:val="105"/>
                <w:sz w:val="19"/>
              </w:rPr>
              <w:t>los</w:t>
            </w:r>
            <w:r>
              <w:rPr>
                <w:spacing w:val="-14"/>
                <w:w w:val="105"/>
                <w:sz w:val="19"/>
              </w:rPr>
              <w:t> </w:t>
            </w:r>
            <w:r>
              <w:rPr>
                <w:w w:val="105"/>
                <w:sz w:val="19"/>
              </w:rPr>
              <w:t>destinatarios</w:t>
            </w:r>
            <w:r>
              <w:rPr>
                <w:spacing w:val="-18"/>
                <w:w w:val="105"/>
                <w:sz w:val="19"/>
              </w:rPr>
              <w:t> </w:t>
            </w:r>
            <w:r>
              <w:rPr>
                <w:w w:val="105"/>
                <w:sz w:val="19"/>
              </w:rPr>
              <w:t>de</w:t>
            </w:r>
            <w:r>
              <w:rPr>
                <w:spacing w:val="-18"/>
                <w:w w:val="105"/>
                <w:sz w:val="19"/>
              </w:rPr>
              <w:t> </w:t>
            </w:r>
            <w:r>
              <w:rPr>
                <w:w w:val="105"/>
                <w:sz w:val="19"/>
              </w:rPr>
              <w:t>esta</w:t>
            </w:r>
            <w:r>
              <w:rPr>
                <w:spacing w:val="-16"/>
                <w:w w:val="105"/>
                <w:sz w:val="19"/>
              </w:rPr>
              <w:t> </w:t>
            </w:r>
            <w:r>
              <w:rPr>
                <w:w w:val="105"/>
                <w:sz w:val="19"/>
              </w:rPr>
              <w:t>nueva</w:t>
            </w:r>
            <w:r>
              <w:rPr>
                <w:spacing w:val="-16"/>
                <w:w w:val="105"/>
                <w:sz w:val="19"/>
              </w:rPr>
              <w:t> </w:t>
            </w:r>
            <w:r>
              <w:rPr>
                <w:spacing w:val="-3"/>
                <w:w w:val="105"/>
                <w:sz w:val="19"/>
              </w:rPr>
              <w:t>Educación</w:t>
            </w:r>
            <w:r>
              <w:rPr>
                <w:spacing w:val="-16"/>
                <w:w w:val="105"/>
                <w:sz w:val="19"/>
              </w:rPr>
              <w:t> </w:t>
            </w:r>
            <w:r>
              <w:rPr>
                <w:w w:val="105"/>
                <w:sz w:val="19"/>
              </w:rPr>
              <w:t>Ambiental,</w:t>
            </w:r>
            <w:r>
              <w:rPr>
                <w:spacing w:val="-18"/>
                <w:w w:val="105"/>
                <w:sz w:val="19"/>
              </w:rPr>
              <w:t> </w:t>
            </w:r>
            <w:r>
              <w:rPr>
                <w:w w:val="105"/>
                <w:sz w:val="19"/>
              </w:rPr>
              <w:t>siendo el principal el público en general, especialmente los alumnos de la educación formal desde el preescolar hasta la educación universitaria, incluyendo</w:t>
            </w:r>
            <w:r>
              <w:rPr>
                <w:spacing w:val="-7"/>
                <w:w w:val="105"/>
                <w:sz w:val="19"/>
              </w:rPr>
              <w:t> </w:t>
            </w:r>
            <w:r>
              <w:rPr>
                <w:w w:val="105"/>
                <w:sz w:val="19"/>
              </w:rPr>
              <w:t>a</w:t>
            </w:r>
            <w:r>
              <w:rPr>
                <w:spacing w:val="-7"/>
                <w:w w:val="105"/>
                <w:sz w:val="19"/>
              </w:rPr>
              <w:t> </w:t>
            </w:r>
            <w:r>
              <w:rPr>
                <w:w w:val="105"/>
                <w:sz w:val="19"/>
              </w:rPr>
              <w:t>los</w:t>
            </w:r>
            <w:r>
              <w:rPr>
                <w:spacing w:val="-13"/>
                <w:w w:val="105"/>
                <w:sz w:val="19"/>
              </w:rPr>
              <w:t> </w:t>
            </w:r>
            <w:r>
              <w:rPr>
                <w:w w:val="105"/>
                <w:sz w:val="19"/>
              </w:rPr>
              <w:t>profesores.</w:t>
            </w:r>
            <w:r>
              <w:rPr>
                <w:spacing w:val="-13"/>
                <w:w w:val="105"/>
                <w:sz w:val="19"/>
              </w:rPr>
              <w:t> </w:t>
            </w:r>
            <w:r>
              <w:rPr>
                <w:w w:val="105"/>
                <w:sz w:val="19"/>
              </w:rPr>
              <w:t>Luego</w:t>
            </w:r>
            <w:r>
              <w:rPr>
                <w:spacing w:val="-7"/>
                <w:w w:val="105"/>
                <w:sz w:val="19"/>
              </w:rPr>
              <w:t> </w:t>
            </w:r>
            <w:r>
              <w:rPr>
                <w:spacing w:val="-4"/>
                <w:w w:val="105"/>
                <w:sz w:val="19"/>
              </w:rPr>
              <w:t>va</w:t>
            </w:r>
            <w:r>
              <w:rPr>
                <w:spacing w:val="-7"/>
                <w:w w:val="105"/>
                <w:sz w:val="19"/>
              </w:rPr>
              <w:t> </w:t>
            </w:r>
            <w:r>
              <w:rPr>
                <w:w w:val="105"/>
                <w:sz w:val="19"/>
              </w:rPr>
              <w:t>dirigida</w:t>
            </w:r>
            <w:r>
              <w:rPr>
                <w:spacing w:val="-7"/>
                <w:w w:val="105"/>
                <w:sz w:val="19"/>
              </w:rPr>
              <w:t> </w:t>
            </w:r>
            <w:r>
              <w:rPr>
                <w:w w:val="105"/>
                <w:sz w:val="19"/>
              </w:rPr>
              <w:t>a</w:t>
            </w:r>
            <w:r>
              <w:rPr>
                <w:spacing w:val="-3"/>
                <w:w w:val="105"/>
                <w:sz w:val="19"/>
              </w:rPr>
              <w:t> </w:t>
            </w:r>
            <w:r>
              <w:rPr>
                <w:w w:val="105"/>
                <w:sz w:val="19"/>
              </w:rPr>
              <w:t>todas</w:t>
            </w:r>
            <w:r>
              <w:rPr>
                <w:spacing w:val="-9"/>
                <w:w w:val="105"/>
                <w:sz w:val="19"/>
              </w:rPr>
              <w:t> </w:t>
            </w:r>
            <w:r>
              <w:rPr>
                <w:w w:val="105"/>
                <w:sz w:val="19"/>
              </w:rPr>
              <w:t>las</w:t>
            </w:r>
            <w:r>
              <w:rPr>
                <w:spacing w:val="-9"/>
                <w:w w:val="105"/>
                <w:sz w:val="19"/>
              </w:rPr>
              <w:t> </w:t>
            </w:r>
            <w:r>
              <w:rPr>
                <w:w w:val="105"/>
                <w:sz w:val="19"/>
              </w:rPr>
              <w:t>demás</w:t>
            </w:r>
            <w:r>
              <w:rPr>
                <w:spacing w:val="-9"/>
                <w:w w:val="105"/>
                <w:sz w:val="19"/>
              </w:rPr>
              <w:t> </w:t>
            </w:r>
            <w:r>
              <w:rPr>
                <w:w w:val="105"/>
                <w:sz w:val="19"/>
              </w:rPr>
              <w:t>personas que</w:t>
            </w:r>
            <w:r>
              <w:rPr>
                <w:spacing w:val="-21"/>
                <w:w w:val="105"/>
                <w:sz w:val="19"/>
              </w:rPr>
              <w:t> </w:t>
            </w:r>
            <w:r>
              <w:rPr>
                <w:w w:val="105"/>
                <w:sz w:val="19"/>
              </w:rPr>
              <w:t>conforman</w:t>
            </w:r>
            <w:r>
              <w:rPr>
                <w:spacing w:val="-21"/>
                <w:w w:val="105"/>
                <w:sz w:val="19"/>
              </w:rPr>
              <w:t> </w:t>
            </w:r>
            <w:r>
              <w:rPr>
                <w:w w:val="105"/>
                <w:sz w:val="19"/>
              </w:rPr>
              <w:t>la</w:t>
            </w:r>
            <w:r>
              <w:rPr>
                <w:spacing w:val="-18"/>
                <w:w w:val="105"/>
                <w:sz w:val="19"/>
              </w:rPr>
              <w:t> </w:t>
            </w:r>
            <w:r>
              <w:rPr>
                <w:w w:val="105"/>
                <w:sz w:val="19"/>
              </w:rPr>
              <w:t>educación</w:t>
            </w:r>
            <w:r>
              <w:rPr>
                <w:spacing w:val="-19"/>
                <w:w w:val="105"/>
                <w:sz w:val="19"/>
              </w:rPr>
              <w:t> </w:t>
            </w:r>
            <w:r>
              <w:rPr>
                <w:w w:val="105"/>
                <w:sz w:val="19"/>
              </w:rPr>
              <w:t>no</w:t>
            </w:r>
            <w:r>
              <w:rPr>
                <w:spacing w:val="-18"/>
                <w:w w:val="105"/>
                <w:sz w:val="19"/>
              </w:rPr>
              <w:t> </w:t>
            </w:r>
            <w:r>
              <w:rPr>
                <w:w w:val="105"/>
                <w:sz w:val="19"/>
              </w:rPr>
              <w:t>formal.</w:t>
            </w:r>
          </w:p>
        </w:tc>
      </w:tr>
      <w:tr>
        <w:trPr>
          <w:trHeight w:val="1805" w:hRule="exact"/>
        </w:trPr>
        <w:tc>
          <w:tcPr>
            <w:tcW w:w="2621" w:type="dxa"/>
          </w:tcPr>
          <w:p>
            <w:pPr>
              <w:pStyle w:val="TableParagraph"/>
              <w:rPr>
                <w:sz w:val="20"/>
              </w:rPr>
            </w:pPr>
          </w:p>
          <w:p>
            <w:pPr>
              <w:pStyle w:val="TableParagraph"/>
              <w:spacing w:before="4"/>
              <w:rPr>
                <w:sz w:val="28"/>
              </w:rPr>
            </w:pPr>
          </w:p>
          <w:p>
            <w:pPr>
              <w:pStyle w:val="TableParagraph"/>
              <w:ind w:left="128" w:right="129"/>
              <w:jc w:val="center"/>
              <w:rPr>
                <w:b/>
                <w:sz w:val="19"/>
              </w:rPr>
            </w:pPr>
            <w:r>
              <w:rPr>
                <w:b/>
                <w:w w:val="105"/>
                <w:sz w:val="19"/>
              </w:rPr>
              <w:t>Declaración de Tbilisi</w:t>
            </w:r>
          </w:p>
          <w:p>
            <w:pPr>
              <w:pStyle w:val="TableParagraph"/>
              <w:spacing w:before="122"/>
              <w:ind w:left="129" w:right="129"/>
              <w:jc w:val="center"/>
              <w:rPr>
                <w:sz w:val="19"/>
              </w:rPr>
            </w:pPr>
            <w:r>
              <w:rPr>
                <w:w w:val="105"/>
                <w:sz w:val="19"/>
              </w:rPr>
              <w:t>(1977)</w:t>
            </w:r>
          </w:p>
        </w:tc>
        <w:tc>
          <w:tcPr>
            <w:tcW w:w="6763" w:type="dxa"/>
          </w:tcPr>
          <w:p>
            <w:pPr>
              <w:pStyle w:val="TableParagraph"/>
              <w:spacing w:line="244" w:lineRule="auto" w:before="4"/>
              <w:ind w:left="105" w:right="99"/>
              <w:jc w:val="both"/>
              <w:rPr>
                <w:sz w:val="19"/>
              </w:rPr>
            </w:pPr>
            <w:r>
              <w:rPr>
                <w:w w:val="105"/>
                <w:sz w:val="19"/>
              </w:rPr>
              <w:t>En ella se logra un acuerdo de incorporar la educación ambiental a los planes</w:t>
            </w:r>
            <w:r>
              <w:rPr>
                <w:spacing w:val="-20"/>
                <w:w w:val="105"/>
                <w:sz w:val="19"/>
              </w:rPr>
              <w:t> </w:t>
            </w:r>
            <w:r>
              <w:rPr>
                <w:w w:val="105"/>
                <w:sz w:val="19"/>
              </w:rPr>
              <w:t>políticos</w:t>
            </w:r>
            <w:r>
              <w:rPr>
                <w:spacing w:val="-20"/>
                <w:w w:val="105"/>
                <w:sz w:val="19"/>
              </w:rPr>
              <w:t> </w:t>
            </w:r>
            <w:r>
              <w:rPr>
                <w:w w:val="105"/>
                <w:sz w:val="19"/>
              </w:rPr>
              <w:t>de</w:t>
            </w:r>
            <w:r>
              <w:rPr>
                <w:spacing w:val="-14"/>
                <w:w w:val="105"/>
                <w:sz w:val="19"/>
              </w:rPr>
              <w:t> </w:t>
            </w:r>
            <w:r>
              <w:rPr>
                <w:w w:val="105"/>
                <w:sz w:val="19"/>
              </w:rPr>
              <w:t>todas</w:t>
            </w:r>
            <w:r>
              <w:rPr>
                <w:spacing w:val="-20"/>
                <w:w w:val="105"/>
                <w:sz w:val="19"/>
              </w:rPr>
              <w:t> </w:t>
            </w:r>
            <w:r>
              <w:rPr>
                <w:w w:val="105"/>
                <w:sz w:val="19"/>
              </w:rPr>
              <w:t>las</w:t>
            </w:r>
            <w:r>
              <w:rPr>
                <w:spacing w:val="-23"/>
                <w:w w:val="105"/>
                <w:sz w:val="19"/>
              </w:rPr>
              <w:t> </w:t>
            </w:r>
            <w:r>
              <w:rPr>
                <w:w w:val="105"/>
                <w:sz w:val="19"/>
              </w:rPr>
              <w:t>naciones,</w:t>
            </w:r>
            <w:r>
              <w:rPr>
                <w:spacing w:val="-22"/>
                <w:w w:val="105"/>
                <w:sz w:val="19"/>
              </w:rPr>
              <w:t> </w:t>
            </w:r>
            <w:r>
              <w:rPr>
                <w:w w:val="105"/>
                <w:sz w:val="19"/>
              </w:rPr>
              <w:t>en</w:t>
            </w:r>
            <w:r>
              <w:rPr>
                <w:spacing w:val="-17"/>
                <w:w w:val="105"/>
                <w:sz w:val="19"/>
              </w:rPr>
              <w:t> </w:t>
            </w:r>
            <w:r>
              <w:rPr>
                <w:w w:val="105"/>
                <w:sz w:val="19"/>
              </w:rPr>
              <w:t>donde</w:t>
            </w:r>
            <w:r>
              <w:rPr>
                <w:spacing w:val="-17"/>
                <w:w w:val="105"/>
                <w:sz w:val="19"/>
              </w:rPr>
              <w:t> </w:t>
            </w:r>
            <w:r>
              <w:rPr>
                <w:w w:val="105"/>
                <w:sz w:val="19"/>
              </w:rPr>
              <w:t>prevalezca</w:t>
            </w:r>
            <w:r>
              <w:rPr>
                <w:spacing w:val="-17"/>
                <w:w w:val="105"/>
                <w:sz w:val="19"/>
              </w:rPr>
              <w:t> </w:t>
            </w:r>
            <w:r>
              <w:rPr>
                <w:spacing w:val="-3"/>
                <w:w w:val="105"/>
                <w:sz w:val="19"/>
              </w:rPr>
              <w:t>una</w:t>
            </w:r>
            <w:r>
              <w:rPr>
                <w:spacing w:val="-14"/>
                <w:w w:val="105"/>
                <w:sz w:val="19"/>
              </w:rPr>
              <w:t> </w:t>
            </w:r>
            <w:r>
              <w:rPr>
                <w:w w:val="105"/>
                <w:sz w:val="19"/>
              </w:rPr>
              <w:t>pedagogía de acción y para la acción basada en la preparación del individuo que permita comprender mejor los principales problemas del mundo contemporáneo,</w:t>
            </w:r>
            <w:r>
              <w:rPr>
                <w:spacing w:val="-21"/>
                <w:w w:val="105"/>
                <w:sz w:val="19"/>
              </w:rPr>
              <w:t> </w:t>
            </w:r>
            <w:r>
              <w:rPr>
                <w:w w:val="105"/>
                <w:sz w:val="19"/>
              </w:rPr>
              <w:t>proporcionándole</w:t>
            </w:r>
            <w:r>
              <w:rPr>
                <w:spacing w:val="-16"/>
                <w:w w:val="105"/>
                <w:sz w:val="19"/>
              </w:rPr>
              <w:t> </w:t>
            </w:r>
            <w:r>
              <w:rPr>
                <w:w w:val="105"/>
                <w:sz w:val="19"/>
              </w:rPr>
              <w:t>conocimientos</w:t>
            </w:r>
            <w:r>
              <w:rPr>
                <w:spacing w:val="-18"/>
                <w:w w:val="105"/>
                <w:sz w:val="19"/>
              </w:rPr>
              <w:t> </w:t>
            </w:r>
            <w:r>
              <w:rPr>
                <w:w w:val="105"/>
                <w:sz w:val="19"/>
              </w:rPr>
              <w:t>técnicos</w:t>
            </w:r>
            <w:r>
              <w:rPr>
                <w:spacing w:val="-18"/>
                <w:w w:val="105"/>
                <w:sz w:val="19"/>
              </w:rPr>
              <w:t> </w:t>
            </w:r>
            <w:r>
              <w:rPr>
                <w:w w:val="105"/>
                <w:sz w:val="19"/>
              </w:rPr>
              <w:t>y</w:t>
            </w:r>
            <w:r>
              <w:rPr>
                <w:spacing w:val="-21"/>
                <w:w w:val="105"/>
                <w:sz w:val="19"/>
              </w:rPr>
              <w:t> </w:t>
            </w:r>
            <w:r>
              <w:rPr>
                <w:spacing w:val="3"/>
                <w:w w:val="105"/>
                <w:sz w:val="19"/>
              </w:rPr>
              <w:t>las</w:t>
            </w:r>
            <w:r>
              <w:rPr>
                <w:spacing w:val="-21"/>
                <w:w w:val="105"/>
                <w:sz w:val="19"/>
              </w:rPr>
              <w:t> </w:t>
            </w:r>
            <w:r>
              <w:rPr>
                <w:w w:val="105"/>
                <w:sz w:val="19"/>
              </w:rPr>
              <w:t>cualidades necesarias</w:t>
            </w:r>
            <w:r>
              <w:rPr>
                <w:spacing w:val="-16"/>
                <w:w w:val="105"/>
                <w:sz w:val="19"/>
              </w:rPr>
              <w:t> </w:t>
            </w:r>
            <w:r>
              <w:rPr>
                <w:w w:val="105"/>
                <w:sz w:val="19"/>
              </w:rPr>
              <w:t>para</w:t>
            </w:r>
            <w:r>
              <w:rPr>
                <w:spacing w:val="-13"/>
                <w:w w:val="105"/>
                <w:sz w:val="19"/>
              </w:rPr>
              <w:t> </w:t>
            </w:r>
            <w:r>
              <w:rPr>
                <w:w w:val="105"/>
                <w:sz w:val="19"/>
              </w:rPr>
              <w:t>desempeñar</w:t>
            </w:r>
            <w:r>
              <w:rPr>
                <w:spacing w:val="-16"/>
                <w:w w:val="105"/>
                <w:sz w:val="19"/>
              </w:rPr>
              <w:t> </w:t>
            </w:r>
            <w:r>
              <w:rPr>
                <w:w w:val="105"/>
                <w:sz w:val="19"/>
              </w:rPr>
              <w:t>una</w:t>
            </w:r>
            <w:r>
              <w:rPr>
                <w:spacing w:val="-13"/>
                <w:w w:val="105"/>
                <w:sz w:val="19"/>
              </w:rPr>
              <w:t> </w:t>
            </w:r>
            <w:r>
              <w:rPr>
                <w:w w:val="105"/>
                <w:sz w:val="19"/>
              </w:rPr>
              <w:t>función</w:t>
            </w:r>
            <w:r>
              <w:rPr>
                <w:spacing w:val="-16"/>
                <w:w w:val="105"/>
                <w:sz w:val="19"/>
              </w:rPr>
              <w:t> </w:t>
            </w:r>
            <w:r>
              <w:rPr>
                <w:w w:val="105"/>
                <w:sz w:val="19"/>
              </w:rPr>
              <w:t>productiva</w:t>
            </w:r>
            <w:r>
              <w:rPr>
                <w:spacing w:val="-13"/>
                <w:w w:val="105"/>
                <w:sz w:val="19"/>
              </w:rPr>
              <w:t> </w:t>
            </w:r>
            <w:r>
              <w:rPr>
                <w:w w:val="105"/>
                <w:sz w:val="19"/>
              </w:rPr>
              <w:t>con</w:t>
            </w:r>
            <w:r>
              <w:rPr>
                <w:spacing w:val="-16"/>
                <w:w w:val="105"/>
                <w:sz w:val="19"/>
              </w:rPr>
              <w:t> </w:t>
            </w:r>
            <w:r>
              <w:rPr>
                <w:w w:val="105"/>
                <w:sz w:val="19"/>
              </w:rPr>
              <w:t>miras</w:t>
            </w:r>
            <w:r>
              <w:rPr>
                <w:spacing w:val="-19"/>
                <w:w w:val="105"/>
                <w:sz w:val="19"/>
              </w:rPr>
              <w:t> </w:t>
            </w:r>
            <w:r>
              <w:rPr>
                <w:w w:val="105"/>
                <w:sz w:val="19"/>
              </w:rPr>
              <w:t>a</w:t>
            </w:r>
            <w:r>
              <w:rPr>
                <w:spacing w:val="-16"/>
                <w:w w:val="105"/>
                <w:sz w:val="19"/>
              </w:rPr>
              <w:t> </w:t>
            </w:r>
            <w:r>
              <w:rPr>
                <w:w w:val="105"/>
                <w:sz w:val="19"/>
              </w:rPr>
              <w:t>mejorar</w:t>
            </w:r>
            <w:r>
              <w:rPr>
                <w:spacing w:val="-19"/>
                <w:w w:val="105"/>
                <w:sz w:val="19"/>
              </w:rPr>
              <w:t> </w:t>
            </w:r>
            <w:r>
              <w:rPr>
                <w:w w:val="105"/>
                <w:sz w:val="19"/>
              </w:rPr>
              <w:t>la vida y proteger el medio ambiente, prestando la debida atención a los valores</w:t>
            </w:r>
            <w:r>
              <w:rPr>
                <w:spacing w:val="-33"/>
                <w:w w:val="105"/>
                <w:sz w:val="19"/>
              </w:rPr>
              <w:t> </w:t>
            </w:r>
            <w:r>
              <w:rPr>
                <w:w w:val="105"/>
                <w:sz w:val="19"/>
              </w:rPr>
              <w:t>éticos.</w:t>
            </w:r>
          </w:p>
        </w:tc>
      </w:tr>
      <w:tr>
        <w:trPr>
          <w:trHeight w:val="1138" w:hRule="exact"/>
        </w:trPr>
        <w:tc>
          <w:tcPr>
            <w:tcW w:w="2621" w:type="dxa"/>
          </w:tcPr>
          <w:p>
            <w:pPr>
              <w:pStyle w:val="TableParagraph"/>
              <w:spacing w:line="244" w:lineRule="auto"/>
              <w:ind w:left="105" w:right="100" w:hanging="7"/>
              <w:jc w:val="center"/>
              <w:rPr>
                <w:b/>
                <w:sz w:val="19"/>
              </w:rPr>
            </w:pPr>
            <w:r>
              <w:rPr>
                <w:b/>
                <w:w w:val="105"/>
                <w:sz w:val="19"/>
              </w:rPr>
              <w:t>Primera Conferencia Mundial</w:t>
            </w:r>
            <w:r>
              <w:rPr>
                <w:b/>
                <w:spacing w:val="-21"/>
                <w:w w:val="105"/>
                <w:sz w:val="19"/>
              </w:rPr>
              <w:t> </w:t>
            </w:r>
            <w:r>
              <w:rPr>
                <w:b/>
                <w:w w:val="105"/>
                <w:sz w:val="19"/>
              </w:rPr>
              <w:t>sobre</w:t>
            </w:r>
            <w:r>
              <w:rPr>
                <w:b/>
                <w:spacing w:val="-15"/>
                <w:w w:val="105"/>
                <w:sz w:val="19"/>
              </w:rPr>
              <w:t> </w:t>
            </w:r>
            <w:r>
              <w:rPr>
                <w:b/>
                <w:w w:val="105"/>
                <w:sz w:val="19"/>
              </w:rPr>
              <w:t>el</w:t>
            </w:r>
            <w:r>
              <w:rPr>
                <w:b/>
                <w:spacing w:val="-18"/>
                <w:w w:val="105"/>
                <w:sz w:val="19"/>
              </w:rPr>
              <w:t> </w:t>
            </w:r>
            <w:r>
              <w:rPr>
                <w:b/>
                <w:w w:val="105"/>
                <w:sz w:val="19"/>
              </w:rPr>
              <w:t>Clima</w:t>
            </w:r>
            <w:r>
              <w:rPr>
                <w:b/>
                <w:spacing w:val="-15"/>
                <w:w w:val="105"/>
                <w:sz w:val="19"/>
              </w:rPr>
              <w:t> </w:t>
            </w:r>
            <w:r>
              <w:rPr>
                <w:b/>
                <w:spacing w:val="2"/>
                <w:w w:val="105"/>
                <w:sz w:val="19"/>
              </w:rPr>
              <w:t>en </w:t>
            </w:r>
            <w:r>
              <w:rPr>
                <w:b/>
                <w:w w:val="105"/>
                <w:sz w:val="19"/>
              </w:rPr>
              <w:t>Ginebra</w:t>
            </w:r>
          </w:p>
          <w:p>
            <w:pPr>
              <w:pStyle w:val="TableParagraph"/>
              <w:spacing w:before="118"/>
              <w:ind w:left="129" w:right="129"/>
              <w:jc w:val="center"/>
              <w:rPr>
                <w:sz w:val="19"/>
              </w:rPr>
            </w:pPr>
            <w:r>
              <w:rPr>
                <w:w w:val="105"/>
                <w:sz w:val="19"/>
              </w:rPr>
              <w:t>(1979)</w:t>
            </w:r>
          </w:p>
        </w:tc>
        <w:tc>
          <w:tcPr>
            <w:tcW w:w="6763" w:type="dxa"/>
          </w:tcPr>
          <w:p>
            <w:pPr>
              <w:pStyle w:val="TableParagraph"/>
              <w:spacing w:line="247" w:lineRule="auto" w:before="114"/>
              <w:ind w:left="105" w:right="100"/>
              <w:jc w:val="both"/>
              <w:rPr>
                <w:sz w:val="19"/>
              </w:rPr>
            </w:pPr>
            <w:r>
              <w:rPr>
                <w:w w:val="105"/>
                <w:sz w:val="19"/>
              </w:rPr>
              <w:t>Por primera </w:t>
            </w:r>
            <w:r>
              <w:rPr>
                <w:spacing w:val="-3"/>
                <w:w w:val="105"/>
                <w:sz w:val="19"/>
              </w:rPr>
              <w:t>vez </w:t>
            </w:r>
            <w:r>
              <w:rPr>
                <w:w w:val="105"/>
                <w:sz w:val="19"/>
              </w:rPr>
              <w:t>se consideró el cambio climático como una amenaza real para el planeta. La Conferencia adoptó una declaración </w:t>
            </w:r>
            <w:r>
              <w:rPr>
                <w:spacing w:val="-3"/>
                <w:w w:val="105"/>
                <w:sz w:val="19"/>
              </w:rPr>
              <w:t>que </w:t>
            </w:r>
            <w:r>
              <w:rPr>
                <w:w w:val="105"/>
                <w:sz w:val="19"/>
              </w:rPr>
              <w:t>exhortaba a los</w:t>
            </w:r>
            <w:r>
              <w:rPr>
                <w:spacing w:val="-12"/>
                <w:w w:val="105"/>
                <w:sz w:val="19"/>
              </w:rPr>
              <w:t> </w:t>
            </w:r>
            <w:r>
              <w:rPr>
                <w:w w:val="105"/>
                <w:sz w:val="19"/>
              </w:rPr>
              <w:t>gobiernos</w:t>
            </w:r>
            <w:r>
              <w:rPr>
                <w:spacing w:val="-16"/>
                <w:w w:val="105"/>
                <w:sz w:val="19"/>
              </w:rPr>
              <w:t> </w:t>
            </w:r>
            <w:r>
              <w:rPr>
                <w:w w:val="105"/>
                <w:sz w:val="19"/>
              </w:rPr>
              <w:t>a</w:t>
            </w:r>
            <w:r>
              <w:rPr>
                <w:spacing w:val="-9"/>
                <w:w w:val="105"/>
                <w:sz w:val="19"/>
              </w:rPr>
              <w:t> </w:t>
            </w:r>
            <w:r>
              <w:rPr>
                <w:w w:val="105"/>
                <w:sz w:val="19"/>
              </w:rPr>
              <w:t>prever</w:t>
            </w:r>
            <w:r>
              <w:rPr>
                <w:spacing w:val="-12"/>
                <w:w w:val="105"/>
                <w:sz w:val="19"/>
              </w:rPr>
              <w:t> </w:t>
            </w:r>
            <w:r>
              <w:rPr>
                <w:w w:val="105"/>
                <w:sz w:val="19"/>
              </w:rPr>
              <w:t>y</w:t>
            </w:r>
            <w:r>
              <w:rPr>
                <w:spacing w:val="-16"/>
                <w:w w:val="105"/>
                <w:sz w:val="19"/>
              </w:rPr>
              <w:t> </w:t>
            </w:r>
            <w:r>
              <w:rPr>
                <w:w w:val="105"/>
                <w:sz w:val="19"/>
              </w:rPr>
              <w:t>evitar</w:t>
            </w:r>
            <w:r>
              <w:rPr>
                <w:spacing w:val="-12"/>
                <w:w w:val="105"/>
                <w:sz w:val="19"/>
              </w:rPr>
              <w:t> </w:t>
            </w:r>
            <w:r>
              <w:rPr>
                <w:w w:val="105"/>
                <w:sz w:val="19"/>
              </w:rPr>
              <w:t>los</w:t>
            </w:r>
            <w:r>
              <w:rPr>
                <w:spacing w:val="-8"/>
                <w:w w:val="105"/>
                <w:sz w:val="19"/>
              </w:rPr>
              <w:t> </w:t>
            </w:r>
            <w:r>
              <w:rPr>
                <w:w w:val="105"/>
                <w:sz w:val="19"/>
              </w:rPr>
              <w:t>posibles</w:t>
            </w:r>
            <w:r>
              <w:rPr>
                <w:spacing w:val="-16"/>
                <w:w w:val="105"/>
                <w:sz w:val="19"/>
              </w:rPr>
              <w:t> </w:t>
            </w:r>
            <w:r>
              <w:rPr>
                <w:w w:val="105"/>
                <w:sz w:val="19"/>
              </w:rPr>
              <w:t>cambios</w:t>
            </w:r>
            <w:r>
              <w:rPr>
                <w:spacing w:val="-16"/>
                <w:w w:val="105"/>
                <w:sz w:val="19"/>
              </w:rPr>
              <w:t> </w:t>
            </w:r>
            <w:r>
              <w:rPr>
                <w:w w:val="105"/>
                <w:sz w:val="19"/>
              </w:rPr>
              <w:t>en</w:t>
            </w:r>
            <w:r>
              <w:rPr>
                <w:spacing w:val="-13"/>
                <w:w w:val="105"/>
                <w:sz w:val="19"/>
              </w:rPr>
              <w:t> </w:t>
            </w:r>
            <w:r>
              <w:rPr>
                <w:spacing w:val="2"/>
                <w:w w:val="105"/>
                <w:sz w:val="19"/>
              </w:rPr>
              <w:t>el</w:t>
            </w:r>
            <w:r>
              <w:rPr>
                <w:spacing w:val="-14"/>
                <w:w w:val="105"/>
                <w:sz w:val="19"/>
              </w:rPr>
              <w:t> </w:t>
            </w:r>
            <w:r>
              <w:rPr>
                <w:w w:val="105"/>
                <w:sz w:val="19"/>
              </w:rPr>
              <w:t>clima</w:t>
            </w:r>
            <w:r>
              <w:rPr>
                <w:spacing w:val="-9"/>
                <w:w w:val="105"/>
                <w:sz w:val="19"/>
              </w:rPr>
              <w:t> </w:t>
            </w:r>
            <w:r>
              <w:rPr>
                <w:w w:val="105"/>
                <w:sz w:val="19"/>
              </w:rPr>
              <w:t>provocados por el</w:t>
            </w:r>
            <w:r>
              <w:rPr>
                <w:spacing w:val="-33"/>
                <w:w w:val="105"/>
                <w:sz w:val="19"/>
              </w:rPr>
              <w:t> </w:t>
            </w:r>
            <w:r>
              <w:rPr>
                <w:w w:val="105"/>
                <w:sz w:val="19"/>
              </w:rPr>
              <w:t>hombre.</w:t>
            </w:r>
          </w:p>
        </w:tc>
      </w:tr>
      <w:tr>
        <w:trPr>
          <w:trHeight w:val="1574" w:hRule="exact"/>
        </w:trPr>
        <w:tc>
          <w:tcPr>
            <w:tcW w:w="2621" w:type="dxa"/>
          </w:tcPr>
          <w:p>
            <w:pPr>
              <w:pStyle w:val="TableParagraph"/>
              <w:rPr>
                <w:sz w:val="20"/>
              </w:rPr>
            </w:pPr>
          </w:p>
          <w:p>
            <w:pPr>
              <w:pStyle w:val="TableParagraph"/>
              <w:rPr>
                <w:sz w:val="20"/>
              </w:rPr>
            </w:pPr>
          </w:p>
          <w:p>
            <w:pPr>
              <w:pStyle w:val="TableParagraph"/>
              <w:spacing w:before="154"/>
              <w:ind w:left="128" w:right="129"/>
              <w:jc w:val="center"/>
              <w:rPr>
                <w:b/>
                <w:sz w:val="19"/>
              </w:rPr>
            </w:pPr>
            <w:r>
              <w:rPr>
                <w:b/>
                <w:w w:val="105"/>
                <w:sz w:val="19"/>
              </w:rPr>
              <w:t>Congreso de Moscú</w:t>
            </w:r>
          </w:p>
          <w:p>
            <w:pPr>
              <w:pStyle w:val="TableParagraph"/>
              <w:spacing w:before="122"/>
              <w:ind w:left="129" w:right="129"/>
              <w:jc w:val="center"/>
              <w:rPr>
                <w:sz w:val="19"/>
              </w:rPr>
            </w:pPr>
            <w:r>
              <w:rPr>
                <w:w w:val="105"/>
                <w:sz w:val="19"/>
              </w:rPr>
              <w:t>(1987)</w:t>
            </w:r>
          </w:p>
        </w:tc>
        <w:tc>
          <w:tcPr>
            <w:tcW w:w="6763" w:type="dxa"/>
          </w:tcPr>
          <w:p>
            <w:pPr>
              <w:pStyle w:val="TableParagraph"/>
              <w:spacing w:line="247" w:lineRule="auto"/>
              <w:ind w:left="105" w:right="94"/>
              <w:jc w:val="both"/>
              <w:rPr>
                <w:sz w:val="19"/>
              </w:rPr>
            </w:pPr>
            <w:r>
              <w:rPr>
                <w:spacing w:val="-3"/>
                <w:w w:val="105"/>
                <w:sz w:val="19"/>
              </w:rPr>
              <w:t>Diez </w:t>
            </w:r>
            <w:r>
              <w:rPr>
                <w:w w:val="105"/>
                <w:sz w:val="19"/>
              </w:rPr>
              <w:t>años más tarde se plantea un </w:t>
            </w:r>
            <w:r>
              <w:rPr>
                <w:spacing w:val="-3"/>
                <w:w w:val="105"/>
                <w:sz w:val="19"/>
              </w:rPr>
              <w:t>plan </w:t>
            </w:r>
            <w:r>
              <w:rPr>
                <w:w w:val="105"/>
                <w:sz w:val="19"/>
              </w:rPr>
              <w:t>estratégico a nivel internacional para accionar desde la </w:t>
            </w:r>
            <w:r>
              <w:rPr>
                <w:spacing w:val="-3"/>
                <w:w w:val="105"/>
                <w:sz w:val="19"/>
              </w:rPr>
              <w:t>Educación </w:t>
            </w:r>
            <w:r>
              <w:rPr>
                <w:w w:val="105"/>
                <w:sz w:val="19"/>
              </w:rPr>
              <w:t>y Formación Ambiental mediante </w:t>
            </w:r>
            <w:r>
              <w:rPr>
                <w:spacing w:val="2"/>
                <w:w w:val="105"/>
                <w:sz w:val="19"/>
              </w:rPr>
              <w:t>el </w:t>
            </w:r>
            <w:r>
              <w:rPr>
                <w:w w:val="105"/>
                <w:sz w:val="19"/>
              </w:rPr>
              <w:t>acceso a la información; investigación y experimentación; programas educativos</w:t>
            </w:r>
            <w:r>
              <w:rPr>
                <w:spacing w:val="-4"/>
                <w:w w:val="105"/>
                <w:sz w:val="19"/>
              </w:rPr>
              <w:t> </w:t>
            </w:r>
            <w:r>
              <w:rPr>
                <w:w w:val="105"/>
                <w:sz w:val="19"/>
              </w:rPr>
              <w:t>y</w:t>
            </w:r>
            <w:r>
              <w:rPr>
                <w:spacing w:val="-8"/>
                <w:w w:val="105"/>
                <w:sz w:val="19"/>
              </w:rPr>
              <w:t> </w:t>
            </w:r>
            <w:r>
              <w:rPr>
                <w:w w:val="105"/>
                <w:sz w:val="19"/>
              </w:rPr>
              <w:t>materiales</w:t>
            </w:r>
            <w:r>
              <w:rPr>
                <w:spacing w:val="-8"/>
                <w:w w:val="105"/>
                <w:sz w:val="19"/>
              </w:rPr>
              <w:t> </w:t>
            </w:r>
            <w:r>
              <w:rPr>
                <w:w w:val="105"/>
                <w:sz w:val="19"/>
              </w:rPr>
              <w:t>didácticos;</w:t>
            </w:r>
            <w:r>
              <w:rPr>
                <w:spacing w:val="-4"/>
                <w:w w:val="105"/>
                <w:sz w:val="19"/>
              </w:rPr>
              <w:t> </w:t>
            </w:r>
            <w:r>
              <w:rPr>
                <w:w w:val="105"/>
                <w:sz w:val="19"/>
              </w:rPr>
              <w:t>adiestramiento</w:t>
            </w:r>
            <w:r>
              <w:rPr>
                <w:spacing w:val="-5"/>
                <w:w w:val="105"/>
                <w:sz w:val="19"/>
              </w:rPr>
              <w:t> </w:t>
            </w:r>
            <w:r>
              <w:rPr>
                <w:w w:val="105"/>
                <w:sz w:val="19"/>
              </w:rPr>
              <w:t>de</w:t>
            </w:r>
            <w:r>
              <w:rPr>
                <w:spacing w:val="-5"/>
                <w:w w:val="105"/>
                <w:sz w:val="19"/>
              </w:rPr>
              <w:t> </w:t>
            </w:r>
            <w:r>
              <w:rPr>
                <w:w w:val="105"/>
                <w:sz w:val="19"/>
              </w:rPr>
              <w:t>personal;</w:t>
            </w:r>
            <w:r>
              <w:rPr>
                <w:spacing w:val="-11"/>
                <w:w w:val="105"/>
                <w:sz w:val="19"/>
              </w:rPr>
              <w:t> </w:t>
            </w:r>
            <w:r>
              <w:rPr>
                <w:w w:val="105"/>
                <w:sz w:val="19"/>
              </w:rPr>
              <w:t>educación técnica y vocacional; educación e información al público; educación universitaria</w:t>
            </w:r>
            <w:r>
              <w:rPr>
                <w:spacing w:val="-16"/>
                <w:w w:val="105"/>
                <w:sz w:val="19"/>
              </w:rPr>
              <w:t> </w:t>
            </w:r>
            <w:r>
              <w:rPr>
                <w:w w:val="105"/>
                <w:sz w:val="19"/>
              </w:rPr>
              <w:t>general;</w:t>
            </w:r>
            <w:r>
              <w:rPr>
                <w:spacing w:val="-21"/>
                <w:w w:val="105"/>
                <w:sz w:val="19"/>
              </w:rPr>
              <w:t> </w:t>
            </w:r>
            <w:r>
              <w:rPr>
                <w:w w:val="105"/>
                <w:sz w:val="19"/>
              </w:rPr>
              <w:t>formación</w:t>
            </w:r>
            <w:r>
              <w:rPr>
                <w:spacing w:val="-19"/>
                <w:w w:val="105"/>
                <w:sz w:val="19"/>
              </w:rPr>
              <w:t> </w:t>
            </w:r>
            <w:r>
              <w:rPr>
                <w:w w:val="105"/>
                <w:sz w:val="19"/>
              </w:rPr>
              <w:t>de</w:t>
            </w:r>
            <w:r>
              <w:rPr>
                <w:spacing w:val="-16"/>
                <w:w w:val="105"/>
                <w:sz w:val="19"/>
              </w:rPr>
              <w:t> </w:t>
            </w:r>
            <w:r>
              <w:rPr>
                <w:w w:val="105"/>
                <w:sz w:val="19"/>
              </w:rPr>
              <w:t>especialistas;</w:t>
            </w:r>
            <w:r>
              <w:rPr>
                <w:spacing w:val="-21"/>
                <w:w w:val="105"/>
                <w:sz w:val="19"/>
              </w:rPr>
              <w:t> </w:t>
            </w:r>
            <w:r>
              <w:rPr>
                <w:w w:val="105"/>
                <w:sz w:val="19"/>
              </w:rPr>
              <w:t>cooperación</w:t>
            </w:r>
            <w:r>
              <w:rPr>
                <w:spacing w:val="-16"/>
                <w:w w:val="105"/>
                <w:sz w:val="19"/>
              </w:rPr>
              <w:t> </w:t>
            </w:r>
            <w:r>
              <w:rPr>
                <w:w w:val="105"/>
                <w:sz w:val="19"/>
              </w:rPr>
              <w:t>internacional y</w:t>
            </w:r>
            <w:r>
              <w:rPr>
                <w:spacing w:val="-22"/>
                <w:w w:val="105"/>
                <w:sz w:val="19"/>
              </w:rPr>
              <w:t> </w:t>
            </w:r>
            <w:r>
              <w:rPr>
                <w:w w:val="105"/>
                <w:sz w:val="19"/>
              </w:rPr>
              <w:t>regional.</w:t>
            </w:r>
          </w:p>
        </w:tc>
      </w:tr>
      <w:tr>
        <w:trPr>
          <w:trHeight w:val="907" w:hRule="exact"/>
        </w:trPr>
        <w:tc>
          <w:tcPr>
            <w:tcW w:w="2621" w:type="dxa"/>
          </w:tcPr>
          <w:p>
            <w:pPr>
              <w:pStyle w:val="TableParagraph"/>
              <w:spacing w:before="109"/>
              <w:ind w:left="129" w:right="128"/>
              <w:jc w:val="center"/>
              <w:rPr>
                <w:b/>
                <w:sz w:val="19"/>
              </w:rPr>
            </w:pPr>
            <w:r>
              <w:rPr>
                <w:b/>
                <w:w w:val="105"/>
                <w:sz w:val="19"/>
              </w:rPr>
              <w:t>Cumbre para la Tierra</w:t>
            </w:r>
          </w:p>
          <w:p>
            <w:pPr>
              <w:pStyle w:val="TableParagraph"/>
              <w:spacing w:before="122"/>
              <w:ind w:left="129" w:right="129"/>
              <w:jc w:val="center"/>
              <w:rPr>
                <w:sz w:val="19"/>
              </w:rPr>
            </w:pPr>
            <w:r>
              <w:rPr>
                <w:w w:val="105"/>
                <w:sz w:val="19"/>
              </w:rPr>
              <w:t>(1992)</w:t>
            </w:r>
          </w:p>
        </w:tc>
        <w:tc>
          <w:tcPr>
            <w:tcW w:w="6763" w:type="dxa"/>
          </w:tcPr>
          <w:p>
            <w:pPr>
              <w:pStyle w:val="TableParagraph"/>
              <w:spacing w:line="247" w:lineRule="auto"/>
              <w:ind w:left="105" w:right="100"/>
              <w:jc w:val="both"/>
              <w:rPr>
                <w:sz w:val="19"/>
              </w:rPr>
            </w:pPr>
            <w:r>
              <w:rPr>
                <w:w w:val="105"/>
                <w:sz w:val="19"/>
              </w:rPr>
              <w:t>Fue una ratificación de las reuniones anteriores en buscar una mejor comprensión de las necesidades actuales y su solución en función del respeto a los intereses de las sociedades por venir. Es decir, promover la ejecución de planes para un desarrollo sustentable mundial.</w:t>
            </w:r>
          </w:p>
        </w:tc>
      </w:tr>
      <w:tr>
        <w:trPr>
          <w:trHeight w:val="1349" w:hRule="exact"/>
        </w:trPr>
        <w:tc>
          <w:tcPr>
            <w:tcW w:w="2621" w:type="dxa"/>
          </w:tcPr>
          <w:p>
            <w:pPr>
              <w:pStyle w:val="TableParagraph"/>
              <w:spacing w:before="8"/>
              <w:rPr>
                <w:sz w:val="28"/>
              </w:rPr>
            </w:pPr>
          </w:p>
          <w:p>
            <w:pPr>
              <w:pStyle w:val="TableParagraph"/>
              <w:ind w:left="129" w:right="127"/>
              <w:jc w:val="center"/>
              <w:rPr>
                <w:b/>
                <w:sz w:val="19"/>
              </w:rPr>
            </w:pPr>
            <w:r>
              <w:rPr>
                <w:b/>
                <w:w w:val="105"/>
                <w:sz w:val="19"/>
              </w:rPr>
              <w:t>Declaración de Salónica</w:t>
            </w:r>
          </w:p>
          <w:p>
            <w:pPr>
              <w:pStyle w:val="TableParagraph"/>
              <w:spacing w:before="122"/>
              <w:ind w:left="129" w:right="129"/>
              <w:jc w:val="center"/>
              <w:rPr>
                <w:sz w:val="19"/>
              </w:rPr>
            </w:pPr>
            <w:r>
              <w:rPr>
                <w:w w:val="105"/>
                <w:sz w:val="19"/>
              </w:rPr>
              <w:t>(1997)</w:t>
            </w:r>
          </w:p>
        </w:tc>
        <w:tc>
          <w:tcPr>
            <w:tcW w:w="6763" w:type="dxa"/>
          </w:tcPr>
          <w:p>
            <w:pPr>
              <w:pStyle w:val="TableParagraph"/>
              <w:spacing w:line="244" w:lineRule="auto"/>
              <w:ind w:left="105" w:right="99"/>
              <w:jc w:val="both"/>
              <w:rPr>
                <w:sz w:val="19"/>
              </w:rPr>
            </w:pPr>
            <w:r>
              <w:rPr>
                <w:w w:val="105"/>
                <w:sz w:val="19"/>
              </w:rPr>
              <w:t>Establece</w:t>
            </w:r>
            <w:r>
              <w:rPr>
                <w:spacing w:val="-19"/>
                <w:w w:val="105"/>
                <w:sz w:val="19"/>
              </w:rPr>
              <w:t> </w:t>
            </w:r>
            <w:r>
              <w:rPr>
                <w:w w:val="105"/>
                <w:sz w:val="19"/>
              </w:rPr>
              <w:t>Educación</w:t>
            </w:r>
            <w:r>
              <w:rPr>
                <w:spacing w:val="-16"/>
                <w:w w:val="105"/>
                <w:sz w:val="19"/>
              </w:rPr>
              <w:t> </w:t>
            </w:r>
            <w:r>
              <w:rPr>
                <w:w w:val="105"/>
                <w:sz w:val="19"/>
              </w:rPr>
              <w:t>y</w:t>
            </w:r>
            <w:r>
              <w:rPr>
                <w:spacing w:val="-21"/>
                <w:w w:val="105"/>
                <w:sz w:val="19"/>
              </w:rPr>
              <w:t> </w:t>
            </w:r>
            <w:r>
              <w:rPr>
                <w:w w:val="105"/>
                <w:sz w:val="19"/>
              </w:rPr>
              <w:t>Sensibilización</w:t>
            </w:r>
            <w:r>
              <w:rPr>
                <w:spacing w:val="-19"/>
                <w:w w:val="105"/>
                <w:sz w:val="19"/>
              </w:rPr>
              <w:t> </w:t>
            </w:r>
            <w:r>
              <w:rPr>
                <w:w w:val="105"/>
                <w:sz w:val="19"/>
              </w:rPr>
              <w:t>para</w:t>
            </w:r>
            <w:r>
              <w:rPr>
                <w:spacing w:val="-19"/>
                <w:w w:val="105"/>
                <w:sz w:val="19"/>
              </w:rPr>
              <w:t> </w:t>
            </w:r>
            <w:r>
              <w:rPr>
                <w:w w:val="105"/>
                <w:sz w:val="19"/>
              </w:rPr>
              <w:t>la</w:t>
            </w:r>
            <w:r>
              <w:rPr>
                <w:spacing w:val="-19"/>
                <w:w w:val="105"/>
                <w:sz w:val="19"/>
              </w:rPr>
              <w:t> </w:t>
            </w:r>
            <w:r>
              <w:rPr>
                <w:w w:val="105"/>
                <w:sz w:val="19"/>
              </w:rPr>
              <w:t>Sustentabilidad,</w:t>
            </w:r>
            <w:r>
              <w:rPr>
                <w:spacing w:val="-21"/>
                <w:w w:val="105"/>
                <w:sz w:val="19"/>
              </w:rPr>
              <w:t> </w:t>
            </w:r>
            <w:r>
              <w:rPr>
                <w:w w:val="105"/>
                <w:sz w:val="19"/>
              </w:rPr>
              <w:t>en</w:t>
            </w:r>
            <w:r>
              <w:rPr>
                <w:spacing w:val="-19"/>
                <w:w w:val="105"/>
                <w:sz w:val="19"/>
              </w:rPr>
              <w:t> </w:t>
            </w:r>
            <w:r>
              <w:rPr>
                <w:w w:val="105"/>
                <w:sz w:val="19"/>
              </w:rPr>
              <w:t>la</w:t>
            </w:r>
            <w:r>
              <w:rPr>
                <w:spacing w:val="-19"/>
                <w:w w:val="105"/>
                <w:sz w:val="19"/>
              </w:rPr>
              <w:t> </w:t>
            </w:r>
            <w:r>
              <w:rPr>
                <w:w w:val="105"/>
                <w:sz w:val="19"/>
              </w:rPr>
              <w:t>cual</w:t>
            </w:r>
            <w:r>
              <w:rPr>
                <w:spacing w:val="-17"/>
                <w:w w:val="105"/>
                <w:sz w:val="19"/>
              </w:rPr>
              <w:t> </w:t>
            </w:r>
            <w:r>
              <w:rPr>
                <w:w w:val="105"/>
                <w:sz w:val="19"/>
              </w:rPr>
              <w:t>se </w:t>
            </w:r>
            <w:r>
              <w:rPr>
                <w:spacing w:val="-3"/>
                <w:w w:val="105"/>
                <w:sz w:val="19"/>
              </w:rPr>
              <w:t>la </w:t>
            </w:r>
            <w:r>
              <w:rPr>
                <w:w w:val="105"/>
                <w:sz w:val="19"/>
              </w:rPr>
              <w:t>sustentabilidad es el objetivo conceptual primordial para alcanzar soluciones ante los problemas ambientales </w:t>
            </w:r>
            <w:r>
              <w:rPr>
                <w:spacing w:val="-3"/>
                <w:w w:val="105"/>
                <w:sz w:val="19"/>
              </w:rPr>
              <w:t>que </w:t>
            </w:r>
            <w:r>
              <w:rPr>
                <w:w w:val="105"/>
                <w:sz w:val="19"/>
              </w:rPr>
              <w:t>aquejan a la humanidad y que necesitan </w:t>
            </w:r>
            <w:r>
              <w:rPr>
                <w:spacing w:val="-3"/>
                <w:w w:val="105"/>
                <w:sz w:val="19"/>
              </w:rPr>
              <w:t>ser </w:t>
            </w:r>
            <w:r>
              <w:rPr>
                <w:w w:val="105"/>
                <w:sz w:val="19"/>
              </w:rPr>
              <w:t>solventados para alcanzar condiciones mínimas de sobrevivencia</w:t>
            </w:r>
            <w:r>
              <w:rPr>
                <w:spacing w:val="-13"/>
                <w:w w:val="105"/>
                <w:sz w:val="19"/>
              </w:rPr>
              <w:t> </w:t>
            </w:r>
            <w:r>
              <w:rPr>
                <w:w w:val="105"/>
                <w:sz w:val="19"/>
              </w:rPr>
              <w:t>sobre</w:t>
            </w:r>
            <w:r>
              <w:rPr>
                <w:spacing w:val="-23"/>
                <w:w w:val="105"/>
                <w:sz w:val="19"/>
              </w:rPr>
              <w:t> </w:t>
            </w:r>
            <w:r>
              <w:rPr>
                <w:w w:val="105"/>
                <w:sz w:val="19"/>
              </w:rPr>
              <w:t>la</w:t>
            </w:r>
            <w:r>
              <w:rPr>
                <w:spacing w:val="-19"/>
                <w:w w:val="105"/>
                <w:sz w:val="19"/>
              </w:rPr>
              <w:t> </w:t>
            </w:r>
            <w:r>
              <w:rPr>
                <w:w w:val="105"/>
                <w:sz w:val="19"/>
              </w:rPr>
              <w:t>superficie</w:t>
            </w:r>
            <w:r>
              <w:rPr>
                <w:spacing w:val="-17"/>
                <w:w w:val="105"/>
                <w:sz w:val="19"/>
              </w:rPr>
              <w:t> </w:t>
            </w:r>
            <w:r>
              <w:rPr>
                <w:w w:val="105"/>
                <w:sz w:val="19"/>
              </w:rPr>
              <w:t>terrestre,</w:t>
            </w:r>
            <w:r>
              <w:rPr>
                <w:spacing w:val="-21"/>
                <w:w w:val="105"/>
                <w:sz w:val="19"/>
              </w:rPr>
              <w:t> </w:t>
            </w:r>
            <w:r>
              <w:rPr>
                <w:w w:val="105"/>
                <w:sz w:val="19"/>
              </w:rPr>
              <w:t>tarea</w:t>
            </w:r>
            <w:r>
              <w:rPr>
                <w:spacing w:val="-19"/>
                <w:w w:val="105"/>
                <w:sz w:val="19"/>
              </w:rPr>
              <w:t> </w:t>
            </w:r>
            <w:r>
              <w:rPr>
                <w:w w:val="105"/>
                <w:sz w:val="19"/>
              </w:rPr>
              <w:t>que</w:t>
            </w:r>
            <w:r>
              <w:rPr>
                <w:spacing w:val="-23"/>
                <w:w w:val="105"/>
                <w:sz w:val="19"/>
              </w:rPr>
              <w:t> </w:t>
            </w:r>
            <w:r>
              <w:rPr>
                <w:w w:val="105"/>
                <w:sz w:val="19"/>
              </w:rPr>
              <w:t>debe</w:t>
            </w:r>
            <w:r>
              <w:rPr>
                <w:spacing w:val="-20"/>
                <w:w w:val="105"/>
                <w:sz w:val="19"/>
              </w:rPr>
              <w:t> </w:t>
            </w:r>
            <w:r>
              <w:rPr>
                <w:w w:val="105"/>
                <w:sz w:val="19"/>
              </w:rPr>
              <w:t>ser</w:t>
            </w:r>
            <w:r>
              <w:rPr>
                <w:spacing w:val="-19"/>
                <w:w w:val="105"/>
                <w:sz w:val="19"/>
              </w:rPr>
              <w:t> </w:t>
            </w:r>
            <w:r>
              <w:rPr>
                <w:w w:val="105"/>
                <w:sz w:val="19"/>
              </w:rPr>
              <w:t>obligación</w:t>
            </w:r>
            <w:r>
              <w:rPr>
                <w:spacing w:val="-17"/>
                <w:w w:val="105"/>
                <w:sz w:val="19"/>
              </w:rPr>
              <w:t> </w:t>
            </w:r>
            <w:r>
              <w:rPr>
                <w:w w:val="105"/>
                <w:sz w:val="19"/>
              </w:rPr>
              <w:t>de todos</w:t>
            </w:r>
            <w:r>
              <w:rPr>
                <w:spacing w:val="-12"/>
                <w:w w:val="105"/>
                <w:sz w:val="19"/>
              </w:rPr>
              <w:t> </w:t>
            </w:r>
            <w:r>
              <w:rPr>
                <w:w w:val="105"/>
                <w:sz w:val="19"/>
              </w:rPr>
              <w:t>los</w:t>
            </w:r>
            <w:r>
              <w:rPr>
                <w:spacing w:val="-19"/>
                <w:w w:val="105"/>
                <w:sz w:val="19"/>
              </w:rPr>
              <w:t> </w:t>
            </w:r>
            <w:r>
              <w:rPr>
                <w:w w:val="105"/>
                <w:sz w:val="19"/>
              </w:rPr>
              <w:t>gobiernos</w:t>
            </w:r>
            <w:r>
              <w:rPr>
                <w:spacing w:val="-16"/>
                <w:w w:val="105"/>
                <w:sz w:val="19"/>
              </w:rPr>
              <w:t> </w:t>
            </w:r>
            <w:r>
              <w:rPr>
                <w:w w:val="105"/>
                <w:sz w:val="19"/>
              </w:rPr>
              <w:t>y</w:t>
            </w:r>
            <w:r>
              <w:rPr>
                <w:spacing w:val="-19"/>
                <w:w w:val="105"/>
                <w:sz w:val="19"/>
              </w:rPr>
              <w:t> </w:t>
            </w:r>
            <w:r>
              <w:rPr>
                <w:w w:val="105"/>
                <w:sz w:val="19"/>
              </w:rPr>
              <w:t>en</w:t>
            </w:r>
            <w:r>
              <w:rPr>
                <w:spacing w:val="-13"/>
                <w:w w:val="105"/>
                <w:sz w:val="19"/>
              </w:rPr>
              <w:t> </w:t>
            </w:r>
            <w:r>
              <w:rPr>
                <w:w w:val="105"/>
                <w:sz w:val="19"/>
              </w:rPr>
              <w:t>todos</w:t>
            </w:r>
            <w:r>
              <w:rPr>
                <w:spacing w:val="-16"/>
                <w:w w:val="105"/>
                <w:sz w:val="19"/>
              </w:rPr>
              <w:t> </w:t>
            </w:r>
            <w:r>
              <w:rPr>
                <w:w w:val="105"/>
                <w:sz w:val="19"/>
              </w:rPr>
              <w:t>los</w:t>
            </w:r>
            <w:r>
              <w:rPr>
                <w:spacing w:val="-12"/>
                <w:w w:val="105"/>
                <w:sz w:val="19"/>
              </w:rPr>
              <w:t> </w:t>
            </w:r>
            <w:r>
              <w:rPr>
                <w:w w:val="105"/>
                <w:sz w:val="19"/>
              </w:rPr>
              <w:t>niveles</w:t>
            </w:r>
          </w:p>
        </w:tc>
      </w:tr>
    </w:tbl>
    <w:p>
      <w:pPr>
        <w:spacing w:after="0" w:line="244" w:lineRule="auto"/>
        <w:jc w:val="both"/>
        <w:rPr>
          <w:sz w:val="19"/>
        </w:rPr>
        <w:sectPr>
          <w:pgSz w:w="11910" w:h="16840"/>
          <w:pgMar w:header="1066" w:footer="1715" w:top="1460" w:bottom="1900" w:left="1440" w:right="200"/>
        </w:sectPr>
      </w:pPr>
    </w:p>
    <w:p>
      <w:pPr>
        <w:pStyle w:val="BodyText"/>
        <w:rPr>
          <w:sz w:val="20"/>
        </w:rPr>
      </w:pPr>
    </w:p>
    <w:p>
      <w:pPr>
        <w:pStyle w:val="BodyText"/>
        <w:spacing w:before="8"/>
        <w:rPr>
          <w:sz w:val="2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21"/>
        <w:gridCol w:w="6763"/>
      </w:tblGrid>
      <w:tr>
        <w:trPr>
          <w:trHeight w:val="1349" w:hRule="exact"/>
        </w:trPr>
        <w:tc>
          <w:tcPr>
            <w:tcW w:w="2621" w:type="dxa"/>
          </w:tcPr>
          <w:p>
            <w:pPr>
              <w:pStyle w:val="TableParagraph"/>
              <w:spacing w:before="157"/>
              <w:ind w:left="129" w:right="126"/>
              <w:jc w:val="center"/>
              <w:rPr>
                <w:b/>
                <w:sz w:val="19"/>
              </w:rPr>
            </w:pPr>
            <w:r>
              <w:rPr>
                <w:b/>
                <w:w w:val="105"/>
                <w:sz w:val="19"/>
              </w:rPr>
              <w:t>Protocolo de Kioto</w:t>
            </w:r>
          </w:p>
          <w:p>
            <w:pPr>
              <w:pStyle w:val="TableParagraph"/>
              <w:spacing w:before="122"/>
              <w:ind w:left="129" w:right="129"/>
              <w:jc w:val="center"/>
              <w:rPr>
                <w:sz w:val="19"/>
              </w:rPr>
            </w:pPr>
            <w:r>
              <w:rPr>
                <w:w w:val="105"/>
                <w:sz w:val="19"/>
              </w:rPr>
              <w:t>(1997)</w:t>
            </w:r>
          </w:p>
        </w:tc>
        <w:tc>
          <w:tcPr>
            <w:tcW w:w="6763" w:type="dxa"/>
          </w:tcPr>
          <w:p>
            <w:pPr>
              <w:pStyle w:val="TableParagraph"/>
              <w:spacing w:line="244" w:lineRule="auto"/>
              <w:ind w:left="105" w:right="100"/>
              <w:jc w:val="both"/>
              <w:rPr>
                <w:sz w:val="19"/>
              </w:rPr>
            </w:pPr>
            <w:r>
              <w:rPr>
                <w:w w:val="105"/>
                <w:sz w:val="19"/>
              </w:rPr>
              <w:t>Es aquí donde los países industrializados adquirieron compromisos concretos</w:t>
            </w:r>
            <w:r>
              <w:rPr>
                <w:spacing w:val="-13"/>
                <w:w w:val="105"/>
                <w:sz w:val="19"/>
              </w:rPr>
              <w:t> </w:t>
            </w:r>
            <w:r>
              <w:rPr>
                <w:w w:val="105"/>
                <w:sz w:val="19"/>
              </w:rPr>
              <w:t>y</w:t>
            </w:r>
            <w:r>
              <w:rPr>
                <w:spacing w:val="-17"/>
                <w:w w:val="105"/>
                <w:sz w:val="19"/>
              </w:rPr>
              <w:t> </w:t>
            </w:r>
            <w:r>
              <w:rPr>
                <w:w w:val="105"/>
                <w:sz w:val="19"/>
              </w:rPr>
              <w:t>un</w:t>
            </w:r>
            <w:r>
              <w:rPr>
                <w:spacing w:val="-14"/>
                <w:w w:val="105"/>
                <w:sz w:val="19"/>
              </w:rPr>
              <w:t> </w:t>
            </w:r>
            <w:r>
              <w:rPr>
                <w:w w:val="105"/>
                <w:sz w:val="19"/>
              </w:rPr>
              <w:t>calendario</w:t>
            </w:r>
            <w:r>
              <w:rPr>
                <w:spacing w:val="-14"/>
                <w:w w:val="105"/>
                <w:sz w:val="19"/>
              </w:rPr>
              <w:t> </w:t>
            </w:r>
            <w:r>
              <w:rPr>
                <w:w w:val="105"/>
                <w:sz w:val="19"/>
              </w:rPr>
              <w:t>de</w:t>
            </w:r>
            <w:r>
              <w:rPr>
                <w:spacing w:val="-15"/>
                <w:w w:val="105"/>
                <w:sz w:val="19"/>
              </w:rPr>
              <w:t> </w:t>
            </w:r>
            <w:r>
              <w:rPr>
                <w:w w:val="105"/>
                <w:sz w:val="19"/>
              </w:rPr>
              <w:t>actuación.</w:t>
            </w:r>
            <w:r>
              <w:rPr>
                <w:spacing w:val="-13"/>
                <w:w w:val="105"/>
                <w:sz w:val="19"/>
              </w:rPr>
              <w:t> </w:t>
            </w:r>
            <w:r>
              <w:rPr>
                <w:spacing w:val="-3"/>
                <w:w w:val="105"/>
                <w:sz w:val="19"/>
              </w:rPr>
              <w:t>Fue</w:t>
            </w:r>
            <w:r>
              <w:rPr>
                <w:spacing w:val="-11"/>
                <w:w w:val="105"/>
                <w:sz w:val="19"/>
              </w:rPr>
              <w:t> </w:t>
            </w:r>
            <w:r>
              <w:rPr>
                <w:w w:val="105"/>
                <w:sz w:val="19"/>
              </w:rPr>
              <w:t>sin</w:t>
            </w:r>
            <w:r>
              <w:rPr>
                <w:spacing w:val="-14"/>
                <w:w w:val="105"/>
                <w:sz w:val="19"/>
              </w:rPr>
              <w:t> </w:t>
            </w:r>
            <w:r>
              <w:rPr>
                <w:w w:val="105"/>
                <w:sz w:val="19"/>
              </w:rPr>
              <w:t>duda</w:t>
            </w:r>
            <w:r>
              <w:rPr>
                <w:spacing w:val="-14"/>
                <w:w w:val="105"/>
                <w:sz w:val="19"/>
              </w:rPr>
              <w:t> </w:t>
            </w:r>
            <w:r>
              <w:rPr>
                <w:w w:val="105"/>
                <w:sz w:val="19"/>
              </w:rPr>
              <w:t>un</w:t>
            </w:r>
            <w:r>
              <w:rPr>
                <w:spacing w:val="-14"/>
                <w:w w:val="105"/>
                <w:sz w:val="19"/>
              </w:rPr>
              <w:t> </w:t>
            </w:r>
            <w:r>
              <w:rPr>
                <w:w w:val="105"/>
                <w:sz w:val="19"/>
              </w:rPr>
              <w:t>gran</w:t>
            </w:r>
            <w:r>
              <w:rPr>
                <w:spacing w:val="-15"/>
                <w:w w:val="105"/>
                <w:sz w:val="19"/>
              </w:rPr>
              <w:t> </w:t>
            </w:r>
            <w:r>
              <w:rPr>
                <w:w w:val="105"/>
                <w:sz w:val="19"/>
              </w:rPr>
              <w:t>avance,</w:t>
            </w:r>
            <w:r>
              <w:rPr>
                <w:spacing w:val="-16"/>
                <w:w w:val="105"/>
                <w:sz w:val="19"/>
              </w:rPr>
              <w:t> </w:t>
            </w:r>
            <w:r>
              <w:rPr>
                <w:w w:val="105"/>
                <w:sz w:val="19"/>
              </w:rPr>
              <w:t>pues se logró un acuerdo vinculante a todos los países firmantes para que durante</w:t>
            </w:r>
            <w:r>
              <w:rPr>
                <w:spacing w:val="-9"/>
                <w:w w:val="105"/>
                <w:sz w:val="19"/>
              </w:rPr>
              <w:t> </w:t>
            </w:r>
            <w:r>
              <w:rPr>
                <w:w w:val="105"/>
                <w:sz w:val="19"/>
              </w:rPr>
              <w:t>el</w:t>
            </w:r>
            <w:r>
              <w:rPr>
                <w:spacing w:val="-10"/>
                <w:w w:val="105"/>
                <w:sz w:val="19"/>
              </w:rPr>
              <w:t> </w:t>
            </w:r>
            <w:r>
              <w:rPr>
                <w:w w:val="105"/>
                <w:sz w:val="19"/>
              </w:rPr>
              <w:t>período</w:t>
            </w:r>
            <w:r>
              <w:rPr>
                <w:spacing w:val="-9"/>
                <w:w w:val="105"/>
                <w:sz w:val="19"/>
              </w:rPr>
              <w:t> </w:t>
            </w:r>
            <w:r>
              <w:rPr>
                <w:w w:val="105"/>
                <w:sz w:val="19"/>
              </w:rPr>
              <w:t>del</w:t>
            </w:r>
            <w:r>
              <w:rPr>
                <w:spacing w:val="-10"/>
                <w:w w:val="105"/>
                <w:sz w:val="19"/>
              </w:rPr>
              <w:t> </w:t>
            </w:r>
            <w:r>
              <w:rPr>
                <w:w w:val="105"/>
                <w:sz w:val="19"/>
              </w:rPr>
              <w:t>2008</w:t>
            </w:r>
            <w:r>
              <w:rPr>
                <w:spacing w:val="-9"/>
                <w:w w:val="105"/>
                <w:sz w:val="19"/>
              </w:rPr>
              <w:t> </w:t>
            </w:r>
            <w:r>
              <w:rPr>
                <w:w w:val="105"/>
                <w:sz w:val="19"/>
              </w:rPr>
              <w:t>al</w:t>
            </w:r>
            <w:r>
              <w:rPr>
                <w:spacing w:val="-10"/>
                <w:w w:val="105"/>
                <w:sz w:val="19"/>
              </w:rPr>
              <w:t> </w:t>
            </w:r>
            <w:r>
              <w:rPr>
                <w:w w:val="105"/>
                <w:sz w:val="19"/>
              </w:rPr>
              <w:t>2012,</w:t>
            </w:r>
            <w:r>
              <w:rPr>
                <w:spacing w:val="-11"/>
                <w:w w:val="105"/>
                <w:sz w:val="19"/>
              </w:rPr>
              <w:t> </w:t>
            </w:r>
            <w:r>
              <w:rPr>
                <w:w w:val="105"/>
                <w:sz w:val="19"/>
              </w:rPr>
              <w:t>se</w:t>
            </w:r>
            <w:r>
              <w:rPr>
                <w:spacing w:val="-5"/>
                <w:w w:val="105"/>
                <w:sz w:val="19"/>
              </w:rPr>
              <w:t> </w:t>
            </w:r>
            <w:r>
              <w:rPr>
                <w:w w:val="105"/>
                <w:sz w:val="19"/>
              </w:rPr>
              <w:t>redujeran</w:t>
            </w:r>
            <w:r>
              <w:rPr>
                <w:spacing w:val="-9"/>
                <w:w w:val="105"/>
                <w:sz w:val="19"/>
              </w:rPr>
              <w:t> </w:t>
            </w:r>
            <w:r>
              <w:rPr>
                <w:w w:val="105"/>
                <w:sz w:val="19"/>
              </w:rPr>
              <w:t>las</w:t>
            </w:r>
            <w:r>
              <w:rPr>
                <w:spacing w:val="-11"/>
                <w:w w:val="105"/>
                <w:sz w:val="19"/>
              </w:rPr>
              <w:t> </w:t>
            </w:r>
            <w:r>
              <w:rPr>
                <w:w w:val="105"/>
                <w:sz w:val="19"/>
              </w:rPr>
              <w:t>emisiones</w:t>
            </w:r>
            <w:r>
              <w:rPr>
                <w:spacing w:val="-7"/>
                <w:w w:val="105"/>
                <w:sz w:val="19"/>
              </w:rPr>
              <w:t> </w:t>
            </w:r>
            <w:r>
              <w:rPr>
                <w:w w:val="105"/>
                <w:sz w:val="19"/>
              </w:rPr>
              <w:t>de</w:t>
            </w:r>
            <w:r>
              <w:rPr>
                <w:spacing w:val="-9"/>
                <w:w w:val="105"/>
                <w:sz w:val="19"/>
              </w:rPr>
              <w:t> </w:t>
            </w:r>
            <w:r>
              <w:rPr>
                <w:w w:val="105"/>
                <w:sz w:val="19"/>
              </w:rPr>
              <w:t>los</w:t>
            </w:r>
            <w:r>
              <w:rPr>
                <w:spacing w:val="-7"/>
                <w:w w:val="105"/>
                <w:sz w:val="19"/>
              </w:rPr>
              <w:t> </w:t>
            </w:r>
            <w:r>
              <w:rPr>
                <w:w w:val="105"/>
                <w:sz w:val="19"/>
              </w:rPr>
              <w:t>seis gases</w:t>
            </w:r>
            <w:r>
              <w:rPr>
                <w:spacing w:val="-15"/>
                <w:w w:val="105"/>
                <w:sz w:val="19"/>
              </w:rPr>
              <w:t> </w:t>
            </w:r>
            <w:r>
              <w:rPr>
                <w:w w:val="105"/>
                <w:sz w:val="19"/>
              </w:rPr>
              <w:t>que</w:t>
            </w:r>
            <w:r>
              <w:rPr>
                <w:spacing w:val="-15"/>
                <w:w w:val="105"/>
                <w:sz w:val="19"/>
              </w:rPr>
              <w:t> </w:t>
            </w:r>
            <w:r>
              <w:rPr>
                <w:w w:val="105"/>
                <w:sz w:val="19"/>
              </w:rPr>
              <w:t>más</w:t>
            </w:r>
            <w:r>
              <w:rPr>
                <w:spacing w:val="-18"/>
                <w:w w:val="105"/>
                <w:sz w:val="19"/>
              </w:rPr>
              <w:t> </w:t>
            </w:r>
            <w:r>
              <w:rPr>
                <w:w w:val="105"/>
                <w:sz w:val="19"/>
              </w:rPr>
              <w:t>potenciaban</w:t>
            </w:r>
            <w:r>
              <w:rPr>
                <w:spacing w:val="-12"/>
                <w:w w:val="105"/>
                <w:sz w:val="19"/>
              </w:rPr>
              <w:t> </w:t>
            </w:r>
            <w:r>
              <w:rPr>
                <w:w w:val="105"/>
                <w:sz w:val="19"/>
              </w:rPr>
              <w:t>el</w:t>
            </w:r>
            <w:r>
              <w:rPr>
                <w:spacing w:val="-17"/>
                <w:w w:val="105"/>
                <w:sz w:val="19"/>
              </w:rPr>
              <w:t> </w:t>
            </w:r>
            <w:r>
              <w:rPr>
                <w:w w:val="105"/>
                <w:sz w:val="19"/>
              </w:rPr>
              <w:t>efecto</w:t>
            </w:r>
            <w:r>
              <w:rPr>
                <w:spacing w:val="-12"/>
                <w:w w:val="105"/>
                <w:sz w:val="19"/>
              </w:rPr>
              <w:t> </w:t>
            </w:r>
            <w:r>
              <w:rPr>
                <w:w w:val="105"/>
                <w:sz w:val="19"/>
              </w:rPr>
              <w:t>invernadero</w:t>
            </w:r>
            <w:r>
              <w:rPr>
                <w:spacing w:val="-15"/>
                <w:w w:val="105"/>
                <w:sz w:val="19"/>
              </w:rPr>
              <w:t> </w:t>
            </w:r>
            <w:r>
              <w:rPr>
                <w:w w:val="105"/>
                <w:sz w:val="19"/>
              </w:rPr>
              <w:t>en</w:t>
            </w:r>
            <w:r>
              <w:rPr>
                <w:spacing w:val="-12"/>
                <w:w w:val="105"/>
                <w:sz w:val="19"/>
              </w:rPr>
              <w:t> </w:t>
            </w:r>
            <w:r>
              <w:rPr>
                <w:w w:val="105"/>
                <w:sz w:val="19"/>
              </w:rPr>
              <w:t>un</w:t>
            </w:r>
            <w:r>
              <w:rPr>
                <w:spacing w:val="-12"/>
                <w:w w:val="105"/>
                <w:sz w:val="19"/>
              </w:rPr>
              <w:t> </w:t>
            </w:r>
            <w:r>
              <w:rPr>
                <w:w w:val="105"/>
                <w:sz w:val="19"/>
              </w:rPr>
              <w:t>5,2%</w:t>
            </w:r>
            <w:r>
              <w:rPr>
                <w:spacing w:val="-18"/>
                <w:w w:val="105"/>
                <w:sz w:val="19"/>
              </w:rPr>
              <w:t> </w:t>
            </w:r>
            <w:r>
              <w:rPr>
                <w:w w:val="105"/>
                <w:sz w:val="19"/>
              </w:rPr>
              <w:t>con</w:t>
            </w:r>
            <w:r>
              <w:rPr>
                <w:spacing w:val="-9"/>
                <w:w w:val="105"/>
                <w:sz w:val="19"/>
              </w:rPr>
              <w:t> </w:t>
            </w:r>
            <w:r>
              <w:rPr>
                <w:w w:val="105"/>
                <w:sz w:val="19"/>
              </w:rPr>
              <w:t>respecto a</w:t>
            </w:r>
            <w:r>
              <w:rPr>
                <w:spacing w:val="-18"/>
                <w:w w:val="105"/>
                <w:sz w:val="19"/>
              </w:rPr>
              <w:t> </w:t>
            </w:r>
            <w:r>
              <w:rPr>
                <w:w w:val="105"/>
                <w:sz w:val="19"/>
              </w:rPr>
              <w:t>1990.</w:t>
            </w:r>
          </w:p>
        </w:tc>
      </w:tr>
      <w:tr>
        <w:trPr>
          <w:trHeight w:val="691" w:hRule="exact"/>
        </w:trPr>
        <w:tc>
          <w:tcPr>
            <w:tcW w:w="2621" w:type="dxa"/>
          </w:tcPr>
          <w:p>
            <w:pPr>
              <w:pStyle w:val="TableParagraph"/>
              <w:spacing w:line="218" w:lineRule="exact"/>
              <w:ind w:left="128" w:right="129"/>
              <w:jc w:val="center"/>
              <w:rPr>
                <w:b/>
                <w:sz w:val="19"/>
              </w:rPr>
            </w:pPr>
            <w:r>
              <w:rPr>
                <w:b/>
                <w:w w:val="105"/>
                <w:sz w:val="19"/>
              </w:rPr>
              <w:t>Johannesburgo</w:t>
            </w:r>
          </w:p>
          <w:p>
            <w:pPr>
              <w:pStyle w:val="TableParagraph"/>
              <w:spacing w:before="122"/>
              <w:ind w:left="129" w:right="129"/>
              <w:jc w:val="center"/>
              <w:rPr>
                <w:sz w:val="19"/>
              </w:rPr>
            </w:pPr>
            <w:r>
              <w:rPr>
                <w:w w:val="105"/>
                <w:sz w:val="19"/>
              </w:rPr>
              <w:t>(2002)</w:t>
            </w:r>
          </w:p>
        </w:tc>
        <w:tc>
          <w:tcPr>
            <w:tcW w:w="6763" w:type="dxa"/>
          </w:tcPr>
          <w:p>
            <w:pPr>
              <w:pStyle w:val="TableParagraph"/>
              <w:spacing w:before="11"/>
              <w:rPr>
                <w:sz w:val="19"/>
              </w:rPr>
            </w:pPr>
          </w:p>
          <w:p>
            <w:pPr>
              <w:pStyle w:val="TableParagraph"/>
              <w:ind w:left="105"/>
              <w:rPr>
                <w:sz w:val="19"/>
              </w:rPr>
            </w:pPr>
            <w:r>
              <w:rPr>
                <w:w w:val="105"/>
                <w:sz w:val="19"/>
              </w:rPr>
              <w:t>Aparece la sociedad civil participando en el tema.</w:t>
            </w:r>
          </w:p>
        </w:tc>
      </w:tr>
      <w:tr>
        <w:trPr>
          <w:trHeight w:val="1920" w:hRule="exact"/>
        </w:trPr>
        <w:tc>
          <w:tcPr>
            <w:tcW w:w="2621" w:type="dxa"/>
          </w:tcPr>
          <w:p>
            <w:pPr>
              <w:pStyle w:val="TableParagraph"/>
              <w:rPr>
                <w:sz w:val="20"/>
              </w:rPr>
            </w:pPr>
          </w:p>
          <w:p>
            <w:pPr>
              <w:pStyle w:val="TableParagraph"/>
              <w:rPr>
                <w:sz w:val="20"/>
              </w:rPr>
            </w:pPr>
          </w:p>
          <w:p>
            <w:pPr>
              <w:pStyle w:val="TableParagraph"/>
              <w:spacing w:line="374" w:lineRule="auto" w:before="154"/>
              <w:ind w:left="1022" w:right="189" w:hanging="308"/>
              <w:rPr>
                <w:sz w:val="19"/>
              </w:rPr>
            </w:pPr>
            <w:r>
              <w:rPr>
                <w:b/>
                <w:sz w:val="19"/>
              </w:rPr>
              <w:t>Copenhague </w:t>
            </w:r>
            <w:r>
              <w:rPr>
                <w:b/>
                <w:w w:val="105"/>
                <w:sz w:val="19"/>
              </w:rPr>
              <w:t>(</w:t>
            </w:r>
            <w:r>
              <w:rPr>
                <w:w w:val="105"/>
                <w:sz w:val="19"/>
              </w:rPr>
              <w:t>2009)</w:t>
            </w:r>
          </w:p>
        </w:tc>
        <w:tc>
          <w:tcPr>
            <w:tcW w:w="6763" w:type="dxa"/>
          </w:tcPr>
          <w:p>
            <w:pPr>
              <w:pStyle w:val="TableParagraph"/>
              <w:spacing w:line="247" w:lineRule="auto"/>
              <w:ind w:left="105" w:right="95"/>
              <w:jc w:val="both"/>
              <w:rPr>
                <w:sz w:val="19"/>
              </w:rPr>
            </w:pPr>
            <w:r>
              <w:rPr>
                <w:w w:val="105"/>
                <w:sz w:val="19"/>
              </w:rPr>
              <w:t>La Conferencia de Copenhague fue una de las que más interés atrajo ya que más de 40 mil personas aplicaron para una acreditación en la misma. En esta conferencia se firmó el acuerdo de Copenhague, en el cual se logró fijar la meta de que el límite máximo para el incremento de la temperatura media global sea 2ºC. Sin embargo no se mencionó como se alcanzaría esta meta en términos prácticos. Adicionalmente en el acuerdo se hace referencia a mantener el incremento de la temperatura bajo los 1,5ºC, una demanda clave hecha por países en desarrollo vulnerables.</w:t>
            </w:r>
          </w:p>
        </w:tc>
      </w:tr>
      <w:tr>
        <w:trPr>
          <w:trHeight w:val="1915" w:hRule="exact"/>
        </w:trPr>
        <w:tc>
          <w:tcPr>
            <w:tcW w:w="2621" w:type="dxa"/>
          </w:tcPr>
          <w:p>
            <w:pPr>
              <w:pStyle w:val="TableParagraph"/>
              <w:rPr>
                <w:sz w:val="20"/>
              </w:rPr>
            </w:pPr>
          </w:p>
          <w:p>
            <w:pPr>
              <w:pStyle w:val="TableParagraph"/>
              <w:rPr>
                <w:sz w:val="20"/>
              </w:rPr>
            </w:pPr>
          </w:p>
          <w:p>
            <w:pPr>
              <w:pStyle w:val="TableParagraph"/>
              <w:spacing w:before="154"/>
              <w:ind w:left="129" w:right="125"/>
              <w:jc w:val="center"/>
              <w:rPr>
                <w:b/>
                <w:sz w:val="19"/>
              </w:rPr>
            </w:pPr>
            <w:r>
              <w:rPr>
                <w:b/>
                <w:w w:val="105"/>
                <w:sz w:val="19"/>
              </w:rPr>
              <w:t>Cancún</w:t>
            </w:r>
          </w:p>
          <w:p>
            <w:pPr>
              <w:pStyle w:val="TableParagraph"/>
              <w:spacing w:before="122"/>
              <w:ind w:left="129" w:right="129"/>
              <w:jc w:val="center"/>
              <w:rPr>
                <w:sz w:val="19"/>
              </w:rPr>
            </w:pPr>
            <w:r>
              <w:rPr>
                <w:w w:val="105"/>
                <w:sz w:val="19"/>
              </w:rPr>
              <w:t>(2010)</w:t>
            </w:r>
          </w:p>
        </w:tc>
        <w:tc>
          <w:tcPr>
            <w:tcW w:w="6763" w:type="dxa"/>
          </w:tcPr>
          <w:p>
            <w:pPr>
              <w:pStyle w:val="TableParagraph"/>
              <w:spacing w:line="244" w:lineRule="auto"/>
              <w:ind w:left="105" w:right="92"/>
              <w:jc w:val="both"/>
              <w:rPr>
                <w:sz w:val="19"/>
              </w:rPr>
            </w:pPr>
            <w:r>
              <w:rPr>
                <w:w w:val="105"/>
                <w:sz w:val="19"/>
              </w:rPr>
              <w:t>La Conferencia de Cancún fue importante para asegurar que en las Conferencias de las Partes </w:t>
            </w:r>
            <w:r>
              <w:rPr>
                <w:spacing w:val="-4"/>
                <w:w w:val="105"/>
                <w:sz w:val="19"/>
              </w:rPr>
              <w:t>se </w:t>
            </w:r>
            <w:r>
              <w:rPr>
                <w:w w:val="105"/>
                <w:sz w:val="19"/>
              </w:rPr>
              <w:t>llegue a compromisos políticos para enfrentar el cambio climático. Dentro de los ejes logrados en los acuerdos de</w:t>
            </w:r>
            <w:r>
              <w:rPr>
                <w:spacing w:val="-6"/>
                <w:w w:val="105"/>
                <w:sz w:val="19"/>
              </w:rPr>
              <w:t> </w:t>
            </w:r>
            <w:r>
              <w:rPr>
                <w:w w:val="105"/>
                <w:sz w:val="19"/>
              </w:rPr>
              <w:t>Cancún</w:t>
            </w:r>
            <w:r>
              <w:rPr>
                <w:spacing w:val="-6"/>
                <w:w w:val="105"/>
                <w:sz w:val="19"/>
              </w:rPr>
              <w:t> </w:t>
            </w:r>
            <w:r>
              <w:rPr>
                <w:w w:val="105"/>
                <w:sz w:val="19"/>
              </w:rPr>
              <w:t>resalta</w:t>
            </w:r>
            <w:r>
              <w:rPr>
                <w:spacing w:val="-6"/>
                <w:w w:val="105"/>
                <w:sz w:val="19"/>
              </w:rPr>
              <w:t> </w:t>
            </w:r>
            <w:r>
              <w:rPr>
                <w:w w:val="105"/>
                <w:sz w:val="19"/>
              </w:rPr>
              <w:t>la</w:t>
            </w:r>
            <w:r>
              <w:rPr>
                <w:spacing w:val="-10"/>
                <w:w w:val="105"/>
                <w:sz w:val="19"/>
              </w:rPr>
              <w:t> </w:t>
            </w:r>
            <w:r>
              <w:rPr>
                <w:w w:val="105"/>
                <w:sz w:val="19"/>
              </w:rPr>
              <w:t>creación</w:t>
            </w:r>
            <w:r>
              <w:rPr>
                <w:spacing w:val="-6"/>
                <w:w w:val="105"/>
                <w:sz w:val="19"/>
              </w:rPr>
              <w:t> </w:t>
            </w:r>
            <w:r>
              <w:rPr>
                <w:w w:val="105"/>
                <w:sz w:val="19"/>
              </w:rPr>
              <w:t>del</w:t>
            </w:r>
            <w:r>
              <w:rPr>
                <w:spacing w:val="-7"/>
                <w:w w:val="105"/>
                <w:sz w:val="19"/>
              </w:rPr>
              <w:t> </w:t>
            </w:r>
            <w:r>
              <w:rPr>
                <w:w w:val="105"/>
                <w:sz w:val="19"/>
              </w:rPr>
              <w:t>Fondo</w:t>
            </w:r>
            <w:r>
              <w:rPr>
                <w:spacing w:val="-2"/>
                <w:w w:val="105"/>
                <w:sz w:val="19"/>
              </w:rPr>
              <w:t> </w:t>
            </w:r>
            <w:r>
              <w:rPr>
                <w:w w:val="105"/>
                <w:sz w:val="19"/>
              </w:rPr>
              <w:t>Verde</w:t>
            </w:r>
            <w:r>
              <w:rPr>
                <w:spacing w:val="-6"/>
                <w:w w:val="105"/>
                <w:sz w:val="19"/>
              </w:rPr>
              <w:t> </w:t>
            </w:r>
            <w:r>
              <w:rPr>
                <w:w w:val="105"/>
                <w:sz w:val="19"/>
              </w:rPr>
              <w:t>para</w:t>
            </w:r>
            <w:r>
              <w:rPr>
                <w:spacing w:val="-6"/>
                <w:w w:val="105"/>
                <w:sz w:val="19"/>
              </w:rPr>
              <w:t> </w:t>
            </w:r>
            <w:r>
              <w:rPr>
                <w:w w:val="105"/>
                <w:sz w:val="19"/>
              </w:rPr>
              <w:t>el</w:t>
            </w:r>
            <w:r>
              <w:rPr>
                <w:spacing w:val="-3"/>
                <w:w w:val="105"/>
                <w:sz w:val="19"/>
              </w:rPr>
              <w:t> </w:t>
            </w:r>
            <w:r>
              <w:rPr>
                <w:w w:val="105"/>
                <w:sz w:val="19"/>
              </w:rPr>
              <w:t>Clima</w:t>
            </w:r>
            <w:r>
              <w:rPr>
                <w:spacing w:val="-6"/>
                <w:w w:val="105"/>
                <w:sz w:val="19"/>
              </w:rPr>
              <w:t> </w:t>
            </w:r>
            <w:r>
              <w:rPr>
                <w:w w:val="105"/>
                <w:sz w:val="19"/>
              </w:rPr>
              <w:t>para</w:t>
            </w:r>
            <w:r>
              <w:rPr>
                <w:spacing w:val="-6"/>
                <w:w w:val="105"/>
                <w:sz w:val="19"/>
              </w:rPr>
              <w:t> </w:t>
            </w:r>
            <w:r>
              <w:rPr>
                <w:w w:val="105"/>
                <w:sz w:val="19"/>
              </w:rPr>
              <w:t>proveer financiamiento a proyectos y actividades en países en desarrollo. Adicionalmente se acordó en Cancún la operacionalización hasta el 2012 de un mecanismo tecnológico para promover la innovación, desarrollo y difusión</w:t>
            </w:r>
            <w:r>
              <w:rPr>
                <w:spacing w:val="-20"/>
                <w:w w:val="105"/>
                <w:sz w:val="19"/>
              </w:rPr>
              <w:t> </w:t>
            </w:r>
            <w:r>
              <w:rPr>
                <w:w w:val="105"/>
                <w:sz w:val="19"/>
              </w:rPr>
              <w:t>de</w:t>
            </w:r>
            <w:r>
              <w:rPr>
                <w:spacing w:val="-20"/>
                <w:w w:val="105"/>
                <w:sz w:val="19"/>
              </w:rPr>
              <w:t> </w:t>
            </w:r>
            <w:r>
              <w:rPr>
                <w:w w:val="105"/>
                <w:sz w:val="19"/>
              </w:rPr>
              <w:t>tecnologías</w:t>
            </w:r>
            <w:r>
              <w:rPr>
                <w:spacing w:val="-23"/>
                <w:w w:val="105"/>
                <w:sz w:val="19"/>
              </w:rPr>
              <w:t> </w:t>
            </w:r>
            <w:r>
              <w:rPr>
                <w:w w:val="105"/>
                <w:sz w:val="19"/>
              </w:rPr>
              <w:t>amigables</w:t>
            </w:r>
            <w:r>
              <w:rPr>
                <w:spacing w:val="-23"/>
                <w:w w:val="105"/>
                <w:sz w:val="19"/>
              </w:rPr>
              <w:t> </w:t>
            </w:r>
            <w:r>
              <w:rPr>
                <w:spacing w:val="-3"/>
                <w:w w:val="105"/>
                <w:sz w:val="19"/>
              </w:rPr>
              <w:t>con</w:t>
            </w:r>
            <w:r>
              <w:rPr>
                <w:spacing w:val="-18"/>
                <w:w w:val="105"/>
                <w:sz w:val="19"/>
              </w:rPr>
              <w:t> </w:t>
            </w:r>
            <w:r>
              <w:rPr>
                <w:w w:val="105"/>
                <w:sz w:val="19"/>
              </w:rPr>
              <w:t>el</w:t>
            </w:r>
            <w:r>
              <w:rPr>
                <w:spacing w:val="-22"/>
                <w:w w:val="105"/>
                <w:sz w:val="19"/>
              </w:rPr>
              <w:t> </w:t>
            </w:r>
            <w:r>
              <w:rPr>
                <w:w w:val="105"/>
                <w:sz w:val="19"/>
              </w:rPr>
              <w:t>ambiente.</w:t>
            </w:r>
          </w:p>
        </w:tc>
      </w:tr>
      <w:tr>
        <w:trPr>
          <w:trHeight w:val="1795" w:hRule="exact"/>
        </w:trPr>
        <w:tc>
          <w:tcPr>
            <w:tcW w:w="2621" w:type="dxa"/>
          </w:tcPr>
          <w:p>
            <w:pPr>
              <w:pStyle w:val="TableParagraph"/>
              <w:spacing w:line="247" w:lineRule="auto" w:before="153"/>
              <w:ind w:left="129" w:right="129"/>
              <w:jc w:val="center"/>
              <w:rPr>
                <w:b/>
                <w:sz w:val="19"/>
              </w:rPr>
            </w:pPr>
            <w:r>
              <w:rPr>
                <w:b/>
                <w:w w:val="105"/>
                <w:sz w:val="19"/>
              </w:rPr>
              <w:t>Durban XVII Conferencia sobre el Cambio Climático</w:t>
            </w:r>
          </w:p>
          <w:p>
            <w:pPr>
              <w:pStyle w:val="TableParagraph"/>
              <w:spacing w:before="116"/>
              <w:ind w:left="129" w:right="129"/>
              <w:jc w:val="center"/>
              <w:rPr>
                <w:sz w:val="19"/>
              </w:rPr>
            </w:pPr>
            <w:r>
              <w:rPr>
                <w:w w:val="105"/>
                <w:sz w:val="19"/>
              </w:rPr>
              <w:t>(2011)</w:t>
            </w:r>
          </w:p>
        </w:tc>
        <w:tc>
          <w:tcPr>
            <w:tcW w:w="6763" w:type="dxa"/>
          </w:tcPr>
          <w:p>
            <w:pPr>
              <w:pStyle w:val="TableParagraph"/>
              <w:spacing w:line="244" w:lineRule="auto" w:before="52"/>
              <w:ind w:left="105" w:right="96"/>
              <w:jc w:val="both"/>
              <w:rPr>
                <w:sz w:val="19"/>
              </w:rPr>
            </w:pPr>
            <w:r>
              <w:rPr>
                <w:spacing w:val="-3"/>
                <w:w w:val="105"/>
                <w:sz w:val="19"/>
              </w:rPr>
              <w:t>Una </w:t>
            </w:r>
            <w:r>
              <w:rPr>
                <w:w w:val="105"/>
                <w:sz w:val="19"/>
              </w:rPr>
              <w:t>de las cuestiones </w:t>
            </w:r>
            <w:r>
              <w:rPr>
                <w:spacing w:val="-3"/>
                <w:w w:val="105"/>
                <w:sz w:val="19"/>
              </w:rPr>
              <w:t>sin </w:t>
            </w:r>
            <w:r>
              <w:rPr>
                <w:w w:val="105"/>
                <w:sz w:val="19"/>
              </w:rPr>
              <w:t>resolver </w:t>
            </w:r>
            <w:r>
              <w:rPr>
                <w:spacing w:val="-3"/>
                <w:w w:val="105"/>
                <w:sz w:val="19"/>
              </w:rPr>
              <w:t>siguió </w:t>
            </w:r>
            <w:r>
              <w:rPr>
                <w:w w:val="105"/>
                <w:sz w:val="19"/>
              </w:rPr>
              <w:t>siendo el </w:t>
            </w:r>
            <w:r>
              <w:rPr>
                <w:spacing w:val="-3"/>
                <w:w w:val="105"/>
                <w:sz w:val="19"/>
              </w:rPr>
              <w:t>futuro </w:t>
            </w:r>
            <w:r>
              <w:rPr>
                <w:w w:val="105"/>
                <w:sz w:val="19"/>
              </w:rPr>
              <w:t>del Protocolo de Kioto </w:t>
            </w:r>
            <w:r>
              <w:rPr>
                <w:spacing w:val="-3"/>
                <w:w w:val="105"/>
                <w:sz w:val="19"/>
              </w:rPr>
              <w:t>que </w:t>
            </w:r>
            <w:r>
              <w:rPr>
                <w:w w:val="105"/>
                <w:sz w:val="19"/>
              </w:rPr>
              <w:t>pidió a las naciones industrializadas </w:t>
            </w:r>
            <w:r>
              <w:rPr>
                <w:spacing w:val="-3"/>
                <w:w w:val="105"/>
                <w:sz w:val="19"/>
              </w:rPr>
              <w:t>reducir </w:t>
            </w:r>
            <w:r>
              <w:rPr>
                <w:spacing w:val="3"/>
                <w:w w:val="105"/>
                <w:sz w:val="19"/>
              </w:rPr>
              <w:t>las </w:t>
            </w:r>
            <w:r>
              <w:rPr>
                <w:w w:val="105"/>
                <w:sz w:val="19"/>
              </w:rPr>
              <w:t>emisiones. De acuerdo</w:t>
            </w:r>
            <w:r>
              <w:rPr>
                <w:spacing w:val="-17"/>
                <w:w w:val="105"/>
                <w:sz w:val="19"/>
              </w:rPr>
              <w:t> </w:t>
            </w:r>
            <w:r>
              <w:rPr>
                <w:w w:val="105"/>
                <w:sz w:val="19"/>
              </w:rPr>
              <w:t>con</w:t>
            </w:r>
            <w:r>
              <w:rPr>
                <w:spacing w:val="-14"/>
                <w:w w:val="105"/>
                <w:sz w:val="19"/>
              </w:rPr>
              <w:t> </w:t>
            </w:r>
            <w:r>
              <w:rPr>
                <w:w w:val="105"/>
                <w:sz w:val="19"/>
              </w:rPr>
              <w:t>la</w:t>
            </w:r>
            <w:r>
              <w:rPr>
                <w:spacing w:val="-14"/>
                <w:w w:val="105"/>
                <w:sz w:val="19"/>
              </w:rPr>
              <w:t> </w:t>
            </w:r>
            <w:r>
              <w:rPr>
                <w:w w:val="105"/>
                <w:sz w:val="19"/>
              </w:rPr>
              <w:t>resolución</w:t>
            </w:r>
            <w:r>
              <w:rPr>
                <w:spacing w:val="-14"/>
                <w:w w:val="105"/>
                <w:sz w:val="19"/>
              </w:rPr>
              <w:t> </w:t>
            </w:r>
            <w:r>
              <w:rPr>
                <w:w w:val="105"/>
                <w:sz w:val="19"/>
              </w:rPr>
              <w:t>aprobada</w:t>
            </w:r>
            <w:r>
              <w:rPr>
                <w:spacing w:val="-14"/>
                <w:w w:val="105"/>
                <w:sz w:val="19"/>
              </w:rPr>
              <w:t> </w:t>
            </w:r>
            <w:r>
              <w:rPr>
                <w:w w:val="105"/>
                <w:sz w:val="19"/>
              </w:rPr>
              <w:t>en</w:t>
            </w:r>
            <w:r>
              <w:rPr>
                <w:spacing w:val="-17"/>
                <w:w w:val="105"/>
                <w:sz w:val="19"/>
              </w:rPr>
              <w:t> </w:t>
            </w:r>
            <w:r>
              <w:rPr>
                <w:w w:val="105"/>
                <w:sz w:val="19"/>
              </w:rPr>
              <w:t>Durban,</w:t>
            </w:r>
            <w:r>
              <w:rPr>
                <w:spacing w:val="-16"/>
                <w:w w:val="105"/>
                <w:sz w:val="19"/>
              </w:rPr>
              <w:t> </w:t>
            </w:r>
            <w:r>
              <w:rPr>
                <w:w w:val="105"/>
                <w:sz w:val="19"/>
              </w:rPr>
              <w:t>los</w:t>
            </w:r>
            <w:r>
              <w:rPr>
                <w:spacing w:val="-16"/>
                <w:w w:val="105"/>
                <w:sz w:val="19"/>
              </w:rPr>
              <w:t> </w:t>
            </w:r>
            <w:r>
              <w:rPr>
                <w:w w:val="105"/>
                <w:sz w:val="19"/>
              </w:rPr>
              <w:t>principales</w:t>
            </w:r>
            <w:r>
              <w:rPr>
                <w:spacing w:val="-19"/>
                <w:w w:val="105"/>
                <w:sz w:val="19"/>
              </w:rPr>
              <w:t> </w:t>
            </w:r>
            <w:r>
              <w:rPr>
                <w:w w:val="105"/>
                <w:sz w:val="19"/>
              </w:rPr>
              <w:t>emisores</w:t>
            </w:r>
            <w:r>
              <w:rPr>
                <w:spacing w:val="-16"/>
                <w:w w:val="105"/>
                <w:sz w:val="19"/>
              </w:rPr>
              <w:t> </w:t>
            </w:r>
            <w:r>
              <w:rPr>
                <w:w w:val="105"/>
                <w:sz w:val="19"/>
              </w:rPr>
              <w:t>de gases de efecto invernadero, como EE.UU. y los países de reciente industrialización</w:t>
            </w:r>
            <w:r>
              <w:rPr>
                <w:spacing w:val="-7"/>
                <w:w w:val="105"/>
                <w:sz w:val="19"/>
              </w:rPr>
              <w:t> </w:t>
            </w:r>
            <w:r>
              <w:rPr>
                <w:w w:val="105"/>
                <w:sz w:val="19"/>
              </w:rPr>
              <w:t>-Brasil,</w:t>
            </w:r>
            <w:r>
              <w:rPr>
                <w:spacing w:val="-11"/>
                <w:w w:val="105"/>
                <w:sz w:val="19"/>
              </w:rPr>
              <w:t> </w:t>
            </w:r>
            <w:r>
              <w:rPr>
                <w:w w:val="105"/>
                <w:sz w:val="19"/>
              </w:rPr>
              <w:t>China,</w:t>
            </w:r>
            <w:r>
              <w:rPr>
                <w:spacing w:val="-15"/>
                <w:w w:val="105"/>
                <w:sz w:val="19"/>
              </w:rPr>
              <w:t> </w:t>
            </w:r>
            <w:r>
              <w:rPr>
                <w:spacing w:val="-3"/>
                <w:w w:val="105"/>
                <w:sz w:val="19"/>
              </w:rPr>
              <w:t>India</w:t>
            </w:r>
            <w:r>
              <w:rPr>
                <w:spacing w:val="-9"/>
                <w:w w:val="105"/>
                <w:sz w:val="19"/>
              </w:rPr>
              <w:t> </w:t>
            </w:r>
            <w:r>
              <w:rPr>
                <w:w w:val="105"/>
                <w:sz w:val="19"/>
              </w:rPr>
              <w:t>y</w:t>
            </w:r>
            <w:r>
              <w:rPr>
                <w:spacing w:val="-11"/>
                <w:w w:val="105"/>
                <w:sz w:val="19"/>
              </w:rPr>
              <w:t> </w:t>
            </w:r>
            <w:r>
              <w:rPr>
                <w:w w:val="105"/>
                <w:sz w:val="19"/>
              </w:rPr>
              <w:t>Sudáfrica-</w:t>
            </w:r>
            <w:r>
              <w:rPr>
                <w:spacing w:val="-15"/>
                <w:w w:val="105"/>
                <w:sz w:val="19"/>
              </w:rPr>
              <w:t> </w:t>
            </w:r>
            <w:r>
              <w:rPr>
                <w:w w:val="105"/>
                <w:sz w:val="19"/>
              </w:rPr>
              <w:t>están</w:t>
            </w:r>
            <w:r>
              <w:rPr>
                <w:spacing w:val="-9"/>
                <w:w w:val="105"/>
                <w:sz w:val="19"/>
              </w:rPr>
              <w:t> </w:t>
            </w:r>
            <w:r>
              <w:rPr>
                <w:w w:val="105"/>
                <w:sz w:val="19"/>
              </w:rPr>
              <w:t>dispuestos</w:t>
            </w:r>
            <w:r>
              <w:rPr>
                <w:spacing w:val="-15"/>
                <w:w w:val="105"/>
                <w:sz w:val="19"/>
              </w:rPr>
              <w:t> </w:t>
            </w:r>
            <w:r>
              <w:rPr>
                <w:w w:val="105"/>
                <w:sz w:val="19"/>
              </w:rPr>
              <w:t>a</w:t>
            </w:r>
            <w:r>
              <w:rPr>
                <w:spacing w:val="-9"/>
                <w:w w:val="105"/>
                <w:sz w:val="19"/>
              </w:rPr>
              <w:t> </w:t>
            </w:r>
            <w:r>
              <w:rPr>
                <w:w w:val="105"/>
                <w:sz w:val="19"/>
              </w:rPr>
              <w:t>iniciar un proceso que se completará en 2015 y </w:t>
            </w:r>
            <w:r>
              <w:rPr>
                <w:spacing w:val="-3"/>
                <w:w w:val="105"/>
                <w:sz w:val="19"/>
              </w:rPr>
              <w:t>que </w:t>
            </w:r>
            <w:r>
              <w:rPr>
                <w:w w:val="105"/>
                <w:sz w:val="19"/>
              </w:rPr>
              <w:t>concluirá con un acuerdo legalmente</w:t>
            </w:r>
            <w:r>
              <w:rPr>
                <w:spacing w:val="-30"/>
                <w:w w:val="105"/>
                <w:sz w:val="19"/>
              </w:rPr>
              <w:t> </w:t>
            </w:r>
            <w:r>
              <w:rPr>
                <w:w w:val="105"/>
                <w:sz w:val="19"/>
              </w:rPr>
              <w:t>vinculante</w:t>
            </w:r>
            <w:r>
              <w:rPr>
                <w:spacing w:val="-30"/>
                <w:w w:val="105"/>
                <w:sz w:val="19"/>
              </w:rPr>
              <w:t> </w:t>
            </w:r>
            <w:r>
              <w:rPr>
                <w:w w:val="105"/>
                <w:sz w:val="19"/>
              </w:rPr>
              <w:t>de</w:t>
            </w:r>
            <w:r>
              <w:rPr>
                <w:spacing w:val="-30"/>
                <w:w w:val="105"/>
                <w:sz w:val="19"/>
              </w:rPr>
              <w:t> </w:t>
            </w:r>
            <w:r>
              <w:rPr>
                <w:w w:val="105"/>
                <w:sz w:val="19"/>
              </w:rPr>
              <w:t>protección</w:t>
            </w:r>
            <w:r>
              <w:rPr>
                <w:spacing w:val="-32"/>
                <w:w w:val="105"/>
                <w:sz w:val="19"/>
              </w:rPr>
              <w:t> </w:t>
            </w:r>
            <w:r>
              <w:rPr>
                <w:w w:val="105"/>
                <w:sz w:val="19"/>
              </w:rPr>
              <w:t>climática.</w:t>
            </w:r>
          </w:p>
        </w:tc>
      </w:tr>
    </w:tbl>
    <w:p>
      <w:pPr>
        <w:spacing w:line="218" w:lineRule="exact" w:before="0"/>
        <w:ind w:left="215" w:right="0" w:firstLine="0"/>
        <w:jc w:val="both"/>
        <w:rPr>
          <w:sz w:val="19"/>
        </w:rPr>
      </w:pPr>
      <w:r>
        <w:rPr>
          <w:w w:val="105"/>
          <w:sz w:val="19"/>
        </w:rPr>
        <w:t>Fuente: elaboración propia</w:t>
      </w:r>
    </w:p>
    <w:p>
      <w:pPr>
        <w:pStyle w:val="BodyText"/>
        <w:spacing w:before="5"/>
        <w:rPr>
          <w:sz w:val="19"/>
        </w:rPr>
      </w:pPr>
    </w:p>
    <w:p>
      <w:pPr>
        <w:pStyle w:val="BodyText"/>
        <w:spacing w:line="364" w:lineRule="auto"/>
        <w:ind w:left="215" w:right="899"/>
        <w:jc w:val="both"/>
      </w:pPr>
      <w:r>
        <w:rPr/>
        <w:t>Estas reuniones de organismos multilaterales trajeron consigo </w:t>
      </w:r>
      <w:r>
        <w:rPr>
          <w:spacing w:val="-5"/>
        </w:rPr>
        <w:t>la </w:t>
      </w:r>
      <w:r>
        <w:rPr/>
        <w:t>implementación de políticas públicas como la separación de </w:t>
      </w:r>
      <w:r>
        <w:rPr>
          <w:spacing w:val="-5"/>
        </w:rPr>
        <w:t>la  </w:t>
      </w:r>
      <w:r>
        <w:rPr/>
        <w:t>basura, la prohibición de caza de animales  en peligro de extinción, la reducción de CO2, entre otros aspectos que han quedado normados y que sin embargo en la práctica </w:t>
      </w:r>
      <w:r>
        <w:rPr>
          <w:spacing w:val="-3"/>
        </w:rPr>
        <w:t>no </w:t>
      </w:r>
      <w:r>
        <w:rPr/>
        <w:t>han sido </w:t>
      </w:r>
      <w:r>
        <w:rPr>
          <w:spacing w:val="21"/>
        </w:rPr>
        <w:t> </w:t>
      </w:r>
      <w:r>
        <w:rPr/>
        <w:t>aplicados.</w:t>
      </w:r>
    </w:p>
    <w:p>
      <w:pPr>
        <w:pStyle w:val="BodyText"/>
        <w:spacing w:line="367" w:lineRule="auto" w:before="120"/>
        <w:ind w:left="215" w:right="901"/>
        <w:jc w:val="both"/>
      </w:pPr>
      <w:r>
        <w:rPr/>
        <w:t>Por otro lado también dio pie a la creación de Organismos  no  Gubernamentales  (ONG´s) cuyo objetivo es salvaguardar y proteger los recursos naturales, ejemplo de estos </w:t>
      </w:r>
      <w:r>
        <w:rPr>
          <w:spacing w:val="2"/>
        </w:rPr>
        <w:t>son </w:t>
      </w:r>
      <w:r>
        <w:rPr>
          <w:i/>
        </w:rPr>
        <w:t>Green Globe, Green Peace, World Wildlife Found </w:t>
      </w:r>
      <w:r>
        <w:rPr/>
        <w:t>(WWF), entre </w:t>
      </w:r>
      <w:r>
        <w:rPr>
          <w:spacing w:val="27"/>
        </w:rPr>
        <w:t> </w:t>
      </w:r>
      <w:r>
        <w:rPr/>
        <w:t>otras.</w:t>
      </w:r>
    </w:p>
    <w:p>
      <w:pPr>
        <w:pStyle w:val="BodyText"/>
        <w:spacing w:line="364" w:lineRule="auto" w:before="117"/>
        <w:ind w:left="215" w:right="899"/>
        <w:jc w:val="both"/>
      </w:pPr>
      <w:r>
        <w:rPr/>
        <w:t>Además el surgimiento de movimientos ecologistas a la defensa de la naturaleza aumento y esto conllevo a que los gobiernos dirigieran más su atención a </w:t>
      </w:r>
      <w:r>
        <w:rPr>
          <w:spacing w:val="-5"/>
        </w:rPr>
        <w:t>la </w:t>
      </w:r>
      <w:r>
        <w:rPr/>
        <w:t>aplicación  de las políticas públicas en materia ambiental. </w:t>
      </w:r>
      <w:r>
        <w:rPr>
          <w:spacing w:val="-3"/>
        </w:rPr>
        <w:t>Sin </w:t>
      </w:r>
      <w:r>
        <w:rPr/>
        <w:t>embargo, pese a estos esfuerzos </w:t>
      </w:r>
      <w:r>
        <w:rPr>
          <w:spacing w:val="-3"/>
        </w:rPr>
        <w:t>en pro  </w:t>
      </w:r>
      <w:r>
        <w:rPr/>
        <w:t>del  ambiente  no  </w:t>
      </w:r>
      <w:r>
        <w:rPr>
          <w:spacing w:val="2"/>
        </w:rPr>
        <w:t>han  </w:t>
      </w:r>
      <w:r>
        <w:rPr/>
        <w:t>sido  suficientes  </w:t>
      </w:r>
      <w:r>
        <w:rPr>
          <w:spacing w:val="-4"/>
        </w:rPr>
        <w:t>ya  </w:t>
      </w:r>
      <w:r>
        <w:rPr/>
        <w:t>que  es  necesaria  la  participación  </w:t>
      </w:r>
      <w:r>
        <w:rPr>
          <w:spacing w:val="34"/>
        </w:rPr>
        <w:t> </w:t>
      </w:r>
      <w:r>
        <w:rPr/>
        <w:t>del</w:t>
      </w:r>
    </w:p>
    <w:p>
      <w:pPr>
        <w:spacing w:after="0" w:line="364" w:lineRule="auto"/>
        <w:jc w:val="both"/>
        <w:sectPr>
          <w:pgSz w:w="11910" w:h="16840"/>
          <w:pgMar w:header="1066" w:footer="1715" w:top="1460" w:bottom="1900" w:left="1440" w:right="200"/>
        </w:sectPr>
      </w:pPr>
    </w:p>
    <w:p>
      <w:pPr>
        <w:pStyle w:val="BodyText"/>
        <w:rPr>
          <w:sz w:val="20"/>
        </w:rPr>
      </w:pPr>
    </w:p>
    <w:p>
      <w:pPr>
        <w:pStyle w:val="BodyText"/>
        <w:spacing w:before="10"/>
        <w:rPr>
          <w:sz w:val="17"/>
        </w:rPr>
      </w:pPr>
    </w:p>
    <w:p>
      <w:pPr>
        <w:pStyle w:val="BodyText"/>
        <w:spacing w:line="362" w:lineRule="auto" w:before="74"/>
        <w:ind w:left="115" w:right="896"/>
        <w:jc w:val="both"/>
      </w:pPr>
      <w:r>
        <w:rPr/>
        <w:t>colectivo social, en donde cada ser humano haga conciencia de la importancia de frenar la problemática ambiental.</w:t>
      </w:r>
    </w:p>
    <w:p>
      <w:pPr>
        <w:pStyle w:val="BodyText"/>
        <w:spacing w:line="364" w:lineRule="auto" w:before="123"/>
        <w:ind w:left="115" w:right="893"/>
        <w:jc w:val="both"/>
      </w:pPr>
      <w:r>
        <w:rPr/>
        <w:t>Tema que ha sido objeto de estudio de diversas disciplinas y ciencias, las cuales han planteado un sinfín de soluciones para frenar el deterioro ambiental. Sin embargo, el problema ya no solo se trata de una cuestión de aplicación de innovación y tecnología, para acabar con la emisión de gases a la atmosfera, o para degradar el sin número de contaminantes presentes, ya no son suficientes las reuniones para informar sobre la alarma del cambio climático, ahora se tiene actuar, se tienen que aplicar acciones concretas que sin lugar a dudas están estrechamente relacionadas  al  ser  humano, ahora la solución está en su comportamiento.</w:t>
      </w:r>
    </w:p>
    <w:p>
      <w:pPr>
        <w:pStyle w:val="BodyText"/>
        <w:rPr>
          <w:sz w:val="22"/>
        </w:rPr>
      </w:pPr>
    </w:p>
    <w:p>
      <w:pPr>
        <w:pStyle w:val="BodyText"/>
        <w:rPr>
          <w:sz w:val="22"/>
        </w:rPr>
      </w:pPr>
    </w:p>
    <w:p>
      <w:pPr>
        <w:pStyle w:val="Heading2"/>
        <w:numPr>
          <w:ilvl w:val="1"/>
          <w:numId w:val="8"/>
        </w:numPr>
        <w:tabs>
          <w:tab w:pos="803" w:val="left" w:leader="none"/>
        </w:tabs>
        <w:spacing w:line="240" w:lineRule="auto" w:before="132" w:after="0"/>
        <w:ind w:left="802" w:right="0" w:hanging="686"/>
        <w:jc w:val="both"/>
      </w:pPr>
      <w:r>
        <w:rPr/>
        <w:t>Educación</w:t>
      </w:r>
      <w:r>
        <w:rPr>
          <w:spacing w:val="23"/>
        </w:rPr>
        <w:t> </w:t>
      </w:r>
      <w:r>
        <w:rPr/>
        <w:t>Ambiental</w:t>
      </w:r>
    </w:p>
    <w:p>
      <w:pPr>
        <w:pStyle w:val="BodyText"/>
        <w:spacing w:before="5"/>
        <w:rPr>
          <w:b/>
          <w:sz w:val="22"/>
        </w:rPr>
      </w:pPr>
    </w:p>
    <w:p>
      <w:pPr>
        <w:spacing w:before="0"/>
        <w:ind w:left="303" w:right="0" w:firstLine="0"/>
        <w:jc w:val="left"/>
        <w:rPr>
          <w:i/>
          <w:sz w:val="23"/>
        </w:rPr>
      </w:pPr>
      <w:r>
        <w:rPr>
          <w:i/>
          <w:sz w:val="23"/>
        </w:rPr>
        <w:t>“La preservación del ambiente depende de una conciencia ecológica y la formación  de</w:t>
      </w:r>
    </w:p>
    <w:p>
      <w:pPr>
        <w:spacing w:before="138"/>
        <w:ind w:left="116" w:right="0" w:firstLine="3360"/>
        <w:jc w:val="left"/>
        <w:rPr>
          <w:i/>
          <w:sz w:val="23"/>
        </w:rPr>
      </w:pPr>
      <w:r>
        <w:rPr>
          <w:i/>
          <w:sz w:val="23"/>
        </w:rPr>
        <w:t>la conciencia depende de la educación” (Gadotti,</w:t>
      </w:r>
      <w:r>
        <w:rPr>
          <w:i/>
          <w:spacing w:val="57"/>
          <w:sz w:val="23"/>
        </w:rPr>
        <w:t> </w:t>
      </w:r>
      <w:r>
        <w:rPr>
          <w:i/>
          <w:sz w:val="23"/>
        </w:rPr>
        <w:t>2000).</w:t>
      </w:r>
    </w:p>
    <w:p>
      <w:pPr>
        <w:pStyle w:val="BodyText"/>
        <w:rPr>
          <w:i/>
          <w:sz w:val="22"/>
        </w:rPr>
      </w:pPr>
    </w:p>
    <w:p>
      <w:pPr>
        <w:pStyle w:val="BodyText"/>
        <w:spacing w:line="364" w:lineRule="auto" w:before="1"/>
        <w:ind w:left="116" w:right="899"/>
        <w:jc w:val="both"/>
      </w:pPr>
      <w:r>
        <w:rPr/>
        <w:t>La crisis ambiental que hoy </w:t>
      </w:r>
      <w:r>
        <w:rPr>
          <w:spacing w:val="3"/>
        </w:rPr>
        <w:t>se </w:t>
      </w:r>
      <w:r>
        <w:rPr/>
        <w:t>vive convoca a no seguir viendo el mundo de manera fragmentada y parcial, sino a adoptar una visión más holística e interdisciplinaria que ayude a imaginar y crear nuevas formas </w:t>
      </w:r>
      <w:r>
        <w:rPr>
          <w:spacing w:val="-3"/>
        </w:rPr>
        <w:t>de </w:t>
      </w:r>
      <w:r>
        <w:rPr/>
        <w:t>relacionarnos con la naturaleza y con nosotros mismos. Es necesario aprender a interpretar debidamente los  cambios  globales desde la ciencia, la creatividad y la ética, esto desde una visión integradora de  </w:t>
      </w:r>
      <w:r>
        <w:rPr>
          <w:spacing w:val="-5"/>
        </w:rPr>
        <w:t>la </w:t>
      </w:r>
      <w:r>
        <w:rPr/>
        <w:t>complejidad del</w:t>
      </w:r>
      <w:r>
        <w:rPr>
          <w:spacing w:val="40"/>
        </w:rPr>
        <w:t> </w:t>
      </w:r>
      <w:r>
        <w:rPr/>
        <w:t>planeta.</w:t>
      </w:r>
    </w:p>
    <w:p>
      <w:pPr>
        <w:pStyle w:val="BodyText"/>
        <w:spacing w:line="364" w:lineRule="auto" w:before="125"/>
        <w:ind w:left="116" w:right="895"/>
        <w:jc w:val="both"/>
      </w:pPr>
      <w:r>
        <w:rPr>
          <w:spacing w:val="-3"/>
        </w:rPr>
        <w:t>Sin </w:t>
      </w:r>
      <w:r>
        <w:rPr/>
        <w:t>lugar a dudas los cambios ecológicos y sociales están ocasionando diversos  impactos en </w:t>
      </w:r>
      <w:r>
        <w:rPr>
          <w:spacing w:val="-5"/>
        </w:rPr>
        <w:t>la </w:t>
      </w:r>
      <w:r>
        <w:rPr/>
        <w:t>ecosfera. Cambios que afectan el conocimiento científico, los valores, actitudes y formas de conocer, así como también nuestra forma de relacionarnos con nosotros mismos y </w:t>
      </w:r>
      <w:r>
        <w:rPr>
          <w:spacing w:val="2"/>
        </w:rPr>
        <w:t>con </w:t>
      </w:r>
      <w:r>
        <w:rPr/>
        <w:t>la naturaleza, al tiempo que </w:t>
      </w:r>
      <w:r>
        <w:rPr>
          <w:spacing w:val="-3"/>
        </w:rPr>
        <w:t>nos </w:t>
      </w:r>
      <w:r>
        <w:rPr/>
        <w:t>restringe la posibilidad de tener otra mirada sobre el</w:t>
      </w:r>
      <w:r>
        <w:rPr>
          <w:spacing w:val="25"/>
        </w:rPr>
        <w:t> </w:t>
      </w:r>
      <w:r>
        <w:rPr/>
        <w:t>mundo.</w:t>
      </w:r>
    </w:p>
    <w:p>
      <w:pPr>
        <w:pStyle w:val="BodyText"/>
        <w:spacing w:line="364" w:lineRule="auto" w:before="125"/>
        <w:ind w:left="116" w:right="895"/>
        <w:jc w:val="both"/>
      </w:pPr>
      <w:r>
        <w:rPr/>
        <w:t>La educación ambiental (EA) de acuerdo con Reyes (2006), es un proceso formativo permanente que desde una perspectiva ética, política y pedagógica, proporciona elementos teóricos y prácticos para modificar actitudes, elevar la comprensión y enriquecer el comportamiento del hombre en sus relaciones socioculturales con el ambiente, para construir sociedades sustentables  que respondan con equidad    social a</w:t>
      </w:r>
    </w:p>
    <w:p>
      <w:pPr>
        <w:spacing w:after="0" w:line="364" w:lineRule="auto"/>
        <w:jc w:val="both"/>
        <w:sectPr>
          <w:footerReference w:type="default" r:id="rId11"/>
          <w:pgSz w:w="11910" w:h="16840"/>
          <w:pgMar w:footer="1711" w:header="1066" w:top="1460" w:bottom="1900" w:left="1540" w:right="200"/>
          <w:pgNumType w:start="10"/>
        </w:sectPr>
      </w:pPr>
    </w:p>
    <w:p>
      <w:pPr>
        <w:pStyle w:val="BodyText"/>
        <w:rPr>
          <w:sz w:val="20"/>
        </w:rPr>
      </w:pPr>
    </w:p>
    <w:p>
      <w:pPr>
        <w:pStyle w:val="BodyText"/>
        <w:spacing w:before="5"/>
        <w:rPr>
          <w:sz w:val="17"/>
        </w:rPr>
      </w:pPr>
    </w:p>
    <w:p>
      <w:pPr>
        <w:pStyle w:val="BodyText"/>
        <w:spacing w:line="364" w:lineRule="auto" w:before="73"/>
        <w:ind w:left="100" w:right="892"/>
        <w:jc w:val="both"/>
      </w:pPr>
      <w:r>
        <w:rPr/>
        <w:t>las particularidades culturales y ecológicas de una comunidad. Esta concepción de EA más que remitir a una definición, invita a reflexionar y analizar sobre el significado de diferentes aspectos relacionados </w:t>
      </w:r>
      <w:r>
        <w:rPr>
          <w:spacing w:val="2"/>
        </w:rPr>
        <w:t>con </w:t>
      </w:r>
      <w:r>
        <w:rPr/>
        <w:t>la dimensión ambiental, a comprender que toda iniciativa a favor del cuidado y protección del ambiente requiere precisar  el  entendimiento de elementos de educación ambiental, desarrollo sustentable, sustentabilidad y cambio global por mencionar</w:t>
      </w:r>
      <w:r>
        <w:rPr>
          <w:spacing w:val="62"/>
        </w:rPr>
        <w:t> </w:t>
      </w:r>
      <w:r>
        <w:rPr/>
        <w:t>algunos.</w:t>
      </w:r>
    </w:p>
    <w:p>
      <w:pPr>
        <w:pStyle w:val="BodyText"/>
        <w:spacing w:line="364" w:lineRule="auto" w:before="120"/>
        <w:ind w:left="100" w:right="894"/>
        <w:jc w:val="both"/>
      </w:pPr>
      <w:r>
        <w:rPr/>
        <w:t>Así pues la educación ambiental surgió hace poco más de 30 años, como se mencionó anteriormente se reconoció oficialmente en 1972 con la Declaración de Estocolmo. En México se integró una década más tarde con la creación de la Secretaría de Desarrollo Urbano y Ecología (SEDUE) en 1983.</w:t>
      </w:r>
    </w:p>
    <w:p>
      <w:pPr>
        <w:pStyle w:val="BodyText"/>
        <w:spacing w:line="364" w:lineRule="auto" w:before="120"/>
        <w:ind w:left="100" w:right="897"/>
        <w:jc w:val="both"/>
      </w:pPr>
      <w:r>
        <w:rPr/>
        <w:t>Por otro lado, con la creciente preocupación por la conservación de la naturaleza, </w:t>
      </w:r>
      <w:r>
        <w:rPr>
          <w:spacing w:val="4"/>
        </w:rPr>
        <w:t>el </w:t>
      </w:r>
      <w:r>
        <w:rPr/>
        <w:t>primer enfoque de la EA fue conservacionista, </w:t>
      </w:r>
      <w:r>
        <w:rPr>
          <w:spacing w:val="-3"/>
        </w:rPr>
        <w:t>es  </w:t>
      </w:r>
      <w:r>
        <w:rPr/>
        <w:t>decir, se orientó en crear conciencia  en </w:t>
      </w:r>
      <w:r>
        <w:rPr>
          <w:spacing w:val="-5"/>
        </w:rPr>
        <w:t>la </w:t>
      </w:r>
      <w:r>
        <w:rPr/>
        <w:t>población sobre la necesidad de conservar los ecosistemas naturales, utilizando para ello paisajes y especies</w:t>
      </w:r>
      <w:r>
        <w:rPr>
          <w:spacing w:val="53"/>
        </w:rPr>
        <w:t> </w:t>
      </w:r>
      <w:r>
        <w:rPr/>
        <w:t>carismáticas.</w:t>
      </w:r>
    </w:p>
    <w:p>
      <w:pPr>
        <w:pStyle w:val="Heading2"/>
        <w:spacing w:before="120"/>
        <w:ind w:left="1852" w:right="514"/>
        <w:jc w:val="left"/>
      </w:pPr>
      <w:r>
        <w:rPr/>
        <w:drawing>
          <wp:anchor distT="0" distB="0" distL="0" distR="0" allowOverlap="1" layoutInCell="1" locked="0" behindDoc="0" simplePos="0" relativeHeight="1240">
            <wp:simplePos x="0" y="0"/>
            <wp:positionH relativeFrom="page">
              <wp:posOffset>2276855</wp:posOffset>
            </wp:positionH>
            <wp:positionV relativeFrom="paragraph">
              <wp:posOffset>316825</wp:posOffset>
            </wp:positionV>
            <wp:extent cx="2917506" cy="2462593"/>
            <wp:effectExtent l="0" t="0" r="0" b="0"/>
            <wp:wrapTopAndBottom/>
            <wp:docPr id="1" name="image5.jpeg" descr=""/>
            <wp:cNvGraphicFramePr>
              <a:graphicFrameLocks noChangeAspect="1"/>
            </wp:cNvGraphicFramePr>
            <a:graphic>
              <a:graphicData uri="http://schemas.openxmlformats.org/drawingml/2006/picture">
                <pic:pic>
                  <pic:nvPicPr>
                    <pic:cNvPr id="2" name="image5.jpeg"/>
                    <pic:cNvPicPr/>
                  </pic:nvPicPr>
                  <pic:blipFill>
                    <a:blip r:embed="rId13" cstate="print"/>
                    <a:stretch>
                      <a:fillRect/>
                    </a:stretch>
                  </pic:blipFill>
                  <pic:spPr>
                    <a:xfrm>
                      <a:off x="0" y="0"/>
                      <a:ext cx="2917506" cy="2462593"/>
                    </a:xfrm>
                    <a:prstGeom prst="rect">
                      <a:avLst/>
                    </a:prstGeom>
                  </pic:spPr>
                </pic:pic>
              </a:graphicData>
            </a:graphic>
          </wp:anchor>
        </w:drawing>
      </w:r>
      <w:r>
        <w:rPr/>
        <w:t>Figura No.1 Trayectoria de la Educación</w:t>
      </w:r>
      <w:r>
        <w:rPr>
          <w:spacing w:val="62"/>
        </w:rPr>
        <w:t> </w:t>
      </w:r>
      <w:r>
        <w:rPr/>
        <w:t>Ambiental</w:t>
      </w:r>
    </w:p>
    <w:p>
      <w:pPr>
        <w:pStyle w:val="BodyText"/>
        <w:rPr>
          <w:b/>
          <w:sz w:val="22"/>
        </w:rPr>
      </w:pPr>
    </w:p>
    <w:p>
      <w:pPr>
        <w:spacing w:before="145"/>
        <w:ind w:left="100" w:right="0" w:firstLine="0"/>
        <w:jc w:val="both"/>
        <w:rPr>
          <w:sz w:val="19"/>
        </w:rPr>
      </w:pPr>
      <w:r>
        <w:rPr>
          <w:w w:val="105"/>
          <w:sz w:val="19"/>
        </w:rPr>
        <w:t>Fuente: elaboración propia</w:t>
      </w:r>
    </w:p>
    <w:p>
      <w:pPr>
        <w:pStyle w:val="BodyText"/>
        <w:spacing w:before="10"/>
        <w:rPr>
          <w:sz w:val="19"/>
        </w:rPr>
      </w:pPr>
    </w:p>
    <w:p>
      <w:pPr>
        <w:pStyle w:val="BodyText"/>
        <w:spacing w:line="364" w:lineRule="auto"/>
        <w:ind w:left="100" w:right="890"/>
        <w:jc w:val="both"/>
      </w:pPr>
      <w:r>
        <w:rPr/>
        <w:t>Este enfoque atrajo a profesionales de las ciencias naturales motivados por desempeñarse en el campo de la EA. Sin embargo, sus programas educativos han sido más técnicos que didácticos, centrados en transmitir a la población información y conceptos de biología  y ecología que muchas veces son poco comprendidos    (Enfoque</w:t>
      </w:r>
    </w:p>
    <w:p>
      <w:pPr>
        <w:spacing w:after="0" w:line="364" w:lineRule="auto"/>
        <w:jc w:val="both"/>
        <w:sectPr>
          <w:headerReference w:type="default" r:id="rId12"/>
          <w:pgSz w:w="11910" w:h="16840"/>
          <w:pgMar w:header="1013" w:footer="1711" w:top="1480" w:bottom="1900" w:left="1560" w:right="200"/>
        </w:sectPr>
      </w:pPr>
    </w:p>
    <w:p>
      <w:pPr>
        <w:pStyle w:val="BodyText"/>
        <w:rPr>
          <w:sz w:val="20"/>
        </w:rPr>
      </w:pPr>
    </w:p>
    <w:p>
      <w:pPr>
        <w:pStyle w:val="BodyText"/>
        <w:spacing w:before="5"/>
        <w:rPr>
          <w:sz w:val="17"/>
        </w:rPr>
      </w:pPr>
    </w:p>
    <w:p>
      <w:pPr>
        <w:pStyle w:val="BodyText"/>
        <w:spacing w:line="364" w:lineRule="auto" w:before="73"/>
        <w:ind w:left="100" w:right="894"/>
        <w:jc w:val="both"/>
      </w:pPr>
      <w:r>
        <w:rPr/>
        <w:t>conservacionista-ecologista). Posteriormente, la incorporación de la EA al ámbito formal  </w:t>
      </w:r>
      <w:r>
        <w:rPr>
          <w:spacing w:val="-5"/>
        </w:rPr>
        <w:t>le </w:t>
      </w:r>
      <w:r>
        <w:rPr/>
        <w:t>dio un nuevo enfoque haciéndola más educacionista. Esta postura sostiene que la crisis ambiental sólo </w:t>
      </w:r>
      <w:r>
        <w:rPr>
          <w:spacing w:val="3"/>
        </w:rPr>
        <w:t>se </w:t>
      </w:r>
      <w:r>
        <w:rPr/>
        <w:t>resolverá con más y más educación, sin considerar que lo importante no </w:t>
      </w:r>
      <w:r>
        <w:rPr>
          <w:spacing w:val="-3"/>
        </w:rPr>
        <w:t>es </w:t>
      </w:r>
      <w:r>
        <w:rPr/>
        <w:t>la cantidad sino </w:t>
      </w:r>
      <w:r>
        <w:rPr>
          <w:spacing w:val="-5"/>
        </w:rPr>
        <w:t>la </w:t>
      </w:r>
      <w:r>
        <w:rPr/>
        <w:t>calidad de </w:t>
      </w:r>
      <w:r>
        <w:rPr>
          <w:spacing w:val="15"/>
        </w:rPr>
        <w:t> </w:t>
      </w:r>
      <w:r>
        <w:rPr/>
        <w:t>ésta.</w:t>
      </w:r>
    </w:p>
    <w:p>
      <w:pPr>
        <w:pStyle w:val="BodyText"/>
        <w:spacing w:line="364" w:lineRule="auto" w:before="125"/>
        <w:ind w:left="100" w:right="887"/>
        <w:jc w:val="both"/>
      </w:pPr>
      <w:r>
        <w:rPr/>
        <w:t>Un enfoque más que sin duda ha marcado cierta dominancia, ha sido el lúdico-activista, el cual se apoya en el hacer por hacer, sin un proyecto educativo y un marco social y político </w:t>
      </w:r>
      <w:r>
        <w:rPr>
          <w:spacing w:val="-3"/>
        </w:rPr>
        <w:t>que </w:t>
      </w:r>
      <w:r>
        <w:rPr/>
        <w:t>le dé sentido y dirección. De modo que los múltiples esfuerzos llevados a cabo en este enfoque han motivado </w:t>
      </w:r>
      <w:r>
        <w:rPr>
          <w:spacing w:val="-5"/>
        </w:rPr>
        <w:t>la </w:t>
      </w:r>
      <w:r>
        <w:rPr/>
        <w:t>participación pública, pero sin continuidad,  dejando entre los partícipes desconfianza y resistencia a continuar en otros </w:t>
      </w:r>
      <w:r>
        <w:rPr>
          <w:spacing w:val="37"/>
        </w:rPr>
        <w:t> </w:t>
      </w:r>
      <w:r>
        <w:rPr/>
        <w:t>proyectos.</w:t>
      </w:r>
    </w:p>
    <w:p>
      <w:pPr>
        <w:pStyle w:val="BodyText"/>
        <w:spacing w:line="364" w:lineRule="auto" w:before="125"/>
        <w:ind w:left="100" w:right="892"/>
        <w:jc w:val="both"/>
      </w:pPr>
      <w:r>
        <w:rPr/>
        <w:t>Los diferentes enfoques así como las actuales dimensiones que plantea la educación ambiental, no ocurren de manera aislada, sino que con frecuencia se complementan (González, 2011). Frente al panorama de una educación ambiental desprestigiada y empobrecida, se replantea enfocada en la  sustentabilidad.</w:t>
      </w:r>
    </w:p>
    <w:p>
      <w:pPr>
        <w:pStyle w:val="BodyText"/>
        <w:spacing w:line="364" w:lineRule="auto" w:before="120"/>
        <w:ind w:left="100" w:right="901"/>
        <w:jc w:val="both"/>
      </w:pPr>
      <w:r>
        <w:rPr/>
        <w:t>Este planteamiento de nuevos proyectos de EA, muestra que este enfoque ofrece la oportunidad de intervenir en ocho dimensiones a considerar para la sustentabilidad (Figura 2).</w:t>
      </w:r>
    </w:p>
    <w:p>
      <w:pPr>
        <w:pStyle w:val="Heading2"/>
        <w:spacing w:before="125"/>
        <w:ind w:left="379" w:right="514"/>
        <w:jc w:val="left"/>
      </w:pPr>
      <w:r>
        <w:rPr/>
        <w:drawing>
          <wp:anchor distT="0" distB="0" distL="0" distR="0" allowOverlap="1" layoutInCell="1" locked="0" behindDoc="0" simplePos="0" relativeHeight="1264">
            <wp:simplePos x="0" y="0"/>
            <wp:positionH relativeFrom="page">
              <wp:posOffset>1271016</wp:posOffset>
            </wp:positionH>
            <wp:positionV relativeFrom="paragraph">
              <wp:posOffset>292568</wp:posOffset>
            </wp:positionV>
            <wp:extent cx="5412821" cy="3304127"/>
            <wp:effectExtent l="0" t="0" r="0" b="0"/>
            <wp:wrapTopAndBottom/>
            <wp:docPr id="3" name="image6.png" descr=""/>
            <wp:cNvGraphicFramePr>
              <a:graphicFrameLocks noChangeAspect="1"/>
            </wp:cNvGraphicFramePr>
            <a:graphic>
              <a:graphicData uri="http://schemas.openxmlformats.org/drawingml/2006/picture">
                <pic:pic>
                  <pic:nvPicPr>
                    <pic:cNvPr id="4" name="image6.png"/>
                    <pic:cNvPicPr/>
                  </pic:nvPicPr>
                  <pic:blipFill>
                    <a:blip r:embed="rId14" cstate="print"/>
                    <a:stretch>
                      <a:fillRect/>
                    </a:stretch>
                  </pic:blipFill>
                  <pic:spPr>
                    <a:xfrm>
                      <a:off x="0" y="0"/>
                      <a:ext cx="5412821" cy="3304127"/>
                    </a:xfrm>
                    <a:prstGeom prst="rect">
                      <a:avLst/>
                    </a:prstGeom>
                  </pic:spPr>
                </pic:pic>
              </a:graphicData>
            </a:graphic>
          </wp:anchor>
        </w:drawing>
      </w:r>
      <w:r>
        <w:rPr/>
        <w:t>Figura No. 2. Dimensiones de la Educación Ambiental para la  Sustentabilidad</w:t>
      </w:r>
    </w:p>
    <w:p>
      <w:pPr>
        <w:spacing w:before="104"/>
        <w:ind w:left="100" w:right="0" w:firstLine="0"/>
        <w:jc w:val="both"/>
        <w:rPr>
          <w:sz w:val="19"/>
        </w:rPr>
      </w:pPr>
      <w:r>
        <w:rPr>
          <w:w w:val="105"/>
          <w:sz w:val="19"/>
        </w:rPr>
        <w:t>Fuente: SEMARNAT, 2006. Estrategias de Educación Ambiental para la Sustentabilidad.</w:t>
      </w:r>
    </w:p>
    <w:p>
      <w:pPr>
        <w:spacing w:after="0"/>
        <w:jc w:val="both"/>
        <w:rPr>
          <w:sz w:val="19"/>
        </w:rPr>
        <w:sectPr>
          <w:pgSz w:w="11910" w:h="16840"/>
          <w:pgMar w:header="1013" w:footer="1711" w:top="1480" w:bottom="1900" w:left="1560" w:right="200"/>
        </w:sectPr>
      </w:pPr>
    </w:p>
    <w:p>
      <w:pPr>
        <w:pStyle w:val="BodyText"/>
        <w:rPr>
          <w:sz w:val="20"/>
        </w:rPr>
      </w:pPr>
    </w:p>
    <w:p>
      <w:pPr>
        <w:pStyle w:val="BodyText"/>
        <w:spacing w:before="10"/>
        <w:rPr>
          <w:sz w:val="17"/>
        </w:rPr>
      </w:pPr>
    </w:p>
    <w:p>
      <w:pPr>
        <w:pStyle w:val="BodyText"/>
        <w:spacing w:line="364" w:lineRule="auto" w:before="74"/>
        <w:ind w:left="115" w:right="900"/>
        <w:jc w:val="both"/>
      </w:pPr>
      <w:r>
        <w:rPr/>
        <w:t>Desde este punto </w:t>
      </w:r>
      <w:r>
        <w:rPr>
          <w:spacing w:val="-3"/>
        </w:rPr>
        <w:t>de </w:t>
      </w:r>
      <w:r>
        <w:rPr/>
        <w:t>vista </w:t>
      </w:r>
      <w:r>
        <w:rPr>
          <w:spacing w:val="-5"/>
        </w:rPr>
        <w:t>la </w:t>
      </w:r>
      <w:r>
        <w:rPr/>
        <w:t>Educación Ambiental </w:t>
      </w:r>
      <w:r>
        <w:rPr>
          <w:spacing w:val="2"/>
        </w:rPr>
        <w:t>con </w:t>
      </w:r>
      <w:r>
        <w:rPr/>
        <w:t>este nuevo enfoque surge como una nueva forma de educar, con un sentido profundamente critico, y contenidos cuestionadores de la sociedad y sus</w:t>
      </w:r>
      <w:r>
        <w:rPr>
          <w:spacing w:val="52"/>
        </w:rPr>
        <w:t> </w:t>
      </w:r>
      <w:r>
        <w:rPr/>
        <w:t>valores.</w:t>
      </w:r>
    </w:p>
    <w:p>
      <w:pPr>
        <w:pStyle w:val="BodyText"/>
        <w:spacing w:line="367" w:lineRule="auto" w:before="120"/>
        <w:ind w:left="116" w:right="896"/>
        <w:jc w:val="both"/>
      </w:pPr>
      <w:r>
        <w:rPr/>
        <w:t>Si bien en </w:t>
      </w:r>
      <w:r>
        <w:rPr>
          <w:spacing w:val="2"/>
        </w:rPr>
        <w:t>sus </w:t>
      </w:r>
      <w:r>
        <w:rPr/>
        <w:t>origenes la EA </w:t>
      </w:r>
      <w:r>
        <w:rPr>
          <w:spacing w:val="3"/>
        </w:rPr>
        <w:t>se </w:t>
      </w:r>
      <w:r>
        <w:rPr/>
        <w:t>vio como </w:t>
      </w:r>
      <w:r>
        <w:rPr>
          <w:spacing w:val="-5"/>
        </w:rPr>
        <w:t>la </w:t>
      </w:r>
      <w:r>
        <w:rPr/>
        <w:t>solución a </w:t>
      </w:r>
      <w:r>
        <w:rPr>
          <w:spacing w:val="-5"/>
        </w:rPr>
        <w:t>la </w:t>
      </w:r>
      <w:r>
        <w:rPr/>
        <w:t>problemática ambiental, hoy  es sabido, que es </w:t>
      </w:r>
      <w:r>
        <w:rPr>
          <w:spacing w:val="-3"/>
        </w:rPr>
        <w:t>una </w:t>
      </w:r>
      <w:r>
        <w:rPr/>
        <w:t>herramienta más para lograrlo, para </w:t>
      </w:r>
      <w:r>
        <w:rPr>
          <w:spacing w:val="2"/>
        </w:rPr>
        <w:t>dar </w:t>
      </w:r>
      <w:r>
        <w:rPr/>
        <w:t>a conocer los sintomas y los posibles remedios de esta crisis, pero sobre todo </w:t>
      </w:r>
      <w:r>
        <w:rPr>
          <w:spacing w:val="-3"/>
        </w:rPr>
        <w:t>es </w:t>
      </w:r>
      <w:r>
        <w:rPr/>
        <w:t>un arma para educar el comportamiento </w:t>
      </w:r>
      <w:r>
        <w:rPr>
          <w:spacing w:val="2"/>
        </w:rPr>
        <w:t>del ser </w:t>
      </w:r>
      <w:r>
        <w:rPr/>
        <w:t>humano propiciando recciones positivas que permitan lograr mejoras de proteccion al cuidado del ambiente y un camino hacia el desarrollo susentable.</w:t>
      </w:r>
    </w:p>
    <w:p>
      <w:pPr>
        <w:pStyle w:val="BodyText"/>
        <w:rPr>
          <w:sz w:val="22"/>
        </w:rPr>
      </w:pPr>
    </w:p>
    <w:p>
      <w:pPr>
        <w:pStyle w:val="BodyText"/>
        <w:rPr>
          <w:sz w:val="22"/>
        </w:rPr>
      </w:pPr>
    </w:p>
    <w:p>
      <w:pPr>
        <w:pStyle w:val="Heading2"/>
        <w:numPr>
          <w:ilvl w:val="1"/>
          <w:numId w:val="8"/>
        </w:numPr>
        <w:tabs>
          <w:tab w:pos="803" w:val="left" w:leader="none"/>
        </w:tabs>
        <w:spacing w:line="240" w:lineRule="auto" w:before="130" w:after="0"/>
        <w:ind w:left="802" w:right="0" w:hanging="686"/>
        <w:jc w:val="both"/>
      </w:pPr>
      <w:bookmarkStart w:name="_TOC_250033" w:id="2"/>
      <w:r>
        <w:rPr/>
        <w:t>Desarrollo</w:t>
      </w:r>
      <w:r>
        <w:rPr>
          <w:spacing w:val="32"/>
        </w:rPr>
        <w:t> </w:t>
      </w:r>
      <w:bookmarkEnd w:id="2"/>
      <w:r>
        <w:rPr/>
        <w:t>Sustentable</w:t>
      </w:r>
    </w:p>
    <w:p>
      <w:pPr>
        <w:pStyle w:val="BodyText"/>
        <w:rPr>
          <w:b/>
          <w:sz w:val="22"/>
        </w:rPr>
      </w:pPr>
    </w:p>
    <w:p>
      <w:pPr>
        <w:pStyle w:val="BodyText"/>
        <w:spacing w:line="364" w:lineRule="auto" w:before="1"/>
        <w:ind w:left="116" w:right="893"/>
        <w:jc w:val="both"/>
      </w:pPr>
      <w:r>
        <w:rPr/>
        <w:t>El desarrollo sustentable tiene sus antecedentes en la década de los setenta, cuando la defensa del ambiente se convirtió en uno de los temas prioritarios a nivel mundial y se consolidó con la celebración de la Conferencia de las Naciones Unidas sobre el Medio Ambiente Humano, en Estocolmo, Suecia (1972); en consecuencia a este acto, se iniciaron proyectos y programas para combatir problemas ambientales y aprovechar racionalmente los recursos naturales.</w:t>
      </w:r>
    </w:p>
    <w:p>
      <w:pPr>
        <w:pStyle w:val="BodyText"/>
        <w:spacing w:line="364" w:lineRule="auto" w:before="120"/>
        <w:ind w:left="116" w:right="896"/>
        <w:jc w:val="both"/>
      </w:pPr>
      <w:r>
        <w:rPr/>
        <w:t>Más tarde, en 1987, </w:t>
      </w:r>
      <w:r>
        <w:rPr>
          <w:spacing w:val="-5"/>
        </w:rPr>
        <w:t>la </w:t>
      </w:r>
      <w:r>
        <w:rPr/>
        <w:t>Comisión de Medio Ambiente de la Organización  de  las  Naciones Unidas (ONU) emitió un documento titulado Nuestro futuro común</w:t>
      </w:r>
      <w:r>
        <w:rPr>
          <w:i/>
        </w:rPr>
        <w:t>, </w:t>
      </w:r>
      <w:r>
        <w:rPr/>
        <w:t>mejor conocido como Informe </w:t>
      </w:r>
      <w:r>
        <w:rPr>
          <w:i/>
        </w:rPr>
        <w:t>Brundtland</w:t>
      </w:r>
      <w:r>
        <w:rPr/>
        <w:t>, en donde se reconoció el peligro de seguir manteniendo y reproduciendo un modelo global de desarrollo orientado prioritariamente  al crecimiento económico más que al combate de las crisis mundiales, una de ellas representada </w:t>
      </w:r>
      <w:r>
        <w:rPr>
          <w:spacing w:val="-3"/>
        </w:rPr>
        <w:t>por </w:t>
      </w:r>
      <w:r>
        <w:rPr/>
        <w:t>la crisis ambiental. La alternativa propuesta fue  el  desarrollo sustentable definido como “aquél que satisface las necesidades esenciales de la generación presente sin comprometer la capacidad de satisfacer las necesidades esenciales de las generaciones futuras”; idea mundialmente aceptada  que  lleva  implícito el mejoramiento de </w:t>
      </w:r>
      <w:r>
        <w:rPr>
          <w:spacing w:val="-5"/>
        </w:rPr>
        <w:t>la </w:t>
      </w:r>
      <w:r>
        <w:rPr/>
        <w:t>calidad de vida humana actual y futura (Calva; </w:t>
      </w:r>
      <w:r>
        <w:rPr>
          <w:spacing w:val="47"/>
        </w:rPr>
        <w:t> </w:t>
      </w:r>
      <w:r>
        <w:rPr/>
        <w:t>1996:13).</w:t>
      </w:r>
    </w:p>
    <w:p>
      <w:pPr>
        <w:pStyle w:val="BodyText"/>
        <w:spacing w:line="367" w:lineRule="auto" w:before="120"/>
        <w:ind w:left="116" w:right="896"/>
        <w:jc w:val="both"/>
      </w:pPr>
      <w:r>
        <w:rPr/>
        <w:t>Cinco años más tarde, en Río de Janeiro, Brasil, se llevó a cabo la Conferencia de las Naciones Unidas sobre el Medio Ambiente y el Desarrollo, mejor conocida  como  Cumbre</w:t>
      </w:r>
      <w:r>
        <w:rPr>
          <w:spacing w:val="12"/>
        </w:rPr>
        <w:t> </w:t>
      </w:r>
      <w:r>
        <w:rPr/>
        <w:t>de</w:t>
      </w:r>
      <w:r>
        <w:rPr>
          <w:spacing w:val="17"/>
        </w:rPr>
        <w:t> </w:t>
      </w:r>
      <w:r>
        <w:rPr/>
        <w:t>Río</w:t>
      </w:r>
      <w:r>
        <w:rPr>
          <w:spacing w:val="17"/>
        </w:rPr>
        <w:t> </w:t>
      </w:r>
      <w:r>
        <w:rPr/>
        <w:t>o</w:t>
      </w:r>
      <w:r>
        <w:rPr>
          <w:spacing w:val="17"/>
        </w:rPr>
        <w:t> </w:t>
      </w:r>
      <w:r>
        <w:rPr/>
        <w:t>Cumbre</w:t>
      </w:r>
      <w:r>
        <w:rPr>
          <w:spacing w:val="17"/>
        </w:rPr>
        <w:t> </w:t>
      </w:r>
      <w:r>
        <w:rPr/>
        <w:t>de</w:t>
      </w:r>
      <w:r>
        <w:rPr>
          <w:spacing w:val="17"/>
        </w:rPr>
        <w:t> </w:t>
      </w:r>
      <w:r>
        <w:rPr/>
        <w:t>la</w:t>
      </w:r>
      <w:r>
        <w:rPr>
          <w:spacing w:val="12"/>
        </w:rPr>
        <w:t> </w:t>
      </w:r>
      <w:r>
        <w:rPr/>
        <w:t>Tierra;</w:t>
      </w:r>
      <w:r>
        <w:rPr>
          <w:spacing w:val="15"/>
        </w:rPr>
        <w:t> </w:t>
      </w:r>
      <w:r>
        <w:rPr/>
        <w:t>el</w:t>
      </w:r>
      <w:r>
        <w:rPr>
          <w:spacing w:val="14"/>
        </w:rPr>
        <w:t> </w:t>
      </w:r>
      <w:r>
        <w:rPr/>
        <w:t>tema</w:t>
      </w:r>
      <w:r>
        <w:rPr>
          <w:spacing w:val="17"/>
        </w:rPr>
        <w:t> </w:t>
      </w:r>
      <w:r>
        <w:rPr/>
        <w:t>central</w:t>
      </w:r>
      <w:r>
        <w:rPr>
          <w:spacing w:val="14"/>
        </w:rPr>
        <w:t> </w:t>
      </w:r>
      <w:r>
        <w:rPr/>
        <w:t>fue</w:t>
      </w:r>
      <w:r>
        <w:rPr>
          <w:spacing w:val="12"/>
        </w:rPr>
        <w:t> </w:t>
      </w:r>
      <w:r>
        <w:rPr/>
        <w:t>la</w:t>
      </w:r>
      <w:r>
        <w:rPr>
          <w:spacing w:val="17"/>
        </w:rPr>
        <w:t> </w:t>
      </w:r>
      <w:r>
        <w:rPr/>
        <w:t>sustentabilidad</w:t>
      </w:r>
      <w:r>
        <w:rPr>
          <w:spacing w:val="22"/>
        </w:rPr>
        <w:t> </w:t>
      </w:r>
      <w:r>
        <w:rPr/>
        <w:t>y</w:t>
      </w:r>
      <w:r>
        <w:rPr>
          <w:spacing w:val="11"/>
        </w:rPr>
        <w:t> </w:t>
      </w:r>
      <w:r>
        <w:rPr/>
        <w:t>en</w:t>
      </w:r>
      <w:r>
        <w:rPr>
          <w:spacing w:val="17"/>
        </w:rPr>
        <w:t> </w:t>
      </w:r>
      <w:r>
        <w:rPr/>
        <w:t>razón</w:t>
      </w:r>
    </w:p>
    <w:p>
      <w:pPr>
        <w:spacing w:after="0" w:line="367" w:lineRule="auto"/>
        <w:jc w:val="both"/>
        <w:sectPr>
          <w:headerReference w:type="default" r:id="rId15"/>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4"/>
        <w:jc w:val="both"/>
      </w:pPr>
      <w:r>
        <w:rPr/>
        <w:t>de ello, se buscó promover un compromiso político de todos </w:t>
      </w:r>
      <w:r>
        <w:rPr>
          <w:spacing w:val="-4"/>
        </w:rPr>
        <w:t>los </w:t>
      </w:r>
      <w:r>
        <w:rPr/>
        <w:t>países para establecer una estrategia mundial de desarrollo sustentable. Este hecho permitió que </w:t>
      </w:r>
      <w:r>
        <w:rPr>
          <w:spacing w:val="4"/>
        </w:rPr>
        <w:t>el </w:t>
      </w:r>
      <w:r>
        <w:rPr/>
        <w:t>término desarrollo sustentable adquiriera un carácter institucional e incluso  internacional  (Orozco;</w:t>
      </w:r>
      <w:r>
        <w:rPr>
          <w:spacing w:val="19"/>
        </w:rPr>
        <w:t> </w:t>
      </w:r>
      <w:r>
        <w:rPr/>
        <w:t>2008:20).</w:t>
      </w:r>
    </w:p>
    <w:p>
      <w:pPr>
        <w:pStyle w:val="BodyText"/>
        <w:spacing w:line="364" w:lineRule="auto" w:before="125"/>
        <w:ind w:left="115" w:right="893"/>
        <w:jc w:val="both"/>
      </w:pPr>
      <w:r>
        <w:rPr/>
        <w:t>Uno de los frutos de esta reunión fue la preparación de cuatro importantes documentos que permitieron la aplicación del término con mayor profundidad en todos los sectores, sobretodo en el económico y el social. Uno de ellos lleva por título </w:t>
      </w:r>
      <w:r>
        <w:rPr>
          <w:i/>
        </w:rPr>
        <w:t>“La Declaración de   </w:t>
      </w:r>
      <w:r>
        <w:rPr>
          <w:i/>
        </w:rPr>
        <w:t>Río sobre Medio Ambiente y Desarrollo” </w:t>
      </w:r>
      <w:r>
        <w:rPr/>
        <w:t>denominado </w:t>
      </w:r>
      <w:r>
        <w:rPr>
          <w:i/>
        </w:rPr>
        <w:t>Programa 21 o Agenda </w:t>
      </w:r>
      <w:r>
        <w:rPr>
          <w:i/>
          <w:spacing w:val="-3"/>
        </w:rPr>
        <w:t>21, </w:t>
      </w:r>
      <w:r>
        <w:rPr/>
        <w:t>tiene como objetivo establecer una alianza mundial nueva y equitativa  mediante  la creación de nuevos niveles de cooperación entre los Estados, </w:t>
      </w:r>
      <w:r>
        <w:rPr>
          <w:spacing w:val="-4"/>
        </w:rPr>
        <w:t>los </w:t>
      </w:r>
      <w:r>
        <w:rPr/>
        <w:t>sectores sociales clave y las personas a través del cumplimiento de </w:t>
      </w:r>
      <w:r>
        <w:rPr>
          <w:spacing w:val="2"/>
        </w:rPr>
        <w:t>una </w:t>
      </w:r>
      <w:r>
        <w:rPr/>
        <w:t>política ambiental universal (Orozco; 2008:20).</w:t>
      </w:r>
    </w:p>
    <w:p>
      <w:pPr>
        <w:pStyle w:val="BodyText"/>
        <w:spacing w:line="364" w:lineRule="auto" w:before="125"/>
        <w:ind w:left="115" w:right="897"/>
        <w:jc w:val="both"/>
      </w:pPr>
      <w:r>
        <w:rPr/>
        <w:t>A partir de estos acontecimientos, el concepto de desarrollo sustentable, en su sentido más general, ha sido aceptado ampliamente; es ya punto de referencia de cualquier programa viable de desarrollo nacional, regional o local. Bajo su concepción, se acepta que el desarrollo (en todos sus sentidos) puede satisfacer las necesidades humanas presentes y futuras, siempre y cuando se fundamente en modelos  racionales.</w:t>
      </w:r>
    </w:p>
    <w:p>
      <w:pPr>
        <w:pStyle w:val="BodyText"/>
        <w:spacing w:line="364" w:lineRule="auto" w:before="120"/>
        <w:ind w:left="115" w:right="896"/>
        <w:jc w:val="both"/>
      </w:pPr>
      <w:r>
        <w:rPr/>
        <w:t>Así mismo, el desarrollo sustentable, de acuerdo con Flores (2009:1) es un principio organizador de la sociedad porque implica que los procesos planetarios puedan permanecer sin colapsar o experimentar un rápido deterioro. Además, implica cuatro puntos importantes sobre el entorno natural: mesura en la operación de los modelos de consumo sobre recursos naturales; prevención o sufragio de los impactos ocasionados por los procesos económicos y productivos; adopción de nuevos estilos de vida respetuosos con el medio y finalmente, mejora de la calidad de vida de la  gente.</w:t>
      </w:r>
    </w:p>
    <w:p>
      <w:pPr>
        <w:pStyle w:val="BodyText"/>
        <w:spacing w:line="364" w:lineRule="auto" w:before="120"/>
        <w:ind w:left="115" w:right="897"/>
        <w:jc w:val="both"/>
      </w:pPr>
      <w:r>
        <w:rPr/>
        <w:t>La preocupación por el deterioro ambiental fue el punto </w:t>
      </w:r>
      <w:r>
        <w:rPr>
          <w:spacing w:val="-3"/>
        </w:rPr>
        <w:t>de </w:t>
      </w:r>
      <w:r>
        <w:rPr/>
        <w:t>partida para que la corriente sustentable se cristalizara en una idea global, en tópico de reflexión y acción; sin embargo, debe quedar muy en claro que el desarrollo sustentable parte de tres pilares importantes: ecológico (que es el tema en cuestión), social y económico; razón por la  cual a lo largo de sus premisas involucra cuestiones sobre el patrimonio cultural, </w:t>
      </w:r>
      <w:r>
        <w:rPr>
          <w:spacing w:val="4"/>
        </w:rPr>
        <w:t>el </w:t>
      </w:r>
      <w:r>
        <w:rPr/>
        <w:t>desarrollo económico local, la calidad de vida de la población, la participación pública o privada, entre otros elementos sumados a la lucha por el bienestar </w:t>
      </w:r>
      <w:r>
        <w:rPr>
          <w:spacing w:val="10"/>
        </w:rPr>
        <w:t> </w:t>
      </w:r>
      <w:r>
        <w:rPr/>
        <w:t>mundial.</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Heading2"/>
        <w:numPr>
          <w:ilvl w:val="1"/>
          <w:numId w:val="8"/>
        </w:numPr>
        <w:tabs>
          <w:tab w:pos="803" w:val="left" w:leader="none"/>
        </w:tabs>
        <w:spacing w:line="240" w:lineRule="auto" w:before="74" w:after="0"/>
        <w:ind w:left="802" w:right="0" w:hanging="686"/>
        <w:jc w:val="both"/>
      </w:pPr>
      <w:bookmarkStart w:name="_TOC_250032" w:id="3"/>
      <w:r>
        <w:rPr/>
        <w:t>Sustentabilidad y Psicología</w:t>
      </w:r>
      <w:r>
        <w:rPr>
          <w:spacing w:val="44"/>
        </w:rPr>
        <w:t> </w:t>
      </w:r>
      <w:bookmarkEnd w:id="3"/>
      <w:r>
        <w:rPr/>
        <w:t>Ambiental</w:t>
      </w:r>
    </w:p>
    <w:p>
      <w:pPr>
        <w:pStyle w:val="BodyText"/>
        <w:rPr>
          <w:b/>
          <w:sz w:val="22"/>
        </w:rPr>
      </w:pPr>
    </w:p>
    <w:p>
      <w:pPr>
        <w:pStyle w:val="BodyText"/>
        <w:spacing w:line="364" w:lineRule="auto" w:before="1"/>
        <w:ind w:left="115" w:right="898"/>
        <w:jc w:val="both"/>
      </w:pPr>
      <w:r>
        <w:rPr/>
        <w:t>Analizar la problemática ambiental supone, identificar sus causas  y tratar de  descubrir los modelos de utilización de los recursos que subyacen a </w:t>
      </w:r>
      <w:r>
        <w:rPr>
          <w:spacing w:val="-5"/>
        </w:rPr>
        <w:t>la </w:t>
      </w:r>
      <w:r>
        <w:rPr/>
        <w:t>crisis. Porque </w:t>
      </w:r>
      <w:r>
        <w:rPr>
          <w:spacing w:val="-3"/>
        </w:rPr>
        <w:t>es </w:t>
      </w:r>
      <w:r>
        <w:rPr/>
        <w:t>ahí, en la profundidad de los orígenes, en las conductas y los modelos que </w:t>
      </w:r>
      <w:r>
        <w:rPr>
          <w:spacing w:val="-5"/>
        </w:rPr>
        <w:t>la </w:t>
      </w:r>
      <w:r>
        <w:rPr/>
        <w:t>humanidad ha adoptado, donde se puede descubrir realmente las raíces del comportamiento como especie, a través </w:t>
      </w:r>
      <w:r>
        <w:rPr>
          <w:spacing w:val="-3"/>
        </w:rPr>
        <w:t>de </w:t>
      </w:r>
      <w:r>
        <w:rPr/>
        <w:t>relaciones humanas </w:t>
      </w:r>
      <w:r>
        <w:rPr>
          <w:spacing w:val="-3"/>
        </w:rPr>
        <w:t>que  </w:t>
      </w:r>
      <w:r>
        <w:rPr/>
        <w:t>expresan el modo de entenderse y de  estar en el</w:t>
      </w:r>
      <w:r>
        <w:rPr>
          <w:spacing w:val="19"/>
        </w:rPr>
        <w:t> </w:t>
      </w:r>
      <w:r>
        <w:rPr/>
        <w:t>mundo.</w:t>
      </w:r>
    </w:p>
    <w:p>
      <w:pPr>
        <w:pStyle w:val="BodyText"/>
        <w:spacing w:line="367" w:lineRule="auto" w:before="120"/>
        <w:ind w:left="115" w:right="898"/>
        <w:jc w:val="both"/>
      </w:pPr>
      <w:r>
        <w:rPr/>
        <w:t>Hace aproximadamente 40 años se empleó por primera vez el término desarrollo sustentable y también la psicología ambiental tiene aproximadamente esa edad, ambas surgidas con el objetivo de dar solución a la problemática  ambiental.</w:t>
      </w:r>
    </w:p>
    <w:p>
      <w:pPr>
        <w:pStyle w:val="BodyText"/>
        <w:spacing w:line="364" w:lineRule="auto" w:before="117"/>
        <w:ind w:left="115" w:right="897"/>
        <w:jc w:val="both"/>
      </w:pPr>
      <w:r>
        <w:rPr>
          <w:spacing w:val="-3"/>
        </w:rPr>
        <w:t>Sin </w:t>
      </w:r>
      <w:r>
        <w:rPr/>
        <w:t>embargo, el desarrollo  sustentable  nace impulsado por organismos multilaterales,  su foco </w:t>
      </w:r>
      <w:r>
        <w:rPr>
          <w:spacing w:val="-3"/>
        </w:rPr>
        <w:t>de </w:t>
      </w:r>
      <w:r>
        <w:rPr/>
        <w:t>interés </w:t>
      </w:r>
      <w:r>
        <w:rPr>
          <w:spacing w:val="-3"/>
        </w:rPr>
        <w:t>es </w:t>
      </w:r>
      <w:r>
        <w:rPr/>
        <w:t>la conservación de los recursos del planeta, en aras </w:t>
      </w:r>
      <w:r>
        <w:rPr>
          <w:spacing w:val="-3"/>
        </w:rPr>
        <w:t>de </w:t>
      </w:r>
      <w:r>
        <w:rPr/>
        <w:t>la preservación de </w:t>
      </w:r>
      <w:r>
        <w:rPr>
          <w:spacing w:val="-5"/>
        </w:rPr>
        <w:t>la </w:t>
      </w:r>
      <w:r>
        <w:rPr/>
        <w:t>vida de </w:t>
      </w:r>
      <w:r>
        <w:rPr>
          <w:spacing w:val="2"/>
        </w:rPr>
        <w:t>esta </w:t>
      </w:r>
      <w:r>
        <w:rPr/>
        <w:t>y de las sucesivas generaciones, e incluye, además de   </w:t>
      </w:r>
      <w:r>
        <w:rPr>
          <w:spacing w:val="-5"/>
        </w:rPr>
        <w:t>la </w:t>
      </w:r>
      <w:r>
        <w:rPr/>
        <w:t>dimensión ambiental, la económica, y más recientemente </w:t>
      </w:r>
      <w:r>
        <w:rPr>
          <w:spacing w:val="-5"/>
        </w:rPr>
        <w:t>la </w:t>
      </w:r>
      <w:r>
        <w:rPr/>
        <w:t>social y la institucional, a nivel global. Por su parte, la psicología ambiental nace desde la academia y su foco </w:t>
      </w:r>
      <w:r>
        <w:rPr>
          <w:spacing w:val="-3"/>
        </w:rPr>
        <w:t>es </w:t>
      </w:r>
      <w:r>
        <w:rPr/>
        <w:t>básicamente el tiempo presente, los contextos y niveles de análisis locales y las dimensiones ambientales y psicosociales. A estas diferencias entre ambas perspectivas se añaden las inherentes a las discrepancias dentro de cada una de ellas con relación a </w:t>
      </w:r>
      <w:r>
        <w:rPr>
          <w:spacing w:val="-5"/>
        </w:rPr>
        <w:t>la </w:t>
      </w:r>
      <w:r>
        <w:rPr/>
        <w:t>forma de definir y aproximarse a </w:t>
      </w:r>
      <w:r>
        <w:rPr>
          <w:spacing w:val="-3"/>
        </w:rPr>
        <w:t>sus </w:t>
      </w:r>
      <w:r>
        <w:rPr/>
        <w:t>respectivos objetos de </w:t>
      </w:r>
      <w:r>
        <w:rPr>
          <w:spacing w:val="42"/>
        </w:rPr>
        <w:t> </w:t>
      </w:r>
      <w:r>
        <w:rPr/>
        <w:t>interés.</w:t>
      </w:r>
    </w:p>
    <w:p>
      <w:pPr>
        <w:pStyle w:val="BodyText"/>
        <w:spacing w:line="364" w:lineRule="auto" w:before="120"/>
        <w:ind w:left="115" w:right="893"/>
        <w:jc w:val="both"/>
      </w:pPr>
      <w:r>
        <w:rPr/>
        <w:t>No obstante las diferencias y la diversidad mencionadas, resulta natural suponer que la Psicología Ambiental es </w:t>
      </w:r>
      <w:r>
        <w:rPr>
          <w:spacing w:val="-3"/>
        </w:rPr>
        <w:t>una de </w:t>
      </w:r>
      <w:r>
        <w:rPr/>
        <w:t>las ciencias humanas más afín al objetivo fundamental del desarrollo sustentable y que los planteamientos de ambos requieren reconocerse en sus semejanzas en función del bienestar de la</w:t>
      </w:r>
      <w:r>
        <w:rPr>
          <w:spacing w:val="61"/>
        </w:rPr>
        <w:t> </w:t>
      </w:r>
      <w:r>
        <w:rPr/>
        <w:t>humanidad.</w:t>
      </w:r>
    </w:p>
    <w:p>
      <w:pPr>
        <w:pStyle w:val="BodyText"/>
        <w:spacing w:line="364" w:lineRule="auto" w:before="120"/>
        <w:ind w:left="115" w:right="897"/>
        <w:jc w:val="both"/>
      </w:pPr>
      <w:r>
        <w:rPr/>
        <w:t>Así pues definir a </w:t>
      </w:r>
      <w:r>
        <w:rPr>
          <w:spacing w:val="-5"/>
        </w:rPr>
        <w:t>la </w:t>
      </w:r>
      <w:r>
        <w:rPr/>
        <w:t>psicología ambiental no es </w:t>
      </w:r>
      <w:r>
        <w:rPr>
          <w:spacing w:val="-3"/>
        </w:rPr>
        <w:t>una </w:t>
      </w:r>
      <w:r>
        <w:rPr/>
        <w:t>tarea fácil, ya que numerosas </w:t>
      </w:r>
      <w:r>
        <w:rPr>
          <w:spacing w:val="-3"/>
        </w:rPr>
        <w:t>han </w:t>
      </w:r>
      <w:r>
        <w:rPr/>
        <w:t>sido </w:t>
      </w:r>
      <w:r>
        <w:rPr>
          <w:spacing w:val="-4"/>
        </w:rPr>
        <w:t>las </w:t>
      </w:r>
      <w:r>
        <w:rPr/>
        <w:t>revisiones sobre el área (Craik, 1973; Stokols, 1978; Canter y Craik,  1981;  Rusell y Ward, 1982 y Holahan, 1986) y los teóricos no </w:t>
      </w:r>
      <w:r>
        <w:rPr>
          <w:spacing w:val="-3"/>
        </w:rPr>
        <w:t>han </w:t>
      </w:r>
      <w:r>
        <w:rPr/>
        <w:t>llegado a unificar un criterio; sin embargo, algunos de sus primeros estudiosos mencionan cuatro características que  </w:t>
      </w:r>
      <w:r>
        <w:rPr>
          <w:spacing w:val="-5"/>
        </w:rPr>
        <w:t>la</w:t>
      </w:r>
      <w:r>
        <w:rPr>
          <w:spacing w:val="16"/>
        </w:rPr>
        <w:t> </w:t>
      </w:r>
      <w:r>
        <w:rPr/>
        <w:t>definen:</w:t>
      </w:r>
    </w:p>
    <w:p>
      <w:pPr>
        <w:pStyle w:val="ListParagraph"/>
        <w:numPr>
          <w:ilvl w:val="2"/>
          <w:numId w:val="8"/>
        </w:numPr>
        <w:tabs>
          <w:tab w:pos="817" w:val="left" w:leader="none"/>
        </w:tabs>
        <w:spacing w:line="240" w:lineRule="auto" w:before="120" w:after="0"/>
        <w:ind w:left="816" w:right="0" w:hanging="350"/>
        <w:jc w:val="left"/>
        <w:rPr>
          <w:sz w:val="23"/>
        </w:rPr>
      </w:pPr>
      <w:r>
        <w:rPr>
          <w:sz w:val="23"/>
        </w:rPr>
        <w:t>trata del ambiente ordenado y definido por el</w:t>
      </w:r>
      <w:r>
        <w:rPr>
          <w:spacing w:val="54"/>
          <w:sz w:val="23"/>
        </w:rPr>
        <w:t> </w:t>
      </w:r>
      <w:r>
        <w:rPr>
          <w:sz w:val="23"/>
        </w:rPr>
        <w:t>hombre;</w:t>
      </w:r>
    </w:p>
    <w:p>
      <w:pPr>
        <w:pStyle w:val="ListParagraph"/>
        <w:numPr>
          <w:ilvl w:val="2"/>
          <w:numId w:val="8"/>
        </w:numPr>
        <w:tabs>
          <w:tab w:pos="817" w:val="left" w:leader="none"/>
        </w:tabs>
        <w:spacing w:line="240" w:lineRule="auto" w:before="143" w:after="0"/>
        <w:ind w:left="816" w:right="0" w:hanging="350"/>
        <w:jc w:val="left"/>
        <w:rPr>
          <w:sz w:val="23"/>
        </w:rPr>
      </w:pPr>
      <w:r>
        <w:rPr>
          <w:sz w:val="23"/>
        </w:rPr>
        <w:t>nace de apremiantes problemas sociales y  ambientales;</w:t>
      </w:r>
    </w:p>
    <w:p>
      <w:pPr>
        <w:spacing w:after="0" w:line="240" w:lineRule="auto"/>
        <w:jc w:val="left"/>
        <w:rPr>
          <w:sz w:val="23"/>
        </w:rPr>
        <w:sectPr>
          <w:pgSz w:w="11910" w:h="16840"/>
          <w:pgMar w:header="1066" w:footer="1711" w:top="1460" w:bottom="1900" w:left="1540" w:right="200"/>
        </w:sectPr>
      </w:pPr>
    </w:p>
    <w:p>
      <w:pPr>
        <w:pStyle w:val="BodyText"/>
        <w:rPr>
          <w:sz w:val="20"/>
        </w:rPr>
      </w:pPr>
    </w:p>
    <w:p>
      <w:pPr>
        <w:pStyle w:val="BodyText"/>
        <w:spacing w:before="10"/>
        <w:rPr>
          <w:sz w:val="17"/>
        </w:rPr>
      </w:pPr>
    </w:p>
    <w:p>
      <w:pPr>
        <w:pStyle w:val="ListParagraph"/>
        <w:numPr>
          <w:ilvl w:val="2"/>
          <w:numId w:val="8"/>
        </w:numPr>
        <w:tabs>
          <w:tab w:pos="817" w:val="left" w:leader="none"/>
        </w:tabs>
        <w:spacing w:line="240" w:lineRule="auto" w:before="74" w:after="0"/>
        <w:ind w:left="816" w:right="0" w:hanging="350"/>
        <w:jc w:val="left"/>
        <w:rPr>
          <w:sz w:val="23"/>
        </w:rPr>
      </w:pPr>
      <w:r>
        <w:rPr>
          <w:sz w:val="23"/>
        </w:rPr>
        <w:t>es de naturaleza interdisciplinaria</w:t>
      </w:r>
      <w:r>
        <w:rPr>
          <w:spacing w:val="31"/>
          <w:sz w:val="23"/>
        </w:rPr>
        <w:t> </w:t>
      </w:r>
      <w:r>
        <w:rPr>
          <w:sz w:val="23"/>
        </w:rPr>
        <w:t>e</w:t>
      </w:r>
    </w:p>
    <w:p>
      <w:pPr>
        <w:pStyle w:val="ListParagraph"/>
        <w:numPr>
          <w:ilvl w:val="2"/>
          <w:numId w:val="8"/>
        </w:numPr>
        <w:tabs>
          <w:tab w:pos="817" w:val="left" w:leader="none"/>
          <w:tab w:pos="1737" w:val="left" w:leader="none"/>
          <w:tab w:pos="3080" w:val="left" w:leader="none"/>
          <w:tab w:pos="3593" w:val="left" w:leader="none"/>
          <w:tab w:pos="4586" w:val="left" w:leader="none"/>
          <w:tab w:pos="5363" w:val="left" w:leader="none"/>
          <w:tab w:pos="6093" w:val="left" w:leader="none"/>
          <w:tab w:pos="7627" w:val="left" w:leader="none"/>
          <w:tab w:pos="8284" w:val="left" w:leader="none"/>
        </w:tabs>
        <w:spacing w:line="364" w:lineRule="auto" w:before="134" w:after="0"/>
        <w:ind w:left="816" w:right="909" w:hanging="350"/>
        <w:jc w:val="left"/>
        <w:rPr>
          <w:sz w:val="23"/>
        </w:rPr>
      </w:pPr>
      <w:r>
        <w:rPr>
          <w:sz w:val="23"/>
        </w:rPr>
        <w:t>incluye</w:t>
        <w:tab/>
      </w:r>
      <w:r>
        <w:rPr>
          <w:spacing w:val="4"/>
          <w:sz w:val="23"/>
        </w:rPr>
        <w:t>el </w:t>
      </w:r>
      <w:r>
        <w:rPr>
          <w:spacing w:val="71"/>
          <w:sz w:val="23"/>
        </w:rPr>
        <w:t> </w:t>
      </w:r>
      <w:r>
        <w:rPr>
          <w:sz w:val="23"/>
        </w:rPr>
        <w:t>estudio</w:t>
        <w:tab/>
        <w:t>del</w:t>
        <w:tab/>
        <w:t>hombre</w:t>
        <w:tab/>
        <w:t>como</w:t>
        <w:tab/>
        <w:t>parte</w:t>
        <w:tab/>
        <w:t>principal  </w:t>
      </w:r>
      <w:r>
        <w:rPr>
          <w:spacing w:val="15"/>
          <w:sz w:val="23"/>
        </w:rPr>
        <w:t> </w:t>
      </w:r>
      <w:r>
        <w:rPr>
          <w:sz w:val="23"/>
        </w:rPr>
        <w:t>de</w:t>
        <w:tab/>
        <w:t>todo</w:t>
        <w:tab/>
      </w:r>
      <w:r>
        <w:rPr>
          <w:spacing w:val="-1"/>
          <w:sz w:val="23"/>
        </w:rPr>
        <w:t>problema </w:t>
      </w:r>
      <w:r>
        <w:rPr>
          <w:sz w:val="23"/>
        </w:rPr>
        <w:t>(Proshansky, Ittelson y Rivlin,</w:t>
      </w:r>
      <w:r>
        <w:rPr>
          <w:spacing w:val="35"/>
          <w:sz w:val="23"/>
        </w:rPr>
        <w:t> </w:t>
      </w:r>
      <w:r>
        <w:rPr>
          <w:sz w:val="23"/>
        </w:rPr>
        <w:t>1970).</w:t>
      </w:r>
    </w:p>
    <w:p>
      <w:pPr>
        <w:pStyle w:val="BodyText"/>
        <w:spacing w:line="364" w:lineRule="auto" w:before="120"/>
        <w:ind w:left="115" w:right="895"/>
        <w:jc w:val="both"/>
      </w:pPr>
      <w:r>
        <w:rPr/>
        <w:t>Para </w:t>
      </w:r>
      <w:r>
        <w:rPr>
          <w:spacing w:val="-3"/>
        </w:rPr>
        <w:t>Craik </w:t>
      </w:r>
      <w:r>
        <w:rPr/>
        <w:t>(1973) el interés de la psicología ambiental radica en su carácter interdisciplinario y como </w:t>
      </w:r>
      <w:r>
        <w:rPr>
          <w:spacing w:val="2"/>
        </w:rPr>
        <w:t>tal </w:t>
      </w:r>
      <w:r>
        <w:rPr/>
        <w:t>es difícil su definición, por lo que el término  general del estudio de las relaciones del hombre con su ambiente es bueno para </w:t>
      </w:r>
      <w:r>
        <w:rPr>
          <w:spacing w:val="-3"/>
        </w:rPr>
        <w:t>todas </w:t>
      </w:r>
      <w:r>
        <w:rPr>
          <w:spacing w:val="-4"/>
        </w:rPr>
        <w:t>las </w:t>
      </w:r>
      <w:r>
        <w:rPr/>
        <w:t>áreas, y cada una de ellas lo particulariza dentro de su</w:t>
      </w:r>
      <w:r>
        <w:rPr>
          <w:spacing w:val="62"/>
        </w:rPr>
        <w:t> </w:t>
      </w:r>
      <w:r>
        <w:rPr/>
        <w:t>disciplina.</w:t>
      </w:r>
    </w:p>
    <w:p>
      <w:pPr>
        <w:pStyle w:val="BodyText"/>
        <w:spacing w:line="364" w:lineRule="auto" w:before="120"/>
        <w:ind w:left="115" w:right="894"/>
        <w:jc w:val="both"/>
      </w:pPr>
      <w:r>
        <w:rPr/>
        <w:t>Para Rusell y Ward (1982), </w:t>
      </w:r>
      <w:r>
        <w:rPr>
          <w:spacing w:val="-5"/>
        </w:rPr>
        <w:t>la </w:t>
      </w:r>
      <w:r>
        <w:rPr/>
        <w:t>psicología ambiental es el área de  la  psicología  interesada en proveer de un manejo sistemático las relaciones entre el hombre y su ambiente-conducta”, Rusell y Ward (1982) enfatizan el nivel de  análisis  molar,  </w:t>
      </w:r>
      <w:r>
        <w:rPr>
          <w:spacing w:val="2"/>
        </w:rPr>
        <w:t>con </w:t>
      </w:r>
      <w:r>
        <w:rPr/>
        <w:t>el cual se extienden las fronteras de la psicología </w:t>
      </w:r>
      <w:r>
        <w:rPr>
          <w:spacing w:val="-3"/>
        </w:rPr>
        <w:t>más </w:t>
      </w:r>
      <w:r>
        <w:rPr>
          <w:spacing w:val="-4"/>
        </w:rPr>
        <w:t>allá </w:t>
      </w:r>
      <w:r>
        <w:rPr/>
        <w:t>del estudio de la respuesta inmediata a un estímulo inmediato, e incluyen el estudio de la conducta organizada en  un periodo de tiempo y en relación </w:t>
      </w:r>
      <w:r>
        <w:rPr>
          <w:spacing w:val="2"/>
        </w:rPr>
        <w:t>con </w:t>
      </w:r>
      <w:r>
        <w:rPr/>
        <w:t>ambientes a gran escala. A partir de la perspectiva molar Palys y Little (1980) mencionan los proyectos personales, que son episodios conductuales en una secuencia significativa. Estos proyectos personales dependen de las oportunidades que ofrece el ambiente en que uno vive. En esta perspectiva molar de la organización conductual se adopta y entiende la conducta en un nivel subjetivamente significativo; </w:t>
      </w:r>
      <w:r>
        <w:rPr>
          <w:spacing w:val="-3"/>
        </w:rPr>
        <w:t>es </w:t>
      </w:r>
      <w:r>
        <w:rPr/>
        <w:t>decir, aquél en el cual la gente planea sus actividades diarias, va al trabajo y regresa a casa, un nivel de gran importancia teórica y práctica.</w:t>
      </w:r>
    </w:p>
    <w:p>
      <w:pPr>
        <w:pStyle w:val="BodyText"/>
        <w:spacing w:line="364" w:lineRule="auto" w:before="125"/>
        <w:ind w:left="116" w:right="894"/>
        <w:jc w:val="both"/>
      </w:pPr>
      <w:r>
        <w:rPr/>
        <w:t>Dadas estas consideraciones, </w:t>
      </w:r>
      <w:r>
        <w:rPr>
          <w:spacing w:val="-3"/>
        </w:rPr>
        <w:t>es </w:t>
      </w:r>
      <w:r>
        <w:rPr/>
        <w:t>importante mencionar la premisa teórica de que cualquier conducta </w:t>
      </w:r>
      <w:r>
        <w:rPr>
          <w:spacing w:val="-3"/>
        </w:rPr>
        <w:t>es </w:t>
      </w:r>
      <w:r>
        <w:rPr/>
        <w:t>causa de la situación en que ésta ocurre. De </w:t>
      </w:r>
      <w:r>
        <w:rPr>
          <w:spacing w:val="2"/>
        </w:rPr>
        <w:t>tal </w:t>
      </w:r>
      <w:r>
        <w:rPr/>
        <w:t>forma que la conducta que ocurre en un escenario estaría fuera de lugar en otra situación. Esta especificación de la conducta por el lugar es una de las más importantes premisas de la psicología ambiental. </w:t>
      </w:r>
      <w:r>
        <w:rPr>
          <w:spacing w:val="3"/>
        </w:rPr>
        <w:t>Así </w:t>
      </w:r>
      <w:r>
        <w:rPr/>
        <w:t>como el énfasis en el tiempo, ya es sabido por ejemplo que  una experiencia placentera o desagradable en </w:t>
      </w:r>
      <w:r>
        <w:rPr>
          <w:spacing w:val="-3"/>
        </w:rPr>
        <w:t>un </w:t>
      </w:r>
      <w:r>
        <w:rPr/>
        <w:t>lugar afecta </w:t>
      </w:r>
      <w:r>
        <w:rPr>
          <w:spacing w:val="-5"/>
        </w:rPr>
        <w:t>la </w:t>
      </w:r>
      <w:r>
        <w:rPr/>
        <w:t>conducta  que  se  emitirá en el siguiente lugar visitado (Sherrod, Armstrong, Hewitt, Madonia, Speno y Teruya,</w:t>
      </w:r>
      <w:r>
        <w:rPr>
          <w:spacing w:val="11"/>
        </w:rPr>
        <w:t> </w:t>
      </w:r>
      <w:r>
        <w:rPr/>
        <w:t>1977).</w:t>
      </w:r>
    </w:p>
    <w:p>
      <w:pPr>
        <w:pStyle w:val="BodyText"/>
        <w:spacing w:line="364" w:lineRule="auto" w:before="125"/>
        <w:ind w:left="116" w:right="898"/>
        <w:jc w:val="both"/>
      </w:pPr>
      <w:r>
        <w:rPr/>
        <w:t>De </w:t>
      </w:r>
      <w:r>
        <w:rPr>
          <w:spacing w:val="2"/>
        </w:rPr>
        <w:t>esta </w:t>
      </w:r>
      <w:r>
        <w:rPr/>
        <w:t>forma, el ambiente </w:t>
      </w:r>
      <w:r>
        <w:rPr>
          <w:spacing w:val="3"/>
        </w:rPr>
        <w:t>se </w:t>
      </w:r>
      <w:r>
        <w:rPr/>
        <w:t>vislumbra más que como un simple estimulo como un complejo de lugares inmediatos y distantes, psicológicamente arreglados en </w:t>
      </w:r>
      <w:r>
        <w:rPr>
          <w:spacing w:val="-3"/>
        </w:rPr>
        <w:t>una  </w:t>
      </w:r>
      <w:r>
        <w:rPr/>
        <w:t>jerarquía  en  la que cada lugar es parte de uno  </w:t>
      </w:r>
      <w:r>
        <w:rPr>
          <w:spacing w:val="-3"/>
        </w:rPr>
        <w:t>mayor  </w:t>
      </w:r>
      <w:r>
        <w:rPr/>
        <w:t>y que  puede ser subdividido  </w:t>
      </w:r>
      <w:r>
        <w:rPr>
          <w:spacing w:val="18"/>
        </w:rPr>
        <w:t> </w:t>
      </w:r>
      <w:r>
        <w:rPr/>
        <w:t>en</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2" w:lineRule="auto" w:before="74"/>
        <w:ind w:left="215" w:right="900"/>
        <w:jc w:val="both"/>
      </w:pPr>
      <w:r>
        <w:rPr/>
        <w:t>otros más pequeños. El ambiente es más que un antecedente de la conducta, ya que ofrece oportunidades para la acción  futura.</w:t>
      </w:r>
    </w:p>
    <w:p>
      <w:pPr>
        <w:pStyle w:val="BodyText"/>
        <w:spacing w:line="364" w:lineRule="auto" w:before="123"/>
        <w:ind w:left="216" w:right="903"/>
        <w:jc w:val="both"/>
      </w:pPr>
      <w:r>
        <w:rPr/>
        <w:t>Por último, Canter y Craik (1982) han propuesto una definición más precisa de la psicología ambiental: “el área de la psicología que conjunta y analiza las interacciones  de las experiencias y acciones humanas </w:t>
      </w:r>
      <w:r>
        <w:rPr>
          <w:spacing w:val="2"/>
        </w:rPr>
        <w:t>con </w:t>
      </w:r>
      <w:r>
        <w:rPr/>
        <w:t>aspectos pertinentes  del  medio sociofísico”.</w:t>
      </w:r>
    </w:p>
    <w:p>
      <w:pPr>
        <w:pStyle w:val="BodyText"/>
        <w:spacing w:line="364" w:lineRule="auto" w:before="120"/>
        <w:ind w:left="216" w:right="897"/>
        <w:jc w:val="both"/>
      </w:pPr>
      <w:r>
        <w:rPr/>
        <w:t>Una vez definida la psicología ambiental es necesario describir sus campos de acción, para lo cual se presenta el cuadro que elaboró Daniel Stokols  (1978).</w:t>
      </w:r>
    </w:p>
    <w:p>
      <w:pPr>
        <w:pStyle w:val="Heading2"/>
        <w:spacing w:before="125"/>
        <w:ind w:left="1564" w:right="512"/>
        <w:jc w:val="left"/>
      </w:pPr>
      <w:r>
        <w:rPr/>
        <w:t>Figura N°3. Campos de acción </w:t>
      </w:r>
      <w:r>
        <w:rPr>
          <w:spacing w:val="2"/>
        </w:rPr>
        <w:t>de </w:t>
      </w:r>
      <w:r>
        <w:rPr/>
        <w:t>la Psicología</w:t>
      </w:r>
      <w:r>
        <w:rPr>
          <w:spacing w:val="61"/>
        </w:rPr>
        <w:t> </w:t>
      </w:r>
      <w:r>
        <w:rPr/>
        <w:t>Ambiental.</w:t>
      </w:r>
    </w:p>
    <w:p>
      <w:pPr>
        <w:pStyle w:val="BodyText"/>
        <w:spacing w:before="10"/>
        <w:rPr>
          <w:b/>
          <w:sz w:val="27"/>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1"/>
        <w:gridCol w:w="3533"/>
        <w:gridCol w:w="3710"/>
      </w:tblGrid>
      <w:tr>
        <w:trPr>
          <w:trHeight w:val="2390" w:hRule="exact"/>
        </w:trPr>
        <w:tc>
          <w:tcPr>
            <w:tcW w:w="1351" w:type="dxa"/>
            <w:shd w:val="clear" w:color="auto" w:fill="C5E0B3"/>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18"/>
              </w:rPr>
            </w:pPr>
          </w:p>
          <w:p>
            <w:pPr>
              <w:pStyle w:val="TableParagraph"/>
              <w:spacing w:before="1"/>
              <w:ind w:left="103"/>
              <w:rPr>
                <w:b/>
                <w:sz w:val="19"/>
              </w:rPr>
            </w:pPr>
            <w:r>
              <w:rPr>
                <w:b/>
                <w:w w:val="105"/>
                <w:sz w:val="19"/>
              </w:rPr>
              <w:t>ACTIVA</w:t>
            </w:r>
          </w:p>
        </w:tc>
        <w:tc>
          <w:tcPr>
            <w:tcW w:w="3533" w:type="dxa"/>
          </w:tcPr>
          <w:p>
            <w:pPr>
              <w:pStyle w:val="TableParagraph"/>
              <w:spacing w:line="218" w:lineRule="exact"/>
              <w:ind w:left="916" w:right="525"/>
              <w:rPr>
                <w:b/>
                <w:sz w:val="19"/>
              </w:rPr>
            </w:pPr>
            <w:r>
              <w:rPr>
                <w:b/>
                <w:w w:val="105"/>
                <w:sz w:val="19"/>
              </w:rPr>
              <w:t>INTERPRETATIVO</w:t>
            </w:r>
          </w:p>
          <w:p>
            <w:pPr>
              <w:pStyle w:val="TableParagraph"/>
              <w:rPr>
                <w:b/>
                <w:sz w:val="20"/>
              </w:rPr>
            </w:pPr>
          </w:p>
          <w:p>
            <w:pPr>
              <w:pStyle w:val="TableParagraph"/>
              <w:spacing w:before="9"/>
              <w:rPr>
                <w:b/>
                <w:sz w:val="19"/>
              </w:rPr>
            </w:pPr>
          </w:p>
          <w:p>
            <w:pPr>
              <w:pStyle w:val="TableParagraph"/>
              <w:spacing w:line="247" w:lineRule="auto" w:before="1"/>
              <w:ind w:left="105" w:right="525"/>
              <w:rPr>
                <w:sz w:val="19"/>
              </w:rPr>
            </w:pPr>
            <w:r>
              <w:rPr>
                <w:w w:val="105"/>
                <w:sz w:val="19"/>
              </w:rPr>
              <w:t>Representación cognoscitiva del </w:t>
            </w:r>
            <w:r>
              <w:rPr>
                <w:sz w:val="19"/>
              </w:rPr>
              <w:t>ambiente espacial.</w:t>
            </w:r>
          </w:p>
          <w:p>
            <w:pPr>
              <w:pStyle w:val="TableParagraph"/>
              <w:rPr>
                <w:b/>
                <w:sz w:val="20"/>
              </w:rPr>
            </w:pPr>
          </w:p>
          <w:p>
            <w:pPr>
              <w:pStyle w:val="TableParagraph"/>
              <w:spacing w:before="8"/>
              <w:rPr>
                <w:b/>
                <w:sz w:val="19"/>
              </w:rPr>
            </w:pPr>
          </w:p>
          <w:p>
            <w:pPr>
              <w:pStyle w:val="TableParagraph"/>
              <w:ind w:left="105" w:right="525"/>
              <w:rPr>
                <w:sz w:val="19"/>
              </w:rPr>
            </w:pPr>
            <w:r>
              <w:rPr>
                <w:w w:val="105"/>
                <w:sz w:val="19"/>
              </w:rPr>
              <w:t>Personalidad y ambiente</w:t>
            </w:r>
          </w:p>
        </w:tc>
        <w:tc>
          <w:tcPr>
            <w:tcW w:w="3710" w:type="dxa"/>
          </w:tcPr>
          <w:p>
            <w:pPr>
              <w:pStyle w:val="TableParagraph"/>
              <w:spacing w:line="218" w:lineRule="exact"/>
              <w:ind w:left="1240" w:right="1244"/>
              <w:jc w:val="center"/>
              <w:rPr>
                <w:b/>
                <w:sz w:val="19"/>
              </w:rPr>
            </w:pPr>
            <w:r>
              <w:rPr>
                <w:b/>
                <w:w w:val="105"/>
                <w:sz w:val="19"/>
              </w:rPr>
              <w:t>OPERATIVO</w:t>
            </w:r>
          </w:p>
          <w:p>
            <w:pPr>
              <w:pStyle w:val="TableParagraph"/>
              <w:spacing w:line="242" w:lineRule="auto" w:before="122"/>
              <w:ind w:left="105"/>
              <w:rPr>
                <w:sz w:val="19"/>
              </w:rPr>
            </w:pPr>
            <w:r>
              <w:rPr>
                <w:w w:val="105"/>
                <w:sz w:val="19"/>
              </w:rPr>
              <w:t>Análisis experimental de la conducta </w:t>
            </w:r>
            <w:r>
              <w:rPr>
                <w:sz w:val="19"/>
              </w:rPr>
              <w:t>ecológicamente relevante.</w:t>
            </w:r>
          </w:p>
          <w:p>
            <w:pPr>
              <w:pStyle w:val="TableParagraph"/>
              <w:spacing w:before="120"/>
              <w:ind w:left="105"/>
              <w:rPr>
                <w:sz w:val="19"/>
              </w:rPr>
            </w:pPr>
            <w:r>
              <w:rPr>
                <w:w w:val="105"/>
                <w:sz w:val="19"/>
              </w:rPr>
              <w:t>Conducta humana espacial (proxémica)</w:t>
            </w:r>
          </w:p>
          <w:p>
            <w:pPr>
              <w:pStyle w:val="TableParagraph"/>
              <w:numPr>
                <w:ilvl w:val="0"/>
                <w:numId w:val="9"/>
              </w:numPr>
              <w:tabs>
                <w:tab w:pos="806" w:val="left" w:leader="none"/>
                <w:tab w:pos="807" w:val="left" w:leader="none"/>
              </w:tabs>
              <w:spacing w:line="240" w:lineRule="auto" w:before="124" w:after="0"/>
              <w:ind w:left="806" w:right="0" w:hanging="350"/>
              <w:jc w:val="left"/>
              <w:rPr>
                <w:sz w:val="19"/>
              </w:rPr>
            </w:pPr>
            <w:r>
              <w:rPr>
                <w:w w:val="105"/>
                <w:sz w:val="19"/>
              </w:rPr>
              <w:t>Privacía</w:t>
            </w:r>
          </w:p>
          <w:p>
            <w:pPr>
              <w:pStyle w:val="TableParagraph"/>
              <w:numPr>
                <w:ilvl w:val="0"/>
                <w:numId w:val="9"/>
              </w:numPr>
              <w:tabs>
                <w:tab w:pos="806" w:val="left" w:leader="none"/>
                <w:tab w:pos="807" w:val="left" w:leader="none"/>
              </w:tabs>
              <w:spacing w:line="240" w:lineRule="auto" w:before="2" w:after="0"/>
              <w:ind w:left="806" w:right="0" w:hanging="350"/>
              <w:jc w:val="left"/>
              <w:rPr>
                <w:sz w:val="19"/>
              </w:rPr>
            </w:pPr>
            <w:r>
              <w:rPr>
                <w:w w:val="105"/>
                <w:sz w:val="19"/>
              </w:rPr>
              <w:t>Territorialidad</w:t>
            </w:r>
          </w:p>
          <w:p>
            <w:pPr>
              <w:pStyle w:val="TableParagraph"/>
              <w:numPr>
                <w:ilvl w:val="0"/>
                <w:numId w:val="9"/>
              </w:numPr>
              <w:tabs>
                <w:tab w:pos="806" w:val="left" w:leader="none"/>
                <w:tab w:pos="807" w:val="left" w:leader="none"/>
              </w:tabs>
              <w:spacing w:line="240" w:lineRule="auto" w:before="7" w:after="0"/>
              <w:ind w:left="806" w:right="0" w:hanging="350"/>
              <w:jc w:val="left"/>
              <w:rPr>
                <w:sz w:val="19"/>
              </w:rPr>
            </w:pPr>
            <w:r>
              <w:rPr>
                <w:sz w:val="19"/>
              </w:rPr>
              <w:t>Espacio</w:t>
            </w:r>
            <w:r>
              <w:rPr>
                <w:spacing w:val="29"/>
                <w:sz w:val="19"/>
              </w:rPr>
              <w:t> </w:t>
            </w:r>
            <w:r>
              <w:rPr>
                <w:sz w:val="19"/>
              </w:rPr>
              <w:t>personal</w:t>
            </w:r>
          </w:p>
          <w:p>
            <w:pPr>
              <w:pStyle w:val="TableParagraph"/>
              <w:numPr>
                <w:ilvl w:val="0"/>
                <w:numId w:val="9"/>
              </w:numPr>
              <w:tabs>
                <w:tab w:pos="806" w:val="left" w:leader="none"/>
                <w:tab w:pos="807" w:val="left" w:leader="none"/>
              </w:tabs>
              <w:spacing w:line="240" w:lineRule="auto" w:before="2" w:after="0"/>
              <w:ind w:left="806" w:right="0" w:hanging="350"/>
              <w:jc w:val="left"/>
              <w:rPr>
                <w:sz w:val="19"/>
              </w:rPr>
            </w:pPr>
            <w:r>
              <w:rPr>
                <w:w w:val="105"/>
                <w:sz w:val="19"/>
              </w:rPr>
              <w:t>Hacinamiento</w:t>
            </w:r>
          </w:p>
        </w:tc>
      </w:tr>
      <w:tr>
        <w:trPr>
          <w:trHeight w:val="1862" w:hRule="exact"/>
        </w:trPr>
        <w:tc>
          <w:tcPr>
            <w:tcW w:w="1351" w:type="dxa"/>
            <w:shd w:val="clear" w:color="auto" w:fill="C5E0B3"/>
          </w:tcPr>
          <w:p>
            <w:pPr>
              <w:pStyle w:val="TableParagraph"/>
              <w:rPr>
                <w:b/>
                <w:sz w:val="20"/>
              </w:rPr>
            </w:pPr>
          </w:p>
          <w:p>
            <w:pPr>
              <w:pStyle w:val="TableParagraph"/>
              <w:rPr>
                <w:b/>
                <w:sz w:val="20"/>
              </w:rPr>
            </w:pPr>
          </w:p>
          <w:p>
            <w:pPr>
              <w:pStyle w:val="TableParagraph"/>
              <w:spacing w:before="2"/>
              <w:rPr>
                <w:b/>
                <w:sz w:val="19"/>
              </w:rPr>
            </w:pPr>
          </w:p>
          <w:p>
            <w:pPr>
              <w:pStyle w:val="TableParagraph"/>
              <w:ind w:left="103"/>
              <w:rPr>
                <w:b/>
                <w:sz w:val="19"/>
              </w:rPr>
            </w:pPr>
            <w:r>
              <w:rPr>
                <w:b/>
                <w:w w:val="105"/>
                <w:sz w:val="19"/>
              </w:rPr>
              <w:t>REACTIVA</w:t>
            </w:r>
          </w:p>
        </w:tc>
        <w:tc>
          <w:tcPr>
            <w:tcW w:w="3533" w:type="dxa"/>
          </w:tcPr>
          <w:p>
            <w:pPr>
              <w:pStyle w:val="TableParagraph"/>
              <w:spacing w:line="218" w:lineRule="exact"/>
              <w:ind w:left="1137" w:right="525"/>
              <w:rPr>
                <w:b/>
                <w:sz w:val="19"/>
              </w:rPr>
            </w:pPr>
            <w:r>
              <w:rPr>
                <w:b/>
                <w:w w:val="105"/>
                <w:sz w:val="19"/>
              </w:rPr>
              <w:t>EVALUATIVO</w:t>
            </w:r>
          </w:p>
          <w:p>
            <w:pPr>
              <w:pStyle w:val="TableParagraph"/>
              <w:spacing w:before="122"/>
              <w:ind w:left="105" w:right="525"/>
              <w:rPr>
                <w:sz w:val="19"/>
              </w:rPr>
            </w:pPr>
            <w:r>
              <w:rPr>
                <w:sz w:val="19"/>
              </w:rPr>
              <w:t>Actitudes ambientales</w:t>
            </w:r>
          </w:p>
          <w:p>
            <w:pPr>
              <w:pStyle w:val="TableParagraph"/>
              <w:rPr>
                <w:b/>
                <w:sz w:val="20"/>
              </w:rPr>
            </w:pPr>
          </w:p>
          <w:p>
            <w:pPr>
              <w:pStyle w:val="TableParagraph"/>
              <w:spacing w:before="7"/>
              <w:rPr>
                <w:b/>
                <w:sz w:val="20"/>
              </w:rPr>
            </w:pPr>
          </w:p>
          <w:p>
            <w:pPr>
              <w:pStyle w:val="TableParagraph"/>
              <w:spacing w:before="1"/>
              <w:ind w:left="105" w:right="525"/>
              <w:rPr>
                <w:sz w:val="19"/>
              </w:rPr>
            </w:pPr>
            <w:r>
              <w:rPr>
                <w:sz w:val="19"/>
              </w:rPr>
              <w:t>Evaluaciones ambientales</w:t>
            </w:r>
          </w:p>
        </w:tc>
        <w:tc>
          <w:tcPr>
            <w:tcW w:w="3710" w:type="dxa"/>
          </w:tcPr>
          <w:p>
            <w:pPr>
              <w:pStyle w:val="TableParagraph"/>
              <w:spacing w:line="218" w:lineRule="exact"/>
              <w:ind w:left="1204"/>
              <w:rPr>
                <w:b/>
                <w:sz w:val="19"/>
              </w:rPr>
            </w:pPr>
            <w:r>
              <w:rPr>
                <w:b/>
                <w:w w:val="105"/>
                <w:sz w:val="19"/>
              </w:rPr>
              <w:t>RESPONSIVO</w:t>
            </w:r>
          </w:p>
          <w:p>
            <w:pPr>
              <w:pStyle w:val="TableParagraph"/>
              <w:spacing w:before="122"/>
              <w:ind w:left="105"/>
              <w:rPr>
                <w:sz w:val="19"/>
              </w:rPr>
            </w:pPr>
            <w:r>
              <w:rPr>
                <w:w w:val="105"/>
                <w:sz w:val="19"/>
              </w:rPr>
              <w:t>Respuesta humana al ambiente físico</w:t>
            </w:r>
          </w:p>
          <w:p>
            <w:pPr>
              <w:pStyle w:val="TableParagraph"/>
              <w:numPr>
                <w:ilvl w:val="0"/>
                <w:numId w:val="10"/>
              </w:numPr>
              <w:tabs>
                <w:tab w:pos="806" w:val="left" w:leader="none"/>
                <w:tab w:pos="807" w:val="left" w:leader="none"/>
              </w:tabs>
              <w:spacing w:line="240" w:lineRule="auto" w:before="124" w:after="0"/>
              <w:ind w:left="105" w:right="0" w:firstLine="351"/>
              <w:jc w:val="left"/>
              <w:rPr>
                <w:sz w:val="19"/>
              </w:rPr>
            </w:pPr>
            <w:r>
              <w:rPr>
                <w:sz w:val="19"/>
              </w:rPr>
              <w:t>Ambientes</w:t>
            </w:r>
            <w:r>
              <w:rPr>
                <w:spacing w:val="43"/>
                <w:sz w:val="19"/>
              </w:rPr>
              <w:t> </w:t>
            </w:r>
            <w:r>
              <w:rPr>
                <w:sz w:val="19"/>
              </w:rPr>
              <w:t>estresantes</w:t>
            </w:r>
          </w:p>
          <w:p>
            <w:pPr>
              <w:pStyle w:val="TableParagraph"/>
              <w:numPr>
                <w:ilvl w:val="0"/>
                <w:numId w:val="10"/>
              </w:numPr>
              <w:tabs>
                <w:tab w:pos="806" w:val="left" w:leader="none"/>
                <w:tab w:pos="807" w:val="left" w:leader="none"/>
              </w:tabs>
              <w:spacing w:line="240" w:lineRule="auto" w:before="7" w:after="0"/>
              <w:ind w:left="806" w:right="0" w:hanging="350"/>
              <w:jc w:val="left"/>
              <w:rPr>
                <w:sz w:val="19"/>
              </w:rPr>
            </w:pPr>
            <w:r>
              <w:rPr>
                <w:w w:val="105"/>
                <w:sz w:val="19"/>
              </w:rPr>
              <w:t>Impacto</w:t>
            </w:r>
            <w:r>
              <w:rPr>
                <w:spacing w:val="-27"/>
                <w:w w:val="105"/>
                <w:sz w:val="19"/>
              </w:rPr>
              <w:t> </w:t>
            </w:r>
            <w:r>
              <w:rPr>
                <w:w w:val="105"/>
                <w:sz w:val="19"/>
              </w:rPr>
              <w:t>del</w:t>
            </w:r>
            <w:r>
              <w:rPr>
                <w:spacing w:val="-26"/>
                <w:w w:val="105"/>
                <w:sz w:val="19"/>
              </w:rPr>
              <w:t> </w:t>
            </w:r>
            <w:r>
              <w:rPr>
                <w:w w:val="105"/>
                <w:sz w:val="19"/>
              </w:rPr>
              <w:t>ambiente</w:t>
            </w:r>
            <w:r>
              <w:rPr>
                <w:spacing w:val="-27"/>
                <w:w w:val="105"/>
                <w:sz w:val="19"/>
              </w:rPr>
              <w:t> </w:t>
            </w:r>
            <w:r>
              <w:rPr>
                <w:w w:val="105"/>
                <w:sz w:val="19"/>
              </w:rPr>
              <w:t>edificado</w:t>
            </w:r>
          </w:p>
          <w:p>
            <w:pPr>
              <w:pStyle w:val="TableParagraph"/>
              <w:numPr>
                <w:ilvl w:val="0"/>
                <w:numId w:val="10"/>
              </w:numPr>
              <w:tabs>
                <w:tab w:pos="806" w:val="left" w:leader="none"/>
                <w:tab w:pos="807" w:val="left" w:leader="none"/>
              </w:tabs>
              <w:spacing w:line="364" w:lineRule="auto" w:before="2" w:after="0"/>
              <w:ind w:left="105" w:right="384" w:firstLine="351"/>
              <w:jc w:val="left"/>
              <w:rPr>
                <w:sz w:val="19"/>
              </w:rPr>
            </w:pPr>
            <w:r>
              <w:rPr>
                <w:w w:val="105"/>
                <w:sz w:val="19"/>
              </w:rPr>
              <w:t>Impacto</w:t>
            </w:r>
            <w:r>
              <w:rPr>
                <w:spacing w:val="-24"/>
                <w:w w:val="105"/>
                <w:sz w:val="19"/>
              </w:rPr>
              <w:t> </w:t>
            </w:r>
            <w:r>
              <w:rPr>
                <w:w w:val="105"/>
                <w:sz w:val="19"/>
              </w:rPr>
              <w:t>del</w:t>
            </w:r>
            <w:r>
              <w:rPr>
                <w:spacing w:val="-22"/>
                <w:w w:val="105"/>
                <w:sz w:val="19"/>
              </w:rPr>
              <w:t> </w:t>
            </w:r>
            <w:r>
              <w:rPr>
                <w:w w:val="105"/>
                <w:sz w:val="19"/>
              </w:rPr>
              <w:t>ambiente</w:t>
            </w:r>
            <w:r>
              <w:rPr>
                <w:spacing w:val="-24"/>
                <w:w w:val="105"/>
                <w:sz w:val="19"/>
              </w:rPr>
              <w:t> </w:t>
            </w:r>
            <w:r>
              <w:rPr>
                <w:w w:val="105"/>
                <w:sz w:val="19"/>
              </w:rPr>
              <w:t>natural </w:t>
            </w:r>
            <w:r>
              <w:rPr>
                <w:sz w:val="19"/>
              </w:rPr>
              <w:t>Psicología</w:t>
            </w:r>
            <w:r>
              <w:rPr>
                <w:spacing w:val="30"/>
                <w:sz w:val="19"/>
              </w:rPr>
              <w:t> </w:t>
            </w:r>
            <w:r>
              <w:rPr>
                <w:sz w:val="19"/>
              </w:rPr>
              <w:t>ecológica</w:t>
            </w:r>
          </w:p>
        </w:tc>
      </w:tr>
    </w:tbl>
    <w:p>
      <w:pPr>
        <w:pStyle w:val="BodyText"/>
        <w:spacing w:before="10"/>
        <w:rPr>
          <w:b/>
          <w:sz w:val="17"/>
        </w:rPr>
      </w:pPr>
    </w:p>
    <w:p>
      <w:pPr>
        <w:spacing w:before="0"/>
        <w:ind w:left="216" w:right="0" w:firstLine="0"/>
        <w:jc w:val="both"/>
        <w:rPr>
          <w:sz w:val="19"/>
        </w:rPr>
      </w:pPr>
      <w:r>
        <w:rPr>
          <w:w w:val="105"/>
          <w:sz w:val="19"/>
        </w:rPr>
        <w:t>Fuente: Stokols, 1978: 253-295.</w:t>
      </w:r>
    </w:p>
    <w:p>
      <w:pPr>
        <w:pStyle w:val="BodyText"/>
        <w:spacing w:before="5"/>
        <w:rPr>
          <w:sz w:val="19"/>
        </w:rPr>
      </w:pPr>
    </w:p>
    <w:p>
      <w:pPr>
        <w:pStyle w:val="BodyText"/>
        <w:spacing w:line="364" w:lineRule="auto"/>
        <w:ind w:left="216" w:right="896"/>
        <w:jc w:val="both"/>
      </w:pPr>
      <w:r>
        <w:rPr/>
        <w:t>En el cuadro </w:t>
      </w:r>
      <w:r>
        <w:rPr>
          <w:spacing w:val="3"/>
        </w:rPr>
        <w:t>se </w:t>
      </w:r>
      <w:r>
        <w:rPr/>
        <w:t>presentan las dimensiones básicas de transacción del hombre con su ambiente: las formas, que pueden ser cognoscitivas (simbólicas) o  conductuales  (físicas), y las fases, que pueden </w:t>
      </w:r>
      <w:r>
        <w:rPr>
          <w:spacing w:val="2"/>
        </w:rPr>
        <w:t>ser </w:t>
      </w:r>
      <w:r>
        <w:rPr/>
        <w:t>activas o reactivas. Si se analizan estas dos dimensiones en una matriz </w:t>
      </w:r>
      <w:r>
        <w:rPr>
          <w:spacing w:val="3"/>
        </w:rPr>
        <w:t>se </w:t>
      </w:r>
      <w:r>
        <w:rPr/>
        <w:t>tienen cuatro combinaciones que proporcionan cuatro modos de transacción, que Stokols </w:t>
      </w:r>
      <w:r>
        <w:rPr>
          <w:spacing w:val="-3"/>
        </w:rPr>
        <w:t>ha </w:t>
      </w:r>
      <w:r>
        <w:rPr/>
        <w:t>denominado: interpretativo, evaluativo, operativo   y</w:t>
      </w:r>
      <w:r>
        <w:rPr>
          <w:spacing w:val="18"/>
        </w:rPr>
        <w:t> </w:t>
      </w:r>
      <w:r>
        <w:rPr/>
        <w:t>responsivo.</w:t>
      </w:r>
    </w:p>
    <w:p>
      <w:pPr>
        <w:pStyle w:val="BodyText"/>
        <w:spacing w:line="364" w:lineRule="auto" w:before="120"/>
        <w:ind w:left="216" w:right="897"/>
        <w:jc w:val="both"/>
      </w:pPr>
      <w:r>
        <w:rPr/>
        <w:t>Estos cuatro modos integran cada uno de los cuatro modos de interacción hombre- ambiente que propuso Stokols; permiten explicar la forma como el ambiente sociofísico afecta al hombre, y el modo como las acciones de los sujetos transforman el entorno o</w:t>
      </w:r>
    </w:p>
    <w:p>
      <w:pPr>
        <w:spacing w:after="0" w:line="364" w:lineRule="auto"/>
        <w:jc w:val="both"/>
        <w:sectPr>
          <w:pgSz w:w="11910" w:h="16840"/>
          <w:pgMar w:header="1066" w:footer="1711" w:top="1460" w:bottom="1900" w:left="1440" w:right="200"/>
        </w:sectPr>
      </w:pPr>
    </w:p>
    <w:p>
      <w:pPr>
        <w:pStyle w:val="BodyText"/>
        <w:rPr>
          <w:sz w:val="20"/>
        </w:rPr>
      </w:pPr>
    </w:p>
    <w:p>
      <w:pPr>
        <w:pStyle w:val="BodyText"/>
        <w:spacing w:before="10"/>
        <w:rPr>
          <w:sz w:val="17"/>
        </w:rPr>
      </w:pPr>
    </w:p>
    <w:p>
      <w:pPr>
        <w:pStyle w:val="BodyText"/>
        <w:spacing w:line="362" w:lineRule="auto" w:before="74"/>
        <w:ind w:left="115" w:right="904"/>
        <w:jc w:val="both"/>
      </w:pPr>
      <w:r>
        <w:rPr>
          <w:spacing w:val="-5"/>
        </w:rPr>
        <w:t>la </w:t>
      </w:r>
      <w:r>
        <w:rPr/>
        <w:t>relación con el entorno; y de qué modo esto afecta las percepciones  y sentimientos  del propio</w:t>
      </w:r>
      <w:r>
        <w:rPr>
          <w:spacing w:val="19"/>
        </w:rPr>
        <w:t> </w:t>
      </w:r>
      <w:r>
        <w:rPr/>
        <w:t>sujeto.</w:t>
      </w:r>
    </w:p>
    <w:p>
      <w:pPr>
        <w:pStyle w:val="BodyText"/>
        <w:spacing w:line="364" w:lineRule="auto" w:before="123"/>
        <w:ind w:left="115" w:right="903"/>
        <w:jc w:val="both"/>
      </w:pPr>
      <w:r>
        <w:rPr/>
        <w:t>Esto ubica definitivamente a la psicología como una ciencia ecológica, que estudia la forma cómo los organismos se integran al entorno a través de su capacidad de manejo de la información ambiental; y </w:t>
      </w:r>
      <w:r>
        <w:rPr>
          <w:spacing w:val="2"/>
        </w:rPr>
        <w:t>por </w:t>
      </w:r>
      <w:r>
        <w:rPr/>
        <w:t>el modo en que esta información modula los programas de acción de los</w:t>
      </w:r>
      <w:r>
        <w:rPr>
          <w:spacing w:val="42"/>
        </w:rPr>
        <w:t> </w:t>
      </w:r>
      <w:r>
        <w:rPr/>
        <w:t>sujetos.</w:t>
      </w:r>
    </w:p>
    <w:p>
      <w:pPr>
        <w:pStyle w:val="BodyText"/>
        <w:spacing w:line="367" w:lineRule="auto" w:before="120"/>
        <w:ind w:left="115" w:right="893"/>
        <w:jc w:val="both"/>
      </w:pPr>
      <w:r>
        <w:rPr/>
        <w:t>La visión ecológica de </w:t>
      </w:r>
      <w:r>
        <w:rPr>
          <w:spacing w:val="-5"/>
        </w:rPr>
        <w:t>la </w:t>
      </w:r>
      <w:r>
        <w:rPr/>
        <w:t>psicología implica no solamente el ambiente natural, que ha  sido preocupación del biólogo especializado en ecología, sino el entorno diseñado y construido, que ha sido más bien la preocupación del ingeniero  y el arquitecto. Se  ocupa de entornos que van desde el estrictamente inmediato, como puede </w:t>
      </w:r>
      <w:r>
        <w:rPr>
          <w:spacing w:val="2"/>
        </w:rPr>
        <w:t>ser </w:t>
      </w:r>
      <w:r>
        <w:rPr/>
        <w:t>una habitación, el paraje de un bosque, un estadio de fútbol, etc., hasta llegar a incluir las reacciones y las nociones del sujeto respecto a los ambientes macro, como pueden ser un país, el mundo o el universo en</w:t>
      </w:r>
      <w:r>
        <w:rPr>
          <w:spacing w:val="39"/>
        </w:rPr>
        <w:t> </w:t>
      </w:r>
      <w:r>
        <w:rPr/>
        <w:t>general.</w:t>
      </w:r>
    </w:p>
    <w:p>
      <w:pPr>
        <w:pStyle w:val="BodyText"/>
        <w:spacing w:line="364" w:lineRule="auto" w:before="117"/>
        <w:ind w:left="115" w:right="898"/>
        <w:jc w:val="both"/>
      </w:pPr>
      <w:r>
        <w:rPr/>
        <w:t>El avance de esta disciplina ha sido transdiciplinaria por definición,  pues  su conocimiento y </w:t>
      </w:r>
      <w:r>
        <w:rPr>
          <w:spacing w:val="3"/>
        </w:rPr>
        <w:t>su </w:t>
      </w:r>
      <w:r>
        <w:rPr/>
        <w:t>marco teórico, ha sido el resultado de esfuerzos </w:t>
      </w:r>
      <w:r>
        <w:rPr>
          <w:spacing w:val="-3"/>
        </w:rPr>
        <w:t>de </w:t>
      </w:r>
      <w:r>
        <w:rPr/>
        <w:t>sujetos provenientes de las más distintas áreas de formación. La Psicología Ambiental resulta crítica en la explicación de los problemas ecológicos por tres razones </w:t>
      </w:r>
      <w:r>
        <w:rPr>
          <w:spacing w:val="38"/>
        </w:rPr>
        <w:t> </w:t>
      </w:r>
      <w:r>
        <w:rPr/>
        <w:t>fundamentales:</w:t>
      </w:r>
    </w:p>
    <w:p>
      <w:pPr>
        <w:pStyle w:val="ListParagraph"/>
        <w:numPr>
          <w:ilvl w:val="0"/>
          <w:numId w:val="11"/>
        </w:numPr>
        <w:tabs>
          <w:tab w:pos="817" w:val="left" w:leader="none"/>
        </w:tabs>
        <w:spacing w:line="364" w:lineRule="auto" w:before="120" w:after="0"/>
        <w:ind w:left="816" w:right="900" w:hanging="350"/>
        <w:jc w:val="both"/>
        <w:rPr>
          <w:sz w:val="23"/>
        </w:rPr>
      </w:pPr>
      <w:r>
        <w:rPr>
          <w:sz w:val="23"/>
        </w:rPr>
        <w:t>El sistema nervioso </w:t>
      </w:r>
      <w:r>
        <w:rPr>
          <w:spacing w:val="-3"/>
          <w:sz w:val="23"/>
        </w:rPr>
        <w:t>es </w:t>
      </w:r>
      <w:r>
        <w:rPr>
          <w:sz w:val="23"/>
        </w:rPr>
        <w:t>el principal vehículo de integración del reino animal </w:t>
      </w:r>
      <w:r>
        <w:rPr>
          <w:spacing w:val="4"/>
          <w:sz w:val="23"/>
        </w:rPr>
        <w:t>al </w:t>
      </w:r>
      <w:r>
        <w:rPr>
          <w:sz w:val="23"/>
        </w:rPr>
        <w:t>entorno, permitiendo utilizar </w:t>
      </w:r>
      <w:r>
        <w:rPr>
          <w:spacing w:val="-5"/>
          <w:sz w:val="23"/>
        </w:rPr>
        <w:t>la </w:t>
      </w:r>
      <w:r>
        <w:rPr>
          <w:sz w:val="23"/>
        </w:rPr>
        <w:t>capacidad de procesamiento de información para integrar al sujeto al medio a través de representaciones internas que guíen la conducta, haciéndola</w:t>
      </w:r>
      <w:r>
        <w:rPr>
          <w:spacing w:val="36"/>
          <w:sz w:val="23"/>
        </w:rPr>
        <w:t> </w:t>
      </w:r>
      <w:r>
        <w:rPr>
          <w:sz w:val="23"/>
        </w:rPr>
        <w:t>adaptativa.</w:t>
      </w:r>
    </w:p>
    <w:p>
      <w:pPr>
        <w:pStyle w:val="ListParagraph"/>
        <w:numPr>
          <w:ilvl w:val="0"/>
          <w:numId w:val="11"/>
        </w:numPr>
        <w:tabs>
          <w:tab w:pos="817" w:val="left" w:leader="none"/>
        </w:tabs>
        <w:spacing w:line="364" w:lineRule="auto" w:before="5" w:after="0"/>
        <w:ind w:left="816" w:right="899" w:hanging="350"/>
        <w:jc w:val="both"/>
        <w:rPr>
          <w:sz w:val="23"/>
        </w:rPr>
      </w:pPr>
      <w:r>
        <w:rPr>
          <w:sz w:val="23"/>
        </w:rPr>
        <w:t>Todo problema ecológico parte de </w:t>
      </w:r>
      <w:r>
        <w:rPr>
          <w:spacing w:val="-5"/>
          <w:sz w:val="23"/>
        </w:rPr>
        <w:t>la </w:t>
      </w:r>
      <w:r>
        <w:rPr>
          <w:sz w:val="23"/>
        </w:rPr>
        <w:t>actividad de algún organismo; y en el caso del </w:t>
      </w:r>
      <w:r>
        <w:rPr>
          <w:i/>
          <w:sz w:val="23"/>
        </w:rPr>
        <w:t>homosapiens</w:t>
      </w:r>
      <w:r>
        <w:rPr>
          <w:sz w:val="23"/>
        </w:rPr>
        <w:t>, el problema resulta mucho más grave, dada </w:t>
      </w:r>
      <w:r>
        <w:rPr>
          <w:spacing w:val="-5"/>
          <w:sz w:val="23"/>
        </w:rPr>
        <w:t>la </w:t>
      </w:r>
      <w:r>
        <w:rPr>
          <w:sz w:val="23"/>
        </w:rPr>
        <w:t>transformación sufrida por su comportamiento a causa de la transmisión cultural de la  información. Cuando el hombre adquirió el lenguaje, adquirió con </w:t>
      </w:r>
      <w:r>
        <w:rPr>
          <w:spacing w:val="-3"/>
          <w:sz w:val="23"/>
        </w:rPr>
        <w:t>ello </w:t>
      </w:r>
      <w:r>
        <w:rPr>
          <w:sz w:val="23"/>
        </w:rPr>
        <w:t>una capacidad increíble para transmitir información, </w:t>
      </w:r>
      <w:r>
        <w:rPr>
          <w:spacing w:val="-5"/>
          <w:sz w:val="23"/>
        </w:rPr>
        <w:t>lo </w:t>
      </w:r>
      <w:r>
        <w:rPr>
          <w:sz w:val="23"/>
        </w:rPr>
        <w:t>que permitió  que compartiera sus experiencias con otros sujetos. Esto hizo posible la aparición del fenómeno “cultura”, y le dio un carácter histórico a la existencia </w:t>
      </w:r>
      <w:r>
        <w:rPr>
          <w:spacing w:val="3"/>
          <w:sz w:val="23"/>
        </w:rPr>
        <w:t> </w:t>
      </w:r>
      <w:r>
        <w:rPr>
          <w:sz w:val="23"/>
        </w:rPr>
        <w:t>humana.</w:t>
      </w:r>
    </w:p>
    <w:p>
      <w:pPr>
        <w:pStyle w:val="ListParagraph"/>
        <w:numPr>
          <w:ilvl w:val="0"/>
          <w:numId w:val="11"/>
        </w:numPr>
        <w:tabs>
          <w:tab w:pos="817" w:val="left" w:leader="none"/>
        </w:tabs>
        <w:spacing w:line="364" w:lineRule="auto" w:before="5" w:after="0"/>
        <w:ind w:left="816" w:right="898" w:hanging="350"/>
        <w:jc w:val="both"/>
        <w:rPr>
          <w:sz w:val="23"/>
        </w:rPr>
      </w:pPr>
      <w:r>
        <w:rPr>
          <w:sz w:val="23"/>
        </w:rPr>
        <w:t>La solución de cualquier problema ambiental, por </w:t>
      </w:r>
      <w:r>
        <w:rPr>
          <w:spacing w:val="-5"/>
          <w:sz w:val="23"/>
        </w:rPr>
        <w:t>lo </w:t>
      </w:r>
      <w:r>
        <w:rPr>
          <w:sz w:val="23"/>
        </w:rPr>
        <w:t>tanto, obliga a atacar sus raíces  </w:t>
      </w:r>
      <w:r>
        <w:rPr>
          <w:spacing w:val="-3"/>
          <w:sz w:val="23"/>
        </w:rPr>
        <w:t>en   </w:t>
      </w:r>
      <w:r>
        <w:rPr>
          <w:sz w:val="23"/>
        </w:rPr>
        <w:t>las  acciones  de  los  agentes  transformadores  del  entorno;  y   </w:t>
      </w:r>
      <w:r>
        <w:rPr>
          <w:spacing w:val="59"/>
          <w:sz w:val="23"/>
        </w:rPr>
        <w:t> </w:t>
      </w:r>
      <w:r>
        <w:rPr>
          <w:sz w:val="23"/>
        </w:rPr>
        <w:t>una</w:t>
      </w:r>
    </w:p>
    <w:p>
      <w:pPr>
        <w:spacing w:after="0" w:line="364" w:lineRule="auto"/>
        <w:jc w:val="both"/>
        <w:rPr>
          <w:sz w:val="23"/>
        </w:rPr>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2" w:lineRule="auto" w:before="74"/>
        <w:ind w:left="816" w:right="989"/>
      </w:pPr>
      <w:r>
        <w:rPr/>
        <w:t>comprensión de la forma como los sujetos se integran y se adaptan a los ambientes por ellos creados.</w:t>
      </w:r>
    </w:p>
    <w:p>
      <w:pPr>
        <w:pStyle w:val="BodyText"/>
        <w:spacing w:line="364" w:lineRule="auto" w:before="123"/>
        <w:ind w:left="116" w:right="896"/>
        <w:jc w:val="both"/>
      </w:pPr>
      <w:r>
        <w:rPr/>
        <w:t>La historia de la psicología ambiental estuvo en </w:t>
      </w:r>
      <w:r>
        <w:rPr>
          <w:spacing w:val="-3"/>
        </w:rPr>
        <w:t>sus </w:t>
      </w:r>
      <w:r>
        <w:rPr/>
        <w:t>inicios fuertemente influenciada por las cuestiones que destacan los arquitectos, los urbanistas u otros profesionales del acondicionamiento del cuadro urbano. </w:t>
      </w:r>
      <w:r>
        <w:rPr>
          <w:spacing w:val="-3"/>
        </w:rPr>
        <w:t>Sin </w:t>
      </w:r>
      <w:r>
        <w:rPr/>
        <w:t>embargo, al pasar de los años la intervención de más áreas del conocimiento al estudio de la problemática  ambiental y su  relación  con el comportamiento del ser humano lograron que la psicología ambiental, se encuentre ahora en condiciones </w:t>
      </w:r>
      <w:r>
        <w:rPr>
          <w:spacing w:val="-3"/>
        </w:rPr>
        <w:t>de </w:t>
      </w:r>
      <w:r>
        <w:rPr/>
        <w:t>contribuir significativamente a la solución de los grandes problemas de la sociedad planteados por las exigencias del desarrollo sustentable (Moser,</w:t>
      </w:r>
      <w:r>
        <w:rPr>
          <w:spacing w:val="28"/>
        </w:rPr>
        <w:t> </w:t>
      </w:r>
      <w:r>
        <w:rPr/>
        <w:t>2002).</w:t>
      </w:r>
    </w:p>
    <w:p>
      <w:pPr>
        <w:pStyle w:val="BodyText"/>
        <w:spacing w:line="364" w:lineRule="auto" w:before="120"/>
        <w:ind w:left="116" w:right="896"/>
        <w:jc w:val="both"/>
      </w:pPr>
      <w:r>
        <w:rPr/>
        <w:t>Pues su apropiación constituye </w:t>
      </w:r>
      <w:r>
        <w:rPr>
          <w:spacing w:val="-5"/>
        </w:rPr>
        <w:t>la </w:t>
      </w:r>
      <w:r>
        <w:rPr/>
        <w:t>base de la identidad ambiental, en procesos progresivos que son esenciales para </w:t>
      </w:r>
      <w:r>
        <w:rPr>
          <w:spacing w:val="4"/>
        </w:rPr>
        <w:t>el </w:t>
      </w:r>
      <w:r>
        <w:rPr/>
        <w:t>bienestar individual y para el surgimiento de comportamientos favorables al desarrollo sustentable. La relación </w:t>
      </w:r>
      <w:r>
        <w:rPr>
          <w:spacing w:val="2"/>
        </w:rPr>
        <w:t>del </w:t>
      </w:r>
      <w:r>
        <w:rPr/>
        <w:t>individuo </w:t>
      </w:r>
      <w:r>
        <w:rPr>
          <w:spacing w:val="2"/>
        </w:rPr>
        <w:t>con </w:t>
      </w:r>
      <w:r>
        <w:rPr/>
        <w:t>el ambiente que va desde el hábitat, pasando por la ciudad hasta el ambiente global, depende del nivel de control, es decir de la posibilidad de dominio que  el  individuo puede ejercer, pero sobre todo de la manera en que </w:t>
      </w:r>
      <w:r>
        <w:rPr>
          <w:spacing w:val="-5"/>
        </w:rPr>
        <w:t>la </w:t>
      </w:r>
      <w:r>
        <w:rPr/>
        <w:t>transdiciplinariedad que proporciona la psicología ambiental pueda encaminar a la generación  de comportamientos proambientales en </w:t>
      </w:r>
      <w:r>
        <w:rPr>
          <w:spacing w:val="-5"/>
        </w:rPr>
        <w:t>la </w:t>
      </w:r>
      <w:r>
        <w:rPr/>
        <w:t>sociedad </w:t>
      </w:r>
      <w:r>
        <w:rPr>
          <w:spacing w:val="15"/>
        </w:rPr>
        <w:t> </w:t>
      </w:r>
      <w:r>
        <w:rPr/>
        <w:t>actual.</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Heading2"/>
        <w:spacing w:line="470" w:lineRule="auto"/>
        <w:ind w:left="2583" w:right="3364" w:firstLine="1411"/>
        <w:jc w:val="left"/>
      </w:pPr>
      <w:bookmarkStart w:name="_TOC_250031" w:id="4"/>
      <w:r>
        <w:rPr/>
        <w:t>CAPÍTULO 2 COMPORTAMIENTO</w:t>
      </w:r>
      <w:r>
        <w:rPr>
          <w:spacing w:val="50"/>
        </w:rPr>
        <w:t> </w:t>
      </w:r>
      <w:bookmarkEnd w:id="4"/>
      <w:r>
        <w:rPr/>
        <w:t>PROAMBIENTAL</w:t>
      </w:r>
    </w:p>
    <w:p>
      <w:pPr>
        <w:pStyle w:val="BodyText"/>
        <w:rPr>
          <w:b/>
          <w:sz w:val="22"/>
        </w:rPr>
      </w:pPr>
    </w:p>
    <w:p>
      <w:pPr>
        <w:pStyle w:val="BodyText"/>
        <w:spacing w:before="8"/>
        <w:rPr>
          <w:b/>
        </w:rPr>
      </w:pPr>
    </w:p>
    <w:p>
      <w:pPr>
        <w:pStyle w:val="BodyText"/>
        <w:spacing w:line="364" w:lineRule="auto"/>
        <w:ind w:left="116" w:right="901"/>
        <w:jc w:val="both"/>
      </w:pPr>
      <w:r>
        <w:rPr/>
        <w:t>En la literatura proambiental se han usado varios términos para designar aquellas acciones que resultan en el cuidado del ambiente tales  como  comportamiento  ambiental, conducta ecológica, conducta ecológica responsable y conducta sustentable. La existencia de distintos términos se debe a la variedad de enfoques desde de los cuales se estudia </w:t>
      </w:r>
      <w:r>
        <w:rPr>
          <w:spacing w:val="-5"/>
        </w:rPr>
        <w:t>la </w:t>
      </w:r>
      <w:r>
        <w:rPr/>
        <w:t>conducta proambiental, por ejemplo, para algunos autores la conducta proambiental es un hábito, para otros es </w:t>
      </w:r>
      <w:r>
        <w:rPr>
          <w:spacing w:val="-3"/>
        </w:rPr>
        <w:t>una </w:t>
      </w:r>
      <w:r>
        <w:rPr/>
        <w:t>acción intencional y otros indican que sólo aparece de manera forzada en los individuos (Martínez-Soto, </w:t>
      </w:r>
      <w:r>
        <w:rPr>
          <w:spacing w:val="27"/>
        </w:rPr>
        <w:t> </w:t>
      </w:r>
      <w:r>
        <w:rPr/>
        <w:t>2006).</w:t>
      </w:r>
    </w:p>
    <w:p>
      <w:pPr>
        <w:pStyle w:val="BodyText"/>
        <w:spacing w:line="364" w:lineRule="auto" w:before="120"/>
        <w:ind w:left="116" w:right="900"/>
        <w:jc w:val="both"/>
      </w:pPr>
      <w:r>
        <w:rPr/>
        <w:t>Dada la necesidad de precisar una definición para el término conducta proambiental, Corral-Verdugo (2010) realizó una revisión de las características del término y según su análisis los aspectos fundamentales de la conducta proambiental  son:</w:t>
      </w:r>
    </w:p>
    <w:p>
      <w:pPr>
        <w:pStyle w:val="ListParagraph"/>
        <w:numPr>
          <w:ilvl w:val="1"/>
          <w:numId w:val="11"/>
        </w:numPr>
        <w:tabs>
          <w:tab w:pos="1168" w:val="left" w:leader="none"/>
        </w:tabs>
        <w:spacing w:line="364" w:lineRule="auto" w:before="120" w:after="0"/>
        <w:ind w:left="1167" w:right="903" w:hanging="351"/>
        <w:jc w:val="left"/>
        <w:rPr>
          <w:sz w:val="23"/>
        </w:rPr>
      </w:pPr>
      <w:r>
        <w:rPr>
          <w:sz w:val="23"/>
        </w:rPr>
        <w:t>Es un producto o resultado, </w:t>
      </w:r>
      <w:r>
        <w:rPr>
          <w:spacing w:val="-3"/>
          <w:sz w:val="23"/>
        </w:rPr>
        <w:t>es </w:t>
      </w:r>
      <w:r>
        <w:rPr>
          <w:sz w:val="23"/>
        </w:rPr>
        <w:t>decir de la preservación de los recursos naturales o al menos la reducción del</w:t>
      </w:r>
      <w:r>
        <w:rPr>
          <w:spacing w:val="55"/>
          <w:sz w:val="23"/>
        </w:rPr>
        <w:t> </w:t>
      </w:r>
      <w:r>
        <w:rPr>
          <w:sz w:val="23"/>
        </w:rPr>
        <w:t>deterioro.</w:t>
      </w:r>
    </w:p>
    <w:p>
      <w:pPr>
        <w:pStyle w:val="ListParagraph"/>
        <w:numPr>
          <w:ilvl w:val="1"/>
          <w:numId w:val="11"/>
        </w:numPr>
        <w:tabs>
          <w:tab w:pos="1177" w:val="left" w:leader="none"/>
        </w:tabs>
        <w:spacing w:line="369" w:lineRule="auto" w:before="120" w:after="0"/>
        <w:ind w:left="816" w:right="898" w:firstLine="0"/>
        <w:jc w:val="both"/>
        <w:rPr>
          <w:sz w:val="23"/>
        </w:rPr>
      </w:pPr>
      <w:r>
        <w:rPr>
          <w:sz w:val="23"/>
        </w:rPr>
        <w:t>Es efectiva, en el sentido de ser intencional y resultado de desplegar habilidades</w:t>
      </w:r>
      <w:r>
        <w:rPr>
          <w:spacing w:val="24"/>
          <w:sz w:val="23"/>
        </w:rPr>
        <w:t> </w:t>
      </w:r>
      <w:r>
        <w:rPr>
          <w:sz w:val="23"/>
        </w:rPr>
        <w:t>concretas.</w:t>
      </w:r>
    </w:p>
    <w:p>
      <w:pPr>
        <w:pStyle w:val="ListParagraph"/>
        <w:numPr>
          <w:ilvl w:val="1"/>
          <w:numId w:val="11"/>
        </w:numPr>
        <w:tabs>
          <w:tab w:pos="1119" w:val="left" w:leader="none"/>
        </w:tabs>
        <w:spacing w:line="364" w:lineRule="auto" w:before="115" w:after="0"/>
        <w:ind w:left="802" w:right="898" w:firstLine="0"/>
        <w:jc w:val="both"/>
        <w:rPr>
          <w:sz w:val="23"/>
        </w:rPr>
      </w:pPr>
      <w:r>
        <w:rPr>
          <w:sz w:val="23"/>
        </w:rPr>
        <w:t>Presenta un cierto nivel de complejidad, pues requiere </w:t>
      </w:r>
      <w:r>
        <w:rPr>
          <w:spacing w:val="-5"/>
          <w:sz w:val="23"/>
        </w:rPr>
        <w:t>la </w:t>
      </w:r>
      <w:r>
        <w:rPr>
          <w:sz w:val="23"/>
        </w:rPr>
        <w:t>anticipación </w:t>
      </w:r>
      <w:r>
        <w:rPr>
          <w:spacing w:val="2"/>
          <w:sz w:val="23"/>
        </w:rPr>
        <w:t>del </w:t>
      </w:r>
      <w:r>
        <w:rPr>
          <w:sz w:val="23"/>
        </w:rPr>
        <w:t>resultado de la acción, deliberación para actuar y dirección hacia una meta concreta.</w:t>
      </w:r>
    </w:p>
    <w:p>
      <w:pPr>
        <w:pStyle w:val="BodyText"/>
        <w:spacing w:line="364" w:lineRule="auto" w:before="125"/>
        <w:ind w:left="116" w:right="896"/>
        <w:jc w:val="both"/>
      </w:pPr>
      <w:r>
        <w:rPr/>
        <w:t>A partir de lo anterior el comportamiento proambiental queda definido como “el conjunto de acciones intencionales, dirigidas y efectivas que responden  a  requerimientos  sociales e individuales y que resultan en la protección  del  medio”  (Corral-Verdugo, 2000:</w:t>
      </w:r>
      <w:r>
        <w:rPr>
          <w:spacing w:val="12"/>
        </w:rPr>
        <w:t> </w:t>
      </w:r>
      <w:r>
        <w:rPr/>
        <w:t>6).</w:t>
      </w:r>
    </w:p>
    <w:p>
      <w:pPr>
        <w:pStyle w:val="BodyText"/>
        <w:spacing w:line="364" w:lineRule="auto" w:before="120"/>
        <w:ind w:left="116" w:right="894"/>
        <w:jc w:val="both"/>
      </w:pPr>
      <w:r>
        <w:rPr/>
        <w:t>Sin embargo, en esta definición, el comportamiento se refiere más que todo a la preservación del ambiente sin especificar de manera explícita el interés por el bienestar humano en aspectos como la salud, la economía, la educación, el empleo y la justicia social, (Corral-Verdugo </w:t>
      </w:r>
      <w:r>
        <w:rPr>
          <w:i/>
        </w:rPr>
        <w:t>et al., </w:t>
      </w:r>
      <w:r>
        <w:rPr/>
        <w:t>2004).</w:t>
      </w:r>
    </w:p>
    <w:p>
      <w:pPr>
        <w:spacing w:after="0" w:line="364" w:lineRule="auto"/>
        <w:jc w:val="both"/>
        <w:sectPr>
          <w:footerReference w:type="default" r:id="rId16"/>
          <w:pgSz w:w="11910" w:h="16840"/>
          <w:pgMar w:footer="1706" w:header="1066" w:top="1460" w:bottom="1900" w:left="1540" w:right="200"/>
          <w:pgNumType w:start="20"/>
        </w:sectPr>
      </w:pPr>
    </w:p>
    <w:p>
      <w:pPr>
        <w:pStyle w:val="BodyText"/>
        <w:rPr>
          <w:sz w:val="20"/>
        </w:rPr>
      </w:pPr>
    </w:p>
    <w:p>
      <w:pPr>
        <w:pStyle w:val="BodyText"/>
        <w:spacing w:before="10"/>
        <w:rPr>
          <w:sz w:val="17"/>
        </w:rPr>
      </w:pPr>
    </w:p>
    <w:p>
      <w:pPr>
        <w:pStyle w:val="BodyText"/>
        <w:spacing w:line="364" w:lineRule="auto" w:before="74"/>
        <w:ind w:left="115" w:right="899"/>
        <w:jc w:val="both"/>
      </w:pPr>
      <w:r>
        <w:rPr/>
        <w:t>Bajo la etiqueta de comportamiento proambiental, se agrupan una serie de acciones específicas relativas, esencialmente, al ahorro de recursos, el consumo y reciclaje de productos, la contaminación y la reducción de los residuos (Blas y Aragonés, 1986; Nielsen y Ellington, 1983), es decir, como indica Corral (1998) se refiere a toda aquella acción humana que resulta en el cuidado del entorno o su  preservación.</w:t>
      </w:r>
    </w:p>
    <w:p>
      <w:pPr>
        <w:pStyle w:val="BodyText"/>
        <w:spacing w:line="364" w:lineRule="auto" w:before="120"/>
        <w:ind w:left="116" w:right="892"/>
        <w:jc w:val="both"/>
      </w:pPr>
      <w:r>
        <w:rPr/>
        <w:t>No obstante, cabe destacar que el hecho de que una persona realice un determinado comportamiento proambiental, como por ejemplo, reciclar el vidrio, no conlleva que esta misma persona se implique en otra conducta, como por ejemplo, el reciclado del papel    o el consumo de productos que no dañen </w:t>
      </w:r>
      <w:r>
        <w:rPr>
          <w:spacing w:val="-3"/>
        </w:rPr>
        <w:t>el </w:t>
      </w:r>
      <w:r>
        <w:rPr/>
        <w:t>medio ambiente. Es decir, las personas optamos por diferentes maneras o formas </w:t>
      </w:r>
      <w:r>
        <w:rPr>
          <w:spacing w:val="-3"/>
        </w:rPr>
        <w:t>de </w:t>
      </w:r>
      <w:r>
        <w:rPr/>
        <w:t>mostrar nuestra preocupación hacia el medio ambiente implicándonos en unas conductas y no en otras (Van </w:t>
      </w:r>
      <w:r>
        <w:rPr>
          <w:spacing w:val="-3"/>
        </w:rPr>
        <w:t>Liere </w:t>
      </w:r>
      <w:r>
        <w:rPr/>
        <w:t>y Dunlap, 1981; Lee, De Young y Marans, 1995; Castro, 2001; Corral y Enzinas, 2002). A esto sugiere Corraliza y Berenguer (1998) que a la hora de valorar  una  determinada  conducta ambiental, utilizamos mecanismos psicológicos diferentes y específicos para cada una de ellas, lo que podría estar explicando la heterogeneidad que caracteriza a   las conductas ambientales, tanto a nivel cognitivo como, </w:t>
      </w:r>
      <w:r>
        <w:rPr>
          <w:spacing w:val="11"/>
        </w:rPr>
        <w:t> </w:t>
      </w:r>
      <w:r>
        <w:rPr/>
        <w:t>conductual.</w:t>
      </w:r>
    </w:p>
    <w:p>
      <w:pPr>
        <w:pStyle w:val="BodyText"/>
        <w:spacing w:line="364" w:lineRule="auto" w:before="125"/>
        <w:ind w:left="116" w:right="901"/>
        <w:jc w:val="both"/>
      </w:pPr>
      <w:r>
        <w:rPr/>
        <w:t>De esta manera se distinguen tres etapas bien diferenciadas en la investigación del comportamiento proambiental.</w:t>
      </w:r>
    </w:p>
    <w:p>
      <w:pPr>
        <w:pStyle w:val="BodyText"/>
        <w:spacing w:line="364" w:lineRule="auto" w:before="120"/>
        <w:ind w:left="807" w:right="895" w:hanging="351"/>
        <w:jc w:val="both"/>
      </w:pPr>
      <w:r>
        <w:rPr/>
        <w:t>a. Período inicial. Éste coincide con el origen del </w:t>
      </w:r>
      <w:r>
        <w:rPr>
          <w:i/>
        </w:rPr>
        <w:t>movimiento verde </w:t>
      </w:r>
      <w:r>
        <w:rPr/>
        <w:t>en los Estados Unidos y Europa, a finales de los años 60´s del siglo </w:t>
      </w:r>
      <w:r>
        <w:rPr>
          <w:spacing w:val="-4"/>
        </w:rPr>
        <w:t>XX. </w:t>
      </w:r>
      <w:r>
        <w:rPr/>
        <w:t>En esta etapa inicial se empieza a generar una conciencia  acerca de la  necesidad de vivir en armonía  con la naturaleza y de lo limitado que </w:t>
      </w:r>
      <w:r>
        <w:rPr>
          <w:spacing w:val="2"/>
        </w:rPr>
        <w:t>son </w:t>
      </w:r>
      <w:r>
        <w:rPr/>
        <w:t>los recursos naturales, quedando claro que la </w:t>
      </w:r>
      <w:r>
        <w:rPr>
          <w:spacing w:val="-3"/>
        </w:rPr>
        <w:t>era </w:t>
      </w:r>
      <w:r>
        <w:rPr/>
        <w:t>de explotación desenfrenada de esos recursos no puede </w:t>
      </w:r>
      <w:r>
        <w:rPr>
          <w:spacing w:val="31"/>
        </w:rPr>
        <w:t> </w:t>
      </w:r>
      <w:r>
        <w:rPr/>
        <w:t>continuar.</w:t>
      </w:r>
    </w:p>
    <w:p>
      <w:pPr>
        <w:pStyle w:val="BodyText"/>
        <w:spacing w:line="364" w:lineRule="auto" w:before="120"/>
        <w:ind w:left="807" w:right="894" w:hanging="5"/>
        <w:jc w:val="both"/>
      </w:pPr>
      <w:r>
        <w:rPr/>
        <w:t>De acuerdo </w:t>
      </w:r>
      <w:r>
        <w:rPr>
          <w:spacing w:val="2"/>
        </w:rPr>
        <w:t>con </w:t>
      </w:r>
      <w:r>
        <w:rPr>
          <w:spacing w:val="-3"/>
        </w:rPr>
        <w:t>Dunlap </w:t>
      </w:r>
      <w:r>
        <w:rPr/>
        <w:t>y Van Liere (1978), en las naciones industrializadas del occidente </w:t>
      </w:r>
      <w:r>
        <w:rPr>
          <w:spacing w:val="3"/>
        </w:rPr>
        <w:t>se </w:t>
      </w:r>
      <w:r>
        <w:rPr/>
        <w:t>experimenta en esos años  un cambio de visión del mundo que va  de un </w:t>
      </w:r>
      <w:r>
        <w:rPr>
          <w:i/>
        </w:rPr>
        <w:t>Paradigma de la Excepción Humana </w:t>
      </w:r>
      <w:r>
        <w:rPr/>
        <w:t>a otro, más pro-ecológico, al que ellos denominan </w:t>
      </w:r>
      <w:r>
        <w:rPr>
          <w:i/>
          <w:spacing w:val="3"/>
        </w:rPr>
        <w:t>El </w:t>
      </w:r>
      <w:r>
        <w:rPr>
          <w:i/>
        </w:rPr>
        <w:t>Nuevo Paradigma Ambiental</w:t>
      </w:r>
      <w:r>
        <w:rPr/>
        <w:t>. En esta etapa también surgen las primeras publicaciones especializadas en Psicología Ambiental (</w:t>
      </w:r>
      <w:r>
        <w:rPr>
          <w:i/>
        </w:rPr>
        <w:t>Environment &amp; </w:t>
      </w:r>
      <w:r>
        <w:rPr>
          <w:i/>
        </w:rPr>
        <w:t>Behavior </w:t>
      </w:r>
      <w:r>
        <w:rPr/>
        <w:t>en 1969 y el </w:t>
      </w:r>
      <w:r>
        <w:rPr>
          <w:i/>
        </w:rPr>
        <w:t>Journal of Environmental Psychology</w:t>
      </w:r>
      <w:r>
        <w:rPr/>
        <w:t>, en 1980). En  términos de aproximaciones teóricas, el conductismo predomina como la base conceptual a partir de la cual se elaboran modelos explicativos </w:t>
      </w:r>
      <w:r>
        <w:rPr>
          <w:spacing w:val="-3"/>
        </w:rPr>
        <w:t>de </w:t>
      </w:r>
      <w:r>
        <w:rPr/>
        <w:t>la conducta  </w:t>
      </w:r>
      <w:r>
        <w:rPr>
          <w:spacing w:val="40"/>
        </w:rPr>
        <w:t> </w:t>
      </w:r>
      <w:r>
        <w:rPr>
          <w:spacing w:val="-3"/>
        </w:rPr>
        <w:t>de</w:t>
      </w:r>
    </w:p>
    <w:p>
      <w:pPr>
        <w:spacing w:after="0" w:line="364" w:lineRule="auto"/>
        <w:jc w:val="both"/>
        <w:sectPr>
          <w:pgSz w:w="11910" w:h="16840"/>
          <w:pgMar w:header="1066" w:footer="1706" w:top="1460" w:bottom="1900" w:left="1540" w:right="200"/>
        </w:sectPr>
      </w:pPr>
    </w:p>
    <w:p>
      <w:pPr>
        <w:pStyle w:val="BodyText"/>
        <w:rPr>
          <w:sz w:val="20"/>
        </w:rPr>
      </w:pPr>
    </w:p>
    <w:p>
      <w:pPr>
        <w:pStyle w:val="BodyText"/>
        <w:spacing w:before="10"/>
        <w:rPr>
          <w:sz w:val="17"/>
        </w:rPr>
      </w:pPr>
    </w:p>
    <w:p>
      <w:pPr>
        <w:pStyle w:val="BodyText"/>
        <w:spacing w:line="364" w:lineRule="auto" w:before="74"/>
        <w:ind w:left="667" w:right="896"/>
        <w:jc w:val="both"/>
      </w:pPr>
      <w:r>
        <w:rPr/>
        <w:t>cuidado del medio, especialmente de aquellos que tienen que ver con aspectos  de estética ambiental y con el ahorro de energía  (Burgess,  Clark,  y Hendee, 1971; Cone y Hayes,</w:t>
      </w:r>
      <w:r>
        <w:rPr>
          <w:spacing w:val="29"/>
        </w:rPr>
        <w:t> </w:t>
      </w:r>
      <w:r>
        <w:rPr/>
        <w:t>1980).</w:t>
      </w:r>
    </w:p>
    <w:p>
      <w:pPr>
        <w:pStyle w:val="BodyText"/>
        <w:spacing w:line="364" w:lineRule="auto" w:before="120"/>
        <w:ind w:left="667" w:right="893" w:hanging="5"/>
        <w:jc w:val="both"/>
      </w:pPr>
      <w:r>
        <w:rPr/>
        <w:t>En este sentido </w:t>
      </w:r>
      <w:r>
        <w:rPr>
          <w:spacing w:val="2"/>
        </w:rPr>
        <w:t>con </w:t>
      </w:r>
      <w:r>
        <w:rPr/>
        <w:t>la nueva visión del mundo (y </w:t>
      </w:r>
      <w:r>
        <w:rPr>
          <w:spacing w:val="2"/>
        </w:rPr>
        <w:t>con </w:t>
      </w:r>
      <w:r>
        <w:rPr/>
        <w:t>las creencias conductistas) se emprenden intervenciones </w:t>
      </w:r>
      <w:r>
        <w:rPr>
          <w:spacing w:val="-3"/>
        </w:rPr>
        <w:t>que </w:t>
      </w:r>
      <w:r>
        <w:rPr/>
        <w:t>pretenden modificar los comportamientos anti- ambientales empleando </w:t>
      </w:r>
      <w:r>
        <w:rPr>
          <w:i/>
        </w:rPr>
        <w:t>eventos antecedentes </w:t>
      </w:r>
      <w:r>
        <w:rPr/>
        <w:t>propiciatorios del comportamiento como carteles, avisos o recordatorios señalando formas apropiadas de conducta (Reid, Luyben, Rawers y Bailey, 1976; Katzev y Mishima, 1992), o eventos consecuentes como los reforzadores positivos para las conductas pro-ecológicas (Burgess </w:t>
      </w:r>
      <w:r>
        <w:rPr>
          <w:i/>
        </w:rPr>
        <w:t>et al., </w:t>
      </w:r>
      <w:r>
        <w:rPr/>
        <w:t>1971) y </w:t>
      </w:r>
      <w:r>
        <w:rPr>
          <w:spacing w:val="4"/>
        </w:rPr>
        <w:t>el </w:t>
      </w:r>
      <w:r>
        <w:rPr/>
        <w:t>castigo para las antiecológicas (Agras, Jacob y Ledebeck, 1980). Este período comprende toda </w:t>
      </w:r>
      <w:r>
        <w:rPr>
          <w:spacing w:val="-5"/>
        </w:rPr>
        <w:t>la </w:t>
      </w:r>
      <w:r>
        <w:rPr/>
        <w:t>década de los 70 y los  principios de los</w:t>
      </w:r>
      <w:r>
        <w:rPr>
          <w:spacing w:val="27"/>
        </w:rPr>
        <w:t> </w:t>
      </w:r>
      <w:r>
        <w:rPr/>
        <w:t>80s.</w:t>
      </w:r>
    </w:p>
    <w:p>
      <w:pPr>
        <w:pStyle w:val="ListParagraph"/>
        <w:numPr>
          <w:ilvl w:val="0"/>
          <w:numId w:val="12"/>
        </w:numPr>
        <w:tabs>
          <w:tab w:pos="668" w:val="left" w:leader="none"/>
        </w:tabs>
        <w:spacing w:line="364" w:lineRule="auto" w:before="125" w:after="0"/>
        <w:ind w:left="667" w:right="894" w:hanging="351"/>
        <w:jc w:val="both"/>
        <w:rPr>
          <w:sz w:val="23"/>
        </w:rPr>
      </w:pPr>
      <w:r>
        <w:rPr>
          <w:sz w:val="23"/>
        </w:rPr>
        <w:t>Período intermedio</w:t>
      </w:r>
      <w:r>
        <w:rPr>
          <w:b/>
          <w:sz w:val="23"/>
        </w:rPr>
        <w:t>. </w:t>
      </w:r>
      <w:r>
        <w:rPr>
          <w:sz w:val="23"/>
        </w:rPr>
        <w:t>En esta etapa se incorporan nuevas aproximaciones a la explicación del comportamiento proambiental, entre las que predominan las de corte cognoscitivo. Se reconoce la importancia de trabajar de manera interdisciplinaria y se introducen modelos sistémicos explicativos, los cuales involucran variables no psicológicas, entre las que destacan los factores demográficos, y las variables situacionales como promotoras del actuar proambiental (Berger, 1997; Stern, Dietz y Guagnano, 1995; Guagnano, Stern y Dietz,</w:t>
      </w:r>
      <w:r>
        <w:rPr>
          <w:spacing w:val="8"/>
          <w:sz w:val="23"/>
        </w:rPr>
        <w:t> </w:t>
      </w:r>
      <w:r>
        <w:rPr>
          <w:sz w:val="23"/>
        </w:rPr>
        <w:t>1995).</w:t>
      </w:r>
    </w:p>
    <w:p>
      <w:pPr>
        <w:pStyle w:val="BodyText"/>
        <w:spacing w:line="364" w:lineRule="auto" w:before="125"/>
        <w:ind w:left="667" w:right="894" w:hanging="5"/>
        <w:jc w:val="both"/>
      </w:pPr>
      <w:r>
        <w:rPr/>
        <w:t>Los términos comportamiento proambiental, conducta proecológica, conducta ambiental responsable cobran un uso generalizado y empiezan a darle </w:t>
      </w:r>
      <w:r>
        <w:rPr>
          <w:spacing w:val="4"/>
        </w:rPr>
        <w:t>al </w:t>
      </w:r>
      <w:r>
        <w:rPr/>
        <w:t>área de investigación un toque más distintivo. La mayor parte de la investigación se sigue desarrollando en los Estados Unidos, seguida por </w:t>
      </w:r>
      <w:r>
        <w:rPr>
          <w:spacing w:val="-5"/>
        </w:rPr>
        <w:t>la </w:t>
      </w:r>
      <w:r>
        <w:rPr/>
        <w:t>que se lleva a cabo </w:t>
      </w:r>
      <w:r>
        <w:rPr>
          <w:spacing w:val="-3"/>
        </w:rPr>
        <w:t>en</w:t>
      </w:r>
      <w:r>
        <w:rPr>
          <w:spacing w:val="57"/>
        </w:rPr>
        <w:t> </w:t>
      </w:r>
      <w:r>
        <w:rPr/>
        <w:t>Europa Occidental. Una buena parte de esta etapa coincide con un período </w:t>
      </w:r>
      <w:r>
        <w:rPr>
          <w:spacing w:val="-3"/>
        </w:rPr>
        <w:t>de </w:t>
      </w:r>
      <w:r>
        <w:rPr/>
        <w:t>crecimiento de la economía mundial, </w:t>
      </w:r>
      <w:r>
        <w:rPr>
          <w:spacing w:val="-5"/>
        </w:rPr>
        <w:t>lo </w:t>
      </w:r>
      <w:r>
        <w:rPr/>
        <w:t>que repercute en un reavivamiento del consumismo y la generación de desechos sólidos. Quizá esto explique por qué prácticamente todo mundo investiga el reciclaje de objetos como la conducta proambiental por</w:t>
      </w:r>
      <w:r>
        <w:rPr>
          <w:spacing w:val="30"/>
        </w:rPr>
        <w:t> </w:t>
      </w:r>
      <w:r>
        <w:rPr/>
        <w:t>excelencia.</w:t>
      </w:r>
    </w:p>
    <w:p>
      <w:pPr>
        <w:pStyle w:val="BodyText"/>
        <w:spacing w:line="364" w:lineRule="auto" w:before="125"/>
        <w:ind w:left="667" w:right="899" w:hanging="5"/>
        <w:jc w:val="both"/>
      </w:pPr>
      <w:r>
        <w:rPr/>
        <w:t>Por otro lado, el enfoque investigativo cambia de ser  eminentemente  experimental,    como    en    </w:t>
      </w:r>
      <w:r>
        <w:rPr>
          <w:spacing w:val="-4"/>
        </w:rPr>
        <w:t>los     </w:t>
      </w:r>
      <w:r>
        <w:rPr/>
        <w:t>estudios    de    intervención    conductistas,   </w:t>
      </w:r>
      <w:r>
        <w:rPr>
          <w:spacing w:val="36"/>
        </w:rPr>
        <w:t> </w:t>
      </w:r>
      <w:r>
        <w:rPr/>
        <w:t>a</w:t>
      </w:r>
    </w:p>
    <w:p>
      <w:pPr>
        <w:spacing w:after="0" w:line="364" w:lineRule="auto"/>
        <w:jc w:val="both"/>
        <w:sectPr>
          <w:pgSz w:w="11910" w:h="16840"/>
          <w:pgMar w:header="1066" w:footer="1706" w:top="1460" w:bottom="1900" w:left="1680" w:right="200"/>
        </w:sectPr>
      </w:pPr>
    </w:p>
    <w:p>
      <w:pPr>
        <w:pStyle w:val="BodyText"/>
        <w:rPr>
          <w:sz w:val="20"/>
        </w:rPr>
      </w:pPr>
    </w:p>
    <w:p>
      <w:pPr>
        <w:pStyle w:val="BodyText"/>
        <w:spacing w:before="10"/>
        <w:rPr>
          <w:sz w:val="17"/>
        </w:rPr>
      </w:pPr>
    </w:p>
    <w:p>
      <w:pPr>
        <w:pStyle w:val="BodyText"/>
        <w:spacing w:line="364" w:lineRule="auto" w:before="74"/>
        <w:ind w:left="807" w:right="894"/>
        <w:jc w:val="both"/>
      </w:pPr>
      <w:r>
        <w:rPr/>
        <w:t>fundamentalmente naturalista, en donde los investigadores no muestran un  interés por manipular variables o tratamientos. Y es entonces cuando el comportamiento proambiental </w:t>
      </w:r>
      <w:r>
        <w:rPr>
          <w:spacing w:val="3"/>
        </w:rPr>
        <w:t>se </w:t>
      </w:r>
      <w:r>
        <w:rPr/>
        <w:t>concibe como comportamiento  intencional dirigido al cuidado del medio (Grob, 1990), por lo que el centro de atención es el entorno físico y las necesidades humanas, aunque son importantes, están </w:t>
      </w:r>
      <w:r>
        <w:rPr>
          <w:spacing w:val="-3"/>
        </w:rPr>
        <w:t>en </w:t>
      </w:r>
      <w:r>
        <w:rPr/>
        <w:t>segundo plano (Bonnes y Bonaiuto, 2002). Es el tiempo de la aplicación de los modelos de la Activación de Normas Morales de Schwartz (1977)  y </w:t>
      </w:r>
      <w:r>
        <w:rPr>
          <w:spacing w:val="4"/>
        </w:rPr>
        <w:t>el </w:t>
      </w:r>
      <w:r>
        <w:rPr/>
        <w:t>de  la Teoría de la Acción Razonada de Fishbein y Ajzen (1975). Hasta este período la Psicología Arquitectónica conserva un dominio casi total del escenario de la Psicología Ambiental, </w:t>
      </w:r>
      <w:r>
        <w:rPr>
          <w:spacing w:val="-4"/>
        </w:rPr>
        <w:t>ya</w:t>
      </w:r>
      <w:r>
        <w:rPr>
          <w:spacing w:val="55"/>
        </w:rPr>
        <w:t> </w:t>
      </w:r>
      <w:r>
        <w:rPr/>
        <w:t>que la mayoría de los  psicólogos  ambientales investigan aspectos de percepción y diseño ambiental y  sólo  unos  pocos estudian la conducta de conservación ambiental (Geller, 2002). Esta etapa dura hasta finales de la época de los</w:t>
      </w:r>
      <w:r>
        <w:rPr>
          <w:spacing w:val="41"/>
        </w:rPr>
        <w:t> </w:t>
      </w:r>
      <w:r>
        <w:rPr/>
        <w:t>90s.</w:t>
      </w:r>
    </w:p>
    <w:p>
      <w:pPr>
        <w:pStyle w:val="ListParagraph"/>
        <w:numPr>
          <w:ilvl w:val="0"/>
          <w:numId w:val="12"/>
        </w:numPr>
        <w:tabs>
          <w:tab w:pos="808" w:val="left" w:leader="none"/>
        </w:tabs>
        <w:spacing w:line="364" w:lineRule="auto" w:before="120" w:after="0"/>
        <w:ind w:left="807" w:right="899" w:hanging="351"/>
        <w:jc w:val="both"/>
        <w:rPr>
          <w:sz w:val="23"/>
        </w:rPr>
      </w:pPr>
      <w:r>
        <w:rPr>
          <w:sz w:val="23"/>
        </w:rPr>
        <w:t>Período actual (finales de los 90 hasta la fecha). Se caracteriza por </w:t>
      </w:r>
      <w:r>
        <w:rPr>
          <w:spacing w:val="4"/>
          <w:sz w:val="23"/>
        </w:rPr>
        <w:t>el </w:t>
      </w:r>
      <w:r>
        <w:rPr>
          <w:sz w:val="23"/>
        </w:rPr>
        <w:t>agravamiento de los problemas ambientales. Aun recursos como el agua, que se consideraban ilimitados, se clasifican ahora </w:t>
      </w:r>
      <w:r>
        <w:rPr>
          <w:spacing w:val="-3"/>
          <w:sz w:val="23"/>
        </w:rPr>
        <w:t>en </w:t>
      </w:r>
      <w:r>
        <w:rPr>
          <w:sz w:val="23"/>
        </w:rPr>
        <w:t>estado de escasez crítica (Brown   y Flavin, 1999) y se confirma que el sobrecalentamiento global es una realidad (Gardner, 2002), aunque los políticos traten de minimizar su efecto. La amenaza del terrorismo alcanza a prácticamente cualquier lugar del mundo y algunos la empiezan a ligar a fenómenos de inequidad, pobreza extrema y resentimiento social, junto con </w:t>
      </w:r>
      <w:r>
        <w:rPr>
          <w:spacing w:val="-5"/>
          <w:sz w:val="23"/>
        </w:rPr>
        <w:t>la </w:t>
      </w:r>
      <w:r>
        <w:rPr>
          <w:sz w:val="23"/>
        </w:rPr>
        <w:t>intolerancia y los nacionalismos (Huntington, </w:t>
      </w:r>
      <w:r>
        <w:rPr>
          <w:spacing w:val="27"/>
          <w:sz w:val="23"/>
        </w:rPr>
        <w:t> </w:t>
      </w:r>
      <w:r>
        <w:rPr>
          <w:sz w:val="23"/>
        </w:rPr>
        <w:t>1999).</w:t>
      </w:r>
    </w:p>
    <w:p>
      <w:pPr>
        <w:pStyle w:val="BodyText"/>
        <w:spacing w:line="364" w:lineRule="auto" w:before="120"/>
        <w:ind w:left="807" w:right="893" w:hanging="5"/>
        <w:jc w:val="both"/>
      </w:pPr>
      <w:r>
        <w:rPr/>
        <w:t>Esta </w:t>
      </w:r>
      <w:r>
        <w:rPr>
          <w:spacing w:val="-3"/>
        </w:rPr>
        <w:t>es </w:t>
      </w:r>
      <w:r>
        <w:rPr>
          <w:spacing w:val="-5"/>
        </w:rPr>
        <w:t>la </w:t>
      </w:r>
      <w:r>
        <w:rPr/>
        <w:t>etapa en </w:t>
      </w:r>
      <w:r>
        <w:rPr>
          <w:spacing w:val="-5"/>
        </w:rPr>
        <w:t>la </w:t>
      </w:r>
      <w:r>
        <w:rPr/>
        <w:t>que los términos de conducta sustentable, pro-ecológica o simplemente ambiental empiezan a </w:t>
      </w:r>
      <w:r>
        <w:rPr>
          <w:spacing w:val="2"/>
        </w:rPr>
        <w:t>ser </w:t>
      </w:r>
      <w:r>
        <w:rPr/>
        <w:t>reemplazados por el concepto </w:t>
      </w:r>
      <w:r>
        <w:rPr>
          <w:spacing w:val="-3"/>
        </w:rPr>
        <w:t>de </w:t>
      </w:r>
      <w:r>
        <w:rPr/>
        <w:t>comportamiento proambiental, la cual implícitamente se dirige a buscar no sólo el cuidado del entorno sino también a promover el bienestar humano en </w:t>
      </w:r>
      <w:r>
        <w:rPr>
          <w:spacing w:val="-3"/>
        </w:rPr>
        <w:t>todos </w:t>
      </w:r>
      <w:r>
        <w:rPr/>
        <w:t>los rincones del planeta (Schmuck y Schultz, 2002; Bonnes y Bonaiuto, 2002; Pinheiro,</w:t>
      </w:r>
      <w:r>
        <w:rPr>
          <w:spacing w:val="17"/>
        </w:rPr>
        <w:t> </w:t>
      </w:r>
      <w:r>
        <w:rPr/>
        <w:t>2002).</w:t>
      </w:r>
    </w:p>
    <w:p>
      <w:pPr>
        <w:pStyle w:val="BodyText"/>
        <w:spacing w:line="367" w:lineRule="auto" w:before="120"/>
        <w:ind w:left="116" w:right="890"/>
        <w:jc w:val="both"/>
      </w:pPr>
      <w:r>
        <w:rPr/>
        <w:t>El término comportamiento proambiental, en opinión de Castro (2001) es más preciso que otras etiquetas como por ejemplo conducta ecológica o conducta pro ecológica. </w:t>
      </w:r>
      <w:r>
        <w:rPr>
          <w:spacing w:val="3"/>
        </w:rPr>
        <w:t>El </w:t>
      </w:r>
      <w:r>
        <w:rPr/>
        <w:t>comportamiento proambiental, para este autor, es definido como “aquella acción que realiza</w:t>
      </w:r>
      <w:r>
        <w:rPr>
          <w:spacing w:val="23"/>
        </w:rPr>
        <w:t> </w:t>
      </w:r>
      <w:r>
        <w:rPr/>
        <w:t>una</w:t>
      </w:r>
      <w:r>
        <w:rPr>
          <w:spacing w:val="23"/>
        </w:rPr>
        <w:t> </w:t>
      </w:r>
      <w:r>
        <w:rPr/>
        <w:t>persona,</w:t>
      </w:r>
      <w:r>
        <w:rPr>
          <w:spacing w:val="15"/>
        </w:rPr>
        <w:t> </w:t>
      </w:r>
      <w:r>
        <w:rPr>
          <w:spacing w:val="-4"/>
        </w:rPr>
        <w:t>ya</w:t>
      </w:r>
      <w:r>
        <w:rPr>
          <w:spacing w:val="22"/>
        </w:rPr>
        <w:t> </w:t>
      </w:r>
      <w:r>
        <w:rPr/>
        <w:t>sea</w:t>
      </w:r>
      <w:r>
        <w:rPr>
          <w:spacing w:val="18"/>
        </w:rPr>
        <w:t> </w:t>
      </w:r>
      <w:r>
        <w:rPr/>
        <w:t>de</w:t>
      </w:r>
      <w:r>
        <w:rPr>
          <w:spacing w:val="18"/>
        </w:rPr>
        <w:t> </w:t>
      </w:r>
      <w:r>
        <w:rPr/>
        <w:t>forma</w:t>
      </w:r>
      <w:r>
        <w:rPr>
          <w:spacing w:val="23"/>
        </w:rPr>
        <w:t> </w:t>
      </w:r>
      <w:r>
        <w:rPr/>
        <w:t>individual</w:t>
      </w:r>
      <w:r>
        <w:rPr>
          <w:spacing w:val="19"/>
        </w:rPr>
        <w:t> </w:t>
      </w:r>
      <w:r>
        <w:rPr/>
        <w:t>o</w:t>
      </w:r>
      <w:r>
        <w:rPr>
          <w:spacing w:val="23"/>
        </w:rPr>
        <w:t> </w:t>
      </w:r>
      <w:r>
        <w:rPr/>
        <w:t>en</w:t>
      </w:r>
      <w:r>
        <w:rPr>
          <w:spacing w:val="23"/>
        </w:rPr>
        <w:t> </w:t>
      </w:r>
      <w:r>
        <w:rPr/>
        <w:t>un</w:t>
      </w:r>
      <w:r>
        <w:rPr>
          <w:spacing w:val="18"/>
        </w:rPr>
        <w:t> </w:t>
      </w:r>
      <w:r>
        <w:rPr/>
        <w:t>escenario</w:t>
      </w:r>
      <w:r>
        <w:rPr>
          <w:spacing w:val="18"/>
        </w:rPr>
        <w:t> </w:t>
      </w:r>
      <w:r>
        <w:rPr/>
        <w:t>colectivo,</w:t>
      </w:r>
      <w:r>
        <w:rPr>
          <w:spacing w:val="20"/>
        </w:rPr>
        <w:t> </w:t>
      </w:r>
      <w:r>
        <w:rPr/>
        <w:t>a</w:t>
      </w:r>
      <w:r>
        <w:rPr>
          <w:spacing w:val="18"/>
        </w:rPr>
        <w:t> </w:t>
      </w:r>
      <w:r>
        <w:rPr/>
        <w:t>favor</w:t>
      </w:r>
      <w:r>
        <w:rPr>
          <w:spacing w:val="16"/>
        </w:rPr>
        <w:t> </w:t>
      </w:r>
      <w:r>
        <w:rPr/>
        <w:t>de</w:t>
      </w:r>
    </w:p>
    <w:p>
      <w:pPr>
        <w:spacing w:after="0" w:line="367" w:lineRule="auto"/>
        <w:jc w:val="both"/>
        <w:sectPr>
          <w:pgSz w:w="11910" w:h="16840"/>
          <w:pgMar w:header="1066" w:footer="1706" w:top="1460" w:bottom="1900" w:left="1540" w:right="200"/>
        </w:sectPr>
      </w:pPr>
    </w:p>
    <w:p>
      <w:pPr>
        <w:pStyle w:val="BodyText"/>
        <w:rPr>
          <w:sz w:val="20"/>
        </w:rPr>
      </w:pPr>
    </w:p>
    <w:p>
      <w:pPr>
        <w:pStyle w:val="BodyText"/>
        <w:spacing w:before="10"/>
        <w:rPr>
          <w:sz w:val="17"/>
        </w:rPr>
      </w:pPr>
    </w:p>
    <w:p>
      <w:pPr>
        <w:pStyle w:val="BodyText"/>
        <w:spacing w:line="364" w:lineRule="auto" w:before="74"/>
        <w:ind w:left="116" w:right="894"/>
        <w:jc w:val="both"/>
      </w:pPr>
      <w:r>
        <w:rPr>
          <w:spacing w:val="-5"/>
        </w:rPr>
        <w:t>la </w:t>
      </w:r>
      <w:r>
        <w:rPr/>
        <w:t>conservación de los recursos naturales y dirigida a obtener una mejor calidad  </w:t>
      </w:r>
      <w:r>
        <w:rPr>
          <w:spacing w:val="4"/>
        </w:rPr>
        <w:t>del </w:t>
      </w:r>
      <w:r>
        <w:rPr/>
        <w:t>medio ambiente” (Castro, 2001: 18). En otras palabras, un comportamiento ambiental    va a implicar el desarrollo ordenado de una secuencia de conductas  </w:t>
      </w:r>
      <w:r>
        <w:rPr>
          <w:spacing w:val="-3"/>
        </w:rPr>
        <w:t>que  </w:t>
      </w:r>
      <w:r>
        <w:rPr/>
        <w:t>son  específicas y que se dirigen hacia un objetivo concreto, </w:t>
      </w:r>
      <w:r>
        <w:rPr>
          <w:spacing w:val="-4"/>
        </w:rPr>
        <w:t>ya</w:t>
      </w:r>
      <w:r>
        <w:rPr>
          <w:spacing w:val="55"/>
        </w:rPr>
        <w:t> </w:t>
      </w:r>
      <w:r>
        <w:rPr/>
        <w:t>sean realizadas individualmente o de forma</w:t>
      </w:r>
      <w:r>
        <w:rPr>
          <w:spacing w:val="44"/>
        </w:rPr>
        <w:t> </w:t>
      </w:r>
      <w:r>
        <w:rPr/>
        <w:t>colectiva.</w:t>
      </w:r>
    </w:p>
    <w:p>
      <w:pPr>
        <w:pStyle w:val="BodyText"/>
        <w:spacing w:line="364" w:lineRule="auto" w:before="120"/>
        <w:ind w:left="116" w:right="895"/>
        <w:jc w:val="both"/>
      </w:pPr>
      <w:r>
        <w:rPr/>
        <w:t>Las dimensiones a considerar para definir una acción ambiental son cuatro continuos relacionados entre sí. Estas cuatro dimensiones consideran, en primer lugar, si la conducta se hace de forma directa/indirecta, si se trata de una acción individual o por el contrario es colectiva, si la acción se orienta hacia la prevención de un problema o está dirigida a corregirlo o repararlo, y por último, si el fin que persigue es la mejora de la calidad ambiental o, si se dirige hacia la conservación de los recursos  naturales.</w:t>
      </w:r>
    </w:p>
    <w:p>
      <w:pPr>
        <w:pStyle w:val="BodyText"/>
        <w:spacing w:line="364" w:lineRule="auto" w:before="120"/>
        <w:ind w:left="116" w:right="893"/>
        <w:jc w:val="both"/>
      </w:pPr>
      <w:r>
        <w:rPr/>
        <w:t>En este contexto, desde el punto de vista de la psicología ambiental para poder analizar los factores </w:t>
      </w:r>
      <w:r>
        <w:rPr>
          <w:spacing w:val="-3"/>
        </w:rPr>
        <w:t>que </w:t>
      </w:r>
      <w:r>
        <w:rPr/>
        <w:t>determinan que un individuo manifieste un  comportamiento  proambiental es necesario entender dos conceptos importantes que son las actitudes y   </w:t>
      </w:r>
      <w:r>
        <w:rPr>
          <w:spacing w:val="-5"/>
        </w:rPr>
        <w:t>la </w:t>
      </w:r>
      <w:r>
        <w:rPr/>
        <w:t>conciencia</w:t>
      </w:r>
      <w:r>
        <w:rPr>
          <w:spacing w:val="36"/>
        </w:rPr>
        <w:t> </w:t>
      </w:r>
      <w:r>
        <w:rPr/>
        <w:t>ambiental.</w:t>
      </w:r>
    </w:p>
    <w:p>
      <w:pPr>
        <w:pStyle w:val="BodyText"/>
        <w:rPr>
          <w:sz w:val="22"/>
        </w:rPr>
      </w:pPr>
    </w:p>
    <w:p>
      <w:pPr>
        <w:pStyle w:val="BodyText"/>
        <w:rPr>
          <w:sz w:val="22"/>
        </w:rPr>
      </w:pPr>
    </w:p>
    <w:p>
      <w:pPr>
        <w:pStyle w:val="Heading2"/>
        <w:numPr>
          <w:ilvl w:val="1"/>
          <w:numId w:val="13"/>
        </w:numPr>
        <w:tabs>
          <w:tab w:pos="865" w:val="left" w:leader="none"/>
        </w:tabs>
        <w:spacing w:line="240" w:lineRule="auto" w:before="137" w:after="0"/>
        <w:ind w:left="864" w:right="0" w:hanging="748"/>
        <w:jc w:val="both"/>
      </w:pPr>
      <w:bookmarkStart w:name="_TOC_250030" w:id="5"/>
      <w:r>
        <w:rPr/>
        <w:t>Actitudes</w:t>
      </w:r>
      <w:r>
        <w:rPr>
          <w:spacing w:val="34"/>
        </w:rPr>
        <w:t> </w:t>
      </w:r>
      <w:bookmarkEnd w:id="5"/>
      <w:r>
        <w:rPr/>
        <w:t>ambientales</w:t>
      </w:r>
    </w:p>
    <w:p>
      <w:pPr>
        <w:pStyle w:val="BodyText"/>
        <w:rPr>
          <w:b/>
          <w:sz w:val="22"/>
        </w:rPr>
      </w:pPr>
    </w:p>
    <w:p>
      <w:pPr>
        <w:pStyle w:val="BodyText"/>
        <w:spacing w:line="364" w:lineRule="auto" w:before="1"/>
        <w:ind w:left="116" w:right="894"/>
        <w:jc w:val="both"/>
      </w:pPr>
      <w:r>
        <w:rPr/>
        <w:t>Corraliza y Gilmartín (1996, en Martínez, 2004) establecen que entre las expresiones, equivocadas en la mayoría de los discursos sobre la crisis ecológica, es la relacionada con los problemas ambientales. Ellos sostienen que estos problemas, en realidad se deben considerar como problemas de la humanidad, y por consiguiente, del comportamiento humano, ya que son los comportamientos de las personas los que provocan que un problema ambiental se incremente o se  agrave.</w:t>
      </w:r>
    </w:p>
    <w:p>
      <w:pPr>
        <w:pStyle w:val="BodyText"/>
        <w:spacing w:line="364" w:lineRule="auto" w:before="120"/>
        <w:ind w:left="116" w:right="894"/>
        <w:jc w:val="both"/>
      </w:pPr>
      <w:r>
        <w:rPr/>
        <w:t>Frecuentemente el estudio de </w:t>
      </w:r>
      <w:r>
        <w:rPr>
          <w:spacing w:val="-5"/>
        </w:rPr>
        <w:t>la </w:t>
      </w:r>
      <w:r>
        <w:rPr/>
        <w:t>preocupación ambiental </w:t>
      </w:r>
      <w:r>
        <w:rPr>
          <w:spacing w:val="3"/>
        </w:rPr>
        <w:t>se </w:t>
      </w:r>
      <w:r>
        <w:rPr/>
        <w:t>aborda a través del  concepto de actitud, conciencia ambiental y comportamiento proambiental, el cual interesa sobre todo por </w:t>
      </w:r>
      <w:r>
        <w:rPr>
          <w:spacing w:val="-5"/>
        </w:rPr>
        <w:t>la </w:t>
      </w:r>
      <w:r>
        <w:rPr/>
        <w:t>posible influencia de éstos sobre </w:t>
      </w:r>
      <w:r>
        <w:rPr>
          <w:spacing w:val="-5"/>
        </w:rPr>
        <w:t>la </w:t>
      </w:r>
      <w:r>
        <w:rPr/>
        <w:t>conducta humana </w:t>
      </w:r>
      <w:r>
        <w:rPr>
          <w:spacing w:val="-3"/>
        </w:rPr>
        <w:t>que </w:t>
      </w:r>
      <w:r>
        <w:rPr/>
        <w:t>afecta a los recursos naturales y a </w:t>
      </w:r>
      <w:r>
        <w:rPr>
          <w:spacing w:val="-5"/>
        </w:rPr>
        <w:t>la </w:t>
      </w:r>
      <w:r>
        <w:rPr/>
        <w:t>calidad del ambiente,  impacto que se  produce, sino de forma directa, sí como un conjunto de factores que conllevan a definir el comportamiento proambiental como aquella acción que realiza una persona en favor  </w:t>
      </w:r>
      <w:r>
        <w:rPr>
          <w:spacing w:val="35"/>
        </w:rPr>
        <w:t> </w:t>
      </w:r>
      <w:r>
        <w:rPr/>
        <w:t>de</w:t>
      </w:r>
    </w:p>
    <w:p>
      <w:pPr>
        <w:spacing w:after="0" w:line="364" w:lineRule="auto"/>
        <w:jc w:val="both"/>
        <w:sectPr>
          <w:pgSz w:w="11910" w:h="16840"/>
          <w:pgMar w:header="1066" w:footer="1706" w:top="1460" w:bottom="1900" w:left="1540" w:right="200"/>
        </w:sectPr>
      </w:pPr>
    </w:p>
    <w:p>
      <w:pPr>
        <w:pStyle w:val="BodyText"/>
        <w:rPr>
          <w:sz w:val="20"/>
        </w:rPr>
      </w:pPr>
    </w:p>
    <w:p>
      <w:pPr>
        <w:pStyle w:val="BodyText"/>
        <w:spacing w:before="10"/>
        <w:rPr>
          <w:sz w:val="17"/>
        </w:rPr>
      </w:pPr>
    </w:p>
    <w:p>
      <w:pPr>
        <w:pStyle w:val="BodyText"/>
        <w:spacing w:line="362" w:lineRule="auto" w:before="74"/>
        <w:ind w:left="115" w:right="903"/>
        <w:jc w:val="both"/>
      </w:pPr>
      <w:r>
        <w:rPr/>
        <w:t>la conservación de los recursos naturales, y que se dirija obtener una mejor calidad del ambiente.</w:t>
      </w:r>
    </w:p>
    <w:p>
      <w:pPr>
        <w:pStyle w:val="BodyText"/>
        <w:spacing w:line="364" w:lineRule="auto" w:before="123"/>
        <w:ind w:left="115" w:right="895"/>
        <w:jc w:val="both"/>
      </w:pPr>
      <w:r>
        <w:rPr/>
        <w:t>En este sentido, las actitudes son el reflejo de una organización duradera de creencias    y cogniciones en general, dotadas de una carga afectiva en favor o en contra de  un objeto social definido, que predispone a una acción coherente con las cogniciones y afectos relativos a dicho objeto (Rodríguez,</w:t>
      </w:r>
      <w:r>
        <w:rPr>
          <w:spacing w:val="51"/>
        </w:rPr>
        <w:t> </w:t>
      </w:r>
      <w:r>
        <w:rPr/>
        <w:t>2011).</w:t>
      </w:r>
    </w:p>
    <w:p>
      <w:pPr>
        <w:pStyle w:val="BodyText"/>
        <w:spacing w:line="364" w:lineRule="auto" w:before="120"/>
        <w:ind w:left="116" w:right="898"/>
        <w:jc w:val="both"/>
      </w:pPr>
      <w:r>
        <w:rPr/>
        <w:t>Así el análisis de las actitudes ambientales reconoce los componentes culturales, simbólicos y cognitivos  que sustentan los  patrones de interacción sociedad–naturaleza  y orientan </w:t>
      </w:r>
      <w:r>
        <w:rPr>
          <w:spacing w:val="-4"/>
        </w:rPr>
        <w:t>los</w:t>
      </w:r>
      <w:r>
        <w:rPr>
          <w:spacing w:val="55"/>
        </w:rPr>
        <w:t> </w:t>
      </w:r>
      <w:r>
        <w:rPr/>
        <w:t>usos de los recursos. Caracterizar las actitudes ambientales de la población en función de la posición favorable o desfavorable de su conciencia ambiental  y la orientación fuerte o débil de </w:t>
      </w:r>
      <w:r>
        <w:rPr>
          <w:spacing w:val="-5"/>
        </w:rPr>
        <w:t>la </w:t>
      </w:r>
      <w:r>
        <w:rPr/>
        <w:t>predisposición de adoptar comportamientos proambientales es uno de los objetivos del presente </w:t>
      </w:r>
      <w:r>
        <w:rPr>
          <w:spacing w:val="2"/>
        </w:rPr>
        <w:t> </w:t>
      </w:r>
      <w:r>
        <w:rPr/>
        <w:t>análisis.</w:t>
      </w:r>
    </w:p>
    <w:p>
      <w:pPr>
        <w:pStyle w:val="BodyText"/>
        <w:spacing w:line="364" w:lineRule="auto" w:before="125"/>
        <w:ind w:left="116" w:right="900"/>
        <w:jc w:val="both"/>
      </w:pPr>
      <w:r>
        <w:rPr/>
        <w:t>Dado que en las últimas décadas </w:t>
      </w:r>
      <w:r>
        <w:rPr>
          <w:spacing w:val="3"/>
        </w:rPr>
        <w:t>se </w:t>
      </w:r>
      <w:r>
        <w:rPr/>
        <w:t>ha identificado que el fondo de </w:t>
      </w:r>
      <w:r>
        <w:rPr>
          <w:spacing w:val="-5"/>
        </w:rPr>
        <w:t>la </w:t>
      </w:r>
      <w:r>
        <w:rPr/>
        <w:t>problemática ambiental es el comportamiento humano, siendo necesario analizarlo  para  definir  cuáles son los factores que están determinando una conducta positiva o negativa con respecto al uso de los bienes naturales (Eagly y Chaiken, 1998). Para Fishbein y Ajzen (1975), las actitudes afectan el comportamiento </w:t>
      </w:r>
      <w:r>
        <w:rPr>
          <w:spacing w:val="5"/>
        </w:rPr>
        <w:t>de </w:t>
      </w:r>
      <w:r>
        <w:rPr/>
        <w:t>manera indirecta a través de la “intención de actuar”. A </w:t>
      </w:r>
      <w:r>
        <w:rPr>
          <w:spacing w:val="3"/>
        </w:rPr>
        <w:t>su </w:t>
      </w:r>
      <w:r>
        <w:rPr/>
        <w:t>vez las intenciones reciben su influencia de  normas  subjetivas que reflejan la importancia que tienen para las personas los familiares, los amigos y los vecinos a la hora de realizar un comportamiento (Corral-Verdugo, </w:t>
      </w:r>
      <w:r>
        <w:rPr>
          <w:spacing w:val="37"/>
        </w:rPr>
        <w:t> </w:t>
      </w:r>
      <w:r>
        <w:rPr/>
        <w:t>2001).</w:t>
      </w:r>
    </w:p>
    <w:p>
      <w:pPr>
        <w:pStyle w:val="BodyText"/>
        <w:spacing w:line="364" w:lineRule="auto" w:before="125"/>
        <w:ind w:left="116" w:right="899"/>
        <w:jc w:val="both"/>
      </w:pPr>
      <w:r>
        <w:rPr/>
        <w:t>Por consiguiente el comportamiento de las personas </w:t>
      </w:r>
      <w:r>
        <w:rPr>
          <w:spacing w:val="-3"/>
        </w:rPr>
        <w:t>es </w:t>
      </w:r>
      <w:r>
        <w:rPr/>
        <w:t>el resultado de  diversos  procesos internos que tienen que ver con la interrelación de aspectos de tipo cognitivo, emocional y valoral. Los predictores </w:t>
      </w:r>
      <w:r>
        <w:rPr>
          <w:spacing w:val="-3"/>
        </w:rPr>
        <w:t>más </w:t>
      </w:r>
      <w:r>
        <w:rPr/>
        <w:t>comunes para valorar el comportamiento humano son la conciencia y las actitudes. En este sentido Baldi (2006) establece </w:t>
      </w:r>
      <w:r>
        <w:rPr>
          <w:spacing w:val="34"/>
        </w:rPr>
        <w:t> </w:t>
      </w:r>
      <w:r>
        <w:rPr/>
        <w:t>que:</w:t>
      </w:r>
    </w:p>
    <w:p>
      <w:pPr>
        <w:pStyle w:val="BodyText"/>
        <w:spacing w:line="364" w:lineRule="auto" w:before="120"/>
        <w:ind w:left="116" w:right="894"/>
        <w:jc w:val="both"/>
      </w:pPr>
      <w:r>
        <w:rPr/>
        <w:t>“Las actitudes hacia un comportamiento determinado son un factor de tipo personal que comprende los sentimientos afectivos del individuo, sean de tipo positivo o negativo con respecto a la ejecución de una conducta en cuestión” (Baldi,  2006).</w:t>
      </w:r>
    </w:p>
    <w:p>
      <w:pPr>
        <w:pStyle w:val="BodyText"/>
        <w:spacing w:line="367" w:lineRule="auto" w:before="120"/>
        <w:ind w:left="116" w:right="894"/>
        <w:jc w:val="both"/>
      </w:pPr>
      <w:r>
        <w:rPr/>
        <w:t>Entonces </w:t>
      </w:r>
      <w:r>
        <w:rPr>
          <w:spacing w:val="-5"/>
        </w:rPr>
        <w:t>la </w:t>
      </w:r>
      <w:r>
        <w:rPr/>
        <w:t>intención conductual es definida por la disposición a realizar cierta clase de acción relevante para la actitud (Fishbein y Azjen, 1975), y </w:t>
      </w:r>
      <w:r>
        <w:rPr>
          <w:spacing w:val="2"/>
        </w:rPr>
        <w:t>esta </w:t>
      </w:r>
      <w:r>
        <w:rPr/>
        <w:t>ha sido analizada como un factor previo del comportamiento proambiental (Hines,   </w:t>
      </w:r>
      <w:r>
        <w:rPr>
          <w:spacing w:val="57"/>
        </w:rPr>
        <w:t> </w:t>
      </w:r>
      <w:r>
        <w:rPr/>
        <w:t>Hungenford y Tomera, 1987;</w:t>
      </w:r>
    </w:p>
    <w:p>
      <w:pPr>
        <w:spacing w:after="0" w:line="367" w:lineRule="auto"/>
        <w:jc w:val="both"/>
        <w:sectPr>
          <w:pgSz w:w="11910" w:h="16840"/>
          <w:pgMar w:header="1066" w:footer="1706"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3"/>
        <w:jc w:val="both"/>
      </w:pPr>
      <w:r>
        <w:rPr/>
        <w:t>Castro 2001). De esta manera las actitudes proambientales se definen como las tendencias a responder favorablemente ante la conservación del ambiente o ante acciones o compromisos conductuales que favorezcan la conservación, siendo también disposiciones valorativas esenciales para entender por qué las personas se deciden a actuar de una forma pro o anti ambiental (Corral-Verdugo,  2000).</w:t>
      </w:r>
    </w:p>
    <w:p>
      <w:pPr>
        <w:pStyle w:val="BodyText"/>
        <w:spacing w:line="364" w:lineRule="auto" w:before="120"/>
        <w:ind w:left="115" w:right="899"/>
        <w:jc w:val="both"/>
      </w:pPr>
      <w:r>
        <w:rPr/>
        <w:t>Así pues surge el análisis de otro factor importante del comportamiento humano y es el que tiene que ver con la conciencia ambiental, </w:t>
      </w:r>
      <w:r>
        <w:rPr>
          <w:spacing w:val="2"/>
        </w:rPr>
        <w:t>esta </w:t>
      </w:r>
      <w:r>
        <w:rPr/>
        <w:t>refiere </w:t>
      </w:r>
      <w:r>
        <w:rPr>
          <w:spacing w:val="4"/>
        </w:rPr>
        <w:t>al </w:t>
      </w:r>
      <w:r>
        <w:rPr/>
        <w:t>grado en que  los  individuos y las sociedades se preocupan por los problemas ambientales y además realizan esfuerzos para resolverlos de </w:t>
      </w:r>
      <w:r>
        <w:rPr>
          <w:spacing w:val="-2"/>
        </w:rPr>
        <w:t>manera </w:t>
      </w:r>
      <w:r>
        <w:rPr/>
        <w:t>individual y  colectivamente  (Pardo,  2006).</w:t>
      </w:r>
    </w:p>
    <w:p>
      <w:pPr>
        <w:pStyle w:val="BodyText"/>
        <w:rPr>
          <w:sz w:val="22"/>
        </w:rPr>
      </w:pPr>
    </w:p>
    <w:p>
      <w:pPr>
        <w:pStyle w:val="BodyText"/>
        <w:rPr>
          <w:sz w:val="22"/>
        </w:rPr>
      </w:pPr>
    </w:p>
    <w:p>
      <w:pPr>
        <w:pStyle w:val="Heading2"/>
        <w:numPr>
          <w:ilvl w:val="1"/>
          <w:numId w:val="13"/>
        </w:numPr>
        <w:tabs>
          <w:tab w:pos="865" w:val="left" w:leader="none"/>
        </w:tabs>
        <w:spacing w:line="240" w:lineRule="auto" w:before="132" w:after="0"/>
        <w:ind w:left="864" w:right="0" w:hanging="748"/>
        <w:jc w:val="both"/>
      </w:pPr>
      <w:bookmarkStart w:name="_TOC_250029" w:id="6"/>
      <w:r>
        <w:rPr/>
        <w:t>Conciencia</w:t>
      </w:r>
      <w:r>
        <w:rPr>
          <w:spacing w:val="31"/>
        </w:rPr>
        <w:t> </w:t>
      </w:r>
      <w:bookmarkEnd w:id="6"/>
      <w:r>
        <w:rPr/>
        <w:t>ambiental</w:t>
      </w:r>
    </w:p>
    <w:p>
      <w:pPr>
        <w:pStyle w:val="BodyText"/>
        <w:spacing w:before="5"/>
        <w:rPr>
          <w:b/>
          <w:sz w:val="22"/>
        </w:rPr>
      </w:pPr>
    </w:p>
    <w:p>
      <w:pPr>
        <w:pStyle w:val="BodyText"/>
        <w:spacing w:line="364" w:lineRule="auto"/>
        <w:ind w:left="115" w:right="902"/>
        <w:jc w:val="both"/>
      </w:pPr>
      <w:r>
        <w:rPr/>
        <w:t>Al inicio de los años 60´s, cuando Rachel Carson publica </w:t>
      </w:r>
      <w:r>
        <w:rPr>
          <w:spacing w:val="3"/>
        </w:rPr>
        <w:t>su </w:t>
      </w:r>
      <w:r>
        <w:rPr/>
        <w:t>libro “Silent Spring” (la primavera silenciosa), nacen los primeros movimientos ecologistas, los cuales  comienzan a divulgar </w:t>
      </w:r>
      <w:r>
        <w:rPr>
          <w:spacing w:val="-5"/>
        </w:rPr>
        <w:t>la </w:t>
      </w:r>
      <w:r>
        <w:rPr/>
        <w:t>emergencia ambiental que se comienza a vivir. Para </w:t>
      </w:r>
      <w:r>
        <w:rPr>
          <w:spacing w:val="-5"/>
        </w:rPr>
        <w:t>la </w:t>
      </w:r>
      <w:r>
        <w:rPr/>
        <w:t>mayoría de las personas de esa época, el deterioro ambiental era una consecuencia inevitable  del progreso económico. </w:t>
      </w:r>
      <w:r>
        <w:rPr>
          <w:spacing w:val="-3"/>
        </w:rPr>
        <w:t>Sin </w:t>
      </w:r>
      <w:r>
        <w:rPr/>
        <w:t>embargo, un sector de </w:t>
      </w:r>
      <w:r>
        <w:rPr>
          <w:spacing w:val="-5"/>
        </w:rPr>
        <w:t>la </w:t>
      </w:r>
      <w:r>
        <w:rPr/>
        <w:t>sociedad comenzaba a tener una conciencia ambiental que le permitía tener una visión más crítica de los acontecimientos ambientales que </w:t>
      </w:r>
      <w:r>
        <w:rPr>
          <w:spacing w:val="3"/>
        </w:rPr>
        <w:t>se </w:t>
      </w:r>
      <w:r>
        <w:rPr/>
        <w:t>estaban viviendo en ese</w:t>
      </w:r>
      <w:r>
        <w:rPr>
          <w:spacing w:val="52"/>
        </w:rPr>
        <w:t> </w:t>
      </w:r>
      <w:r>
        <w:rPr/>
        <w:t>momento.</w:t>
      </w:r>
    </w:p>
    <w:p>
      <w:pPr>
        <w:pStyle w:val="BodyText"/>
        <w:spacing w:line="364" w:lineRule="auto" w:before="120"/>
        <w:ind w:left="115" w:right="896"/>
        <w:jc w:val="both"/>
      </w:pPr>
      <w:r>
        <w:rPr/>
        <w:t>Años más tarde </w:t>
      </w:r>
      <w:r>
        <w:rPr>
          <w:spacing w:val="-5"/>
        </w:rPr>
        <w:t>la </w:t>
      </w:r>
      <w:r>
        <w:rPr/>
        <w:t>Conferencia de las Naciones Unidas sobre Medio Ambiente Humano   y la Conferencia de las Naciones Unidas sobre Medio  Ambiente  y  Desarrollo (CNUMAD), realizadas en 1972 y 1992, fueron las dos conferencias que contribuyeron    a incrementar la conciencia ambiental y a formar nuevas visiones sobre el manejo del ambiente, dando lugar a convenios multilaterales y acuerdos, los cuales detonaron una sustantiva respuesta de los gobiernos, </w:t>
      </w:r>
      <w:r>
        <w:rPr>
          <w:spacing w:val="-5"/>
        </w:rPr>
        <w:t>la </w:t>
      </w:r>
      <w:r>
        <w:rPr/>
        <w:t>sociedad civil y el sector privado que se ha traducido en avances concretos  para generar una conciencia ambiental en los países   de América Latina y el Caribe. A su vez, la CNUMAD adoptó el desarrollo sostenible  como la meta hacia la cual se deben dirigir todas </w:t>
      </w:r>
      <w:r>
        <w:rPr>
          <w:spacing w:val="-4"/>
        </w:rPr>
        <w:t>las </w:t>
      </w:r>
      <w:r>
        <w:rPr/>
        <w:t>naciones de la tierra, un concepto que aborda el tema del desarrollo a partir de una visión integradora de las dimensiones económica, social y</w:t>
      </w:r>
      <w:r>
        <w:rPr>
          <w:spacing w:val="30"/>
        </w:rPr>
        <w:t> </w:t>
      </w:r>
      <w:r>
        <w:rPr/>
        <w:t>ambiental.</w:t>
      </w:r>
    </w:p>
    <w:p>
      <w:pPr>
        <w:spacing w:after="0" w:line="364" w:lineRule="auto"/>
        <w:jc w:val="both"/>
        <w:sectPr>
          <w:pgSz w:w="11910" w:h="16840"/>
          <w:pgMar w:header="1066" w:footer="1706"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900"/>
        <w:jc w:val="both"/>
      </w:pPr>
      <w:r>
        <w:rPr/>
        <w:t>Así pues, </w:t>
      </w:r>
      <w:r>
        <w:rPr>
          <w:spacing w:val="-5"/>
        </w:rPr>
        <w:t>la </w:t>
      </w:r>
      <w:r>
        <w:rPr/>
        <w:t>conciencia ambiental, también se ha visualizado como una filosofía general  y movimiento social en relación con la preocupación por la conservación del ambiente y  </w:t>
      </w:r>
      <w:r>
        <w:rPr>
          <w:spacing w:val="-5"/>
        </w:rPr>
        <w:t>la </w:t>
      </w:r>
      <w:r>
        <w:rPr/>
        <w:t>mejora del estado del mismo. No obstante su conceptualización </w:t>
      </w:r>
      <w:r>
        <w:rPr>
          <w:spacing w:val="3"/>
        </w:rPr>
        <w:t>va </w:t>
      </w:r>
      <w:r>
        <w:rPr/>
        <w:t>más allá de este tipo de actividades. Cuando se habla de conciencia ambiental </w:t>
      </w:r>
      <w:r>
        <w:rPr>
          <w:spacing w:val="3"/>
        </w:rPr>
        <w:t>se </w:t>
      </w:r>
      <w:r>
        <w:rPr/>
        <w:t>hace referencia a determinados procesos asociados a las acciones que intentan reducir el impacto ambiental ocasionado por el</w:t>
      </w:r>
      <w:r>
        <w:rPr>
          <w:spacing w:val="35"/>
        </w:rPr>
        <w:t> </w:t>
      </w:r>
      <w:r>
        <w:rPr/>
        <w:t>hombre.</w:t>
      </w:r>
    </w:p>
    <w:p>
      <w:pPr>
        <w:pStyle w:val="BodyText"/>
        <w:spacing w:line="364" w:lineRule="auto" w:before="120"/>
        <w:ind w:left="115" w:right="894"/>
        <w:jc w:val="both"/>
      </w:pPr>
      <w:r>
        <w:rPr/>
        <w:t>Entonces, la conciencia ambiental se estructura paulatina y conscientemente. Su desarrollo es concebido como un cambio que transita desde lo hostil a lo armónico; del desconocimiento al conocimiento, o desde la inconciencia a  la  conciencia  (Zimmermann, 2010). Este proceso se realiza a partir de las vivencias </w:t>
      </w:r>
      <w:r>
        <w:rPr>
          <w:spacing w:val="-3"/>
        </w:rPr>
        <w:t>que  </w:t>
      </w:r>
      <w:r>
        <w:rPr/>
        <w:t>el individuo   va experimentando, acumulando y actualizando a lo largo de su historia individual; de  este modo los sujetos se crean una imagen multidimensional de la realidad, en la que toman parte interdependientemente las características bio-físico-químicas del entorno y el sistema de relaciones sociales en el momento histórico-cultural determinado (Corral- Verdugo,</w:t>
      </w:r>
      <w:r>
        <w:rPr>
          <w:spacing w:val="15"/>
        </w:rPr>
        <w:t> </w:t>
      </w:r>
      <w:r>
        <w:rPr/>
        <w:t>2000).</w:t>
      </w:r>
    </w:p>
    <w:p>
      <w:pPr>
        <w:pStyle w:val="BodyText"/>
        <w:spacing w:line="364" w:lineRule="auto" w:before="120"/>
        <w:ind w:left="115" w:right="899"/>
        <w:jc w:val="both"/>
      </w:pPr>
      <w:r>
        <w:rPr/>
        <w:t>Para Puertas y Aguilar (2008) </w:t>
      </w:r>
      <w:r>
        <w:rPr>
          <w:spacing w:val="-5"/>
        </w:rPr>
        <w:t>la </w:t>
      </w:r>
      <w:r>
        <w:rPr/>
        <w:t>conciencia ambiental es el conjunto de valores,  actitudes, creencias y normas  que tienen como objeto de atención el medio ambiente   en su conjunto o en aspectos</w:t>
      </w:r>
      <w:r>
        <w:rPr>
          <w:spacing w:val="48"/>
        </w:rPr>
        <w:t> </w:t>
      </w:r>
      <w:r>
        <w:rPr/>
        <w:t>particulares.</w:t>
      </w:r>
    </w:p>
    <w:p>
      <w:pPr>
        <w:pStyle w:val="BodyText"/>
        <w:spacing w:line="364" w:lineRule="auto" w:before="120"/>
        <w:ind w:left="115" w:right="899"/>
        <w:jc w:val="both"/>
      </w:pPr>
      <w:r>
        <w:rPr/>
        <w:t>Jiménez y Lafuente (año) exponen que la conciencia ambiental es entendida como el conjunto de percepciones, opiniones y conocimientos acerca del ambiente, así como de acciones y disposiciones (individuales y colectivas) relacionadas con la protección de la naturaleza y mejora de los problemas ambientales. Estos autores sustentan que la conciencia ambiental es un concepto multidimensional en el que, desde una perspectiva analítica, se distinguen cuatro dimensiones: afectiva, cognitiva, disposicional y  activa.</w:t>
      </w:r>
    </w:p>
    <w:p>
      <w:pPr>
        <w:pStyle w:val="Heading2"/>
        <w:numPr>
          <w:ilvl w:val="2"/>
          <w:numId w:val="13"/>
        </w:numPr>
        <w:tabs>
          <w:tab w:pos="1153" w:val="left" w:leader="none"/>
        </w:tabs>
        <w:spacing w:line="240" w:lineRule="auto" w:before="120" w:after="0"/>
        <w:ind w:left="1152" w:right="0" w:hanging="350"/>
        <w:jc w:val="left"/>
      </w:pPr>
      <w:r>
        <w:rPr/>
        <w:t>Dimensión</w:t>
      </w:r>
      <w:r>
        <w:rPr>
          <w:spacing w:val="21"/>
        </w:rPr>
        <w:t> </w:t>
      </w:r>
      <w:r>
        <w:rPr/>
        <w:t>Afectiva</w:t>
      </w:r>
    </w:p>
    <w:p>
      <w:pPr>
        <w:pStyle w:val="BodyText"/>
        <w:spacing w:before="5"/>
        <w:rPr>
          <w:b/>
          <w:sz w:val="22"/>
        </w:rPr>
      </w:pPr>
    </w:p>
    <w:p>
      <w:pPr>
        <w:pStyle w:val="BodyText"/>
        <w:spacing w:line="364" w:lineRule="auto"/>
        <w:ind w:left="115" w:right="898"/>
        <w:jc w:val="both"/>
      </w:pPr>
      <w:r>
        <w:rPr/>
        <w:t>Chulia (1995) describe </w:t>
      </w:r>
      <w:r>
        <w:rPr>
          <w:spacing w:val="-5"/>
        </w:rPr>
        <w:t>la </w:t>
      </w:r>
      <w:r>
        <w:rPr/>
        <w:t>dimensión afectiva como aquella en la que están referidos los sentimientos de preocupación por el estado del ambiente y el grado de adhesión a </w:t>
      </w:r>
      <w:r>
        <w:rPr>
          <w:spacing w:val="-4"/>
        </w:rPr>
        <w:t>los</w:t>
      </w:r>
      <w:r>
        <w:rPr>
          <w:spacing w:val="55"/>
        </w:rPr>
        <w:t> </w:t>
      </w:r>
      <w:r>
        <w:rPr/>
        <w:t>valores culturales favorables a </w:t>
      </w:r>
      <w:r>
        <w:rPr>
          <w:spacing w:val="-5"/>
        </w:rPr>
        <w:t>la </w:t>
      </w:r>
      <w:r>
        <w:rPr/>
        <w:t>protección de la naturaleza. Bajo estos  términos  Gomez </w:t>
      </w:r>
      <w:r>
        <w:rPr>
          <w:i/>
        </w:rPr>
        <w:t>et al. </w:t>
      </w:r>
      <w:r>
        <w:rPr/>
        <w:t>(1999) identifica dos facetas de esta dimensión; la sensibilidad ambiental y receptividad  hacia  los  problemas  ambientales  los cuales </w:t>
      </w:r>
      <w:r>
        <w:rPr>
          <w:spacing w:val="3"/>
        </w:rPr>
        <w:t>se </w:t>
      </w:r>
      <w:r>
        <w:rPr/>
        <w:t>refieren  al  interés  por </w:t>
      </w:r>
      <w:r>
        <w:rPr>
          <w:spacing w:val="3"/>
        </w:rPr>
        <w:t> </w:t>
      </w:r>
      <w:r>
        <w:rPr/>
        <w:t>la</w:t>
      </w:r>
    </w:p>
    <w:p>
      <w:pPr>
        <w:spacing w:after="0" w:line="364" w:lineRule="auto"/>
        <w:jc w:val="both"/>
        <w:sectPr>
          <w:pgSz w:w="11910" w:h="16840"/>
          <w:pgMar w:header="1066" w:footer="1706" w:top="1460" w:bottom="1900" w:left="1540" w:right="200"/>
        </w:sectPr>
      </w:pPr>
    </w:p>
    <w:p>
      <w:pPr>
        <w:pStyle w:val="BodyText"/>
        <w:rPr>
          <w:sz w:val="20"/>
        </w:rPr>
      </w:pPr>
    </w:p>
    <w:p>
      <w:pPr>
        <w:pStyle w:val="BodyText"/>
        <w:spacing w:before="10"/>
        <w:rPr>
          <w:sz w:val="17"/>
        </w:rPr>
      </w:pPr>
    </w:p>
    <w:p>
      <w:pPr>
        <w:pStyle w:val="BodyText"/>
        <w:spacing w:line="362" w:lineRule="auto" w:before="74"/>
        <w:ind w:left="115" w:right="901"/>
        <w:jc w:val="both"/>
      </w:pPr>
      <w:r>
        <w:rPr/>
        <w:t>cuestión ambiental y a la percepción de </w:t>
      </w:r>
      <w:r>
        <w:rPr>
          <w:spacing w:val="3"/>
        </w:rPr>
        <w:t>su </w:t>
      </w:r>
      <w:r>
        <w:rPr/>
        <w:t>gravedad. De acuerdo </w:t>
      </w:r>
      <w:r>
        <w:rPr>
          <w:spacing w:val="2"/>
        </w:rPr>
        <w:t>con  </w:t>
      </w:r>
      <w:r>
        <w:rPr/>
        <w:t>esto  se  distinguen 4</w:t>
      </w:r>
      <w:r>
        <w:rPr>
          <w:spacing w:val="28"/>
        </w:rPr>
        <w:t> </w:t>
      </w:r>
      <w:r>
        <w:rPr/>
        <w:t>indicadores:</w:t>
      </w:r>
    </w:p>
    <w:p>
      <w:pPr>
        <w:pStyle w:val="ListParagraph"/>
        <w:numPr>
          <w:ilvl w:val="0"/>
          <w:numId w:val="14"/>
        </w:numPr>
        <w:tabs>
          <w:tab w:pos="816" w:val="left" w:leader="none"/>
          <w:tab w:pos="817" w:val="left" w:leader="none"/>
          <w:tab w:pos="5517" w:val="left" w:leader="none"/>
        </w:tabs>
        <w:spacing w:line="360" w:lineRule="auto" w:before="121" w:after="0"/>
        <w:ind w:left="816" w:right="901" w:hanging="350"/>
        <w:jc w:val="left"/>
        <w:rPr>
          <w:sz w:val="23"/>
        </w:rPr>
      </w:pPr>
      <w:r>
        <w:rPr>
          <w:sz w:val="23"/>
        </w:rPr>
        <w:t>Gravedad  o  grado  </w:t>
      </w:r>
      <w:r>
        <w:rPr>
          <w:spacing w:val="-3"/>
          <w:sz w:val="23"/>
        </w:rPr>
        <w:t>en  </w:t>
      </w:r>
      <w:r>
        <w:rPr>
          <w:sz w:val="23"/>
        </w:rPr>
        <w:t>el  que</w:t>
      </w:r>
      <w:r>
        <w:rPr>
          <w:spacing w:val="-10"/>
          <w:sz w:val="23"/>
        </w:rPr>
        <w:t> </w:t>
      </w:r>
      <w:r>
        <w:rPr>
          <w:sz w:val="23"/>
        </w:rPr>
        <w:t>el</w:t>
      </w:r>
      <w:r>
        <w:rPr>
          <w:spacing w:val="49"/>
          <w:sz w:val="23"/>
        </w:rPr>
        <w:t> </w:t>
      </w:r>
      <w:r>
        <w:rPr>
          <w:sz w:val="23"/>
        </w:rPr>
        <w:t>ambiente</w:t>
        <w:tab/>
        <w:t>se  percibe  como  un</w:t>
      </w:r>
      <w:r>
        <w:rPr>
          <w:spacing w:val="12"/>
          <w:sz w:val="23"/>
        </w:rPr>
        <w:t> </w:t>
      </w:r>
      <w:r>
        <w:rPr>
          <w:sz w:val="23"/>
        </w:rPr>
        <w:t>problema</w:t>
      </w:r>
      <w:r>
        <w:rPr>
          <w:spacing w:val="51"/>
          <w:sz w:val="23"/>
        </w:rPr>
        <w:t> </w:t>
      </w:r>
      <w:r>
        <w:rPr>
          <w:sz w:val="23"/>
        </w:rPr>
        <w:t>que</w:t>
      </w:r>
      <w:r>
        <w:rPr>
          <w:w w:val="101"/>
          <w:sz w:val="23"/>
        </w:rPr>
        <w:t> </w:t>
      </w:r>
      <w:r>
        <w:rPr>
          <w:sz w:val="23"/>
        </w:rPr>
        <w:t>demanda una intervención</w:t>
      </w:r>
      <w:r>
        <w:rPr>
          <w:spacing w:val="42"/>
          <w:sz w:val="23"/>
        </w:rPr>
        <w:t> </w:t>
      </w:r>
      <w:r>
        <w:rPr>
          <w:sz w:val="23"/>
        </w:rPr>
        <w:t>urgente.</w:t>
      </w:r>
    </w:p>
    <w:p>
      <w:pPr>
        <w:pStyle w:val="ListParagraph"/>
        <w:numPr>
          <w:ilvl w:val="0"/>
          <w:numId w:val="14"/>
        </w:numPr>
        <w:tabs>
          <w:tab w:pos="816" w:val="left" w:leader="none"/>
          <w:tab w:pos="817" w:val="left" w:leader="none"/>
        </w:tabs>
        <w:spacing w:line="240" w:lineRule="auto" w:before="9" w:after="0"/>
        <w:ind w:left="816" w:right="0" w:hanging="350"/>
        <w:jc w:val="left"/>
        <w:rPr>
          <w:sz w:val="23"/>
        </w:rPr>
      </w:pPr>
      <w:r>
        <w:rPr>
          <w:sz w:val="23"/>
        </w:rPr>
        <w:t>Preocupación personal por la situación de las problemáticas </w:t>
      </w:r>
      <w:r>
        <w:rPr>
          <w:spacing w:val="21"/>
          <w:sz w:val="23"/>
        </w:rPr>
        <w:t> </w:t>
      </w:r>
      <w:r>
        <w:rPr>
          <w:sz w:val="23"/>
        </w:rPr>
        <w:t>ambientales.</w:t>
      </w:r>
    </w:p>
    <w:p>
      <w:pPr>
        <w:pStyle w:val="ListParagraph"/>
        <w:numPr>
          <w:ilvl w:val="0"/>
          <w:numId w:val="14"/>
        </w:numPr>
        <w:tabs>
          <w:tab w:pos="816" w:val="left" w:leader="none"/>
          <w:tab w:pos="817" w:val="left" w:leader="none"/>
        </w:tabs>
        <w:spacing w:line="240" w:lineRule="auto" w:before="136" w:after="0"/>
        <w:ind w:left="816" w:right="0" w:hanging="350"/>
        <w:jc w:val="left"/>
        <w:rPr>
          <w:sz w:val="23"/>
        </w:rPr>
      </w:pPr>
      <w:r>
        <w:rPr>
          <w:sz w:val="23"/>
        </w:rPr>
        <w:t>Prioridad de los problemas ambientales con respecto a los </w:t>
      </w:r>
      <w:r>
        <w:rPr>
          <w:spacing w:val="11"/>
          <w:sz w:val="23"/>
        </w:rPr>
        <w:t> </w:t>
      </w:r>
      <w:r>
        <w:rPr>
          <w:sz w:val="23"/>
        </w:rPr>
        <w:t>sociales.</w:t>
      </w:r>
    </w:p>
    <w:p>
      <w:pPr>
        <w:pStyle w:val="ListParagraph"/>
        <w:numPr>
          <w:ilvl w:val="0"/>
          <w:numId w:val="14"/>
        </w:numPr>
        <w:tabs>
          <w:tab w:pos="817" w:val="left" w:leader="none"/>
        </w:tabs>
        <w:spacing w:line="360" w:lineRule="auto" w:before="136" w:after="0"/>
        <w:ind w:left="816" w:right="892" w:hanging="350"/>
        <w:jc w:val="both"/>
        <w:rPr>
          <w:sz w:val="23"/>
        </w:rPr>
      </w:pPr>
      <w:r>
        <w:rPr>
          <w:sz w:val="23"/>
        </w:rPr>
        <w:t>Adhesión a valores proambientales o medida en que las personas identifican los inconvenientes en determinadas prácticas productivas, estilos de vida, o en optar por medidas proambientales en </w:t>
      </w:r>
      <w:r>
        <w:rPr>
          <w:spacing w:val="-5"/>
          <w:sz w:val="23"/>
        </w:rPr>
        <w:t>la </w:t>
      </w:r>
      <w:r>
        <w:rPr>
          <w:sz w:val="23"/>
        </w:rPr>
        <w:t>solución de distintos </w:t>
      </w:r>
      <w:r>
        <w:rPr>
          <w:spacing w:val="29"/>
          <w:sz w:val="23"/>
        </w:rPr>
        <w:t> </w:t>
      </w:r>
      <w:r>
        <w:rPr>
          <w:sz w:val="23"/>
        </w:rPr>
        <w:t>problemas.</w:t>
      </w:r>
    </w:p>
    <w:p>
      <w:pPr>
        <w:pStyle w:val="Heading2"/>
        <w:numPr>
          <w:ilvl w:val="2"/>
          <w:numId w:val="13"/>
        </w:numPr>
        <w:tabs>
          <w:tab w:pos="1153" w:val="left" w:leader="none"/>
        </w:tabs>
        <w:spacing w:line="240" w:lineRule="auto" w:before="10" w:after="0"/>
        <w:ind w:left="1152" w:right="0" w:hanging="350"/>
        <w:jc w:val="left"/>
      </w:pPr>
      <w:r>
        <w:rPr/>
        <w:t>Dimensión</w:t>
      </w:r>
      <w:r>
        <w:rPr>
          <w:spacing w:val="24"/>
        </w:rPr>
        <w:t> </w:t>
      </w:r>
      <w:r>
        <w:rPr/>
        <w:t>Cognitiva</w:t>
      </w:r>
    </w:p>
    <w:p>
      <w:pPr>
        <w:pStyle w:val="BodyText"/>
        <w:spacing w:before="5"/>
        <w:rPr>
          <w:b/>
          <w:sz w:val="22"/>
        </w:rPr>
      </w:pPr>
    </w:p>
    <w:p>
      <w:pPr>
        <w:pStyle w:val="BodyText"/>
        <w:spacing w:line="364" w:lineRule="auto"/>
        <w:ind w:left="116" w:right="903"/>
        <w:jc w:val="both"/>
      </w:pPr>
      <w:r>
        <w:rPr/>
        <w:t>De acuerdo con Jiménez y Lafuente (2012), esta dimensión se refiere al grado de información y conocimiento acerca de la problemática ambiental así como de los organismos responsables en materia ambiental y de sus actuaciones. Y para ello se identifican tres tipos de indicadores:</w:t>
      </w:r>
    </w:p>
    <w:p>
      <w:pPr>
        <w:pStyle w:val="ListParagraph"/>
        <w:numPr>
          <w:ilvl w:val="0"/>
          <w:numId w:val="14"/>
        </w:numPr>
        <w:tabs>
          <w:tab w:pos="816" w:val="left" w:leader="none"/>
          <w:tab w:pos="817" w:val="left" w:leader="none"/>
        </w:tabs>
        <w:spacing w:line="357" w:lineRule="auto" w:before="124" w:after="0"/>
        <w:ind w:left="816" w:right="903" w:hanging="350"/>
        <w:jc w:val="left"/>
        <w:rPr>
          <w:sz w:val="23"/>
        </w:rPr>
      </w:pPr>
      <w:r>
        <w:rPr>
          <w:sz w:val="23"/>
        </w:rPr>
        <w:t>Grado de información general sobre la problemática ambiental o la  medida en  que las personas muestran interés </w:t>
      </w:r>
      <w:r>
        <w:rPr>
          <w:spacing w:val="-3"/>
          <w:sz w:val="23"/>
        </w:rPr>
        <w:t>por </w:t>
      </w:r>
      <w:r>
        <w:rPr>
          <w:sz w:val="23"/>
        </w:rPr>
        <w:t>la información de la situación </w:t>
      </w:r>
      <w:r>
        <w:rPr>
          <w:spacing w:val="30"/>
          <w:sz w:val="23"/>
        </w:rPr>
        <w:t> </w:t>
      </w:r>
      <w:r>
        <w:rPr>
          <w:sz w:val="23"/>
        </w:rPr>
        <w:t>ambiental.</w:t>
      </w:r>
    </w:p>
    <w:p>
      <w:pPr>
        <w:pStyle w:val="ListParagraph"/>
        <w:numPr>
          <w:ilvl w:val="0"/>
          <w:numId w:val="14"/>
        </w:numPr>
        <w:tabs>
          <w:tab w:pos="816" w:val="left" w:leader="none"/>
          <w:tab w:pos="817" w:val="left" w:leader="none"/>
        </w:tabs>
        <w:spacing w:line="240" w:lineRule="auto" w:before="7" w:after="0"/>
        <w:ind w:left="816" w:right="0" w:hanging="350"/>
        <w:jc w:val="left"/>
        <w:rPr>
          <w:sz w:val="23"/>
        </w:rPr>
      </w:pPr>
      <w:r>
        <w:rPr>
          <w:sz w:val="23"/>
        </w:rPr>
        <w:t>Conocimiento especializado sobre temas ambientales, causa y </w:t>
      </w:r>
      <w:r>
        <w:rPr>
          <w:spacing w:val="24"/>
          <w:sz w:val="23"/>
        </w:rPr>
        <w:t> </w:t>
      </w:r>
      <w:r>
        <w:rPr>
          <w:sz w:val="23"/>
        </w:rPr>
        <w:t>consecuencias.</w:t>
      </w:r>
    </w:p>
    <w:p>
      <w:pPr>
        <w:pStyle w:val="ListParagraph"/>
        <w:numPr>
          <w:ilvl w:val="0"/>
          <w:numId w:val="14"/>
        </w:numPr>
        <w:tabs>
          <w:tab w:pos="816" w:val="left" w:leader="none"/>
          <w:tab w:pos="817" w:val="left" w:leader="none"/>
        </w:tabs>
        <w:spacing w:line="240" w:lineRule="auto" w:before="140" w:after="0"/>
        <w:ind w:left="816" w:right="0" w:hanging="350"/>
        <w:jc w:val="left"/>
        <w:rPr>
          <w:sz w:val="23"/>
        </w:rPr>
      </w:pPr>
      <w:r>
        <w:rPr>
          <w:sz w:val="23"/>
        </w:rPr>
        <w:t>Conocimiento y opiniones sobre la política</w:t>
      </w:r>
      <w:r>
        <w:rPr>
          <w:spacing w:val="55"/>
          <w:sz w:val="23"/>
        </w:rPr>
        <w:t> </w:t>
      </w:r>
      <w:r>
        <w:rPr>
          <w:sz w:val="23"/>
        </w:rPr>
        <w:t>ambiental.</w:t>
      </w:r>
    </w:p>
    <w:p>
      <w:pPr>
        <w:pStyle w:val="Heading2"/>
        <w:numPr>
          <w:ilvl w:val="2"/>
          <w:numId w:val="13"/>
        </w:numPr>
        <w:tabs>
          <w:tab w:pos="1153" w:val="left" w:leader="none"/>
        </w:tabs>
        <w:spacing w:line="240" w:lineRule="auto" w:before="141" w:after="0"/>
        <w:ind w:left="1152" w:right="0" w:hanging="350"/>
        <w:jc w:val="left"/>
      </w:pPr>
      <w:r>
        <w:rPr/>
        <w:t>Dimensión conativa o</w:t>
      </w:r>
      <w:r>
        <w:rPr>
          <w:spacing w:val="40"/>
        </w:rPr>
        <w:t> </w:t>
      </w:r>
      <w:r>
        <w:rPr/>
        <w:t>disposicional</w:t>
      </w:r>
    </w:p>
    <w:p>
      <w:pPr>
        <w:pStyle w:val="BodyText"/>
        <w:rPr>
          <w:b/>
          <w:sz w:val="22"/>
        </w:rPr>
      </w:pPr>
    </w:p>
    <w:p>
      <w:pPr>
        <w:pStyle w:val="BodyText"/>
        <w:spacing w:line="364" w:lineRule="auto" w:before="1"/>
        <w:ind w:left="115" w:right="894"/>
        <w:jc w:val="both"/>
      </w:pPr>
      <w:r>
        <w:rPr/>
        <w:t>Esta dimensión </w:t>
      </w:r>
      <w:r>
        <w:rPr>
          <w:spacing w:val="3"/>
        </w:rPr>
        <w:t>se </w:t>
      </w:r>
      <w:r>
        <w:rPr/>
        <w:t>refiere a la disposición de actuar personalmente </w:t>
      </w:r>
      <w:r>
        <w:rPr>
          <w:spacing w:val="2"/>
        </w:rPr>
        <w:t>con </w:t>
      </w:r>
      <w:r>
        <w:rPr/>
        <w:t>criterios ecológicos. Chulia (1995) </w:t>
      </w:r>
      <w:r>
        <w:rPr>
          <w:spacing w:val="-5"/>
        </w:rPr>
        <w:t>lo </w:t>
      </w:r>
      <w:r>
        <w:rPr/>
        <w:t>traduce como la disposición de aceptar las prohibiciones, limitaciones o penalizaciones en relación con ciertas prácticas perjudiciales para </w:t>
      </w:r>
      <w:r>
        <w:rPr>
          <w:spacing w:val="4"/>
        </w:rPr>
        <w:t>el </w:t>
      </w:r>
      <w:r>
        <w:rPr/>
        <w:t>ambiente o la disposición de responder con </w:t>
      </w:r>
      <w:r>
        <w:rPr>
          <w:spacing w:val="-3"/>
        </w:rPr>
        <w:t>un </w:t>
      </w:r>
      <w:r>
        <w:rPr/>
        <w:t>actuar de criterios ecológicos a costa de otros beneficios o con esfuerzos añadidos. En pocas palabras la dimensión se define como el conjunto de actitudes hacia </w:t>
      </w:r>
      <w:r>
        <w:rPr>
          <w:spacing w:val="-5"/>
        </w:rPr>
        <w:t>la </w:t>
      </w:r>
      <w:r>
        <w:rPr/>
        <w:t>realización de conductas proambientales que asuman los costos personales derivados de la política ambiental. En esta dimensión se identifican de acuerdo </w:t>
      </w:r>
      <w:r>
        <w:rPr>
          <w:spacing w:val="2"/>
        </w:rPr>
        <w:t>con </w:t>
      </w:r>
      <w:r>
        <w:rPr/>
        <w:t>Gómez (1999) tres</w:t>
      </w:r>
      <w:r>
        <w:rPr>
          <w:spacing w:val="57"/>
        </w:rPr>
        <w:t> </w:t>
      </w:r>
      <w:r>
        <w:rPr/>
        <w:t>indicadores:</w:t>
      </w:r>
    </w:p>
    <w:p>
      <w:pPr>
        <w:pStyle w:val="ListParagraph"/>
        <w:numPr>
          <w:ilvl w:val="0"/>
          <w:numId w:val="14"/>
        </w:numPr>
        <w:tabs>
          <w:tab w:pos="816" w:val="left" w:leader="none"/>
          <w:tab w:pos="817" w:val="left" w:leader="none"/>
        </w:tabs>
        <w:spacing w:line="240" w:lineRule="auto" w:before="119" w:after="0"/>
        <w:ind w:left="816" w:right="0" w:hanging="350"/>
        <w:jc w:val="left"/>
        <w:rPr>
          <w:sz w:val="23"/>
        </w:rPr>
      </w:pPr>
      <w:r>
        <w:rPr>
          <w:sz w:val="23"/>
        </w:rPr>
        <w:t>Percepción de </w:t>
      </w:r>
      <w:r>
        <w:rPr>
          <w:spacing w:val="-5"/>
          <w:sz w:val="23"/>
        </w:rPr>
        <w:t>la </w:t>
      </w:r>
      <w:r>
        <w:rPr>
          <w:sz w:val="23"/>
        </w:rPr>
        <w:t>acción individual </w:t>
      </w:r>
      <w:r>
        <w:rPr>
          <w:spacing w:val="2"/>
          <w:sz w:val="23"/>
        </w:rPr>
        <w:t>con </w:t>
      </w:r>
      <w:r>
        <w:rPr>
          <w:sz w:val="23"/>
        </w:rPr>
        <w:t>eficacia y </w:t>
      </w:r>
      <w:r>
        <w:rPr>
          <w:spacing w:val="4"/>
          <w:sz w:val="23"/>
        </w:rPr>
        <w:t> </w:t>
      </w:r>
      <w:r>
        <w:rPr>
          <w:sz w:val="23"/>
        </w:rPr>
        <w:t>responsabilidad.</w:t>
      </w:r>
    </w:p>
    <w:p>
      <w:pPr>
        <w:pStyle w:val="ListParagraph"/>
        <w:numPr>
          <w:ilvl w:val="0"/>
          <w:numId w:val="14"/>
        </w:numPr>
        <w:tabs>
          <w:tab w:pos="816" w:val="left" w:leader="none"/>
          <w:tab w:pos="817" w:val="left" w:leader="none"/>
        </w:tabs>
        <w:spacing w:line="360" w:lineRule="auto" w:before="136" w:after="0"/>
        <w:ind w:left="816" w:right="903" w:hanging="350"/>
        <w:jc w:val="left"/>
        <w:rPr>
          <w:sz w:val="23"/>
        </w:rPr>
      </w:pPr>
      <w:r>
        <w:rPr>
          <w:sz w:val="23"/>
        </w:rPr>
        <w:t>Disposición a realizar diversas conductas proambientales (desde dejar de utilizar el vehículo o participar en actividades de protección al </w:t>
      </w:r>
      <w:r>
        <w:rPr>
          <w:spacing w:val="1"/>
          <w:sz w:val="23"/>
        </w:rPr>
        <w:t> </w:t>
      </w:r>
      <w:r>
        <w:rPr>
          <w:sz w:val="23"/>
        </w:rPr>
        <w:t>ambiente).</w:t>
      </w:r>
    </w:p>
    <w:p>
      <w:pPr>
        <w:spacing w:after="0" w:line="360" w:lineRule="auto"/>
        <w:jc w:val="left"/>
        <w:rPr>
          <w:sz w:val="23"/>
        </w:rPr>
        <w:sectPr>
          <w:pgSz w:w="11910" w:h="16840"/>
          <w:pgMar w:header="1066" w:footer="1706" w:top="1460" w:bottom="1900" w:left="1540" w:right="200"/>
        </w:sectPr>
      </w:pPr>
    </w:p>
    <w:p>
      <w:pPr>
        <w:pStyle w:val="BodyText"/>
        <w:rPr>
          <w:sz w:val="20"/>
        </w:rPr>
      </w:pPr>
    </w:p>
    <w:p>
      <w:pPr>
        <w:pStyle w:val="BodyText"/>
        <w:spacing w:before="6"/>
        <w:rPr>
          <w:sz w:val="18"/>
        </w:rPr>
      </w:pPr>
    </w:p>
    <w:p>
      <w:pPr>
        <w:pStyle w:val="ListParagraph"/>
        <w:numPr>
          <w:ilvl w:val="0"/>
          <w:numId w:val="14"/>
        </w:numPr>
        <w:tabs>
          <w:tab w:pos="816" w:val="left" w:leader="none"/>
          <w:tab w:pos="817" w:val="left" w:leader="none"/>
        </w:tabs>
        <w:spacing w:line="357" w:lineRule="auto" w:before="61" w:after="0"/>
        <w:ind w:left="816" w:right="908" w:hanging="350"/>
        <w:jc w:val="left"/>
        <w:rPr>
          <w:sz w:val="23"/>
        </w:rPr>
      </w:pPr>
      <w:r>
        <w:rPr>
          <w:sz w:val="23"/>
        </w:rPr>
        <w:t>Disposición de asumir los costos establecidos por las políticas ambientales (multas e</w:t>
      </w:r>
      <w:r>
        <w:rPr>
          <w:spacing w:val="28"/>
          <w:sz w:val="23"/>
        </w:rPr>
        <w:t> </w:t>
      </w:r>
      <w:r>
        <w:rPr>
          <w:sz w:val="23"/>
        </w:rPr>
        <w:t>infracciones)</w:t>
      </w:r>
    </w:p>
    <w:p>
      <w:pPr>
        <w:pStyle w:val="Heading2"/>
        <w:numPr>
          <w:ilvl w:val="2"/>
          <w:numId w:val="13"/>
        </w:numPr>
        <w:tabs>
          <w:tab w:pos="1153" w:val="left" w:leader="none"/>
        </w:tabs>
        <w:spacing w:line="240" w:lineRule="auto" w:before="17" w:after="0"/>
        <w:ind w:left="1152" w:right="0" w:hanging="350"/>
        <w:jc w:val="left"/>
      </w:pPr>
      <w:r>
        <w:rPr/>
        <w:t>Dimensión</w:t>
      </w:r>
      <w:r>
        <w:rPr>
          <w:spacing w:val="20"/>
        </w:rPr>
        <w:t> </w:t>
      </w:r>
      <w:r>
        <w:rPr/>
        <w:t>Activa</w:t>
      </w:r>
    </w:p>
    <w:p>
      <w:pPr>
        <w:pStyle w:val="BodyText"/>
        <w:rPr>
          <w:b/>
          <w:sz w:val="22"/>
        </w:rPr>
      </w:pPr>
    </w:p>
    <w:p>
      <w:pPr>
        <w:pStyle w:val="BodyText"/>
        <w:spacing w:line="364" w:lineRule="auto" w:before="1"/>
        <w:ind w:left="115" w:right="896"/>
        <w:jc w:val="both"/>
      </w:pPr>
      <w:r>
        <w:rPr/>
        <w:t>También denominada dimensión conductual, de acuerdo con Jiménez  y  Lafuente  (2012), abarca la faceta individual relacionada con los comportamientos ambientales de carácter privado, como el consumo ecológico, el ahorro de energía, el reciclado, etc., y    </w:t>
      </w:r>
      <w:r>
        <w:rPr>
          <w:spacing w:val="-5"/>
        </w:rPr>
        <w:t>la </w:t>
      </w:r>
      <w:r>
        <w:rPr/>
        <w:t>colectiva referida a conductas generales, públicas o simbólicas, de  expresión  </w:t>
      </w:r>
      <w:r>
        <w:rPr>
          <w:spacing w:val="-3"/>
        </w:rPr>
        <w:t>de </w:t>
      </w:r>
      <w:r>
        <w:rPr/>
        <w:t>apoyo a la protección ambiental, como la colaboración con colectivos que demandan la defensa del ambiente, </w:t>
      </w:r>
      <w:r>
        <w:rPr>
          <w:spacing w:val="-5"/>
        </w:rPr>
        <w:t>la </w:t>
      </w:r>
      <w:r>
        <w:rPr/>
        <w:t>realización de donativos, la participación en manifestaciones, etc.</w:t>
      </w:r>
    </w:p>
    <w:p>
      <w:pPr>
        <w:pStyle w:val="BodyText"/>
        <w:spacing w:line="364" w:lineRule="auto" w:before="120"/>
        <w:ind w:left="115" w:right="899"/>
        <w:jc w:val="both"/>
      </w:pPr>
      <w:r>
        <w:rPr/>
        <w:t>Ahora bien, una vez expuesto la importancia teórica de la actitud y la conciencia ambiental, es necesario proceder al entendimiento de una serie de modelos que han surgido con el afán de explicar estos dos elementos en el análisis del comportamiento proambiental.</w:t>
      </w:r>
    </w:p>
    <w:p>
      <w:pPr>
        <w:pStyle w:val="BodyText"/>
        <w:rPr>
          <w:sz w:val="22"/>
        </w:rPr>
      </w:pPr>
    </w:p>
    <w:p>
      <w:pPr>
        <w:pStyle w:val="BodyText"/>
        <w:rPr>
          <w:sz w:val="22"/>
        </w:rPr>
      </w:pPr>
    </w:p>
    <w:p>
      <w:pPr>
        <w:pStyle w:val="Heading2"/>
        <w:numPr>
          <w:ilvl w:val="1"/>
          <w:numId w:val="13"/>
        </w:numPr>
        <w:tabs>
          <w:tab w:pos="803" w:val="left" w:leader="none"/>
        </w:tabs>
        <w:spacing w:line="240" w:lineRule="auto" w:before="137" w:after="0"/>
        <w:ind w:left="802" w:right="0" w:hanging="686"/>
        <w:jc w:val="both"/>
      </w:pPr>
      <w:bookmarkStart w:name="_TOC_250028" w:id="7"/>
      <w:r>
        <w:rPr/>
        <w:t>Modelos de comportamiento</w:t>
      </w:r>
      <w:r>
        <w:rPr>
          <w:spacing w:val="51"/>
        </w:rPr>
        <w:t> </w:t>
      </w:r>
      <w:bookmarkEnd w:id="7"/>
      <w:r>
        <w:rPr/>
        <w:t>proambiental.</w:t>
      </w:r>
    </w:p>
    <w:p>
      <w:pPr>
        <w:pStyle w:val="BodyText"/>
        <w:rPr>
          <w:b/>
          <w:sz w:val="22"/>
        </w:rPr>
      </w:pPr>
    </w:p>
    <w:p>
      <w:pPr>
        <w:pStyle w:val="BodyText"/>
        <w:spacing w:line="364" w:lineRule="auto" w:before="1"/>
        <w:ind w:left="115" w:right="896"/>
        <w:jc w:val="both"/>
      </w:pPr>
      <w:r>
        <w:rPr/>
        <w:t>Los siguientes modelos reflejan </w:t>
      </w:r>
      <w:r>
        <w:rPr>
          <w:spacing w:val="-5"/>
        </w:rPr>
        <w:t>la </w:t>
      </w:r>
      <w:r>
        <w:rPr/>
        <w:t>estructura de los diversos correlatos entre componentes cognitivos y/o situacionales y la conducta proambiental y se diferencian entre sí por las variables  implicadas. Primero se expondrán los  modelos psicológicos,  los cuales explican la conducta proambiental en función de variables psicológicas como las actitudes, las creencias, las normas, entre otras. Luego </w:t>
      </w:r>
      <w:r>
        <w:rPr>
          <w:spacing w:val="3"/>
        </w:rPr>
        <w:t>se </w:t>
      </w:r>
      <w:r>
        <w:rPr/>
        <w:t>expondrán los modelos procesales, que se caracterizan por examinar la relación entre las variables psicológicas  y </w:t>
      </w:r>
      <w:r>
        <w:rPr>
          <w:spacing w:val="-4"/>
        </w:rPr>
        <w:t>las </w:t>
      </w:r>
      <w:r>
        <w:rPr/>
        <w:t>variables contextuales por medio del estudio de los procesos de interacción social (González,</w:t>
      </w:r>
      <w:r>
        <w:rPr>
          <w:spacing w:val="14"/>
        </w:rPr>
        <w:t> </w:t>
      </w:r>
      <w:r>
        <w:rPr/>
        <w:t>2005).</w:t>
      </w:r>
    </w:p>
    <w:p>
      <w:pPr>
        <w:pStyle w:val="BodyText"/>
        <w:rPr>
          <w:sz w:val="22"/>
        </w:rPr>
      </w:pPr>
    </w:p>
    <w:p>
      <w:pPr>
        <w:pStyle w:val="BodyText"/>
        <w:rPr>
          <w:sz w:val="22"/>
        </w:rPr>
      </w:pPr>
    </w:p>
    <w:p>
      <w:pPr>
        <w:pStyle w:val="Heading2"/>
        <w:spacing w:before="132"/>
        <w:ind w:left="116"/>
      </w:pPr>
      <w:bookmarkStart w:name="_TOC_250027" w:id="8"/>
      <w:bookmarkEnd w:id="8"/>
      <w:r>
        <w:rPr/>
        <w:t>2.3.1 Modelo de Conducta Ecológica</w:t>
      </w:r>
    </w:p>
    <w:p>
      <w:pPr>
        <w:pStyle w:val="BodyText"/>
        <w:rPr>
          <w:b/>
          <w:sz w:val="22"/>
        </w:rPr>
      </w:pPr>
    </w:p>
    <w:p>
      <w:pPr>
        <w:pStyle w:val="BodyText"/>
        <w:spacing w:line="367" w:lineRule="auto" w:before="1"/>
        <w:ind w:left="116" w:right="892"/>
        <w:jc w:val="both"/>
      </w:pPr>
      <w:r>
        <w:rPr/>
        <w:t>Para identificar las variables asociadas a la conductas proambiental, Hines </w:t>
      </w:r>
      <w:r>
        <w:rPr>
          <w:i/>
        </w:rPr>
        <w:t>et al</w:t>
      </w:r>
      <w:r>
        <w:rPr/>
        <w:t>., (1986- 87, en González, 2005) llevaron a cabo </w:t>
      </w:r>
      <w:r>
        <w:rPr>
          <w:spacing w:val="-3"/>
        </w:rPr>
        <w:t>un </w:t>
      </w:r>
      <w:r>
        <w:rPr/>
        <w:t>meta-análisis, el cual es una técnica </w:t>
      </w:r>
      <w:r>
        <w:rPr>
          <w:spacing w:val="-3"/>
        </w:rPr>
        <w:t>que </w:t>
      </w:r>
      <w:r>
        <w:rPr/>
        <w:t>recoge  y analiza  estadísticamente los  datos  proporcionados  por estudios  previos</w:t>
      </w:r>
      <w:r>
        <w:rPr>
          <w:spacing w:val="55"/>
        </w:rPr>
        <w:t> </w:t>
      </w:r>
      <w:r>
        <w:rPr>
          <w:spacing w:val="-3"/>
        </w:rPr>
        <w:t>que</w:t>
      </w:r>
    </w:p>
    <w:p>
      <w:pPr>
        <w:pStyle w:val="BodyText"/>
        <w:spacing w:line="262" w:lineRule="exact"/>
        <w:ind w:left="116"/>
        <w:jc w:val="both"/>
      </w:pPr>
      <w:r>
        <w:rPr/>
        <w:t>tratan sobre la relación a estudiar (Aguirre </w:t>
      </w:r>
      <w:r>
        <w:rPr>
          <w:i/>
        </w:rPr>
        <w:t>et al</w:t>
      </w:r>
      <w:r>
        <w:rPr/>
        <w:t>.,  2003).</w:t>
      </w:r>
    </w:p>
    <w:p>
      <w:pPr>
        <w:spacing w:after="0" w:line="262" w:lineRule="exact"/>
        <w:jc w:val="both"/>
        <w:sectPr>
          <w:pgSz w:w="11910" w:h="16840"/>
          <w:pgMar w:header="1066" w:footer="1706" w:top="1460" w:bottom="1900" w:left="1540" w:right="200"/>
        </w:sectPr>
      </w:pPr>
    </w:p>
    <w:p>
      <w:pPr>
        <w:pStyle w:val="BodyText"/>
        <w:rPr>
          <w:sz w:val="20"/>
        </w:rPr>
      </w:pPr>
    </w:p>
    <w:p>
      <w:pPr>
        <w:pStyle w:val="BodyText"/>
        <w:spacing w:before="5"/>
        <w:rPr>
          <w:sz w:val="17"/>
        </w:rPr>
      </w:pPr>
    </w:p>
    <w:p>
      <w:pPr>
        <w:pStyle w:val="BodyText"/>
        <w:spacing w:line="364" w:lineRule="auto" w:before="73"/>
        <w:ind w:left="100" w:right="891"/>
        <w:jc w:val="both"/>
      </w:pPr>
      <w:r>
        <w:rPr/>
        <w:t>El modelo elaborado a partir de las correlaciones halladas, se basa en las siguientes variables: el compromiso o intención de conducta, conocimiento de temas ambientales, conocimiento de estrategias de acción, habilidades para </w:t>
      </w:r>
      <w:r>
        <w:rPr>
          <w:spacing w:val="-5"/>
        </w:rPr>
        <w:t>la </w:t>
      </w:r>
      <w:r>
        <w:rPr/>
        <w:t>acción y factores personales como las actitudes, el locus de control y la responsabilidad hacia el medio ambiente. Según este modelo el comportamiento ecológico responsable viene determinado por la intención de actuar, </w:t>
      </w:r>
      <w:r>
        <w:rPr>
          <w:spacing w:val="-5"/>
        </w:rPr>
        <w:t>la </w:t>
      </w:r>
      <w:r>
        <w:rPr/>
        <w:t>cual a su vez está influida por las habilidades de acción, el conocimiento de las estrategias de acción y temas medioambientales, y los factores de personalidad. </w:t>
      </w:r>
      <w:r>
        <w:rPr>
          <w:spacing w:val="-3"/>
        </w:rPr>
        <w:t>Los </w:t>
      </w:r>
      <w:r>
        <w:rPr/>
        <w:t>factores situacionales pueden la Conducta Proambiental en el Consumidor favorecer o dificultar el desarrollo de la conducta ecológica  responsable  (ver figura</w:t>
      </w:r>
      <w:r>
        <w:rPr>
          <w:spacing w:val="6"/>
        </w:rPr>
        <w:t> </w:t>
      </w:r>
      <w:r>
        <w:rPr/>
        <w:t>4).</w:t>
      </w:r>
    </w:p>
    <w:p>
      <w:pPr>
        <w:pStyle w:val="Heading2"/>
        <w:spacing w:before="120"/>
        <w:ind w:left="2419" w:right="514"/>
        <w:jc w:val="left"/>
      </w:pPr>
      <w:r>
        <w:rPr/>
        <w:t>Figura 4. Modelo de Conducta</w:t>
      </w:r>
      <w:r>
        <w:rPr>
          <w:spacing w:val="53"/>
        </w:rPr>
        <w:t> </w:t>
      </w:r>
      <w:r>
        <w:rPr/>
        <w:t>Ecológica</w:t>
      </w:r>
    </w:p>
    <w:p>
      <w:pPr>
        <w:pStyle w:val="BodyText"/>
        <w:spacing w:before="7"/>
        <w:rPr>
          <w:b/>
          <w:sz w:val="18"/>
        </w:rPr>
      </w:pPr>
      <w:r>
        <w:rPr/>
        <w:drawing>
          <wp:anchor distT="0" distB="0" distL="0" distR="0" allowOverlap="1" layoutInCell="1" locked="0" behindDoc="0" simplePos="0" relativeHeight="1288">
            <wp:simplePos x="0" y="0"/>
            <wp:positionH relativeFrom="page">
              <wp:posOffset>1591055</wp:posOffset>
            </wp:positionH>
            <wp:positionV relativeFrom="paragraph">
              <wp:posOffset>161073</wp:posOffset>
            </wp:positionV>
            <wp:extent cx="4716626" cy="2610230"/>
            <wp:effectExtent l="0" t="0" r="0" b="0"/>
            <wp:wrapTopAndBottom/>
            <wp:docPr id="5" name="image7.png" descr=""/>
            <wp:cNvGraphicFramePr>
              <a:graphicFrameLocks noChangeAspect="1"/>
            </wp:cNvGraphicFramePr>
            <a:graphic>
              <a:graphicData uri="http://schemas.openxmlformats.org/drawingml/2006/picture">
                <pic:pic>
                  <pic:nvPicPr>
                    <pic:cNvPr id="6" name="image7.png"/>
                    <pic:cNvPicPr/>
                  </pic:nvPicPr>
                  <pic:blipFill>
                    <a:blip r:embed="rId19" cstate="print"/>
                    <a:stretch>
                      <a:fillRect/>
                    </a:stretch>
                  </pic:blipFill>
                  <pic:spPr>
                    <a:xfrm>
                      <a:off x="0" y="0"/>
                      <a:ext cx="4716626" cy="2610230"/>
                    </a:xfrm>
                    <a:prstGeom prst="rect">
                      <a:avLst/>
                    </a:prstGeom>
                  </pic:spPr>
                </pic:pic>
              </a:graphicData>
            </a:graphic>
          </wp:anchor>
        </w:drawing>
      </w:r>
    </w:p>
    <w:p>
      <w:pPr>
        <w:pStyle w:val="BodyText"/>
        <w:spacing w:before="4"/>
        <w:rPr>
          <w:b/>
          <w:sz w:val="20"/>
        </w:rPr>
      </w:pPr>
    </w:p>
    <w:p>
      <w:pPr>
        <w:pStyle w:val="BodyText"/>
        <w:ind w:left="100"/>
        <w:jc w:val="both"/>
        <w:rPr>
          <w:rFonts w:ascii="Times New Roman"/>
        </w:rPr>
      </w:pPr>
      <w:r>
        <w:rPr>
          <w:sz w:val="19"/>
        </w:rPr>
        <w:t>Fuente: </w:t>
      </w:r>
      <w:r>
        <w:rPr>
          <w:rFonts w:ascii="Times New Roman"/>
        </w:rPr>
        <w:t>(Hines, Hungerford y Tomera, 1986/87, p.  7).</w:t>
      </w:r>
    </w:p>
    <w:p>
      <w:pPr>
        <w:pStyle w:val="BodyText"/>
        <w:rPr>
          <w:rFonts w:ascii="Times New Roman"/>
          <w:sz w:val="22"/>
        </w:rPr>
      </w:pPr>
    </w:p>
    <w:p>
      <w:pPr>
        <w:pStyle w:val="BodyText"/>
        <w:rPr>
          <w:rFonts w:ascii="Times New Roman"/>
          <w:sz w:val="25"/>
        </w:rPr>
      </w:pPr>
    </w:p>
    <w:p>
      <w:pPr>
        <w:pStyle w:val="Heading2"/>
        <w:numPr>
          <w:ilvl w:val="2"/>
          <w:numId w:val="15"/>
        </w:numPr>
        <w:tabs>
          <w:tab w:pos="802" w:val="left" w:leader="none"/>
        </w:tabs>
        <w:spacing w:line="240" w:lineRule="auto" w:before="0" w:after="0"/>
        <w:ind w:left="801" w:right="0" w:hanging="701"/>
        <w:jc w:val="both"/>
      </w:pPr>
      <w:bookmarkStart w:name="_TOC_250026" w:id="9"/>
      <w:r>
        <w:rPr/>
        <w:t>Modelo </w:t>
      </w:r>
      <w:r>
        <w:rPr>
          <w:spacing w:val="2"/>
        </w:rPr>
        <w:t>de </w:t>
      </w:r>
      <w:r>
        <w:rPr/>
        <w:t>conducta</w:t>
      </w:r>
      <w:r>
        <w:rPr>
          <w:spacing w:val="34"/>
        </w:rPr>
        <w:t> </w:t>
      </w:r>
      <w:bookmarkEnd w:id="9"/>
      <w:r>
        <w:rPr/>
        <w:t>medioambiental</w:t>
      </w:r>
    </w:p>
    <w:p>
      <w:pPr>
        <w:pStyle w:val="BodyText"/>
        <w:spacing w:before="5"/>
        <w:rPr>
          <w:b/>
          <w:sz w:val="22"/>
        </w:rPr>
      </w:pPr>
    </w:p>
    <w:p>
      <w:pPr>
        <w:pStyle w:val="BodyText"/>
        <w:spacing w:line="364" w:lineRule="auto"/>
        <w:ind w:left="100" w:right="893"/>
        <w:jc w:val="both"/>
      </w:pPr>
      <w:r>
        <w:rPr/>
        <w:t>Grob (1995) propone un modelo empírico sobre conducta ambiental (véase Figura 5) en el que relaciona entre sí cinco componentes como son el conocimiento del medio ambiente, las emociones con respecto a los temas ambientales, valores personales, control percibido y conducta ambiental. En general, encontró que los principales predictores de la conducta fueron los valores  personales,  en  concreto  los postmateriales y los de apertura a nuevas ideas, la    implicación emocional con el medio</w:t>
      </w:r>
    </w:p>
    <w:p>
      <w:pPr>
        <w:spacing w:after="0" w:line="364" w:lineRule="auto"/>
        <w:jc w:val="both"/>
        <w:sectPr>
          <w:headerReference w:type="default" r:id="rId17"/>
          <w:footerReference w:type="default" r:id="rId18"/>
          <w:pgSz w:w="11910" w:h="16840"/>
          <w:pgMar w:header="1013" w:footer="1694" w:top="1480" w:bottom="1880" w:left="1560" w:right="200"/>
          <w:pgNumType w:start="30"/>
        </w:sectPr>
      </w:pPr>
    </w:p>
    <w:p>
      <w:pPr>
        <w:pStyle w:val="BodyText"/>
        <w:rPr>
          <w:sz w:val="20"/>
        </w:rPr>
      </w:pPr>
    </w:p>
    <w:p>
      <w:pPr>
        <w:pStyle w:val="BodyText"/>
        <w:spacing w:before="5"/>
        <w:rPr>
          <w:sz w:val="17"/>
        </w:rPr>
      </w:pPr>
    </w:p>
    <w:p>
      <w:pPr>
        <w:pStyle w:val="BodyText"/>
        <w:spacing w:line="364" w:lineRule="auto" w:before="73"/>
        <w:ind w:left="120" w:right="892"/>
        <w:jc w:val="both"/>
      </w:pPr>
      <w:r>
        <w:rPr/>
        <w:t>ambiente, el control percibido y la conciencia medioambiental. En concreto, los dos factores que mostraron una </w:t>
      </w:r>
      <w:r>
        <w:rPr>
          <w:spacing w:val="-3"/>
        </w:rPr>
        <w:t>mayor </w:t>
      </w:r>
      <w:r>
        <w:rPr/>
        <w:t>relación con la conducta proambiental fueron </w:t>
      </w:r>
      <w:r>
        <w:rPr>
          <w:spacing w:val="4"/>
        </w:rPr>
        <w:t>el </w:t>
      </w:r>
      <w:r>
        <w:rPr/>
        <w:t>pensamiento abierto o disposición a pensar en nuevos términos  sobre los  problemas   del medio ambiente y el reconocimiento de los problemas medioambientales. En resumen, se concluye que el modelo aporta evidencia a favor de una secuencia jerárquica entre el valor, la actitud y </w:t>
      </w:r>
      <w:r>
        <w:rPr>
          <w:spacing w:val="-5"/>
        </w:rPr>
        <w:t>la </w:t>
      </w:r>
      <w:r>
        <w:rPr/>
        <w:t>conducta y que </w:t>
      </w:r>
      <w:r>
        <w:rPr>
          <w:spacing w:val="-5"/>
        </w:rPr>
        <w:t>la </w:t>
      </w:r>
      <w:r>
        <w:rPr/>
        <w:t>conciencia ecológica para acciones protectoras  </w:t>
      </w:r>
      <w:r>
        <w:rPr>
          <w:spacing w:val="-3"/>
        </w:rPr>
        <w:t>del </w:t>
      </w:r>
      <w:r>
        <w:rPr/>
        <w:t>medio ambiente depende </w:t>
      </w:r>
      <w:r>
        <w:rPr>
          <w:spacing w:val="2"/>
        </w:rPr>
        <w:t>del </w:t>
      </w:r>
      <w:r>
        <w:rPr/>
        <w:t>surgimiento de un nuevo modo  de pensar (Grob,</w:t>
      </w:r>
      <w:r>
        <w:rPr>
          <w:spacing w:val="27"/>
        </w:rPr>
        <w:t> </w:t>
      </w:r>
      <w:r>
        <w:rPr/>
        <w:t>1995).</w:t>
      </w:r>
    </w:p>
    <w:p>
      <w:pPr>
        <w:pStyle w:val="BodyText"/>
        <w:rPr>
          <w:sz w:val="22"/>
        </w:rPr>
      </w:pPr>
    </w:p>
    <w:p>
      <w:pPr>
        <w:pStyle w:val="Heading2"/>
        <w:spacing w:before="141"/>
        <w:ind w:left="2122" w:right="989"/>
        <w:jc w:val="left"/>
      </w:pPr>
      <w:r>
        <w:rPr/>
        <w:t>Figura 5. Modelo de conducta</w:t>
      </w:r>
      <w:r>
        <w:rPr>
          <w:spacing w:val="51"/>
        </w:rPr>
        <w:t> </w:t>
      </w:r>
      <w:r>
        <w:rPr/>
        <w:t>medioambiental</w:t>
      </w:r>
    </w:p>
    <w:p>
      <w:pPr>
        <w:pStyle w:val="BodyText"/>
        <w:spacing w:before="7"/>
        <w:rPr>
          <w:b/>
          <w:sz w:val="18"/>
        </w:rPr>
      </w:pPr>
      <w:r>
        <w:rPr/>
        <w:drawing>
          <wp:anchor distT="0" distB="0" distL="0" distR="0" allowOverlap="1" layoutInCell="1" locked="0" behindDoc="0" simplePos="0" relativeHeight="1312">
            <wp:simplePos x="0" y="0"/>
            <wp:positionH relativeFrom="page">
              <wp:posOffset>1048511</wp:posOffset>
            </wp:positionH>
            <wp:positionV relativeFrom="paragraph">
              <wp:posOffset>161073</wp:posOffset>
            </wp:positionV>
            <wp:extent cx="5479059" cy="2500979"/>
            <wp:effectExtent l="0" t="0" r="0" b="0"/>
            <wp:wrapTopAndBottom/>
            <wp:docPr id="7" name="image8.png" descr=""/>
            <wp:cNvGraphicFramePr>
              <a:graphicFrameLocks noChangeAspect="1"/>
            </wp:cNvGraphicFramePr>
            <a:graphic>
              <a:graphicData uri="http://schemas.openxmlformats.org/drawingml/2006/picture">
                <pic:pic>
                  <pic:nvPicPr>
                    <pic:cNvPr id="8" name="image8.png"/>
                    <pic:cNvPicPr/>
                  </pic:nvPicPr>
                  <pic:blipFill>
                    <a:blip r:embed="rId20" cstate="print"/>
                    <a:stretch>
                      <a:fillRect/>
                    </a:stretch>
                  </pic:blipFill>
                  <pic:spPr>
                    <a:xfrm>
                      <a:off x="0" y="0"/>
                      <a:ext cx="5479059" cy="2500979"/>
                    </a:xfrm>
                    <a:prstGeom prst="rect">
                      <a:avLst/>
                    </a:prstGeom>
                  </pic:spPr>
                </pic:pic>
              </a:graphicData>
            </a:graphic>
          </wp:anchor>
        </w:drawing>
      </w:r>
    </w:p>
    <w:p>
      <w:pPr>
        <w:pStyle w:val="BodyText"/>
        <w:spacing w:before="10"/>
        <w:rPr>
          <w:b/>
          <w:sz w:val="19"/>
        </w:rPr>
      </w:pPr>
    </w:p>
    <w:p>
      <w:pPr>
        <w:spacing w:before="0"/>
        <w:ind w:left="120" w:right="0" w:firstLine="0"/>
        <w:jc w:val="both"/>
        <w:rPr>
          <w:rFonts w:ascii="Times New Roman"/>
          <w:sz w:val="23"/>
        </w:rPr>
      </w:pPr>
      <w:r>
        <w:rPr>
          <w:sz w:val="19"/>
        </w:rPr>
        <w:t>Fuente: </w:t>
      </w:r>
      <w:r>
        <w:rPr>
          <w:rFonts w:ascii="Times New Roman"/>
          <w:sz w:val="23"/>
        </w:rPr>
        <w:t>(Grob, 1995, p. 209).</w:t>
      </w:r>
    </w:p>
    <w:p>
      <w:pPr>
        <w:pStyle w:val="BodyText"/>
        <w:rPr>
          <w:rFonts w:ascii="Times New Roman"/>
          <w:sz w:val="22"/>
        </w:rPr>
      </w:pPr>
    </w:p>
    <w:p>
      <w:pPr>
        <w:pStyle w:val="BodyText"/>
        <w:rPr>
          <w:rFonts w:ascii="Times New Roman"/>
          <w:sz w:val="22"/>
        </w:rPr>
      </w:pPr>
    </w:p>
    <w:p>
      <w:pPr>
        <w:pStyle w:val="BodyText"/>
        <w:spacing w:before="10"/>
        <w:rPr>
          <w:rFonts w:ascii="Times New Roman"/>
        </w:rPr>
      </w:pPr>
    </w:p>
    <w:p>
      <w:pPr>
        <w:pStyle w:val="Heading2"/>
        <w:numPr>
          <w:ilvl w:val="2"/>
          <w:numId w:val="15"/>
        </w:numPr>
        <w:tabs>
          <w:tab w:pos="822" w:val="left" w:leader="none"/>
        </w:tabs>
        <w:spacing w:line="240" w:lineRule="auto" w:before="0" w:after="0"/>
        <w:ind w:left="821" w:right="0" w:hanging="701"/>
        <w:jc w:val="both"/>
      </w:pPr>
      <w:bookmarkStart w:name="_TOC_250025" w:id="10"/>
      <w:r>
        <w:rPr/>
        <w:t>Modelo </w:t>
      </w:r>
      <w:r>
        <w:rPr>
          <w:spacing w:val="2"/>
        </w:rPr>
        <w:t>de</w:t>
      </w:r>
      <w:r>
        <w:rPr>
          <w:spacing w:val="14"/>
        </w:rPr>
        <w:t> </w:t>
      </w:r>
      <w:bookmarkEnd w:id="10"/>
      <w:r>
        <w:rPr/>
        <w:t>Geller</w:t>
      </w:r>
    </w:p>
    <w:p>
      <w:pPr>
        <w:pStyle w:val="BodyText"/>
        <w:rPr>
          <w:b/>
          <w:sz w:val="22"/>
        </w:rPr>
      </w:pPr>
    </w:p>
    <w:p>
      <w:pPr>
        <w:pStyle w:val="BodyText"/>
        <w:spacing w:line="364" w:lineRule="auto" w:before="1"/>
        <w:ind w:left="120" w:right="888"/>
        <w:jc w:val="both"/>
      </w:pPr>
      <w:r>
        <w:rPr/>
        <w:t>En este modelo se intenta integrar el humanismo y el conductismo a partir de una forma de motivación altruista denominada “cuidado activo”. Según éste modelo las personas actuarían en coherencia con el cuidado activo cuando ahorran  o  distribuyen  los  recursos con el objetivo final de beneficiar a otros. La noción de cuidado activo se asemeja al de autotrascendencia, en el que las personas se preocupan por el bienestar de los otros  y consecuentemente desarrollan conductas de ayuda. Geller propone que   </w:t>
      </w:r>
      <w:r>
        <w:rPr>
          <w:spacing w:val="-5"/>
        </w:rPr>
        <w:t>la   </w:t>
      </w:r>
      <w:r>
        <w:rPr/>
        <w:t>autoestima,  el  control  personal,  el  sentido  de  pertenencia,  </w:t>
      </w:r>
      <w:r>
        <w:rPr>
          <w:spacing w:val="-5"/>
        </w:rPr>
        <w:t>la   </w:t>
      </w:r>
      <w:r>
        <w:rPr/>
        <w:t>autoeficacia  y   </w:t>
      </w:r>
      <w:r>
        <w:rPr>
          <w:spacing w:val="46"/>
        </w:rPr>
        <w:t> </w:t>
      </w:r>
      <w:r>
        <w:rPr/>
        <w:t>el</w:t>
      </w:r>
    </w:p>
    <w:p>
      <w:pPr>
        <w:spacing w:after="0" w:line="364" w:lineRule="auto"/>
        <w:jc w:val="both"/>
        <w:sectPr>
          <w:pgSz w:w="11910" w:h="16840"/>
          <w:pgMar w:header="1013" w:footer="1694" w:top="1480" w:bottom="1900" w:left="1540" w:right="200"/>
        </w:sectPr>
      </w:pPr>
    </w:p>
    <w:p>
      <w:pPr>
        <w:pStyle w:val="Heading1"/>
        <w:spacing w:line="240" w:lineRule="auto" w:before="7"/>
        <w:ind w:left="975" w:right="989"/>
      </w:pPr>
      <w:r>
        <w:rPr/>
        <w:pict>
          <v:rect style="position:absolute;margin-left:524.400024pt;margin-top:.354014pt;width:55.2pt;height:13.44pt;mso-position-horizontal-relative:page;mso-position-vertical-relative:paragraph;z-index:-243760" filled="true" fillcolor="#4f81bd" stroked="false">
            <v:fill type="solid"/>
            <w10:wrap type="none"/>
          </v:rect>
        </w:pict>
      </w:r>
      <w:r>
        <w:rPr/>
        <w:t>Comportamiento Proambiental del Visitante en el Parque Nacional Desierto de los Leones</w:t>
      </w:r>
    </w:p>
    <w:p>
      <w:pPr>
        <w:pStyle w:val="BodyText"/>
        <w:spacing w:before="15"/>
        <w:rPr>
          <w:rFonts w:ascii="Gabriola"/>
          <w:sz w:val="22"/>
        </w:rPr>
      </w:pPr>
    </w:p>
    <w:p>
      <w:pPr>
        <w:pStyle w:val="BodyText"/>
        <w:spacing w:line="362" w:lineRule="auto"/>
        <w:ind w:left="115" w:right="907"/>
        <w:jc w:val="both"/>
      </w:pPr>
      <w:r>
        <w:rPr/>
        <w:t>optimismo, estimulan </w:t>
      </w:r>
      <w:r>
        <w:rPr>
          <w:spacing w:val="-5"/>
        </w:rPr>
        <w:t>la </w:t>
      </w:r>
      <w:r>
        <w:rPr/>
        <w:t>motivación altruista de cuidado activo que conlleva a  la  conducta </w:t>
      </w:r>
      <w:r>
        <w:rPr>
          <w:spacing w:val="-3"/>
        </w:rPr>
        <w:t>de </w:t>
      </w:r>
      <w:r>
        <w:rPr/>
        <w:t>protección del ambiente (González, </w:t>
      </w:r>
      <w:r>
        <w:rPr>
          <w:spacing w:val="6"/>
        </w:rPr>
        <w:t> </w:t>
      </w:r>
      <w:r>
        <w:rPr/>
        <w:t>2005).</w:t>
      </w:r>
    </w:p>
    <w:p>
      <w:pPr>
        <w:pStyle w:val="BodyText"/>
        <w:spacing w:line="364" w:lineRule="auto" w:before="123"/>
        <w:ind w:left="116" w:right="894"/>
        <w:jc w:val="both"/>
      </w:pPr>
      <w:r>
        <w:rPr/>
        <w:t>En este modelo, los valores y las creencias son los factores más importantes que desencadenan la conducta proambiental, por lo que ocupan un lugar superior en el modelo y </w:t>
      </w:r>
      <w:r>
        <w:rPr>
          <w:spacing w:val="3"/>
        </w:rPr>
        <w:t>su </w:t>
      </w:r>
      <w:r>
        <w:rPr/>
        <w:t>influencia es mayor que la del resto de las variables (ver figura </w:t>
      </w:r>
      <w:r>
        <w:rPr>
          <w:spacing w:val="-3"/>
        </w:rPr>
        <w:t>6). </w:t>
      </w:r>
      <w:r>
        <w:rPr/>
        <w:t>Los valores actúan como filtro de la información sobre las consecuencias ambientales y las decisiones se toman para evitar o aliviar dichas consecuencias  percibidas  o  anticipadas. Las creencias que tienen las personas sobre su relación con el ambiente y sobre las consecuencias </w:t>
      </w:r>
      <w:r>
        <w:rPr>
          <w:spacing w:val="-3"/>
        </w:rPr>
        <w:t>que </w:t>
      </w:r>
      <w:r>
        <w:rPr/>
        <w:t>tienen el deterioro o protección del  ambiente  sobre  la salud, el empleo y el bienestar, se configuran como actitudes hacia el medio </w:t>
      </w:r>
      <w:r>
        <w:rPr>
          <w:spacing w:val="39"/>
        </w:rPr>
        <w:t> </w:t>
      </w:r>
      <w:r>
        <w:rPr/>
        <w:t>ambiente.</w:t>
      </w:r>
    </w:p>
    <w:p>
      <w:pPr>
        <w:pStyle w:val="BodyText"/>
        <w:spacing w:line="364" w:lineRule="auto" w:before="120"/>
        <w:ind w:left="116" w:right="897"/>
        <w:jc w:val="both"/>
      </w:pPr>
      <w:r>
        <w:rPr/>
        <w:t>Las creencias pueden entenderse como sistemas simbólicos que se comparten dentro  de un grupo social o pensamientos acerca </w:t>
      </w:r>
      <w:r>
        <w:rPr>
          <w:spacing w:val="-3"/>
        </w:rPr>
        <w:t>de </w:t>
      </w:r>
      <w:r>
        <w:rPr/>
        <w:t>cómo funciona el mundo que determinan   </w:t>
      </w:r>
      <w:r>
        <w:rPr>
          <w:spacing w:val="-5"/>
        </w:rPr>
        <w:t>la </w:t>
      </w:r>
      <w:r>
        <w:rPr/>
        <w:t>manera como las personas se relacionan con </w:t>
      </w:r>
      <w:r>
        <w:rPr>
          <w:spacing w:val="-5"/>
        </w:rPr>
        <w:t>la </w:t>
      </w:r>
      <w:r>
        <w:rPr/>
        <w:t>naturaleza (Milbrath, 1990 en González, 2005). Cary (1993) señala que cuanto más remoto es el objeto de la creencia ambiental, más simbólica y abstracta </w:t>
      </w:r>
      <w:r>
        <w:rPr>
          <w:spacing w:val="-3"/>
        </w:rPr>
        <w:t>es </w:t>
      </w:r>
      <w:r>
        <w:rPr/>
        <w:t>la creencia, es decir que </w:t>
      </w:r>
      <w:r>
        <w:rPr>
          <w:spacing w:val="3"/>
        </w:rPr>
        <w:t>se </w:t>
      </w:r>
      <w:r>
        <w:rPr/>
        <w:t>guía por criterios sociales, mientras que las creencias instrumentales que </w:t>
      </w:r>
      <w:r>
        <w:rPr>
          <w:spacing w:val="3"/>
        </w:rPr>
        <w:t>se </w:t>
      </w:r>
      <w:r>
        <w:rPr/>
        <w:t>enraízan </w:t>
      </w:r>
      <w:r>
        <w:rPr>
          <w:spacing w:val="-3"/>
        </w:rPr>
        <w:t>en </w:t>
      </w:r>
      <w:r>
        <w:rPr>
          <w:spacing w:val="-5"/>
        </w:rPr>
        <w:t>la  </w:t>
      </w:r>
      <w:r>
        <w:rPr/>
        <w:t>experiencia   se muestran </w:t>
      </w:r>
      <w:r>
        <w:rPr>
          <w:spacing w:val="-3"/>
        </w:rPr>
        <w:t>más </w:t>
      </w:r>
      <w:r>
        <w:rPr/>
        <w:t>relacionadas con las reacciones de las personas. No obstante, Uzzel (2000, en González, 2005) concluye por medio de trabajos realizados en diferentes países, que las personas están </w:t>
      </w:r>
      <w:r>
        <w:rPr>
          <w:spacing w:val="-3"/>
        </w:rPr>
        <w:t>más </w:t>
      </w:r>
      <w:r>
        <w:rPr/>
        <w:t>preocupadas por los problemas ambientales a nivel global que a nivel local aunque se sienten menos responsables </w:t>
      </w:r>
      <w:r>
        <w:rPr>
          <w:spacing w:val="-3"/>
        </w:rPr>
        <w:t>de </w:t>
      </w:r>
      <w:r>
        <w:rPr/>
        <w:t>los </w:t>
      </w:r>
      <w:r>
        <w:rPr>
          <w:spacing w:val="41"/>
        </w:rPr>
        <w:t> </w:t>
      </w:r>
      <w:r>
        <w:rPr/>
        <w:t>primeros.</w:t>
      </w:r>
    </w:p>
    <w:p>
      <w:pPr>
        <w:pStyle w:val="BodyText"/>
        <w:spacing w:line="362" w:lineRule="auto" w:before="125"/>
        <w:ind w:left="116" w:right="900"/>
        <w:jc w:val="both"/>
      </w:pPr>
      <w:r>
        <w:rPr/>
        <w:t>El control ambiental se refiere a </w:t>
      </w:r>
      <w:r>
        <w:rPr>
          <w:spacing w:val="-4"/>
        </w:rPr>
        <w:t>las </w:t>
      </w:r>
      <w:r>
        <w:rPr/>
        <w:t>expectativas de resultado o  creencias  de  </w:t>
      </w:r>
      <w:r>
        <w:rPr>
          <w:spacing w:val="-3"/>
        </w:rPr>
        <w:t>que </w:t>
      </w:r>
      <w:r>
        <w:rPr/>
        <w:t>ciertas acciones mejorarán la calidad del</w:t>
      </w:r>
      <w:r>
        <w:rPr>
          <w:spacing w:val="53"/>
        </w:rPr>
        <w:t> </w:t>
      </w:r>
      <w:r>
        <w:rPr/>
        <w:t>ambiente.</w:t>
      </w:r>
    </w:p>
    <w:p>
      <w:pPr>
        <w:pStyle w:val="BodyText"/>
        <w:spacing w:line="364" w:lineRule="auto" w:before="123"/>
        <w:ind w:left="116" w:right="899"/>
        <w:jc w:val="both"/>
      </w:pPr>
      <w:r>
        <w:rPr/>
        <w:t>La negación/obligación, es un mecanismo cognitivo que justifica y racionaliza creencias  y conductas frente a una situación ambiental, y puede conllevar a la exclusión moral o    al desarrollo de una conducta favorable para el ambiente. Finalmente, las normas personales representan reglas o heurísticas a través de las cuales se evalúan las situaciones y ofrecen pautas sobre </w:t>
      </w:r>
      <w:r>
        <w:rPr>
          <w:spacing w:val="-5"/>
        </w:rPr>
        <w:t>lo </w:t>
      </w:r>
      <w:r>
        <w:rPr/>
        <w:t>que se debe </w:t>
      </w:r>
      <w:r>
        <w:rPr>
          <w:spacing w:val="15"/>
        </w:rPr>
        <w:t> </w:t>
      </w:r>
      <w:r>
        <w:rPr/>
        <w:t>hacer.</w:t>
      </w:r>
    </w:p>
    <w:p>
      <w:pPr>
        <w:spacing w:after="0" w:line="364" w:lineRule="auto"/>
        <w:jc w:val="both"/>
        <w:sectPr>
          <w:headerReference w:type="default" r:id="rId21"/>
          <w:footerReference w:type="default" r:id="rId22"/>
          <w:pgSz w:w="11910" w:h="16840"/>
          <w:pgMar w:header="0" w:footer="1715" w:top="1040" w:bottom="1900" w:left="1540" w:right="200"/>
          <w:pgNumType w:start="32"/>
        </w:sectPr>
      </w:pPr>
    </w:p>
    <w:p>
      <w:pPr>
        <w:pStyle w:val="BodyText"/>
        <w:rPr>
          <w:sz w:val="20"/>
        </w:rPr>
      </w:pPr>
    </w:p>
    <w:p>
      <w:pPr>
        <w:pStyle w:val="BodyText"/>
        <w:spacing w:before="5"/>
        <w:rPr>
          <w:sz w:val="17"/>
        </w:rPr>
      </w:pPr>
    </w:p>
    <w:p>
      <w:pPr>
        <w:pStyle w:val="Heading2"/>
        <w:spacing w:before="73"/>
        <w:ind w:left="3384" w:right="514"/>
        <w:jc w:val="left"/>
      </w:pPr>
      <w:r>
        <w:rPr/>
        <w:t>Figura 6. Modelo Geller</w:t>
      </w:r>
    </w:p>
    <w:p>
      <w:pPr>
        <w:pStyle w:val="BodyText"/>
        <w:spacing w:before="9"/>
        <w:rPr>
          <w:b/>
          <w:sz w:val="22"/>
        </w:rPr>
      </w:pPr>
      <w:r>
        <w:rPr/>
        <w:drawing>
          <wp:anchor distT="0" distB="0" distL="0" distR="0" allowOverlap="1" layoutInCell="1" locked="0" behindDoc="0" simplePos="0" relativeHeight="1360">
            <wp:simplePos x="0" y="0"/>
            <wp:positionH relativeFrom="page">
              <wp:posOffset>1780032</wp:posOffset>
            </wp:positionH>
            <wp:positionV relativeFrom="paragraph">
              <wp:posOffset>191553</wp:posOffset>
            </wp:positionV>
            <wp:extent cx="4759722" cy="2598420"/>
            <wp:effectExtent l="0" t="0" r="0" b="0"/>
            <wp:wrapTopAndBottom/>
            <wp:docPr id="9" name="image9.png" descr=""/>
            <wp:cNvGraphicFramePr>
              <a:graphicFrameLocks noChangeAspect="1"/>
            </wp:cNvGraphicFramePr>
            <a:graphic>
              <a:graphicData uri="http://schemas.openxmlformats.org/drawingml/2006/picture">
                <pic:pic>
                  <pic:nvPicPr>
                    <pic:cNvPr id="10" name="image9.png"/>
                    <pic:cNvPicPr/>
                  </pic:nvPicPr>
                  <pic:blipFill>
                    <a:blip r:embed="rId24" cstate="print"/>
                    <a:stretch>
                      <a:fillRect/>
                    </a:stretch>
                  </pic:blipFill>
                  <pic:spPr>
                    <a:xfrm>
                      <a:off x="0" y="0"/>
                      <a:ext cx="4759722" cy="2598420"/>
                    </a:xfrm>
                    <a:prstGeom prst="rect">
                      <a:avLst/>
                    </a:prstGeom>
                  </pic:spPr>
                </pic:pic>
              </a:graphicData>
            </a:graphic>
          </wp:anchor>
        </w:drawing>
      </w:r>
    </w:p>
    <w:p>
      <w:pPr>
        <w:pStyle w:val="BodyText"/>
        <w:rPr>
          <w:b/>
          <w:sz w:val="32"/>
        </w:rPr>
      </w:pPr>
    </w:p>
    <w:p>
      <w:pPr>
        <w:spacing w:before="0"/>
        <w:ind w:left="100" w:right="514" w:firstLine="0"/>
        <w:jc w:val="left"/>
        <w:rPr>
          <w:rFonts w:ascii="Times New Roman"/>
          <w:sz w:val="23"/>
        </w:rPr>
      </w:pPr>
      <w:r>
        <w:rPr>
          <w:sz w:val="19"/>
        </w:rPr>
        <w:t>Fuente: </w:t>
      </w:r>
      <w:r>
        <w:rPr>
          <w:rFonts w:ascii="Times New Roman"/>
          <w:sz w:val="23"/>
        </w:rPr>
        <w:t>Geller (1995a, 1995b).</w:t>
      </w:r>
    </w:p>
    <w:p>
      <w:pPr>
        <w:pStyle w:val="BodyText"/>
        <w:spacing w:before="4"/>
        <w:rPr>
          <w:rFonts w:ascii="Times New Roman"/>
          <w:sz w:val="16"/>
        </w:rPr>
      </w:pPr>
    </w:p>
    <w:p>
      <w:pPr>
        <w:pStyle w:val="BodyText"/>
        <w:spacing w:line="364" w:lineRule="auto" w:before="74"/>
        <w:ind w:left="100" w:right="892"/>
        <w:jc w:val="both"/>
      </w:pPr>
      <w:r>
        <w:rPr/>
        <w:t>Allen y Ferrand (1999), tras un análisis empírico </w:t>
      </w:r>
      <w:r>
        <w:rPr>
          <w:spacing w:val="-3"/>
        </w:rPr>
        <w:t>de </w:t>
      </w:r>
      <w:r>
        <w:rPr/>
        <w:t>este modelo aplicado al cuidado del medio ambiente, concluyen que la motivación altruista de cuidado activo,  medida  a través de sentimientos de preocupación y simpatía por los otros, </w:t>
      </w:r>
      <w:r>
        <w:rPr>
          <w:spacing w:val="3"/>
        </w:rPr>
        <w:t>se </w:t>
      </w:r>
      <w:r>
        <w:rPr/>
        <w:t>constituye en un predictor significativo de la conducta ambiental y manifiestan que el cuidado activo,  como forma de motivación altruista, contribuye a la motivación individual para actuar a favor del medio</w:t>
      </w:r>
      <w:r>
        <w:rPr>
          <w:spacing w:val="28"/>
        </w:rPr>
        <w:t> </w:t>
      </w:r>
      <w:r>
        <w:rPr/>
        <w:t>ambiente.</w:t>
      </w:r>
    </w:p>
    <w:p>
      <w:pPr>
        <w:pStyle w:val="BodyText"/>
        <w:spacing w:line="364" w:lineRule="auto" w:before="120"/>
        <w:ind w:left="100" w:right="888"/>
        <w:jc w:val="both"/>
      </w:pPr>
      <w:r>
        <w:rPr/>
        <w:t>En resumen, los modelos psicológicos utilizan en sus </w:t>
      </w:r>
      <w:r>
        <w:rPr>
          <w:spacing w:val="-3"/>
        </w:rPr>
        <w:t>análisis </w:t>
      </w:r>
      <w:r>
        <w:rPr/>
        <w:t>del proceso de preocupación por el medio ambiente y de </w:t>
      </w:r>
      <w:r>
        <w:rPr>
          <w:spacing w:val="-5"/>
        </w:rPr>
        <w:t>la </w:t>
      </w:r>
      <w:r>
        <w:rPr/>
        <w:t>conducta ecológica preferentemente  variables de tipo personal o características psicológicas, que son un producto de la interacción de los seres humanos en sus contextos. En este sentido, los modelos procesales de preocupación ambiental, </w:t>
      </w:r>
      <w:r>
        <w:rPr>
          <w:spacing w:val="3"/>
        </w:rPr>
        <w:t>se </w:t>
      </w:r>
      <w:r>
        <w:rPr/>
        <w:t>caracterizarían por analizar la relación que establecen entre sí estas variables personales y las variables contextuales a través del estudio de los procesos de interacción social en los que participan tanto los seres humanos como sus construcciones sociales y  contextuales.</w:t>
      </w:r>
    </w:p>
    <w:p>
      <w:pPr>
        <w:pStyle w:val="BodyText"/>
        <w:spacing w:line="364" w:lineRule="auto" w:before="120"/>
        <w:ind w:left="100" w:right="892"/>
        <w:jc w:val="both"/>
      </w:pPr>
      <w:r>
        <w:rPr/>
        <w:t>Un modelo sobre conducta </w:t>
      </w:r>
      <w:r>
        <w:rPr>
          <w:spacing w:val="-3"/>
        </w:rPr>
        <w:t>de </w:t>
      </w:r>
      <w:r>
        <w:rPr/>
        <w:t>uso de la energía basado en diferentes factores y procesos </w:t>
      </w:r>
      <w:r>
        <w:rPr>
          <w:spacing w:val="-3"/>
        </w:rPr>
        <w:t>que </w:t>
      </w:r>
      <w:r>
        <w:rPr/>
        <w:t>influyen en la conducta de conservación de la energía ha sido planteado por Costanzo</w:t>
      </w:r>
      <w:r>
        <w:rPr>
          <w:spacing w:val="21"/>
        </w:rPr>
        <w:t> </w:t>
      </w:r>
      <w:r>
        <w:rPr/>
        <w:t>(1986).</w:t>
      </w:r>
    </w:p>
    <w:p>
      <w:pPr>
        <w:spacing w:after="0" w:line="364" w:lineRule="auto"/>
        <w:jc w:val="both"/>
        <w:sectPr>
          <w:headerReference w:type="default" r:id="rId23"/>
          <w:pgSz w:w="11910" w:h="16840"/>
          <w:pgMar w:header="1013" w:footer="1715" w:top="1480" w:bottom="1900" w:left="1560" w:right="200"/>
        </w:sectPr>
      </w:pPr>
    </w:p>
    <w:p>
      <w:pPr>
        <w:pStyle w:val="BodyText"/>
        <w:rPr>
          <w:sz w:val="20"/>
        </w:rPr>
      </w:pPr>
    </w:p>
    <w:p>
      <w:pPr>
        <w:pStyle w:val="BodyText"/>
        <w:spacing w:before="5"/>
        <w:rPr>
          <w:sz w:val="17"/>
        </w:rPr>
      </w:pPr>
    </w:p>
    <w:p>
      <w:pPr>
        <w:pStyle w:val="Heading2"/>
        <w:numPr>
          <w:ilvl w:val="2"/>
          <w:numId w:val="15"/>
        </w:numPr>
        <w:tabs>
          <w:tab w:pos="802" w:val="left" w:leader="none"/>
        </w:tabs>
        <w:spacing w:line="240" w:lineRule="auto" w:before="73" w:after="0"/>
        <w:ind w:left="801" w:right="0" w:hanging="701"/>
        <w:jc w:val="both"/>
      </w:pPr>
      <w:bookmarkStart w:name="_TOC_250024" w:id="11"/>
      <w:r>
        <w:rPr/>
        <w:t>Modelo </w:t>
      </w:r>
      <w:r>
        <w:rPr>
          <w:spacing w:val="2"/>
        </w:rPr>
        <w:t>de</w:t>
      </w:r>
      <w:r>
        <w:rPr>
          <w:spacing w:val="18"/>
        </w:rPr>
        <w:t> </w:t>
      </w:r>
      <w:bookmarkEnd w:id="11"/>
      <w:r>
        <w:rPr/>
        <w:t>Costanzo</w:t>
      </w:r>
    </w:p>
    <w:p>
      <w:pPr>
        <w:pStyle w:val="BodyText"/>
        <w:rPr>
          <w:b/>
          <w:sz w:val="22"/>
        </w:rPr>
      </w:pPr>
    </w:p>
    <w:p>
      <w:pPr>
        <w:pStyle w:val="BodyText"/>
        <w:spacing w:line="364" w:lineRule="auto" w:before="1"/>
        <w:ind w:left="100" w:right="889"/>
        <w:jc w:val="both"/>
      </w:pPr>
      <w:r>
        <w:rPr/>
        <w:t>Este modelo se elaboró a partir de diversos factores que </w:t>
      </w:r>
      <w:r>
        <w:rPr>
          <w:spacing w:val="-2"/>
        </w:rPr>
        <w:t>influyen </w:t>
      </w:r>
      <w:r>
        <w:rPr/>
        <w:t>en la conducta </w:t>
      </w:r>
      <w:r>
        <w:rPr>
          <w:spacing w:val="-3"/>
        </w:rPr>
        <w:t>de </w:t>
      </w:r>
      <w:r>
        <w:rPr/>
        <w:t>conservación de la energía. Las variables psicológicas y situacionales interactúan a través del proceso que inicia </w:t>
      </w:r>
      <w:r>
        <w:rPr>
          <w:spacing w:val="2"/>
        </w:rPr>
        <w:t>con </w:t>
      </w:r>
      <w:r>
        <w:rPr/>
        <w:t>la presentación de información sobre conservación </w:t>
      </w:r>
      <w:r>
        <w:rPr>
          <w:spacing w:val="-3"/>
        </w:rPr>
        <w:t>de   </w:t>
      </w:r>
      <w:r>
        <w:rPr>
          <w:spacing w:val="-5"/>
        </w:rPr>
        <w:t>la </w:t>
      </w:r>
      <w:r>
        <w:rPr/>
        <w:t>energía hasta la posible instalación de mecanismos tecnológicos de conservación energética. En este modelo los factores psicológicos </w:t>
      </w:r>
      <w:r>
        <w:rPr>
          <w:spacing w:val="3"/>
        </w:rPr>
        <w:t>se </w:t>
      </w:r>
      <w:r>
        <w:rPr/>
        <w:t>refieren a la manera como es procesada la información, pasando por la percepción, la evaluación, la comprensión y </w:t>
      </w:r>
      <w:r>
        <w:rPr>
          <w:spacing w:val="4"/>
        </w:rPr>
        <w:t>el </w:t>
      </w:r>
      <w:r>
        <w:rPr/>
        <w:t>recuerdo del individuo, mientras que los factores situacionales </w:t>
      </w:r>
      <w:r>
        <w:rPr>
          <w:spacing w:val="3"/>
        </w:rPr>
        <w:t>se </w:t>
      </w:r>
      <w:r>
        <w:rPr/>
        <w:t>refieren a las características del contexto </w:t>
      </w:r>
      <w:r>
        <w:rPr>
          <w:spacing w:val="-3"/>
        </w:rPr>
        <w:t>que </w:t>
      </w:r>
      <w:r>
        <w:rPr/>
        <w:t>facilitan o dificultan la conducta como son los ingresos,   </w:t>
      </w:r>
      <w:r>
        <w:rPr>
          <w:spacing w:val="-5"/>
        </w:rPr>
        <w:t>la </w:t>
      </w:r>
      <w:r>
        <w:rPr/>
        <w:t>tecnología en el hogar, entre otros (ver figura </w:t>
      </w:r>
      <w:r>
        <w:rPr>
          <w:spacing w:val="3"/>
        </w:rPr>
        <w:t> </w:t>
      </w:r>
      <w:r>
        <w:rPr/>
        <w:t>7).</w:t>
      </w:r>
    </w:p>
    <w:p>
      <w:pPr>
        <w:pStyle w:val="Heading2"/>
        <w:spacing w:before="120"/>
        <w:ind w:left="3019" w:right="514"/>
        <w:jc w:val="left"/>
      </w:pPr>
      <w:r>
        <w:rPr/>
        <w:t>Figura 7. Modelo de Costanzo</w:t>
      </w:r>
    </w:p>
    <w:p>
      <w:pPr>
        <w:pStyle w:val="BodyText"/>
        <w:spacing w:before="7"/>
        <w:rPr>
          <w:b/>
          <w:sz w:val="18"/>
        </w:rPr>
      </w:pPr>
      <w:r>
        <w:rPr/>
        <w:drawing>
          <wp:anchor distT="0" distB="0" distL="0" distR="0" allowOverlap="1" layoutInCell="1" locked="0" behindDoc="0" simplePos="0" relativeHeight="1384">
            <wp:simplePos x="0" y="0"/>
            <wp:positionH relativeFrom="page">
              <wp:posOffset>1917192</wp:posOffset>
            </wp:positionH>
            <wp:positionV relativeFrom="paragraph">
              <wp:posOffset>161073</wp:posOffset>
            </wp:positionV>
            <wp:extent cx="4074687" cy="2509837"/>
            <wp:effectExtent l="0" t="0" r="0" b="0"/>
            <wp:wrapTopAndBottom/>
            <wp:docPr id="11" name="image10.png" descr=""/>
            <wp:cNvGraphicFramePr>
              <a:graphicFrameLocks noChangeAspect="1"/>
            </wp:cNvGraphicFramePr>
            <a:graphic>
              <a:graphicData uri="http://schemas.openxmlformats.org/drawingml/2006/picture">
                <pic:pic>
                  <pic:nvPicPr>
                    <pic:cNvPr id="12" name="image10.png"/>
                    <pic:cNvPicPr/>
                  </pic:nvPicPr>
                  <pic:blipFill>
                    <a:blip r:embed="rId25" cstate="print"/>
                    <a:stretch>
                      <a:fillRect/>
                    </a:stretch>
                  </pic:blipFill>
                  <pic:spPr>
                    <a:xfrm>
                      <a:off x="0" y="0"/>
                      <a:ext cx="4074687" cy="2509837"/>
                    </a:xfrm>
                    <a:prstGeom prst="rect">
                      <a:avLst/>
                    </a:prstGeom>
                  </pic:spPr>
                </pic:pic>
              </a:graphicData>
            </a:graphic>
          </wp:anchor>
        </w:drawing>
      </w:r>
    </w:p>
    <w:p>
      <w:pPr>
        <w:pStyle w:val="BodyText"/>
        <w:spacing w:before="3"/>
        <w:rPr>
          <w:b/>
          <w:sz w:val="22"/>
        </w:rPr>
      </w:pPr>
    </w:p>
    <w:p>
      <w:pPr>
        <w:spacing w:line="247" w:lineRule="auto" w:before="0"/>
        <w:ind w:left="100" w:right="1739" w:firstLine="0"/>
        <w:jc w:val="left"/>
        <w:rPr>
          <w:sz w:val="19"/>
        </w:rPr>
      </w:pPr>
      <w:r>
        <w:rPr>
          <w:w w:val="105"/>
          <w:sz w:val="19"/>
        </w:rPr>
        <w:t>Fuente:</w:t>
      </w:r>
      <w:r>
        <w:rPr>
          <w:spacing w:val="-24"/>
          <w:w w:val="105"/>
          <w:sz w:val="19"/>
        </w:rPr>
        <w:t> </w:t>
      </w:r>
      <w:r>
        <w:rPr>
          <w:w w:val="105"/>
          <w:sz w:val="19"/>
        </w:rPr>
        <w:t>Factores</w:t>
      </w:r>
      <w:r>
        <w:rPr>
          <w:spacing w:val="-22"/>
          <w:w w:val="105"/>
          <w:sz w:val="19"/>
        </w:rPr>
        <w:t> </w:t>
      </w:r>
      <w:r>
        <w:rPr>
          <w:w w:val="105"/>
          <w:sz w:val="19"/>
        </w:rPr>
        <w:t>psicosociales</w:t>
      </w:r>
      <w:r>
        <w:rPr>
          <w:spacing w:val="-22"/>
          <w:w w:val="105"/>
          <w:sz w:val="19"/>
        </w:rPr>
        <w:t> </w:t>
      </w:r>
      <w:r>
        <w:rPr>
          <w:w w:val="105"/>
          <w:sz w:val="19"/>
        </w:rPr>
        <w:t>implicados</w:t>
      </w:r>
      <w:r>
        <w:rPr>
          <w:spacing w:val="-25"/>
          <w:w w:val="105"/>
          <w:sz w:val="19"/>
        </w:rPr>
        <w:t> </w:t>
      </w:r>
      <w:r>
        <w:rPr>
          <w:spacing w:val="2"/>
          <w:w w:val="105"/>
          <w:sz w:val="19"/>
        </w:rPr>
        <w:t>en</w:t>
      </w:r>
      <w:r>
        <w:rPr>
          <w:spacing w:val="-22"/>
          <w:w w:val="105"/>
          <w:sz w:val="19"/>
        </w:rPr>
        <w:t> </w:t>
      </w:r>
      <w:r>
        <w:rPr>
          <w:w w:val="105"/>
          <w:sz w:val="19"/>
        </w:rPr>
        <w:t>la</w:t>
      </w:r>
      <w:r>
        <w:rPr>
          <w:spacing w:val="-22"/>
          <w:w w:val="105"/>
          <w:sz w:val="19"/>
        </w:rPr>
        <w:t> </w:t>
      </w:r>
      <w:r>
        <w:rPr>
          <w:w w:val="105"/>
          <w:sz w:val="19"/>
        </w:rPr>
        <w:t>conducta</w:t>
      </w:r>
      <w:r>
        <w:rPr>
          <w:spacing w:val="-22"/>
          <w:w w:val="105"/>
          <w:sz w:val="19"/>
        </w:rPr>
        <w:t> </w:t>
      </w:r>
      <w:r>
        <w:rPr>
          <w:w w:val="105"/>
          <w:sz w:val="19"/>
        </w:rPr>
        <w:t>de</w:t>
      </w:r>
      <w:r>
        <w:rPr>
          <w:spacing w:val="-19"/>
          <w:w w:val="105"/>
          <w:sz w:val="19"/>
        </w:rPr>
        <w:t> </w:t>
      </w:r>
      <w:r>
        <w:rPr>
          <w:w w:val="105"/>
          <w:sz w:val="19"/>
        </w:rPr>
        <w:t>conservación</w:t>
      </w:r>
      <w:r>
        <w:rPr>
          <w:spacing w:val="-22"/>
          <w:w w:val="105"/>
          <w:sz w:val="19"/>
        </w:rPr>
        <w:t> </w:t>
      </w:r>
      <w:r>
        <w:rPr>
          <w:w w:val="105"/>
          <w:sz w:val="19"/>
        </w:rPr>
        <w:t>de</w:t>
      </w:r>
      <w:r>
        <w:rPr>
          <w:spacing w:val="-13"/>
          <w:w w:val="105"/>
          <w:sz w:val="19"/>
        </w:rPr>
        <w:t> </w:t>
      </w:r>
      <w:r>
        <w:rPr>
          <w:w w:val="105"/>
          <w:sz w:val="19"/>
        </w:rPr>
        <w:t>energía (Adaptado</w:t>
      </w:r>
      <w:r>
        <w:rPr>
          <w:spacing w:val="-18"/>
          <w:w w:val="105"/>
          <w:sz w:val="19"/>
        </w:rPr>
        <w:t> </w:t>
      </w:r>
      <w:r>
        <w:rPr>
          <w:w w:val="105"/>
          <w:sz w:val="19"/>
        </w:rPr>
        <w:t>de</w:t>
      </w:r>
      <w:r>
        <w:rPr>
          <w:spacing w:val="-14"/>
          <w:w w:val="105"/>
          <w:sz w:val="19"/>
        </w:rPr>
        <w:t> </w:t>
      </w:r>
      <w:r>
        <w:rPr>
          <w:w w:val="105"/>
          <w:sz w:val="19"/>
        </w:rPr>
        <w:t>Costanzo,</w:t>
      </w:r>
      <w:r>
        <w:rPr>
          <w:spacing w:val="-23"/>
          <w:w w:val="105"/>
          <w:sz w:val="19"/>
        </w:rPr>
        <w:t> </w:t>
      </w:r>
      <w:r>
        <w:rPr>
          <w:w w:val="105"/>
          <w:sz w:val="19"/>
        </w:rPr>
        <w:t>Archer,</w:t>
      </w:r>
      <w:r>
        <w:rPr>
          <w:spacing w:val="-23"/>
          <w:w w:val="105"/>
          <w:sz w:val="19"/>
        </w:rPr>
        <w:t> </w:t>
      </w:r>
      <w:r>
        <w:rPr>
          <w:w w:val="105"/>
          <w:sz w:val="19"/>
        </w:rPr>
        <w:t>Aronson</w:t>
      </w:r>
      <w:r>
        <w:rPr>
          <w:spacing w:val="-18"/>
          <w:w w:val="105"/>
          <w:sz w:val="19"/>
        </w:rPr>
        <w:t> </w:t>
      </w:r>
      <w:r>
        <w:rPr>
          <w:w w:val="105"/>
          <w:sz w:val="19"/>
        </w:rPr>
        <w:t>y</w:t>
      </w:r>
      <w:r>
        <w:rPr>
          <w:spacing w:val="-24"/>
          <w:w w:val="105"/>
          <w:sz w:val="19"/>
        </w:rPr>
        <w:t> </w:t>
      </w:r>
      <w:r>
        <w:rPr>
          <w:w w:val="105"/>
          <w:sz w:val="19"/>
        </w:rPr>
        <w:t>Pettigrew,</w:t>
      </w:r>
      <w:r>
        <w:rPr>
          <w:spacing w:val="-16"/>
          <w:w w:val="105"/>
          <w:sz w:val="19"/>
        </w:rPr>
        <w:t> </w:t>
      </w:r>
      <w:r>
        <w:rPr>
          <w:w w:val="105"/>
          <w:sz w:val="19"/>
        </w:rPr>
        <w:t>1986,</w:t>
      </w:r>
      <w:r>
        <w:rPr>
          <w:spacing w:val="-19"/>
          <w:w w:val="105"/>
          <w:sz w:val="19"/>
        </w:rPr>
        <w:t> </w:t>
      </w:r>
      <w:r>
        <w:rPr>
          <w:w w:val="105"/>
          <w:sz w:val="19"/>
        </w:rPr>
        <w:t>p.</w:t>
      </w:r>
      <w:r>
        <w:rPr>
          <w:spacing w:val="-23"/>
          <w:w w:val="105"/>
          <w:sz w:val="19"/>
        </w:rPr>
        <w:t> </w:t>
      </w:r>
      <w:r>
        <w:rPr>
          <w:w w:val="105"/>
          <w:sz w:val="19"/>
        </w:rPr>
        <w:t>523).</w:t>
      </w:r>
    </w:p>
    <w:p>
      <w:pPr>
        <w:pStyle w:val="BodyText"/>
        <w:rPr>
          <w:sz w:val="20"/>
        </w:rPr>
      </w:pPr>
    </w:p>
    <w:p>
      <w:pPr>
        <w:pStyle w:val="BodyText"/>
        <w:rPr>
          <w:sz w:val="20"/>
        </w:rPr>
      </w:pPr>
    </w:p>
    <w:p>
      <w:pPr>
        <w:pStyle w:val="BodyText"/>
        <w:spacing w:before="6"/>
        <w:rPr>
          <w:sz w:val="18"/>
        </w:rPr>
      </w:pPr>
    </w:p>
    <w:p>
      <w:pPr>
        <w:pStyle w:val="Heading2"/>
        <w:numPr>
          <w:ilvl w:val="2"/>
          <w:numId w:val="15"/>
        </w:numPr>
        <w:tabs>
          <w:tab w:pos="802" w:val="left" w:leader="none"/>
        </w:tabs>
        <w:spacing w:line="240" w:lineRule="auto" w:before="0" w:after="0"/>
        <w:ind w:left="801" w:right="0" w:hanging="701"/>
        <w:jc w:val="both"/>
      </w:pPr>
      <w:bookmarkStart w:name="_TOC_250023" w:id="12"/>
      <w:r>
        <w:rPr/>
        <w:t>Modelo </w:t>
      </w:r>
      <w:r>
        <w:rPr>
          <w:spacing w:val="2"/>
        </w:rPr>
        <w:t>de </w:t>
      </w:r>
      <w:r>
        <w:rPr/>
        <w:t>Stern, Dietz y</w:t>
      </w:r>
      <w:r>
        <w:rPr>
          <w:spacing w:val="31"/>
        </w:rPr>
        <w:t> </w:t>
      </w:r>
      <w:bookmarkEnd w:id="12"/>
      <w:r>
        <w:rPr/>
        <w:t>Black.</w:t>
      </w:r>
    </w:p>
    <w:p>
      <w:pPr>
        <w:pStyle w:val="BodyText"/>
        <w:spacing w:before="5"/>
        <w:rPr>
          <w:b/>
          <w:sz w:val="22"/>
        </w:rPr>
      </w:pPr>
    </w:p>
    <w:p>
      <w:pPr>
        <w:pStyle w:val="BodyText"/>
        <w:spacing w:line="364" w:lineRule="auto"/>
        <w:ind w:left="100" w:right="890"/>
        <w:jc w:val="both"/>
      </w:pPr>
      <w:r>
        <w:rPr/>
        <w:t>Por su parte, Stern et al. (1986) plantean uno de los primeros modelos de apoyo a la protección medioambiental partiendo de procesos de interacción social. En este modelo se parte de los procesos psicosociales implicados en la activación de normas morales sobre la contaminación para evitar daños a la salud o al bienestar de las personas. Intentan entender aquellos  procesos  implicados  en  que  las  personas  expuestas  a  la</w:t>
      </w:r>
    </w:p>
    <w:p>
      <w:pPr>
        <w:spacing w:after="0" w:line="364" w:lineRule="auto"/>
        <w:jc w:val="both"/>
        <w:sectPr>
          <w:pgSz w:w="11910" w:h="16840"/>
          <w:pgMar w:header="1013" w:footer="1715" w:top="1480" w:bottom="1900" w:left="1560" w:right="200"/>
        </w:sectPr>
      </w:pPr>
    </w:p>
    <w:p>
      <w:pPr>
        <w:pStyle w:val="BodyText"/>
        <w:rPr>
          <w:sz w:val="20"/>
        </w:rPr>
      </w:pPr>
    </w:p>
    <w:p>
      <w:pPr>
        <w:pStyle w:val="BodyText"/>
        <w:spacing w:before="5"/>
        <w:rPr>
          <w:sz w:val="17"/>
        </w:rPr>
      </w:pPr>
    </w:p>
    <w:p>
      <w:pPr>
        <w:pStyle w:val="BodyText"/>
        <w:spacing w:line="364" w:lineRule="auto" w:before="73"/>
        <w:ind w:left="100" w:right="892"/>
        <w:jc w:val="both"/>
      </w:pPr>
      <w:r>
        <w:rPr/>
        <w:t>información pública y científica sobre temas de medio ambiente, lleguen a comprometerse en conductas proambientales y a solicitar cambios en el estado de protección del medio ambiente. La idea de peligro medioambiental debe hacerse presente en la conciencia y transformarse en actitudes, juicios y acciones. Plantean que los problemas del medio ambiente no se contemplan sólo como una situación desafortunada, sino como algo moralmente intolerable debido a </w:t>
      </w:r>
      <w:r>
        <w:rPr>
          <w:spacing w:val="-5"/>
        </w:rPr>
        <w:t>la  </w:t>
      </w:r>
      <w:r>
        <w:rPr/>
        <w:t>percepción de daño   a inocentes y a </w:t>
      </w:r>
      <w:r>
        <w:rPr>
          <w:spacing w:val="-5"/>
        </w:rPr>
        <w:t>la </w:t>
      </w:r>
      <w:r>
        <w:rPr/>
        <w:t>identificación del agente responsable de esa situación. Desde este punto de partida, se plantea un modelo que va más allá de </w:t>
      </w:r>
      <w:r>
        <w:rPr>
          <w:spacing w:val="-5"/>
        </w:rPr>
        <w:t>la </w:t>
      </w:r>
      <w:r>
        <w:rPr/>
        <w:t>acción individual hasta considerar la acción social y política en el área de los peligros medioambientales. Por tanto, los elementos cognitivos estarían influenciados </w:t>
      </w:r>
      <w:r>
        <w:rPr>
          <w:spacing w:val="-3"/>
        </w:rPr>
        <w:t>por </w:t>
      </w:r>
      <w:r>
        <w:rPr/>
        <w:t>las fuerzas sociales, especialmente las referidas a la estructura social, </w:t>
      </w:r>
      <w:r>
        <w:rPr>
          <w:spacing w:val="-5"/>
        </w:rPr>
        <w:t>la </w:t>
      </w:r>
      <w:r>
        <w:rPr/>
        <w:t>ideología y las opiniones e informaciones relevantes sobre los peligros medioambientales. De esta forma,  los  juicios morales y la conducta se configuran a través de procesos cognitivos y sociales dando lugar a un modelo causal e interrelacional de cambios normativos individuales y sociales (ver Figura</w:t>
      </w:r>
      <w:r>
        <w:rPr>
          <w:spacing w:val="30"/>
        </w:rPr>
        <w:t> </w:t>
      </w:r>
      <w:r>
        <w:rPr>
          <w:spacing w:val="-3"/>
        </w:rPr>
        <w:t>8).</w:t>
      </w:r>
    </w:p>
    <w:p>
      <w:pPr>
        <w:pStyle w:val="Heading2"/>
        <w:spacing w:line="369" w:lineRule="auto" w:before="120"/>
        <w:ind w:left="3451" w:right="514" w:hanging="2751"/>
        <w:jc w:val="left"/>
      </w:pPr>
      <w:r>
        <w:rPr/>
        <w:drawing>
          <wp:anchor distT="0" distB="0" distL="0" distR="0" allowOverlap="1" layoutInCell="1" locked="0" behindDoc="1" simplePos="0" relativeHeight="268191767">
            <wp:simplePos x="0" y="0"/>
            <wp:positionH relativeFrom="page">
              <wp:posOffset>1194816</wp:posOffset>
            </wp:positionH>
            <wp:positionV relativeFrom="paragraph">
              <wp:posOffset>560665</wp:posOffset>
            </wp:positionV>
            <wp:extent cx="5468112" cy="3529584"/>
            <wp:effectExtent l="0" t="0" r="0" b="0"/>
            <wp:wrapNone/>
            <wp:docPr id="13" name="image11.png" descr=""/>
            <wp:cNvGraphicFramePr>
              <a:graphicFrameLocks noChangeAspect="1"/>
            </wp:cNvGraphicFramePr>
            <a:graphic>
              <a:graphicData uri="http://schemas.openxmlformats.org/drawingml/2006/picture">
                <pic:pic>
                  <pic:nvPicPr>
                    <pic:cNvPr id="14" name="image11.png"/>
                    <pic:cNvPicPr/>
                  </pic:nvPicPr>
                  <pic:blipFill>
                    <a:blip r:embed="rId26" cstate="print"/>
                    <a:stretch>
                      <a:fillRect/>
                    </a:stretch>
                  </pic:blipFill>
                  <pic:spPr>
                    <a:xfrm>
                      <a:off x="0" y="0"/>
                      <a:ext cx="5468112" cy="3529584"/>
                    </a:xfrm>
                    <a:prstGeom prst="rect">
                      <a:avLst/>
                    </a:prstGeom>
                  </pic:spPr>
                </pic:pic>
              </a:graphicData>
            </a:graphic>
          </wp:anchor>
        </w:drawing>
      </w:r>
      <w:r>
        <w:rPr/>
        <w:t>Figura 8</w:t>
      </w:r>
      <w:r>
        <w:rPr>
          <w:b w:val="0"/>
        </w:rPr>
        <w:t>. </w:t>
      </w:r>
      <w:r>
        <w:rPr/>
        <w:t>Modelo esquemático de los procesos de cambio normativo en individuos y sociedad</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50"/>
        <w:ind w:left="100" w:right="0" w:firstLine="0"/>
        <w:jc w:val="both"/>
        <w:rPr>
          <w:sz w:val="19"/>
        </w:rPr>
      </w:pPr>
      <w:r>
        <w:rPr>
          <w:w w:val="105"/>
          <w:sz w:val="19"/>
        </w:rPr>
        <w:t>Fuente: (Stern, Dietz y Black, 1986, p. 208).</w:t>
      </w:r>
    </w:p>
    <w:p>
      <w:pPr>
        <w:spacing w:after="0"/>
        <w:jc w:val="both"/>
        <w:rPr>
          <w:sz w:val="19"/>
        </w:rPr>
        <w:sectPr>
          <w:pgSz w:w="11910" w:h="16840"/>
          <w:pgMar w:header="1013" w:footer="1715" w:top="1480" w:bottom="1880" w:left="1560" w:right="200"/>
        </w:sectPr>
      </w:pPr>
    </w:p>
    <w:p>
      <w:pPr>
        <w:pStyle w:val="BodyText"/>
        <w:rPr>
          <w:sz w:val="20"/>
        </w:rPr>
      </w:pPr>
    </w:p>
    <w:p>
      <w:pPr>
        <w:pStyle w:val="BodyText"/>
        <w:rPr>
          <w:sz w:val="20"/>
        </w:rPr>
      </w:pPr>
    </w:p>
    <w:p>
      <w:pPr>
        <w:pStyle w:val="BodyText"/>
        <w:rPr>
          <w:sz w:val="20"/>
        </w:rPr>
      </w:pPr>
    </w:p>
    <w:p>
      <w:pPr>
        <w:pStyle w:val="BodyText"/>
        <w:spacing w:before="6"/>
        <w:rPr>
          <w:sz w:val="22"/>
        </w:rPr>
      </w:pPr>
    </w:p>
    <w:p>
      <w:pPr>
        <w:pStyle w:val="BodyText"/>
        <w:spacing w:line="364" w:lineRule="auto" w:before="73"/>
        <w:ind w:left="100" w:right="891"/>
        <w:jc w:val="both"/>
      </w:pPr>
      <w:r>
        <w:rPr/>
        <w:t>Los resultados obtenidos mostraron que la protección medioambiental tiene una dimensión moral y que las medidas generales de preocupación ambiental afectan indirectamente a la conducta sobre determinados temas medioambientales a través de  su efecto sobre las actitudes específicas y sobre las normas relativas a esos temas ambientales.</w:t>
      </w:r>
    </w:p>
    <w:p>
      <w:pPr>
        <w:pStyle w:val="BodyText"/>
        <w:spacing w:line="367" w:lineRule="auto" w:before="120"/>
        <w:ind w:left="100" w:right="897"/>
        <w:jc w:val="both"/>
      </w:pPr>
      <w:r>
        <w:rPr/>
        <w:t>Siguiendo este mismo planteamiento, Stern, Dietz y Guagnano (1995a) plantean un modelo teórico de preocupación ambiental enraizado  principalmente  en  las orientaciones de valor y en las creencias sobre los posibles efectos perjudiciales de las condiciones medioambientales sobre los propios aspectos valorados (Figura  9).</w:t>
      </w:r>
    </w:p>
    <w:p>
      <w:pPr>
        <w:pStyle w:val="Heading2"/>
        <w:spacing w:before="117"/>
        <w:ind w:left="1775" w:right="514"/>
        <w:jc w:val="left"/>
      </w:pPr>
      <w:r>
        <w:rPr/>
        <w:t>Figura 9. Modelo causal </w:t>
      </w:r>
      <w:r>
        <w:rPr>
          <w:spacing w:val="2"/>
        </w:rPr>
        <w:t>de </w:t>
      </w:r>
      <w:r>
        <w:rPr/>
        <w:t>preocupación</w:t>
      </w:r>
      <w:r>
        <w:rPr>
          <w:spacing w:val="52"/>
        </w:rPr>
        <w:t> </w:t>
      </w:r>
      <w:r>
        <w:rPr/>
        <w:t>ambiental.</w:t>
      </w:r>
    </w:p>
    <w:p>
      <w:pPr>
        <w:pStyle w:val="BodyText"/>
        <w:spacing w:before="2"/>
        <w:rPr>
          <w:b/>
          <w:sz w:val="18"/>
        </w:rPr>
      </w:pPr>
      <w:r>
        <w:rPr/>
        <w:drawing>
          <wp:anchor distT="0" distB="0" distL="0" distR="0" allowOverlap="1" layoutInCell="1" locked="0" behindDoc="0" simplePos="0" relativeHeight="1432">
            <wp:simplePos x="0" y="0"/>
            <wp:positionH relativeFrom="page">
              <wp:posOffset>1426463</wp:posOffset>
            </wp:positionH>
            <wp:positionV relativeFrom="paragraph">
              <wp:posOffset>158025</wp:posOffset>
            </wp:positionV>
            <wp:extent cx="5037872" cy="3422237"/>
            <wp:effectExtent l="0" t="0" r="0" b="0"/>
            <wp:wrapTopAndBottom/>
            <wp:docPr id="15" name="image12.png" descr=""/>
            <wp:cNvGraphicFramePr>
              <a:graphicFrameLocks noChangeAspect="1"/>
            </wp:cNvGraphicFramePr>
            <a:graphic>
              <a:graphicData uri="http://schemas.openxmlformats.org/drawingml/2006/picture">
                <pic:pic>
                  <pic:nvPicPr>
                    <pic:cNvPr id="16" name="image12.png"/>
                    <pic:cNvPicPr/>
                  </pic:nvPicPr>
                  <pic:blipFill>
                    <a:blip r:embed="rId27" cstate="print"/>
                    <a:stretch>
                      <a:fillRect/>
                    </a:stretch>
                  </pic:blipFill>
                  <pic:spPr>
                    <a:xfrm>
                      <a:off x="0" y="0"/>
                      <a:ext cx="5037872" cy="3422237"/>
                    </a:xfrm>
                    <a:prstGeom prst="rect">
                      <a:avLst/>
                    </a:prstGeom>
                  </pic:spPr>
                </pic:pic>
              </a:graphicData>
            </a:graphic>
          </wp:anchor>
        </w:drawing>
      </w:r>
    </w:p>
    <w:p>
      <w:pPr>
        <w:pStyle w:val="BodyText"/>
        <w:spacing w:before="8"/>
        <w:rPr>
          <w:b/>
          <w:sz w:val="21"/>
        </w:rPr>
      </w:pPr>
    </w:p>
    <w:p>
      <w:pPr>
        <w:spacing w:before="0"/>
        <w:ind w:left="100" w:right="0" w:firstLine="0"/>
        <w:jc w:val="both"/>
        <w:rPr>
          <w:sz w:val="19"/>
        </w:rPr>
      </w:pPr>
      <w:r>
        <w:rPr>
          <w:w w:val="105"/>
          <w:sz w:val="19"/>
        </w:rPr>
        <w:t>Fuente: (Adaptado de Stern, Dietz y Guagnano, 1995a, p. 727).</w:t>
      </w:r>
    </w:p>
    <w:p>
      <w:pPr>
        <w:pStyle w:val="BodyText"/>
        <w:rPr>
          <w:sz w:val="20"/>
        </w:rPr>
      </w:pPr>
    </w:p>
    <w:p>
      <w:pPr>
        <w:pStyle w:val="BodyText"/>
        <w:spacing w:before="4"/>
        <w:rPr>
          <w:sz w:val="25"/>
        </w:rPr>
      </w:pPr>
    </w:p>
    <w:p>
      <w:pPr>
        <w:pStyle w:val="BodyText"/>
        <w:spacing w:line="364" w:lineRule="auto"/>
        <w:ind w:left="100" w:right="894"/>
        <w:jc w:val="both"/>
      </w:pPr>
      <w:r>
        <w:rPr/>
        <w:t>Estos investigadores plantean un modelo basado en los valores y las creencias como determinantes fundamentales de la conducta proambiental. El modelo parte de la estructura social que configura la experiencia de las personas y por lo tanto también los valores  y creencias que proporcionan las  oportunidades  o limitaciones  de la  conducta.</w:t>
      </w:r>
    </w:p>
    <w:p>
      <w:pPr>
        <w:spacing w:after="0" w:line="364" w:lineRule="auto"/>
        <w:jc w:val="both"/>
        <w:sectPr>
          <w:pgSz w:w="11910" w:h="16840"/>
          <w:pgMar w:header="1013" w:footer="1715" w:top="1480" w:bottom="1900" w:left="1560" w:right="200"/>
        </w:sectPr>
      </w:pPr>
    </w:p>
    <w:p>
      <w:pPr>
        <w:pStyle w:val="BodyText"/>
        <w:rPr>
          <w:sz w:val="20"/>
        </w:rPr>
      </w:pPr>
    </w:p>
    <w:p>
      <w:pPr>
        <w:pStyle w:val="BodyText"/>
        <w:spacing w:before="5"/>
        <w:rPr>
          <w:sz w:val="17"/>
        </w:rPr>
      </w:pPr>
    </w:p>
    <w:p>
      <w:pPr>
        <w:pStyle w:val="BodyText"/>
        <w:spacing w:line="364" w:lineRule="auto" w:before="73"/>
        <w:ind w:left="100" w:right="891"/>
        <w:jc w:val="both"/>
      </w:pPr>
      <w:r>
        <w:rPr/>
        <w:t>Las creencias o actitudes sobre problemas específicos se forman a partir de los valores  o las creencias </w:t>
      </w:r>
      <w:r>
        <w:rPr>
          <w:spacing w:val="-3"/>
        </w:rPr>
        <w:t>más </w:t>
      </w:r>
      <w:r>
        <w:rPr/>
        <w:t>generales, y se concluye que las creencias supondrían un nexo en, por un lado los factores de tipo social y los procesos de socialización, y por otro, las actitudes y las conductas específicas que surgen de  ellos.</w:t>
      </w:r>
    </w:p>
    <w:p>
      <w:pPr>
        <w:pStyle w:val="Heading2"/>
        <w:numPr>
          <w:ilvl w:val="2"/>
          <w:numId w:val="15"/>
        </w:numPr>
        <w:tabs>
          <w:tab w:pos="802" w:val="left" w:leader="none"/>
        </w:tabs>
        <w:spacing w:line="240" w:lineRule="auto" w:before="125" w:after="0"/>
        <w:ind w:left="801" w:right="0" w:hanging="701"/>
        <w:jc w:val="both"/>
      </w:pPr>
      <w:bookmarkStart w:name="_TOC_250022" w:id="13"/>
      <w:r>
        <w:rPr/>
        <w:t>Modelo </w:t>
      </w:r>
      <w:r>
        <w:rPr>
          <w:spacing w:val="2"/>
        </w:rPr>
        <w:t>de</w:t>
      </w:r>
      <w:r>
        <w:rPr>
          <w:spacing w:val="20"/>
        </w:rPr>
        <w:t> </w:t>
      </w:r>
      <w:bookmarkEnd w:id="13"/>
      <w:r>
        <w:rPr/>
        <w:t>Aguirre</w:t>
      </w:r>
    </w:p>
    <w:p>
      <w:pPr>
        <w:pStyle w:val="BodyText"/>
        <w:rPr>
          <w:b/>
          <w:sz w:val="22"/>
        </w:rPr>
      </w:pPr>
    </w:p>
    <w:p>
      <w:pPr>
        <w:pStyle w:val="BodyText"/>
        <w:spacing w:line="364" w:lineRule="auto" w:before="1"/>
        <w:ind w:left="100" w:right="893"/>
        <w:jc w:val="both"/>
      </w:pPr>
      <w:r>
        <w:rPr/>
        <w:t>Este modelo contempla efectos contextuales y psicológicos  en  la  conducta proambiental, </w:t>
      </w:r>
      <w:r>
        <w:rPr>
          <w:spacing w:val="-5"/>
        </w:rPr>
        <w:t>la </w:t>
      </w:r>
      <w:r>
        <w:rPr/>
        <w:t>cual se ubica al final de los factores personales y  situacionales,  mientras que </w:t>
      </w:r>
      <w:r>
        <w:rPr>
          <w:spacing w:val="-5"/>
        </w:rPr>
        <w:t>la </w:t>
      </w:r>
      <w:r>
        <w:rPr/>
        <w:t>preocupación ambiental, </w:t>
      </w:r>
      <w:r>
        <w:rPr>
          <w:spacing w:val="2"/>
        </w:rPr>
        <w:t>que </w:t>
      </w:r>
      <w:r>
        <w:rPr/>
        <w:t>se considera como una cosmovisión ecológica que predispone a la conducta, </w:t>
      </w:r>
      <w:r>
        <w:rPr>
          <w:spacing w:val="3"/>
        </w:rPr>
        <w:t>se </w:t>
      </w:r>
      <w:r>
        <w:rPr/>
        <w:t>ubicaría en </w:t>
      </w:r>
      <w:r>
        <w:rPr>
          <w:spacing w:val="-3"/>
        </w:rPr>
        <w:t>un </w:t>
      </w:r>
      <w:r>
        <w:rPr/>
        <w:t>punto intermedio entre los factores mencionados. La influencia de los valores y las actitudes sobre </w:t>
      </w:r>
      <w:r>
        <w:rPr>
          <w:spacing w:val="-5"/>
        </w:rPr>
        <w:t>la </w:t>
      </w:r>
      <w:r>
        <w:rPr/>
        <w:t>preocupación ambiental sería directa, mientras que influiría indirectamente sobre la conducta a través de los factores contextuales, los cuales tienen sobre la conducta un efecto mayor que la preocupación</w:t>
      </w:r>
      <w:r>
        <w:rPr>
          <w:spacing w:val="19"/>
        </w:rPr>
        <w:t> </w:t>
      </w:r>
      <w:r>
        <w:rPr/>
        <w:t>ambiental.</w:t>
      </w:r>
    </w:p>
    <w:p>
      <w:pPr>
        <w:pStyle w:val="Heading2"/>
        <w:spacing w:before="120"/>
        <w:ind w:left="3062" w:right="514"/>
        <w:jc w:val="left"/>
      </w:pPr>
      <w:r>
        <w:rPr/>
        <w:t>Figura 10. Modelo de Aguirre</w:t>
      </w:r>
    </w:p>
    <w:p>
      <w:pPr>
        <w:pStyle w:val="BodyText"/>
        <w:spacing w:before="5"/>
        <w:rPr>
          <w:b/>
          <w:sz w:val="27"/>
        </w:rPr>
      </w:pPr>
      <w:r>
        <w:rPr/>
        <w:drawing>
          <wp:anchor distT="0" distB="0" distL="0" distR="0" allowOverlap="1" layoutInCell="1" locked="0" behindDoc="0" simplePos="0" relativeHeight="1456">
            <wp:simplePos x="0" y="0"/>
            <wp:positionH relativeFrom="page">
              <wp:posOffset>1530096</wp:posOffset>
            </wp:positionH>
            <wp:positionV relativeFrom="paragraph">
              <wp:posOffset>225081</wp:posOffset>
            </wp:positionV>
            <wp:extent cx="4958341" cy="3779520"/>
            <wp:effectExtent l="0" t="0" r="0" b="0"/>
            <wp:wrapTopAndBottom/>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28" cstate="print"/>
                    <a:stretch>
                      <a:fillRect/>
                    </a:stretch>
                  </pic:blipFill>
                  <pic:spPr>
                    <a:xfrm>
                      <a:off x="0" y="0"/>
                      <a:ext cx="4958341" cy="3779520"/>
                    </a:xfrm>
                    <a:prstGeom prst="rect">
                      <a:avLst/>
                    </a:prstGeom>
                  </pic:spPr>
                </pic:pic>
              </a:graphicData>
            </a:graphic>
          </wp:anchor>
        </w:drawing>
      </w:r>
    </w:p>
    <w:p>
      <w:pPr>
        <w:spacing w:before="28"/>
        <w:ind w:left="100" w:right="0" w:firstLine="0"/>
        <w:jc w:val="both"/>
        <w:rPr>
          <w:sz w:val="19"/>
        </w:rPr>
      </w:pPr>
      <w:r>
        <w:rPr>
          <w:w w:val="105"/>
          <w:sz w:val="19"/>
        </w:rPr>
        <w:t>Fuente: (Aguirre, Echeverría, Charterina y Vicente, 2003).</w:t>
      </w:r>
    </w:p>
    <w:p>
      <w:pPr>
        <w:spacing w:after="0"/>
        <w:jc w:val="both"/>
        <w:rPr>
          <w:sz w:val="19"/>
        </w:rPr>
        <w:sectPr>
          <w:pgSz w:w="11910" w:h="16840"/>
          <w:pgMar w:header="1013" w:footer="1715" w:top="1480" w:bottom="1900" w:left="1560" w:right="200"/>
        </w:sectPr>
      </w:pPr>
    </w:p>
    <w:p>
      <w:pPr>
        <w:pStyle w:val="BodyText"/>
        <w:rPr>
          <w:sz w:val="20"/>
        </w:rPr>
      </w:pPr>
    </w:p>
    <w:p>
      <w:pPr>
        <w:pStyle w:val="BodyText"/>
        <w:spacing w:before="10"/>
        <w:rPr>
          <w:sz w:val="17"/>
        </w:rPr>
      </w:pPr>
    </w:p>
    <w:p>
      <w:pPr>
        <w:pStyle w:val="BodyText"/>
        <w:spacing w:line="364" w:lineRule="auto" w:before="74"/>
        <w:ind w:left="115" w:right="897"/>
        <w:jc w:val="both"/>
      </w:pPr>
      <w:r>
        <w:rPr/>
        <w:t>A partir de los hallazgos científicos derivados de </w:t>
      </w:r>
      <w:r>
        <w:rPr>
          <w:spacing w:val="-5"/>
        </w:rPr>
        <w:t>la </w:t>
      </w:r>
      <w:r>
        <w:rPr/>
        <w:t>construcción de modelos y metodologías de investigación experimentales, analizados en este capítulo  se  demuestra cómo se ha intentado entender las relaciones que se establecen entre las variables psicológicas y las socioestructurales para llegar a  comprender  los  mecanismos por los que determinadas estructuras cognitivas como las actitudes, los valores y las creencias influyen en </w:t>
      </w:r>
      <w:r>
        <w:rPr>
          <w:spacing w:val="-5"/>
        </w:rPr>
        <w:t>la </w:t>
      </w:r>
      <w:r>
        <w:rPr/>
        <w:t>conducta sobre un tema de actitud como es el ambiente, </w:t>
      </w:r>
      <w:r>
        <w:rPr>
          <w:spacing w:val="2"/>
        </w:rPr>
        <w:t>así </w:t>
      </w:r>
      <w:r>
        <w:rPr/>
        <w:t>como la forma en que la información y las opiniones públicas configuran, moldean o influyen en los aspectos cognitivos como son las actitudes emergentes, los valores o las creencias sobre el</w:t>
      </w:r>
      <w:r>
        <w:rPr>
          <w:spacing w:val="41"/>
        </w:rPr>
        <w:t> </w:t>
      </w:r>
      <w:r>
        <w:rPr/>
        <w:t>ambiente.</w:t>
      </w:r>
    </w:p>
    <w:p>
      <w:pPr>
        <w:pStyle w:val="BodyText"/>
        <w:rPr>
          <w:sz w:val="22"/>
        </w:rPr>
      </w:pPr>
    </w:p>
    <w:p>
      <w:pPr>
        <w:pStyle w:val="BodyText"/>
        <w:rPr>
          <w:sz w:val="22"/>
        </w:rPr>
      </w:pPr>
    </w:p>
    <w:p>
      <w:pPr>
        <w:pStyle w:val="Heading2"/>
        <w:numPr>
          <w:ilvl w:val="1"/>
          <w:numId w:val="16"/>
        </w:numPr>
        <w:tabs>
          <w:tab w:pos="817" w:val="left" w:leader="none"/>
        </w:tabs>
        <w:spacing w:line="240" w:lineRule="auto" w:before="132" w:after="0"/>
        <w:ind w:left="816" w:right="0" w:hanging="700"/>
        <w:jc w:val="both"/>
      </w:pPr>
      <w:bookmarkStart w:name="_TOC_250021" w:id="14"/>
      <w:r>
        <w:rPr/>
        <w:t>Factores de comportamiento</w:t>
      </w:r>
      <w:r>
        <w:rPr>
          <w:spacing w:val="51"/>
        </w:rPr>
        <w:t> </w:t>
      </w:r>
      <w:bookmarkEnd w:id="14"/>
      <w:r>
        <w:rPr/>
        <w:t>proambiental</w:t>
      </w:r>
    </w:p>
    <w:p>
      <w:pPr>
        <w:pStyle w:val="BodyText"/>
        <w:rPr>
          <w:b/>
          <w:sz w:val="22"/>
        </w:rPr>
      </w:pPr>
    </w:p>
    <w:p>
      <w:pPr>
        <w:pStyle w:val="BodyText"/>
        <w:spacing w:line="364" w:lineRule="auto" w:before="1"/>
        <w:ind w:left="115" w:right="896"/>
        <w:jc w:val="both"/>
      </w:pPr>
      <w:r>
        <w:rPr/>
        <w:t>Los estudios que se han realizado alrededor del comportamiento proambiental han tratado de identificar los “valores sociales” como determinantes en  los  visitantes turísticos como consumidores (Santamarta, 2004). Otras investigaciones prueban relaciones directas entre variables tales como los valores y las  actitudes con  este tipo  de comportamiento (Fraj y Martínez 2003b; Chamorro, 2001; Colamarde, 2000; UNEP, 1999), además de las variables sociodemográficas y psicográficas del individuo (Fraj y Martínez,</w:t>
      </w:r>
      <w:r>
        <w:rPr>
          <w:spacing w:val="16"/>
        </w:rPr>
        <w:t> </w:t>
      </w:r>
      <w:r>
        <w:rPr/>
        <w:t>2004).</w:t>
      </w:r>
    </w:p>
    <w:p>
      <w:pPr>
        <w:pStyle w:val="BodyText"/>
        <w:spacing w:line="364" w:lineRule="auto" w:before="125"/>
        <w:ind w:left="115" w:right="894"/>
        <w:jc w:val="both"/>
      </w:pPr>
      <w:r>
        <w:rPr/>
        <w:t>Durán, Alzate, López y Sabucedo (2007, en Cortés, 2011) en su investigación sobre las emociones y el comportamiento ambiental, proponen una extensión al Modelo de la Teoría de la Conducta Planificada (TCP) a partir de Fishbein y Ajzen (1975, 1980), y Azjen y Madden (1986). Es </w:t>
      </w:r>
      <w:r>
        <w:rPr>
          <w:spacing w:val="-3"/>
        </w:rPr>
        <w:t>un </w:t>
      </w:r>
      <w:r>
        <w:rPr/>
        <w:t>modelo que parte de que la conducta estará determinada por la intención de emprender la acción, intención que a la </w:t>
      </w:r>
      <w:r>
        <w:rPr>
          <w:spacing w:val="2"/>
        </w:rPr>
        <w:t>vez </w:t>
      </w:r>
      <w:r>
        <w:rPr/>
        <w:t>está determinada por la actitud hacia </w:t>
      </w:r>
      <w:r>
        <w:rPr>
          <w:spacing w:val="-5"/>
        </w:rPr>
        <w:t>la </w:t>
      </w:r>
      <w:r>
        <w:rPr/>
        <w:t>conducta, la norma subjetiva y el control conductual percibido, ofrece </w:t>
      </w:r>
      <w:r>
        <w:rPr>
          <w:spacing w:val="-3"/>
        </w:rPr>
        <w:t>un </w:t>
      </w:r>
      <w:r>
        <w:rPr/>
        <w:t>marco de trabajo conceptual útil para tratar la complejidad de la conducta proambiental humana. Incorpora algunos de los conceptos psicosociales fundamentales  y  define  estos conceptos de forma que permite la predicción y comprensión de conductas particulares en contextos específicos (Ajzen,</w:t>
      </w:r>
      <w:r>
        <w:rPr>
          <w:spacing w:val="52"/>
        </w:rPr>
        <w:t> </w:t>
      </w:r>
      <w:r>
        <w:rPr/>
        <w:t>2000).</w:t>
      </w:r>
    </w:p>
    <w:p>
      <w:pPr>
        <w:pStyle w:val="BodyText"/>
        <w:spacing w:line="369" w:lineRule="auto" w:before="120"/>
        <w:ind w:left="115" w:right="897"/>
        <w:jc w:val="both"/>
      </w:pPr>
      <w:r>
        <w:rPr/>
        <w:t>Stern </w:t>
      </w:r>
      <w:r>
        <w:rPr>
          <w:i/>
        </w:rPr>
        <w:t>et al</w:t>
      </w:r>
      <w:r>
        <w:rPr/>
        <w:t>. (1999) y Stern (2000), han planteado un modelo específicamente diseñado para la  predicción de conductas  pro-ambientales: La teoría del valor, las  normas  y   las</w:t>
      </w:r>
    </w:p>
    <w:p>
      <w:pPr>
        <w:spacing w:after="0" w:line="369" w:lineRule="auto"/>
        <w:jc w:val="both"/>
        <w:sectPr>
          <w:headerReference w:type="default" r:id="rId29"/>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6" w:right="895"/>
        <w:jc w:val="both"/>
      </w:pPr>
      <w:r>
        <w:rPr/>
        <w:t>creencias hacia el ambiente. Desde este modelo específico se considera que las personas construyen sus actitudes según las expectativas que  tienen  sobre  las acciones o las cosas, </w:t>
      </w:r>
      <w:r>
        <w:rPr>
          <w:spacing w:val="-3"/>
        </w:rPr>
        <w:t>es </w:t>
      </w:r>
      <w:r>
        <w:rPr/>
        <w:t>decir, las creencias, así como, a </w:t>
      </w:r>
      <w:r>
        <w:rPr>
          <w:spacing w:val="-5"/>
        </w:rPr>
        <w:t>la </w:t>
      </w:r>
      <w:r>
        <w:rPr/>
        <w:t>evaluación que hagan respecto a los resultados </w:t>
      </w:r>
      <w:r>
        <w:rPr>
          <w:spacing w:val="-3"/>
        </w:rPr>
        <w:t>de </w:t>
      </w:r>
      <w:r>
        <w:rPr/>
        <w:t>sus acciones. </w:t>
      </w:r>
      <w:r>
        <w:rPr>
          <w:spacing w:val="-3"/>
        </w:rPr>
        <w:t>De </w:t>
      </w:r>
      <w:r>
        <w:rPr/>
        <w:t>este modo, </w:t>
      </w:r>
      <w:r>
        <w:rPr>
          <w:spacing w:val="-5"/>
        </w:rPr>
        <w:t>la </w:t>
      </w:r>
      <w:r>
        <w:rPr/>
        <w:t>orientación de valores que tenga </w:t>
      </w:r>
      <w:r>
        <w:rPr>
          <w:spacing w:val="-5"/>
        </w:rPr>
        <w:t>la </w:t>
      </w:r>
      <w:r>
        <w:rPr/>
        <w:t>persona va a ejercer una influencia directa sobre las creencias, y por tanto,  sobre la actitud y la conducta, pues éstas actúan como un filtro que modula la  información que </w:t>
      </w:r>
      <w:r>
        <w:rPr>
          <w:spacing w:val="-5"/>
        </w:rPr>
        <w:t>la </w:t>
      </w:r>
      <w:r>
        <w:rPr/>
        <w:t>persona evaluará, de </w:t>
      </w:r>
      <w:r>
        <w:rPr>
          <w:spacing w:val="-2"/>
        </w:rPr>
        <w:t>manera </w:t>
      </w:r>
      <w:r>
        <w:rPr/>
        <w:t>que, </w:t>
      </w:r>
      <w:r>
        <w:rPr>
          <w:spacing w:val="6"/>
        </w:rPr>
        <w:t>si </w:t>
      </w:r>
      <w:r>
        <w:rPr/>
        <w:t>la información disponible sobre   </w:t>
      </w:r>
      <w:r>
        <w:rPr>
          <w:spacing w:val="-5"/>
        </w:rPr>
        <w:t>la </w:t>
      </w:r>
      <w:r>
        <w:rPr/>
        <w:t>situación, objeto o la conducta en sí misma es congruente con los  valores  individuales, </w:t>
      </w:r>
      <w:r>
        <w:rPr>
          <w:spacing w:val="2"/>
        </w:rPr>
        <w:t>esa </w:t>
      </w:r>
      <w:r>
        <w:rPr/>
        <w:t>persona desarrollará unas creencias más positivas hacia dicha situación, objeto u</w:t>
      </w:r>
      <w:r>
        <w:rPr>
          <w:spacing w:val="32"/>
        </w:rPr>
        <w:t> </w:t>
      </w:r>
      <w:r>
        <w:rPr/>
        <w:t>acción.</w:t>
      </w:r>
    </w:p>
    <w:p>
      <w:pPr>
        <w:pStyle w:val="BodyText"/>
        <w:spacing w:line="364" w:lineRule="auto" w:before="120"/>
        <w:ind w:left="116" w:right="895"/>
        <w:jc w:val="both"/>
      </w:pPr>
      <w:r>
        <w:rPr/>
        <w:t>Por otro lado, existen factores </w:t>
      </w:r>
      <w:r>
        <w:rPr>
          <w:spacing w:val="-3"/>
        </w:rPr>
        <w:t>que </w:t>
      </w:r>
      <w:r>
        <w:rPr/>
        <w:t>determinan que una persona lleve a cabo </w:t>
      </w:r>
      <w:r>
        <w:rPr>
          <w:spacing w:val="-3"/>
        </w:rPr>
        <w:t>una </w:t>
      </w:r>
      <w:r>
        <w:rPr/>
        <w:t>conducta ambiental, y de acuerdo con Hines y Cols (1986 en Puertas y Aguilar, 2008) son</w:t>
      </w:r>
      <w:r>
        <w:rPr>
          <w:spacing w:val="12"/>
        </w:rPr>
        <w:t> </w:t>
      </w:r>
      <w:r>
        <w:rPr/>
        <w:t>cuatro:</w:t>
      </w:r>
    </w:p>
    <w:p>
      <w:pPr>
        <w:pStyle w:val="ListParagraph"/>
        <w:numPr>
          <w:ilvl w:val="2"/>
          <w:numId w:val="16"/>
        </w:numPr>
        <w:tabs>
          <w:tab w:pos="817" w:val="left" w:leader="none"/>
        </w:tabs>
        <w:spacing w:line="364" w:lineRule="auto" w:before="120" w:after="0"/>
        <w:ind w:left="816" w:right="891" w:hanging="350"/>
        <w:jc w:val="both"/>
        <w:rPr>
          <w:sz w:val="23"/>
        </w:rPr>
      </w:pPr>
      <w:r>
        <w:rPr>
          <w:sz w:val="23"/>
        </w:rPr>
        <w:t>Factores sociodemográficos: donde se consideran la edad, el nivel educativo, el sexo, e incluso el nivel de ingresos, pues los resultados obtenidos en la investigación desarrollada por Dunlap y Van-Liere (1978), indican que las personas jóvenes y </w:t>
      </w:r>
      <w:r>
        <w:rPr>
          <w:spacing w:val="2"/>
          <w:sz w:val="23"/>
        </w:rPr>
        <w:t>con </w:t>
      </w:r>
      <w:r>
        <w:rPr>
          <w:sz w:val="23"/>
        </w:rPr>
        <w:t>un nivel educativo alto, presentan  actitudes  más positivas hacia la realización de comportamientos ambientales. No obstante, en otros trabajos se encontraron </w:t>
      </w:r>
      <w:r>
        <w:rPr>
          <w:spacing w:val="-3"/>
          <w:sz w:val="23"/>
        </w:rPr>
        <w:t>bajas </w:t>
      </w:r>
      <w:r>
        <w:rPr>
          <w:sz w:val="23"/>
        </w:rPr>
        <w:t>correlaciones entre tener una actitud positiva hacia el comportamiento proambiental y la edad (Amérigo y González, 1996; Samdahl y Robertson, 1989). Con respecto </w:t>
      </w:r>
      <w:r>
        <w:rPr>
          <w:spacing w:val="-3"/>
          <w:sz w:val="23"/>
        </w:rPr>
        <w:t>al </w:t>
      </w:r>
      <w:r>
        <w:rPr>
          <w:sz w:val="23"/>
        </w:rPr>
        <w:t>sexo, en el trabajo de Hines </w:t>
      </w:r>
      <w:r>
        <w:rPr>
          <w:i/>
          <w:sz w:val="23"/>
        </w:rPr>
        <w:t>et al. </w:t>
      </w:r>
      <w:r>
        <w:rPr>
          <w:sz w:val="23"/>
        </w:rPr>
        <w:t>(1986) se indica </w:t>
      </w:r>
      <w:r>
        <w:rPr>
          <w:spacing w:val="-3"/>
          <w:sz w:val="23"/>
        </w:rPr>
        <w:t>que no </w:t>
      </w:r>
      <w:r>
        <w:rPr>
          <w:sz w:val="23"/>
        </w:rPr>
        <w:t>ejerce </w:t>
      </w:r>
      <w:r>
        <w:rPr>
          <w:spacing w:val="-3"/>
          <w:sz w:val="23"/>
        </w:rPr>
        <w:t>una </w:t>
      </w:r>
      <w:r>
        <w:rPr>
          <w:sz w:val="23"/>
        </w:rPr>
        <w:t>influencia significativa sobre la puesta en marcha de este tipo de conductas, aunque, en estudios más recientes se </w:t>
      </w:r>
      <w:r>
        <w:rPr>
          <w:spacing w:val="-3"/>
          <w:sz w:val="23"/>
        </w:rPr>
        <w:t>ha </w:t>
      </w:r>
      <w:r>
        <w:rPr>
          <w:sz w:val="23"/>
        </w:rPr>
        <w:t>encontrado que las mujeres están significativamente más dispuestas  a proteger  el medio ambiente que los</w:t>
      </w:r>
      <w:r>
        <w:rPr>
          <w:spacing w:val="42"/>
          <w:sz w:val="23"/>
        </w:rPr>
        <w:t> </w:t>
      </w:r>
      <w:r>
        <w:rPr>
          <w:sz w:val="23"/>
        </w:rPr>
        <w:t>hombres.</w:t>
      </w:r>
    </w:p>
    <w:p>
      <w:pPr>
        <w:pStyle w:val="ListParagraph"/>
        <w:numPr>
          <w:ilvl w:val="2"/>
          <w:numId w:val="16"/>
        </w:numPr>
        <w:tabs>
          <w:tab w:pos="817" w:val="left" w:leader="none"/>
        </w:tabs>
        <w:spacing w:line="364" w:lineRule="auto" w:before="10" w:after="0"/>
        <w:ind w:left="816" w:right="898" w:hanging="350"/>
        <w:jc w:val="both"/>
        <w:rPr>
          <w:sz w:val="23"/>
        </w:rPr>
      </w:pPr>
      <w:r>
        <w:rPr>
          <w:sz w:val="23"/>
        </w:rPr>
        <w:t>Factores cognitivos: identificados por Hines </w:t>
      </w:r>
      <w:r>
        <w:rPr>
          <w:i/>
          <w:sz w:val="23"/>
        </w:rPr>
        <w:t>et al. </w:t>
      </w:r>
      <w:r>
        <w:rPr>
          <w:sz w:val="23"/>
        </w:rPr>
        <w:t>(1986), </w:t>
      </w:r>
      <w:r>
        <w:rPr>
          <w:spacing w:val="-3"/>
          <w:sz w:val="23"/>
        </w:rPr>
        <w:t>han </w:t>
      </w:r>
      <w:r>
        <w:rPr>
          <w:sz w:val="23"/>
        </w:rPr>
        <w:t>sido incluidos aquellos que hacen referencia a los conocimientos sobre el medio ambiente, </w:t>
      </w:r>
      <w:r>
        <w:rPr>
          <w:spacing w:val="-3"/>
          <w:sz w:val="23"/>
        </w:rPr>
        <w:t>es </w:t>
      </w:r>
      <w:r>
        <w:rPr>
          <w:sz w:val="23"/>
        </w:rPr>
        <w:t>decir, sobre las condiciones ambientales generales y </w:t>
      </w:r>
      <w:r>
        <w:rPr>
          <w:spacing w:val="12"/>
          <w:sz w:val="23"/>
        </w:rPr>
        <w:t> </w:t>
      </w:r>
      <w:r>
        <w:rPr>
          <w:sz w:val="23"/>
        </w:rPr>
        <w:t>específicas.</w:t>
      </w:r>
    </w:p>
    <w:p>
      <w:pPr>
        <w:pStyle w:val="ListParagraph"/>
        <w:numPr>
          <w:ilvl w:val="2"/>
          <w:numId w:val="16"/>
        </w:numPr>
        <w:tabs>
          <w:tab w:pos="817" w:val="left" w:leader="none"/>
        </w:tabs>
        <w:spacing w:line="364" w:lineRule="auto" w:before="5" w:after="0"/>
        <w:ind w:left="816" w:right="899" w:hanging="350"/>
        <w:jc w:val="both"/>
        <w:rPr>
          <w:sz w:val="23"/>
        </w:rPr>
      </w:pPr>
      <w:r>
        <w:rPr>
          <w:sz w:val="23"/>
        </w:rPr>
        <w:t>Factores de intervención ambiental o situacionales: se considera la información que poseen las personas acerca de </w:t>
      </w:r>
      <w:r>
        <w:rPr>
          <w:spacing w:val="-5"/>
          <w:sz w:val="23"/>
        </w:rPr>
        <w:t>lo </w:t>
      </w:r>
      <w:r>
        <w:rPr>
          <w:sz w:val="23"/>
        </w:rPr>
        <w:t>que pueden hacer para cambiar su  conducta</w:t>
      </w:r>
      <w:r>
        <w:rPr>
          <w:spacing w:val="32"/>
          <w:sz w:val="23"/>
        </w:rPr>
        <w:t> </w:t>
      </w:r>
      <w:r>
        <w:rPr>
          <w:sz w:val="23"/>
        </w:rPr>
        <w:t>y</w:t>
      </w:r>
      <w:r>
        <w:rPr>
          <w:spacing w:val="26"/>
          <w:sz w:val="23"/>
        </w:rPr>
        <w:t> </w:t>
      </w:r>
      <w:r>
        <w:rPr>
          <w:sz w:val="23"/>
        </w:rPr>
        <w:t>los</w:t>
      </w:r>
      <w:r>
        <w:rPr>
          <w:spacing w:val="37"/>
          <w:sz w:val="23"/>
        </w:rPr>
        <w:t> </w:t>
      </w:r>
      <w:r>
        <w:rPr>
          <w:sz w:val="23"/>
        </w:rPr>
        <w:t>conocimientos</w:t>
      </w:r>
      <w:r>
        <w:rPr>
          <w:spacing w:val="37"/>
          <w:sz w:val="23"/>
        </w:rPr>
        <w:t> </w:t>
      </w:r>
      <w:r>
        <w:rPr>
          <w:sz w:val="23"/>
        </w:rPr>
        <w:t>que</w:t>
      </w:r>
      <w:r>
        <w:rPr>
          <w:spacing w:val="28"/>
          <w:sz w:val="23"/>
        </w:rPr>
        <w:t> </w:t>
      </w:r>
      <w:r>
        <w:rPr>
          <w:sz w:val="23"/>
        </w:rPr>
        <w:t>éstas</w:t>
      </w:r>
      <w:r>
        <w:rPr>
          <w:spacing w:val="37"/>
          <w:sz w:val="23"/>
        </w:rPr>
        <w:t> </w:t>
      </w:r>
      <w:r>
        <w:rPr>
          <w:sz w:val="23"/>
        </w:rPr>
        <w:t>tienen</w:t>
      </w:r>
      <w:r>
        <w:rPr>
          <w:spacing w:val="32"/>
          <w:sz w:val="23"/>
        </w:rPr>
        <w:t> </w:t>
      </w:r>
      <w:r>
        <w:rPr>
          <w:sz w:val="23"/>
        </w:rPr>
        <w:t>sobre</w:t>
      </w:r>
      <w:r>
        <w:rPr>
          <w:spacing w:val="32"/>
          <w:sz w:val="23"/>
        </w:rPr>
        <w:t> </w:t>
      </w:r>
      <w:r>
        <w:rPr>
          <w:sz w:val="23"/>
        </w:rPr>
        <w:t>las</w:t>
      </w:r>
      <w:r>
        <w:rPr>
          <w:spacing w:val="37"/>
          <w:sz w:val="23"/>
        </w:rPr>
        <w:t> </w:t>
      </w:r>
      <w:r>
        <w:rPr>
          <w:sz w:val="23"/>
        </w:rPr>
        <w:t>posibles</w:t>
      </w:r>
      <w:r>
        <w:rPr>
          <w:spacing w:val="37"/>
          <w:sz w:val="23"/>
        </w:rPr>
        <w:t> </w:t>
      </w:r>
      <w:r>
        <w:rPr>
          <w:sz w:val="23"/>
        </w:rPr>
        <w:t>estrategias</w:t>
      </w:r>
      <w:r>
        <w:rPr>
          <w:spacing w:val="37"/>
          <w:sz w:val="23"/>
        </w:rPr>
        <w:t> </w:t>
      </w:r>
      <w:r>
        <w:rPr>
          <w:sz w:val="23"/>
        </w:rPr>
        <w:t>a</w:t>
      </w:r>
    </w:p>
    <w:p>
      <w:pPr>
        <w:spacing w:after="0" w:line="364" w:lineRule="auto"/>
        <w:jc w:val="both"/>
        <w:rPr>
          <w:sz w:val="23"/>
        </w:rPr>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816" w:right="897"/>
        <w:jc w:val="both"/>
      </w:pPr>
      <w:r>
        <w:rPr/>
        <w:t>seguir para solucionar un problema ambiental concreto. Básicamente,  los  factores cognitivos y los de intervención, hacen referencia a las creencias de la persona respecto a </w:t>
      </w:r>
      <w:r>
        <w:rPr>
          <w:spacing w:val="3"/>
        </w:rPr>
        <w:t>si </w:t>
      </w:r>
      <w:r>
        <w:rPr/>
        <w:t>posee o no conocimientos sobre </w:t>
      </w:r>
      <w:r>
        <w:rPr>
          <w:spacing w:val="-5"/>
        </w:rPr>
        <w:t>la </w:t>
      </w:r>
      <w:r>
        <w:rPr/>
        <w:t>acción ambiental y </w:t>
      </w:r>
      <w:r>
        <w:rPr>
          <w:spacing w:val="3"/>
        </w:rPr>
        <w:t>si </w:t>
      </w:r>
      <w:r>
        <w:rPr/>
        <w:t>posee o no </w:t>
      </w:r>
      <w:r>
        <w:rPr>
          <w:spacing w:val="-5"/>
        </w:rPr>
        <w:t>la </w:t>
      </w:r>
      <w:r>
        <w:rPr/>
        <w:t>habilidad para</w:t>
      </w:r>
      <w:r>
        <w:rPr>
          <w:spacing w:val="54"/>
        </w:rPr>
        <w:t> </w:t>
      </w:r>
      <w:r>
        <w:rPr/>
        <w:t>ejecutarla.</w:t>
      </w:r>
    </w:p>
    <w:p>
      <w:pPr>
        <w:pStyle w:val="ListParagraph"/>
        <w:numPr>
          <w:ilvl w:val="2"/>
          <w:numId w:val="16"/>
        </w:numPr>
        <w:tabs>
          <w:tab w:pos="817" w:val="left" w:leader="none"/>
        </w:tabs>
        <w:spacing w:line="364" w:lineRule="auto" w:before="5" w:after="0"/>
        <w:ind w:left="816" w:right="901" w:hanging="350"/>
        <w:jc w:val="both"/>
        <w:rPr>
          <w:sz w:val="23"/>
        </w:rPr>
      </w:pPr>
      <w:r>
        <w:rPr>
          <w:sz w:val="23"/>
        </w:rPr>
        <w:t>Factores psicosociales: refieren variables personales y representacionales en las que se incluyen </w:t>
      </w:r>
      <w:r>
        <w:rPr>
          <w:spacing w:val="-5"/>
          <w:sz w:val="23"/>
        </w:rPr>
        <w:t>la </w:t>
      </w:r>
      <w:r>
        <w:rPr>
          <w:sz w:val="23"/>
        </w:rPr>
        <w:t>propia responsabilidad sobre la acción y el  locus  de control, así como, actitudes, creencias y valores. </w:t>
      </w:r>
      <w:r>
        <w:rPr>
          <w:spacing w:val="-3"/>
          <w:sz w:val="23"/>
        </w:rPr>
        <w:t>La </w:t>
      </w:r>
      <w:r>
        <w:rPr>
          <w:sz w:val="23"/>
        </w:rPr>
        <w:t>importancia de estos factores, reside en que </w:t>
      </w:r>
      <w:r>
        <w:rPr>
          <w:spacing w:val="-3"/>
          <w:sz w:val="23"/>
        </w:rPr>
        <w:t>han </w:t>
      </w:r>
      <w:r>
        <w:rPr>
          <w:sz w:val="23"/>
        </w:rPr>
        <w:t>sido considerados fuertes predictores de la actitud ambiental, y </w:t>
      </w:r>
      <w:r>
        <w:rPr>
          <w:spacing w:val="2"/>
          <w:sz w:val="23"/>
        </w:rPr>
        <w:t>por </w:t>
      </w:r>
      <w:r>
        <w:rPr>
          <w:sz w:val="23"/>
        </w:rPr>
        <w:t>ende, de los comportamientos ecológicos </w:t>
      </w:r>
      <w:r>
        <w:rPr>
          <w:spacing w:val="3"/>
          <w:sz w:val="23"/>
        </w:rPr>
        <w:t> </w:t>
      </w:r>
      <w:r>
        <w:rPr>
          <w:sz w:val="23"/>
        </w:rPr>
        <w:t>responsables.</w:t>
      </w:r>
    </w:p>
    <w:p>
      <w:pPr>
        <w:pStyle w:val="BodyText"/>
        <w:rPr>
          <w:sz w:val="22"/>
        </w:rPr>
      </w:pPr>
    </w:p>
    <w:p>
      <w:pPr>
        <w:pStyle w:val="BodyText"/>
        <w:spacing w:before="6"/>
      </w:pPr>
    </w:p>
    <w:p>
      <w:pPr>
        <w:pStyle w:val="BodyText"/>
        <w:spacing w:line="364" w:lineRule="auto"/>
        <w:ind w:left="115" w:right="892"/>
        <w:jc w:val="both"/>
      </w:pPr>
      <w:r>
        <w:rPr>
          <w:b/>
        </w:rPr>
        <w:t>CAPÍTULO </w:t>
      </w:r>
      <w:r>
        <w:rPr>
          <w:b/>
          <w:spacing w:val="-3"/>
        </w:rPr>
        <w:t>DE </w:t>
      </w:r>
      <w:r>
        <w:rPr>
          <w:b/>
        </w:rPr>
        <w:t>LIBRO. Martínez, S. y Vargas E.E. </w:t>
      </w:r>
      <w:r>
        <w:rPr/>
        <w:t>(2015).  Factores  de  comportamiento proambiental y uso turístico en parques nacionales. En Barragán, J.F. y Maldonado, M. (2015). El turismo y el desarrollo comunitario. Investigaciones y propuestas. Universidad Autónoma de Querétaro, ISBN: </w:t>
      </w:r>
      <w:r>
        <w:rPr>
          <w:spacing w:val="23"/>
        </w:rPr>
        <w:t> </w:t>
      </w:r>
      <w:r>
        <w:rPr/>
        <w:t>978-607-513-172-6</w:t>
      </w:r>
    </w:p>
    <w:p>
      <w:pPr>
        <w:pStyle w:val="Heading2"/>
        <w:spacing w:before="120"/>
        <w:ind w:left="115"/>
      </w:pPr>
      <w:r>
        <w:rPr/>
        <w:t>RESUMEN</w:t>
      </w:r>
    </w:p>
    <w:p>
      <w:pPr>
        <w:pStyle w:val="BodyText"/>
        <w:rPr>
          <w:b/>
          <w:sz w:val="22"/>
        </w:rPr>
      </w:pPr>
    </w:p>
    <w:p>
      <w:pPr>
        <w:pStyle w:val="BodyText"/>
        <w:spacing w:line="364" w:lineRule="auto" w:before="1"/>
        <w:ind w:left="115" w:right="895" w:firstLine="691"/>
        <w:jc w:val="both"/>
      </w:pPr>
      <w:r>
        <w:rPr/>
        <w:t>La problemática ambiental ha dado pie a que diferentes áreas del conocimiento busquen alternativas de solución, una de estas </w:t>
      </w:r>
      <w:r>
        <w:rPr>
          <w:spacing w:val="-3"/>
        </w:rPr>
        <w:t>es </w:t>
      </w:r>
      <w:r>
        <w:rPr/>
        <w:t>la Psicología Ambiental, campo que ayuda a interpretar los comportamientos proambientales (CPA) de los individuos en diversos contextos. Uno de ellos, son los parques nacionales, los cuales  son  visualizados por los turistas como espacios de recreación, distracción y consumo  turístico, en donde pueden llevar a cabo diversas actividades. Sin embargo, su comportamiento puede llegar a generar importantes impactos a la naturaleza. El  presente texto realiza una revisión de las principales aportaciones teóricas en relación a los factores de </w:t>
      </w:r>
      <w:r>
        <w:rPr>
          <w:spacing w:val="-3"/>
        </w:rPr>
        <w:t>CPA </w:t>
      </w:r>
      <w:r>
        <w:rPr/>
        <w:t>y su relación con el uso turístico sustentable  en  parques  nacionales.</w:t>
      </w:r>
    </w:p>
    <w:p>
      <w:pPr>
        <w:pStyle w:val="BodyText"/>
        <w:spacing w:line="364" w:lineRule="auto" w:before="125"/>
        <w:ind w:left="115" w:right="901"/>
        <w:jc w:val="both"/>
      </w:pPr>
      <w:r>
        <w:rPr>
          <w:b/>
        </w:rPr>
        <w:t>Palabras Clave: </w:t>
      </w:r>
      <w:r>
        <w:rPr/>
        <w:t>Comportamiento proambiental, Factores de  Comportamiento, Psicología Ambiental, Turismo, Parques</w:t>
      </w:r>
      <w:r>
        <w:rPr>
          <w:spacing w:val="61"/>
        </w:rPr>
        <w:t> </w:t>
      </w:r>
      <w:r>
        <w:rPr/>
        <w:t>Nacionales.</w:t>
      </w:r>
    </w:p>
    <w:p>
      <w:pPr>
        <w:spacing w:after="0" w:line="364" w:lineRule="auto"/>
        <w:jc w:val="both"/>
        <w:sectPr>
          <w:footerReference w:type="default" r:id="rId30"/>
          <w:pgSz w:w="11910" w:h="16840"/>
          <w:pgMar w:footer="1711" w:header="1066" w:top="1460" w:bottom="1900" w:left="1540" w:right="200"/>
          <w:pgNumType w:start="40"/>
        </w:sectPr>
      </w:pPr>
    </w:p>
    <w:p>
      <w:pPr>
        <w:pStyle w:val="BodyText"/>
        <w:rPr>
          <w:sz w:val="20"/>
        </w:rPr>
      </w:pPr>
    </w:p>
    <w:p>
      <w:pPr>
        <w:pStyle w:val="BodyText"/>
        <w:spacing w:before="10"/>
        <w:rPr>
          <w:sz w:val="17"/>
        </w:rPr>
      </w:pPr>
    </w:p>
    <w:p>
      <w:pPr>
        <w:pStyle w:val="Heading2"/>
        <w:ind w:left="115"/>
      </w:pPr>
      <w:r>
        <w:rPr/>
        <w:t>ABSTRACT</w:t>
      </w:r>
    </w:p>
    <w:p>
      <w:pPr>
        <w:pStyle w:val="BodyText"/>
        <w:rPr>
          <w:b/>
          <w:sz w:val="22"/>
        </w:rPr>
      </w:pPr>
    </w:p>
    <w:p>
      <w:pPr>
        <w:pStyle w:val="BodyText"/>
        <w:spacing w:line="364" w:lineRule="auto" w:before="1"/>
        <w:ind w:left="115" w:right="895" w:firstLine="686"/>
        <w:jc w:val="both"/>
      </w:pPr>
      <w:r>
        <w:rPr/>
        <w:t>The environmental issue has given rise to different areas of knowledge seeking alternative solutions, one of these is environmental psychology, a field that helps to interpret pro-environmental behaviors (CPA) of individuals in different contexts. National parks, are displayed as spaces for recreation, amusement and tourism consumption by tourists, however, their behavior can generate significant impacts to nature. This paper makes a review of the main theoretical contributions in relation to the factors of CPA and its relationship to sustainable visitor use in national  parks.</w:t>
      </w:r>
    </w:p>
    <w:p>
      <w:pPr>
        <w:pStyle w:val="BodyText"/>
        <w:spacing w:line="364" w:lineRule="auto" w:before="125"/>
        <w:ind w:left="115" w:right="896"/>
        <w:jc w:val="both"/>
      </w:pPr>
      <w:r>
        <w:rPr>
          <w:b/>
        </w:rPr>
        <w:t>Keywords: </w:t>
      </w:r>
      <w:r>
        <w:rPr/>
        <w:t>Pro-environmental behavior, Environmental Psychology, Tourism, National Parks, Sustainability.</w:t>
      </w:r>
    </w:p>
    <w:p>
      <w:pPr>
        <w:pStyle w:val="Heading2"/>
        <w:numPr>
          <w:ilvl w:val="0"/>
          <w:numId w:val="17"/>
        </w:numPr>
        <w:tabs>
          <w:tab w:pos="390" w:val="left" w:leader="none"/>
          <w:tab w:pos="902" w:val="left" w:leader="none"/>
          <w:tab w:pos="2575" w:val="left" w:leader="none"/>
          <w:tab w:pos="4153" w:val="left" w:leader="none"/>
          <w:tab w:pos="8248" w:val="left" w:leader="none"/>
          <w:tab w:pos="8775" w:val="left" w:leader="none"/>
        </w:tabs>
        <w:spacing w:line="362" w:lineRule="auto" w:before="120" w:after="0"/>
        <w:ind w:left="389" w:right="905" w:hanging="273"/>
        <w:jc w:val="left"/>
      </w:pPr>
      <w:r>
        <w:rPr/>
        <w:t>LA</w:t>
        <w:tab/>
        <w:t>PSICOLOGÍA</w:t>
        <w:tab/>
        <w:t>AMBIENTAL</w:t>
        <w:tab/>
        <w:t>COMO   ENFOQUE  </w:t>
      </w:r>
      <w:r>
        <w:rPr>
          <w:spacing w:val="34"/>
        </w:rPr>
        <w:t> </w:t>
      </w:r>
      <w:r>
        <w:rPr/>
        <w:t>DE  </w:t>
      </w:r>
      <w:r>
        <w:rPr>
          <w:spacing w:val="18"/>
        </w:rPr>
        <w:t> </w:t>
      </w:r>
      <w:r>
        <w:rPr/>
        <w:t>ANÁLISIS</w:t>
        <w:tab/>
        <w:t>DE</w:t>
        <w:tab/>
        <w:t>LOS COMPORTAMIENTOS</w:t>
      </w:r>
      <w:r>
        <w:rPr>
          <w:spacing w:val="59"/>
        </w:rPr>
        <w:t> </w:t>
      </w:r>
      <w:r>
        <w:rPr/>
        <w:t>PROAMBIENTALES.</w:t>
      </w:r>
    </w:p>
    <w:p>
      <w:pPr>
        <w:pStyle w:val="BodyText"/>
        <w:spacing w:line="364" w:lineRule="auto" w:before="127"/>
        <w:ind w:left="115" w:right="898"/>
        <w:jc w:val="both"/>
      </w:pPr>
      <w:r>
        <w:rPr/>
        <w:t>Como es sabido, la gravedad de los problemas ambientales  ha  propiciado  que diferentes áreas del conocimiento busquen la manera de ponerles un alto, tal es el caso de la Psicología, la cual busca explorar los procesos cognitivos, emocionales y motivacionales que propicien la aparición de conductas sustentables  (Schmuck  y Schultz, 2002).</w:t>
      </w:r>
    </w:p>
    <w:p>
      <w:pPr>
        <w:pStyle w:val="BodyText"/>
        <w:spacing w:line="364" w:lineRule="auto" w:before="120"/>
        <w:ind w:left="115" w:right="897"/>
        <w:jc w:val="both"/>
      </w:pPr>
      <w:r>
        <w:rPr/>
        <w:t>De esta manera </w:t>
      </w:r>
      <w:r>
        <w:rPr>
          <w:spacing w:val="-5"/>
        </w:rPr>
        <w:t>la </w:t>
      </w:r>
      <w:r>
        <w:rPr/>
        <w:t>Psicología Ambiental, ha centrado su atención principalmente en dos cuestiones esenciales: la influencia </w:t>
      </w:r>
      <w:r>
        <w:rPr>
          <w:spacing w:val="2"/>
        </w:rPr>
        <w:t>del </w:t>
      </w:r>
      <w:r>
        <w:rPr/>
        <w:t>ambiente y las modificaciones  que  ha sufrido este sobre las personas, sus conductas y actitudes; y la influencia de estas sobre el medio, las sociedades, las grandes potencialidades de impacto del factor humano sobre el entorno, las conductas degradantes, las concepciones y modos de vida en  general. Los </w:t>
      </w:r>
      <w:r>
        <w:rPr>
          <w:spacing w:val="-3"/>
        </w:rPr>
        <w:t>dos </w:t>
      </w:r>
      <w:r>
        <w:rPr/>
        <w:t>enfoques investigativos tienen </w:t>
      </w:r>
      <w:r>
        <w:rPr>
          <w:spacing w:val="-3"/>
        </w:rPr>
        <w:t>un </w:t>
      </w:r>
      <w:r>
        <w:rPr/>
        <w:t>común denominador: </w:t>
      </w:r>
      <w:r>
        <w:rPr>
          <w:spacing w:val="-5"/>
        </w:rPr>
        <w:t>la </w:t>
      </w:r>
      <w:r>
        <w:rPr/>
        <w:t>relación ambiente  -  ser</w:t>
      </w:r>
      <w:r>
        <w:rPr>
          <w:spacing w:val="19"/>
        </w:rPr>
        <w:t> </w:t>
      </w:r>
      <w:r>
        <w:rPr/>
        <w:t>humano.</w:t>
      </w:r>
    </w:p>
    <w:p>
      <w:pPr>
        <w:pStyle w:val="BodyText"/>
        <w:spacing w:line="367" w:lineRule="auto" w:before="120"/>
        <w:ind w:left="116" w:right="894"/>
        <w:jc w:val="both"/>
      </w:pPr>
      <w:r>
        <w:rPr/>
        <w:t>Por otro lado, la psicología ambiental es un campo de estudio de carácter  eminentemente aplicado, que </w:t>
      </w:r>
      <w:r>
        <w:rPr>
          <w:spacing w:val="3"/>
        </w:rPr>
        <w:t>se </w:t>
      </w:r>
      <w:r>
        <w:rPr/>
        <w:t>centra en explorar las conductas causantes del  deterioro ambiental, o por el contrario, en aquellas otras conductas que permiten la conservación del entorno (Hernández, 1997). A </w:t>
      </w:r>
      <w:r>
        <w:rPr>
          <w:spacing w:val="-5"/>
        </w:rPr>
        <w:t>lo </w:t>
      </w:r>
      <w:r>
        <w:rPr/>
        <w:t>largo de las últimas décadas </w:t>
      </w:r>
      <w:r>
        <w:rPr>
          <w:spacing w:val="-3"/>
        </w:rPr>
        <w:t>han </w:t>
      </w:r>
      <w:r>
        <w:rPr/>
        <w:t>proliferado los estudios realizados con el fin de explicar distintos aspectos relacionados con la conciencia ambiental y </w:t>
      </w:r>
      <w:r>
        <w:rPr>
          <w:spacing w:val="-5"/>
        </w:rPr>
        <w:t>la </w:t>
      </w:r>
      <w:r>
        <w:rPr/>
        <w:t>conducta ecológica, desde una perspectiva   </w:t>
      </w:r>
      <w:r>
        <w:rPr>
          <w:spacing w:val="22"/>
        </w:rPr>
        <w:t> </w:t>
      </w:r>
      <w:r>
        <w:rPr/>
        <w:t>psicosocial</w:t>
      </w:r>
    </w:p>
    <w:p>
      <w:pPr>
        <w:spacing w:after="0" w:line="367"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2"/>
        <w:jc w:val="both"/>
      </w:pPr>
      <w:r>
        <w:rPr/>
        <w:t>como resultado de actitudes, valores y creencias que les permita convivir  con  el  entorno, preservarlo, y transformarlo en función de sus necesidades, sin comprometer  con ello </w:t>
      </w:r>
      <w:r>
        <w:rPr>
          <w:spacing w:val="-5"/>
        </w:rPr>
        <w:t>la </w:t>
      </w:r>
      <w:r>
        <w:rPr/>
        <w:t>posibilidad de las generaciones futuras de satisfacer las suyas, de preservar    y desarrollar la riqueza cultural de la humanidad, de producir bienes y riquezas  materiales, incrementar el potencial productivo, asegurando oportunidades equitativas para todos, sin que </w:t>
      </w:r>
      <w:r>
        <w:rPr>
          <w:spacing w:val="-3"/>
        </w:rPr>
        <w:t>ello </w:t>
      </w:r>
      <w:r>
        <w:rPr/>
        <w:t>implique poner en peligro el </w:t>
      </w:r>
      <w:r>
        <w:rPr>
          <w:spacing w:val="14"/>
        </w:rPr>
        <w:t> </w:t>
      </w:r>
      <w:r>
        <w:rPr/>
        <w:t>ambiente.</w:t>
      </w:r>
    </w:p>
    <w:p>
      <w:pPr>
        <w:pStyle w:val="BodyText"/>
        <w:spacing w:line="364" w:lineRule="auto" w:before="120"/>
        <w:ind w:left="115" w:right="894"/>
        <w:jc w:val="both"/>
      </w:pPr>
      <w:r>
        <w:rPr/>
        <w:t>Por ello el análisis y explicación de las conductas relacionadas con el medio ambiente, constituye uno de los objetivos prioritarios </w:t>
      </w:r>
      <w:r>
        <w:rPr>
          <w:spacing w:val="-3"/>
        </w:rPr>
        <w:t>de </w:t>
      </w:r>
      <w:r>
        <w:rPr>
          <w:spacing w:val="-5"/>
        </w:rPr>
        <w:t>la </w:t>
      </w:r>
      <w:r>
        <w:rPr/>
        <w:t>psicología ambiental. Este objetivo </w:t>
      </w:r>
      <w:r>
        <w:rPr>
          <w:spacing w:val="-3"/>
        </w:rPr>
        <w:t>es </w:t>
      </w:r>
      <w:r>
        <w:rPr/>
        <w:t>compartido por las diferentes disciplinas englobadas en la Psicología como ciencia que aborda el estudio del comportamiento humano. De ahí, que </w:t>
      </w:r>
      <w:r>
        <w:rPr>
          <w:spacing w:val="3"/>
        </w:rPr>
        <w:t>se </w:t>
      </w:r>
      <w:r>
        <w:rPr/>
        <w:t>considere que la Psicología Ambiental </w:t>
      </w:r>
      <w:r>
        <w:rPr>
          <w:spacing w:val="3"/>
        </w:rPr>
        <w:t>se </w:t>
      </w:r>
      <w:r>
        <w:rPr/>
        <w:t>trata de un área de estudio interdisciplinar. De acuerdo con Dietz, Stern y Guagnano (1998) la psicología ambiental ha realizado grandes esfuerzos en medir y explicar aquellas variables que influyen en el comportamiento del ser  humano, diferenciando dos niveles de análisis. De un lado, aquellos estudios </w:t>
      </w:r>
      <w:r>
        <w:rPr>
          <w:spacing w:val="-3"/>
        </w:rPr>
        <w:t>que </w:t>
      </w:r>
      <w:r>
        <w:rPr/>
        <w:t>se centran en descubrir los factores sociodemográficos  asociados  a  </w:t>
      </w:r>
      <w:r>
        <w:rPr>
          <w:spacing w:val="-5"/>
        </w:rPr>
        <w:t>la  </w:t>
      </w:r>
      <w:r>
        <w:rPr/>
        <w:t>conciencia ambiental y, de otro lado, los que partiendo del estudio de los valores, las creencias y otros constructos psicosociales, tratan de explicar las variaciones en la conciencia ambiental. En esta segunda línea, si bien algunos de los estudios realizados sobre actitudes ambientales indican la existencia de un elevado nivel de  preocupación ambiental entre </w:t>
      </w:r>
      <w:r>
        <w:rPr>
          <w:spacing w:val="-5"/>
        </w:rPr>
        <w:t>la </w:t>
      </w:r>
      <w:r>
        <w:rPr/>
        <w:t>población general, otros han encontrado bajas correlaciones entre estas actitudes y la realización de comportamientos </w:t>
      </w:r>
      <w:r>
        <w:rPr>
          <w:spacing w:val="12"/>
        </w:rPr>
        <w:t> </w:t>
      </w:r>
      <w:r>
        <w:rPr/>
        <w:t>proambientales.</w:t>
      </w:r>
    </w:p>
    <w:p>
      <w:pPr>
        <w:pStyle w:val="BodyText"/>
        <w:spacing w:line="364" w:lineRule="auto" w:before="120"/>
        <w:ind w:left="115" w:right="898"/>
        <w:jc w:val="both"/>
      </w:pPr>
      <w:r>
        <w:rPr/>
        <w:t>En este sentido el estudio de los comportamientos proambientales de los individuos se convierte en objeto de estudio de la psicología ambiental, la cual se va a encargar de analizar los factores que determinan o influyen para que las personas manifiesten o </w:t>
      </w:r>
      <w:r>
        <w:rPr>
          <w:spacing w:val="-3"/>
        </w:rPr>
        <w:t>no  </w:t>
      </w:r>
      <w:r>
        <w:rPr/>
        <w:t>un comportamiento proambiental, mediante el análisis del conocimiento, las percepciones, actitudes, sensibilidades, valores </w:t>
      </w:r>
      <w:r>
        <w:rPr>
          <w:spacing w:val="-3"/>
        </w:rPr>
        <w:t>que </w:t>
      </w:r>
      <w:r>
        <w:rPr/>
        <w:t>posee el individuo en los diferentes contextos en los que se interactúa con el</w:t>
      </w:r>
      <w:r>
        <w:rPr>
          <w:spacing w:val="57"/>
        </w:rPr>
        <w:t> </w:t>
      </w:r>
      <w:r>
        <w:rPr/>
        <w:t>ambiente.</w:t>
      </w:r>
    </w:p>
    <w:p>
      <w:pPr>
        <w:pStyle w:val="Heading2"/>
        <w:numPr>
          <w:ilvl w:val="0"/>
          <w:numId w:val="17"/>
        </w:numPr>
        <w:tabs>
          <w:tab w:pos="1153" w:val="left" w:leader="none"/>
        </w:tabs>
        <w:spacing w:line="240" w:lineRule="auto" w:before="120" w:after="0"/>
        <w:ind w:left="1152" w:right="0" w:hanging="350"/>
        <w:jc w:val="left"/>
      </w:pPr>
      <w:r>
        <w:rPr/>
        <w:t>COMPORTAMIENTO</w:t>
      </w:r>
      <w:r>
        <w:rPr>
          <w:spacing w:val="48"/>
        </w:rPr>
        <w:t> </w:t>
      </w:r>
      <w:r>
        <w:rPr/>
        <w:t>PROAMBIENTAL</w:t>
      </w:r>
    </w:p>
    <w:p>
      <w:pPr>
        <w:pStyle w:val="BodyText"/>
        <w:spacing w:before="5"/>
        <w:rPr>
          <w:b/>
          <w:sz w:val="22"/>
        </w:rPr>
      </w:pPr>
    </w:p>
    <w:p>
      <w:pPr>
        <w:pStyle w:val="BodyText"/>
        <w:spacing w:line="364" w:lineRule="auto"/>
        <w:ind w:left="115" w:right="897"/>
        <w:jc w:val="both"/>
      </w:pPr>
      <w:r>
        <w:rPr/>
        <w:t>Gran parte de la investigación psicosocial realizada  sobre  comportamientos  ambientales, se ha dirigido al análisis de los determinantes </w:t>
      </w:r>
      <w:r>
        <w:rPr>
          <w:spacing w:val="-3"/>
        </w:rPr>
        <w:t>de </w:t>
      </w:r>
      <w:r>
        <w:rPr/>
        <w:t>la denominada conducta ecológica  responsable,  esto  es,  de  las  acciones  que contribuyen  a  </w:t>
      </w:r>
      <w:r>
        <w:rPr>
          <w:spacing w:val="-5"/>
        </w:rPr>
        <w:t>la  </w:t>
      </w:r>
      <w:r>
        <w:rPr/>
        <w:t>protección</w:t>
      </w:r>
      <w:r>
        <w:rPr>
          <w:spacing w:val="-15"/>
        </w:rPr>
        <w:t> </w:t>
      </w:r>
      <w:r>
        <w:rPr/>
        <w:t>y/o</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6"/>
        <w:jc w:val="both"/>
      </w:pPr>
      <w:r>
        <w:rPr/>
        <w:t>conservación del medio ambiente: reciclaje de productos, reducción de residuos, conservación de la energía, reducción de </w:t>
      </w:r>
      <w:r>
        <w:rPr>
          <w:spacing w:val="-5"/>
        </w:rPr>
        <w:t>la </w:t>
      </w:r>
      <w:r>
        <w:rPr/>
        <w:t>contaminación, etc., (Axelrod y Lehman, 1993; Grob, 1990). Bajo la etiqueta de comportamiento proambiental, se agrupan una serie de acciones específicas relativas, esencialmente, al ahorro de recursos,  el  consumo y reciclaje de productos, la contaminación y la reducción de los residuos (Blas  y Aragonés, 1986; Nielsen y Ellington, 1983), es decir, como indica Corral (2012) se refiere a toda aquella acción humana que resulta en el cuidado del entorno o su preservación.</w:t>
      </w:r>
    </w:p>
    <w:p>
      <w:pPr>
        <w:pStyle w:val="BodyText"/>
        <w:spacing w:line="364" w:lineRule="auto" w:before="130"/>
        <w:ind w:left="115" w:right="895"/>
        <w:jc w:val="both"/>
      </w:pPr>
      <w:r>
        <w:rPr>
          <w:spacing w:val="-3"/>
        </w:rPr>
        <w:t>Sin </w:t>
      </w:r>
      <w:r>
        <w:rPr/>
        <w:t>embargo, cabe destacar que el hecho de que una persona realice un determinado comportamiento proambiental, como por ejemplo, reciclar el vidrio, no conlleva que esta misma persona se implique en otra conducta, como por ejemplo, el reciclado del papel    o el consumo de productos que no dañen </w:t>
      </w:r>
      <w:r>
        <w:rPr>
          <w:spacing w:val="-3"/>
        </w:rPr>
        <w:t>el </w:t>
      </w:r>
      <w:r>
        <w:rPr/>
        <w:t>medio ambiente. Es decir, las personas optamos por diferentes maneras o formas </w:t>
      </w:r>
      <w:r>
        <w:rPr>
          <w:spacing w:val="-3"/>
        </w:rPr>
        <w:t>de </w:t>
      </w:r>
      <w:r>
        <w:rPr/>
        <w:t>mostrar nuestra preocupación hacia el medio ambiente implicándonos en unas conductas y no en otras (Castro, 2001; Corral y Enzinas, 2002; Lee, De Young y Marans, 1995; Van Liere y Dunlap, 1981). Esto sugiere en opinión de Corraliza y Berenguer (1998) que a </w:t>
      </w:r>
      <w:r>
        <w:rPr>
          <w:spacing w:val="-5"/>
        </w:rPr>
        <w:t>la </w:t>
      </w:r>
      <w:r>
        <w:rPr/>
        <w:t>hora de valorar una determinada conducta ambiental, utilizamos mecanismos psicológicos diferentes y específicos para cada una de ellas, lo que podría estar explicando la heterogeneidad que caracteriza a   las conductas ambientales, tanto a nivel cognitivo como, </w:t>
      </w:r>
      <w:r>
        <w:rPr>
          <w:spacing w:val="11"/>
        </w:rPr>
        <w:t> </w:t>
      </w:r>
      <w:r>
        <w:rPr/>
        <w:t>conductual.</w:t>
      </w:r>
    </w:p>
    <w:p>
      <w:pPr>
        <w:pStyle w:val="BodyText"/>
        <w:spacing w:line="364" w:lineRule="auto" w:before="120"/>
        <w:ind w:left="116" w:right="901"/>
        <w:jc w:val="both"/>
      </w:pPr>
      <w:r>
        <w:rPr/>
        <w:t>De esta manera se distinguen tres etapas bien diferenciadas en la investigación del comportamiento proambiental.</w:t>
      </w:r>
    </w:p>
    <w:p>
      <w:pPr>
        <w:pStyle w:val="ListParagraph"/>
        <w:numPr>
          <w:ilvl w:val="0"/>
          <w:numId w:val="18"/>
        </w:numPr>
        <w:tabs>
          <w:tab w:pos="1134" w:val="left" w:leader="none"/>
        </w:tabs>
        <w:spacing w:line="364" w:lineRule="auto" w:before="120" w:after="0"/>
        <w:ind w:left="116" w:right="897" w:firstLine="686"/>
        <w:jc w:val="both"/>
        <w:rPr>
          <w:sz w:val="23"/>
        </w:rPr>
      </w:pPr>
      <w:r>
        <w:rPr>
          <w:sz w:val="23"/>
        </w:rPr>
        <w:t>Período inicial. Éste coincide con el origen del </w:t>
      </w:r>
      <w:r>
        <w:rPr>
          <w:i/>
          <w:sz w:val="23"/>
        </w:rPr>
        <w:t>movimiento verde </w:t>
      </w:r>
      <w:r>
        <w:rPr>
          <w:sz w:val="23"/>
        </w:rPr>
        <w:t>en  los  EE.UU. y Europa, a finales de los años </w:t>
      </w:r>
      <w:r>
        <w:rPr>
          <w:spacing w:val="-3"/>
          <w:sz w:val="23"/>
        </w:rPr>
        <w:t>60s </w:t>
      </w:r>
      <w:r>
        <w:rPr>
          <w:sz w:val="23"/>
        </w:rPr>
        <w:t>del siglo </w:t>
      </w:r>
      <w:r>
        <w:rPr>
          <w:spacing w:val="-4"/>
          <w:sz w:val="23"/>
        </w:rPr>
        <w:t>XX. </w:t>
      </w:r>
      <w:r>
        <w:rPr>
          <w:sz w:val="23"/>
        </w:rPr>
        <w:t>En esta  etapa  inicial se  empieza a generar una conciencia acerca </w:t>
      </w:r>
      <w:r>
        <w:rPr>
          <w:spacing w:val="-3"/>
          <w:sz w:val="23"/>
        </w:rPr>
        <w:t>de </w:t>
      </w:r>
      <w:r>
        <w:rPr>
          <w:spacing w:val="-5"/>
          <w:sz w:val="23"/>
        </w:rPr>
        <w:t>la </w:t>
      </w:r>
      <w:r>
        <w:rPr>
          <w:sz w:val="23"/>
        </w:rPr>
        <w:t>necesidad de vivir en armonía con la naturaleza y de lo limitado que </w:t>
      </w:r>
      <w:r>
        <w:rPr>
          <w:spacing w:val="2"/>
          <w:sz w:val="23"/>
        </w:rPr>
        <w:t>son </w:t>
      </w:r>
      <w:r>
        <w:rPr>
          <w:sz w:val="23"/>
        </w:rPr>
        <w:t>los recursos naturales, quedando claro que </w:t>
      </w:r>
      <w:r>
        <w:rPr>
          <w:spacing w:val="-5"/>
          <w:sz w:val="23"/>
        </w:rPr>
        <w:t>la </w:t>
      </w:r>
      <w:r>
        <w:rPr>
          <w:sz w:val="23"/>
        </w:rPr>
        <w:t>era de explotación desenfrenada de esos recursos no puede </w:t>
      </w:r>
      <w:r>
        <w:rPr>
          <w:spacing w:val="5"/>
          <w:sz w:val="23"/>
        </w:rPr>
        <w:t> </w:t>
      </w:r>
      <w:r>
        <w:rPr>
          <w:sz w:val="23"/>
        </w:rPr>
        <w:t>continuar.</w:t>
      </w:r>
    </w:p>
    <w:p>
      <w:pPr>
        <w:spacing w:line="364" w:lineRule="auto" w:before="120"/>
        <w:ind w:left="115" w:right="893" w:firstLine="0"/>
        <w:jc w:val="both"/>
        <w:rPr>
          <w:sz w:val="23"/>
        </w:rPr>
      </w:pPr>
      <w:r>
        <w:rPr>
          <w:sz w:val="23"/>
        </w:rPr>
        <w:t>De acuerdo con Dunlap y Van Liere (1978), en las naciones industrializadas del  occidente se experimenta en esos años un cambio de visión del mundo que va de un </w:t>
      </w:r>
      <w:r>
        <w:rPr>
          <w:i/>
          <w:sz w:val="23"/>
        </w:rPr>
        <w:t>Paradigma de la Excepción Humana </w:t>
      </w:r>
      <w:r>
        <w:rPr>
          <w:sz w:val="23"/>
        </w:rPr>
        <w:t>a otro, más pro-ecológico, al que ellos denominan  </w:t>
      </w:r>
      <w:r>
        <w:rPr>
          <w:i/>
          <w:sz w:val="23"/>
        </w:rPr>
        <w:t>El Nuevo Paradigma Ambiental</w:t>
      </w:r>
      <w:r>
        <w:rPr>
          <w:sz w:val="23"/>
        </w:rPr>
        <w:t>. En esta etapa también surgen las primeras publicaciones  especializadas  </w:t>
      </w:r>
      <w:r>
        <w:rPr>
          <w:spacing w:val="-3"/>
          <w:sz w:val="23"/>
        </w:rPr>
        <w:t>en  </w:t>
      </w:r>
      <w:r>
        <w:rPr>
          <w:sz w:val="23"/>
        </w:rPr>
        <w:t>Psicología  Ambiental  (</w:t>
      </w:r>
      <w:r>
        <w:rPr>
          <w:i/>
          <w:sz w:val="23"/>
        </w:rPr>
        <w:t>Environment  &amp;  Behavior   </w:t>
      </w:r>
      <w:r>
        <w:rPr>
          <w:i/>
          <w:spacing w:val="53"/>
          <w:sz w:val="23"/>
        </w:rPr>
        <w:t> </w:t>
      </w:r>
      <w:r>
        <w:rPr>
          <w:sz w:val="23"/>
        </w:rPr>
        <w:t>en</w:t>
      </w:r>
    </w:p>
    <w:p>
      <w:pPr>
        <w:spacing w:after="0" w:line="364" w:lineRule="auto"/>
        <w:jc w:val="both"/>
        <w:rPr>
          <w:sz w:val="23"/>
        </w:rPr>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6" w:right="895"/>
        <w:jc w:val="both"/>
      </w:pPr>
      <w:r>
        <w:rPr/>
        <w:t>1969 y el </w:t>
      </w:r>
      <w:r>
        <w:rPr>
          <w:i/>
        </w:rPr>
        <w:t>Journal of Environmental Psychology</w:t>
      </w:r>
      <w:r>
        <w:rPr/>
        <w:t>, en 1980). En términos de  aproximaciones teóricas, el conductismo predomina como la base conceptual a partir de </w:t>
      </w:r>
      <w:r>
        <w:rPr>
          <w:spacing w:val="-5"/>
        </w:rPr>
        <w:t>la </w:t>
      </w:r>
      <w:r>
        <w:rPr/>
        <w:t>cual </w:t>
      </w:r>
      <w:r>
        <w:rPr>
          <w:spacing w:val="3"/>
        </w:rPr>
        <w:t>se </w:t>
      </w:r>
      <w:r>
        <w:rPr/>
        <w:t>elaboran modelos explicativos de la conducta de cuidado del medio, especialmente de aquellos que tienen que ver con aspectos de estética ambiental y con  el ahorro de energía (Burgess, Clark, y Hendee, 1971; Cone y Hayes, </w:t>
      </w:r>
      <w:r>
        <w:rPr>
          <w:spacing w:val="25"/>
        </w:rPr>
        <w:t> </w:t>
      </w:r>
      <w:r>
        <w:rPr/>
        <w:t>1980).</w:t>
      </w:r>
    </w:p>
    <w:p>
      <w:pPr>
        <w:pStyle w:val="BodyText"/>
        <w:spacing w:line="364" w:lineRule="auto" w:before="120"/>
        <w:ind w:left="115" w:right="892"/>
        <w:jc w:val="both"/>
      </w:pPr>
      <w:r>
        <w:rPr/>
        <w:t>En este sentido con </w:t>
      </w:r>
      <w:r>
        <w:rPr>
          <w:spacing w:val="-5"/>
        </w:rPr>
        <w:t>la </w:t>
      </w:r>
      <w:r>
        <w:rPr/>
        <w:t>nueva visión del mundo (y con las creencias conductistas) se emprenden intervenciones </w:t>
      </w:r>
      <w:r>
        <w:rPr>
          <w:spacing w:val="-3"/>
        </w:rPr>
        <w:t>que </w:t>
      </w:r>
      <w:r>
        <w:rPr/>
        <w:t>pretenden modificar los comportamientos anti- ambientales empleando </w:t>
      </w:r>
      <w:r>
        <w:rPr>
          <w:i/>
        </w:rPr>
        <w:t>eventos antecedentes </w:t>
      </w:r>
      <w:r>
        <w:rPr/>
        <w:t>propiciatorios del comportamiento como carteles, avisos o recordatorios señalando formas apropiadas de conducta  (Reid,  Luyben, Rawers y Bailey, 1976; Katzev y Mishima, 1992),  o  </w:t>
      </w:r>
      <w:r>
        <w:rPr>
          <w:i/>
        </w:rPr>
        <w:t>eventos  consecuentes </w:t>
      </w:r>
      <w:r>
        <w:rPr/>
        <w:t>como los reforzadores positivos para las conductas pro-ecológicas (Burgess  </w:t>
      </w:r>
      <w:r>
        <w:rPr>
          <w:i/>
          <w:spacing w:val="-3"/>
        </w:rPr>
        <w:t>et  </w:t>
      </w:r>
      <w:r>
        <w:rPr>
          <w:i/>
        </w:rPr>
        <w:t>al.,  </w:t>
      </w:r>
      <w:r>
        <w:rPr/>
        <w:t>1971) y el castigo para las antiecológicas (Agras, Jacob y Ledebeck, 1980).  Este  período comprende toda </w:t>
      </w:r>
      <w:r>
        <w:rPr>
          <w:spacing w:val="-5"/>
        </w:rPr>
        <w:t>la </w:t>
      </w:r>
      <w:r>
        <w:rPr/>
        <w:t>década de los </w:t>
      </w:r>
      <w:r>
        <w:rPr>
          <w:spacing w:val="-3"/>
        </w:rPr>
        <w:t>70s </w:t>
      </w:r>
      <w:r>
        <w:rPr/>
        <w:t>y los principios de los </w:t>
      </w:r>
      <w:r>
        <w:rPr>
          <w:spacing w:val="44"/>
        </w:rPr>
        <w:t> </w:t>
      </w:r>
      <w:r>
        <w:rPr/>
        <w:t>80s.</w:t>
      </w:r>
    </w:p>
    <w:p>
      <w:pPr>
        <w:pStyle w:val="ListParagraph"/>
        <w:numPr>
          <w:ilvl w:val="0"/>
          <w:numId w:val="18"/>
        </w:numPr>
        <w:tabs>
          <w:tab w:pos="1239" w:val="left" w:leader="none"/>
        </w:tabs>
        <w:spacing w:line="364" w:lineRule="auto" w:before="120" w:after="0"/>
        <w:ind w:left="116" w:right="896" w:firstLine="686"/>
        <w:jc w:val="both"/>
        <w:rPr>
          <w:sz w:val="23"/>
        </w:rPr>
      </w:pPr>
      <w:r>
        <w:rPr>
          <w:sz w:val="23"/>
        </w:rPr>
        <w:t>Período intermedio. En la siguiente etapa se incorporan nuevas aproximaciones a </w:t>
      </w:r>
      <w:r>
        <w:rPr>
          <w:spacing w:val="-5"/>
          <w:sz w:val="23"/>
        </w:rPr>
        <w:t>la </w:t>
      </w:r>
      <w:r>
        <w:rPr>
          <w:sz w:val="23"/>
        </w:rPr>
        <w:t>explicación del comportamiento proambiental, entre las que predominan las de corte cognoscitivo. Se reconoce la importancia de  trabajar  de  manera interdisciplinaria y se introducen modelos sistémicos explicativos, los cuales involucran variables no psicológicas, entre las </w:t>
      </w:r>
      <w:r>
        <w:rPr>
          <w:spacing w:val="-3"/>
          <w:sz w:val="23"/>
        </w:rPr>
        <w:t>que </w:t>
      </w:r>
      <w:r>
        <w:rPr>
          <w:sz w:val="23"/>
        </w:rPr>
        <w:t>destacan los factores demográficos,   y las variables situacionales como promotoras del actuar proambiental (Berger, 1997; Stern, Dietz y Guagnano, 1995; Guagnano, Stern y Dietz, </w:t>
      </w:r>
      <w:r>
        <w:rPr>
          <w:spacing w:val="3"/>
          <w:sz w:val="23"/>
        </w:rPr>
        <w:t> </w:t>
      </w:r>
      <w:r>
        <w:rPr>
          <w:sz w:val="23"/>
        </w:rPr>
        <w:t>1995).</w:t>
      </w:r>
    </w:p>
    <w:p>
      <w:pPr>
        <w:pStyle w:val="BodyText"/>
        <w:spacing w:line="364" w:lineRule="auto" w:before="125"/>
        <w:ind w:left="115" w:right="891"/>
        <w:jc w:val="both"/>
      </w:pPr>
      <w:r>
        <w:rPr/>
        <w:t>Los términos </w:t>
      </w:r>
      <w:r>
        <w:rPr>
          <w:i/>
        </w:rPr>
        <w:t>comportamiento proambiental</w:t>
      </w:r>
      <w:r>
        <w:rPr/>
        <w:t>, </w:t>
      </w:r>
      <w:r>
        <w:rPr>
          <w:i/>
        </w:rPr>
        <w:t>conducta proecológica</w:t>
      </w:r>
      <w:r>
        <w:rPr/>
        <w:t>, </w:t>
      </w:r>
      <w:r>
        <w:rPr>
          <w:i/>
        </w:rPr>
        <w:t>conducta ambiental </w:t>
      </w:r>
      <w:r>
        <w:rPr>
          <w:i/>
        </w:rPr>
        <w:t>responsable </w:t>
      </w:r>
      <w:r>
        <w:rPr/>
        <w:t>cobran un uso generalizado y empiezan a </w:t>
      </w:r>
      <w:r>
        <w:rPr>
          <w:spacing w:val="-3"/>
        </w:rPr>
        <w:t>darle </w:t>
      </w:r>
      <w:r>
        <w:rPr/>
        <w:t>al área de investigación un toque </w:t>
      </w:r>
      <w:r>
        <w:rPr>
          <w:spacing w:val="-3"/>
        </w:rPr>
        <w:t>más </w:t>
      </w:r>
      <w:r>
        <w:rPr/>
        <w:t>distintivo. La </w:t>
      </w:r>
      <w:r>
        <w:rPr>
          <w:spacing w:val="-3"/>
        </w:rPr>
        <w:t>mayor </w:t>
      </w:r>
      <w:r>
        <w:rPr/>
        <w:t>parte de la investigación </w:t>
      </w:r>
      <w:r>
        <w:rPr>
          <w:spacing w:val="3"/>
        </w:rPr>
        <w:t>se </w:t>
      </w:r>
      <w:r>
        <w:rPr/>
        <w:t>sigue desarrollando en los EE.UU., seguida por la que se lleva a cabo </w:t>
      </w:r>
      <w:r>
        <w:rPr>
          <w:spacing w:val="-3"/>
        </w:rPr>
        <w:t>en </w:t>
      </w:r>
      <w:r>
        <w:rPr/>
        <w:t>Europa Occidental. Una buena parte de esta etapa coincide con un período de crecimiento de la economía mundial, lo que repercute en un reavivamiento del consumismo y la generación de desechos sólidos. Quizá esto explique por qué prácticamente todo mundo investiga el reciclaje de objetos como la conducta proambiental por</w:t>
      </w:r>
      <w:r>
        <w:rPr>
          <w:spacing w:val="51"/>
        </w:rPr>
        <w:t> </w:t>
      </w:r>
      <w:r>
        <w:rPr/>
        <w:t>excelencia.</w:t>
      </w:r>
    </w:p>
    <w:p>
      <w:pPr>
        <w:pStyle w:val="BodyText"/>
        <w:spacing w:line="364" w:lineRule="auto" w:before="125"/>
        <w:ind w:left="115" w:right="894"/>
        <w:jc w:val="both"/>
      </w:pPr>
      <w:r>
        <w:rPr/>
        <w:t>Por otro lado, el enfoque investigativo cambia de  ser  eminentemente  experimental, como en los estudios de intervención conductistas, a fundamentalmente naturalista, en donde los investigadores no muestran un interés por manipular variables o   tratamientos.</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3"/>
        <w:jc w:val="both"/>
      </w:pPr>
      <w:r>
        <w:rPr/>
        <w:t>El comportamiento proambiental  se  concibe como comportamiento  intencional  dirigido al cuidado del medio (Grob, 1990), por lo que el centro de atención </w:t>
      </w:r>
      <w:r>
        <w:rPr>
          <w:spacing w:val="-3"/>
        </w:rPr>
        <w:t>es </w:t>
      </w:r>
      <w:r>
        <w:rPr/>
        <w:t>el entorno físico y las necesidades humanas, aunque son importantes, están en segundo plano (Bonnes y Bonaiuto, 2002). Es el tiempo de la aplicación de los modelos de la Activación  de  Normas Morales de Schwartz (1977) y el de </w:t>
      </w:r>
      <w:r>
        <w:rPr>
          <w:spacing w:val="-5"/>
        </w:rPr>
        <w:t>la </w:t>
      </w:r>
      <w:r>
        <w:rPr/>
        <w:t>Teoría de la Acción  Razonada  de Fishbein y Ajzen (1975). Hasta este período la Psicología Arquitectónica conserva un dominio </w:t>
      </w:r>
      <w:r>
        <w:rPr>
          <w:spacing w:val="2"/>
        </w:rPr>
        <w:t>casi </w:t>
      </w:r>
      <w:r>
        <w:rPr/>
        <w:t>total del escenario de la Psicología Ambiental, </w:t>
      </w:r>
      <w:r>
        <w:rPr>
          <w:spacing w:val="-4"/>
        </w:rPr>
        <w:t>ya </w:t>
      </w:r>
      <w:r>
        <w:rPr/>
        <w:t>que la mayoría de los psicólogos ambientales investigan aspectos de percepción y diseño ambiental  y  sólo unos pocos estudian </w:t>
      </w:r>
      <w:r>
        <w:rPr>
          <w:spacing w:val="-5"/>
        </w:rPr>
        <w:t>la </w:t>
      </w:r>
      <w:r>
        <w:rPr/>
        <w:t>conducta de conservación ambiental (Geller, 2002). Esta etapa dura hasta finales de la época de los</w:t>
      </w:r>
      <w:r>
        <w:rPr>
          <w:spacing w:val="49"/>
        </w:rPr>
        <w:t> </w:t>
      </w:r>
      <w:r>
        <w:rPr/>
        <w:t>90s.</w:t>
      </w:r>
    </w:p>
    <w:p>
      <w:pPr>
        <w:pStyle w:val="ListParagraph"/>
        <w:numPr>
          <w:ilvl w:val="0"/>
          <w:numId w:val="18"/>
        </w:numPr>
        <w:tabs>
          <w:tab w:pos="1129" w:val="left" w:leader="none"/>
        </w:tabs>
        <w:spacing w:line="364" w:lineRule="auto" w:before="120" w:after="0"/>
        <w:ind w:left="116" w:right="894" w:firstLine="686"/>
        <w:jc w:val="both"/>
        <w:rPr>
          <w:sz w:val="23"/>
        </w:rPr>
      </w:pPr>
      <w:r>
        <w:rPr>
          <w:sz w:val="23"/>
        </w:rPr>
        <w:t>Período actual (finales de los 90s hasta la fecha). Se caracteriza por </w:t>
      </w:r>
      <w:r>
        <w:rPr>
          <w:spacing w:val="4"/>
          <w:sz w:val="23"/>
        </w:rPr>
        <w:t>el </w:t>
      </w:r>
      <w:r>
        <w:rPr>
          <w:sz w:val="23"/>
        </w:rPr>
        <w:t>agravamiento de los problemas ambientales. Aun recursos como el agua, que se consideraban ilimitados, </w:t>
      </w:r>
      <w:r>
        <w:rPr>
          <w:spacing w:val="3"/>
          <w:sz w:val="23"/>
        </w:rPr>
        <w:t>se </w:t>
      </w:r>
      <w:r>
        <w:rPr>
          <w:sz w:val="23"/>
        </w:rPr>
        <w:t>clasifican ahora en estado de escasez crítica  (Brown  y Flavin, 1999) y </w:t>
      </w:r>
      <w:r>
        <w:rPr>
          <w:spacing w:val="3"/>
          <w:sz w:val="23"/>
        </w:rPr>
        <w:t>se </w:t>
      </w:r>
      <w:r>
        <w:rPr>
          <w:sz w:val="23"/>
        </w:rPr>
        <w:t>confirma que el sobrecalentamiento global es una realidad (Gardner, 2002), aunque los políticos traten de minimizar </w:t>
      </w:r>
      <w:r>
        <w:rPr>
          <w:spacing w:val="3"/>
          <w:sz w:val="23"/>
        </w:rPr>
        <w:t>su </w:t>
      </w:r>
      <w:r>
        <w:rPr>
          <w:sz w:val="23"/>
        </w:rPr>
        <w:t>efecto. </w:t>
      </w:r>
      <w:r>
        <w:rPr>
          <w:spacing w:val="-3"/>
          <w:sz w:val="23"/>
        </w:rPr>
        <w:t>La </w:t>
      </w:r>
      <w:r>
        <w:rPr>
          <w:sz w:val="23"/>
        </w:rPr>
        <w:t>amenaza </w:t>
      </w:r>
      <w:r>
        <w:rPr>
          <w:spacing w:val="-3"/>
          <w:sz w:val="23"/>
        </w:rPr>
        <w:t>del </w:t>
      </w:r>
      <w:r>
        <w:rPr>
          <w:sz w:val="23"/>
        </w:rPr>
        <w:t>terrorismo alcanza a prácticamente cualquier lugar del mundo y algunos </w:t>
      </w:r>
      <w:r>
        <w:rPr>
          <w:spacing w:val="-5"/>
          <w:sz w:val="23"/>
        </w:rPr>
        <w:t>la </w:t>
      </w:r>
      <w:r>
        <w:rPr>
          <w:sz w:val="23"/>
        </w:rPr>
        <w:t>empiezan a ligar a fenómenos de inequidad, pobreza extrema y resentimiento social, junto con la  intolerancia y los nacionalismos (Huntington,</w:t>
      </w:r>
      <w:r>
        <w:rPr>
          <w:spacing w:val="55"/>
          <w:sz w:val="23"/>
        </w:rPr>
        <w:t> </w:t>
      </w:r>
      <w:r>
        <w:rPr>
          <w:sz w:val="23"/>
        </w:rPr>
        <w:t>1999).</w:t>
      </w:r>
    </w:p>
    <w:p>
      <w:pPr>
        <w:pStyle w:val="BodyText"/>
        <w:spacing w:line="364" w:lineRule="auto" w:before="120"/>
        <w:ind w:left="116" w:right="895"/>
        <w:jc w:val="both"/>
      </w:pPr>
      <w:r>
        <w:rPr/>
        <w:t>Esta </w:t>
      </w:r>
      <w:r>
        <w:rPr>
          <w:spacing w:val="-3"/>
        </w:rPr>
        <w:t>es </w:t>
      </w:r>
      <w:r>
        <w:rPr/>
        <w:t>la etapa en la que los términos </w:t>
      </w:r>
      <w:r>
        <w:rPr>
          <w:spacing w:val="-3"/>
        </w:rPr>
        <w:t>de </w:t>
      </w:r>
      <w:r>
        <w:rPr/>
        <w:t>conducta sustentable, pro-ecológica o simplemente ambiental empiezan a ser reemplazados por el concepto de comportamiento proambiental, la cual implícitamente se </w:t>
      </w:r>
      <w:r>
        <w:rPr>
          <w:spacing w:val="-2"/>
        </w:rPr>
        <w:t>dirige </w:t>
      </w:r>
      <w:r>
        <w:rPr/>
        <w:t>a buscar no sólo el cuidado del entorno sino también a promover el bienestar humano en todos los rincones del planeta (Schmuck y Schultz, 2002; Bonnes y Bonaiuto, 2002; Pinheiro, </w:t>
      </w:r>
      <w:r>
        <w:rPr>
          <w:spacing w:val="22"/>
        </w:rPr>
        <w:t> </w:t>
      </w:r>
      <w:r>
        <w:rPr/>
        <w:t>2002).</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5"/>
        <w:rPr>
          <w:sz w:val="17"/>
        </w:rPr>
      </w:pPr>
    </w:p>
    <w:p>
      <w:pPr>
        <w:pStyle w:val="Heading2"/>
        <w:spacing w:before="73"/>
        <w:ind w:left="1209" w:right="514"/>
        <w:jc w:val="left"/>
      </w:pPr>
      <w:r>
        <w:rPr/>
        <w:t>Figura 11. Esquema teórico del Comportamiento  Proambiental</w:t>
      </w:r>
    </w:p>
    <w:p>
      <w:pPr>
        <w:pStyle w:val="BodyText"/>
        <w:rPr>
          <w:b/>
          <w:sz w:val="20"/>
        </w:rPr>
      </w:pPr>
    </w:p>
    <w:p>
      <w:pPr>
        <w:pStyle w:val="BodyText"/>
        <w:spacing w:before="9"/>
        <w:rPr>
          <w:b/>
          <w:sz w:val="20"/>
        </w:rPr>
      </w:pPr>
      <w:r>
        <w:rPr/>
        <w:drawing>
          <wp:anchor distT="0" distB="0" distL="0" distR="0" allowOverlap="1" layoutInCell="1" locked="0" behindDoc="0" simplePos="0" relativeHeight="1480">
            <wp:simplePos x="0" y="0"/>
            <wp:positionH relativeFrom="page">
              <wp:posOffset>1274063</wp:posOffset>
            </wp:positionH>
            <wp:positionV relativeFrom="paragraph">
              <wp:posOffset>176580</wp:posOffset>
            </wp:positionV>
            <wp:extent cx="5151745" cy="3806094"/>
            <wp:effectExtent l="0" t="0" r="0" b="0"/>
            <wp:wrapTopAndBottom/>
            <wp:docPr id="19" name="image14.png" descr=""/>
            <wp:cNvGraphicFramePr>
              <a:graphicFrameLocks noChangeAspect="1"/>
            </wp:cNvGraphicFramePr>
            <a:graphic>
              <a:graphicData uri="http://schemas.openxmlformats.org/drawingml/2006/picture">
                <pic:pic>
                  <pic:nvPicPr>
                    <pic:cNvPr id="20" name="image14.png"/>
                    <pic:cNvPicPr/>
                  </pic:nvPicPr>
                  <pic:blipFill>
                    <a:blip r:embed="rId32" cstate="print"/>
                    <a:stretch>
                      <a:fillRect/>
                    </a:stretch>
                  </pic:blipFill>
                  <pic:spPr>
                    <a:xfrm>
                      <a:off x="0" y="0"/>
                      <a:ext cx="5151745" cy="3806094"/>
                    </a:xfrm>
                    <a:prstGeom prst="rect">
                      <a:avLst/>
                    </a:prstGeom>
                  </pic:spPr>
                </pic:pic>
              </a:graphicData>
            </a:graphic>
          </wp:anchor>
        </w:drawing>
      </w:r>
    </w:p>
    <w:p>
      <w:pPr>
        <w:spacing w:before="154"/>
        <w:ind w:left="100" w:right="0" w:firstLine="0"/>
        <w:jc w:val="both"/>
        <w:rPr>
          <w:i/>
          <w:sz w:val="21"/>
        </w:rPr>
      </w:pPr>
      <w:r>
        <w:rPr>
          <w:i/>
          <w:sz w:val="21"/>
        </w:rPr>
        <w:t>Fuente: Cortés, O. (2008).</w:t>
      </w:r>
    </w:p>
    <w:p>
      <w:pPr>
        <w:pStyle w:val="BodyText"/>
        <w:spacing w:before="9"/>
        <w:rPr>
          <w:i/>
          <w:sz w:val="20"/>
        </w:rPr>
      </w:pPr>
    </w:p>
    <w:p>
      <w:pPr>
        <w:pStyle w:val="BodyText"/>
        <w:spacing w:line="364" w:lineRule="auto"/>
        <w:ind w:left="100" w:right="890"/>
        <w:jc w:val="both"/>
      </w:pPr>
      <w:r>
        <w:rPr/>
        <w:t>El término Comportamiento Proambiental, en opinión de Castro (2001) es </w:t>
      </w:r>
      <w:r>
        <w:rPr>
          <w:spacing w:val="-3"/>
        </w:rPr>
        <w:t>más </w:t>
      </w:r>
      <w:r>
        <w:rPr/>
        <w:t>preciso que otras etiquetas como por ejemplo conducta ecológica o conducta pro ecológica. El comportamiento proambiental, para este autor, es definido como “aquella acción que realiza una persona, </w:t>
      </w:r>
      <w:r>
        <w:rPr>
          <w:spacing w:val="-4"/>
        </w:rPr>
        <w:t>ya </w:t>
      </w:r>
      <w:r>
        <w:rPr/>
        <w:t>sea de forma individual o en un escenario colectivo, a favor de    </w:t>
      </w:r>
      <w:r>
        <w:rPr>
          <w:spacing w:val="-5"/>
        </w:rPr>
        <w:t>la </w:t>
      </w:r>
      <w:r>
        <w:rPr/>
        <w:t>conservación de los recursos naturales y dirigida a obtener una mejor calidad  del medio ambiente” (Castro 2001, p. 18). En otras palabras, un comportamiento ambiental  va a implicar el desarrollo ordenado de una secuencia de conductas  </w:t>
      </w:r>
      <w:r>
        <w:rPr>
          <w:spacing w:val="-3"/>
        </w:rPr>
        <w:t>que  </w:t>
      </w:r>
      <w:r>
        <w:rPr/>
        <w:t>son  específicas y que se dirigen hacia un objetivo concreto, </w:t>
      </w:r>
      <w:r>
        <w:rPr>
          <w:spacing w:val="-4"/>
        </w:rPr>
        <w:t>ya</w:t>
      </w:r>
      <w:r>
        <w:rPr>
          <w:spacing w:val="55"/>
        </w:rPr>
        <w:t> </w:t>
      </w:r>
      <w:r>
        <w:rPr/>
        <w:t>sean realizadas individualmente o de forma colectiva. Las dimensiones a considerar para definir una acción ambiental </w:t>
      </w:r>
      <w:r>
        <w:rPr>
          <w:spacing w:val="2"/>
        </w:rPr>
        <w:t>son </w:t>
      </w:r>
      <w:r>
        <w:rPr/>
        <w:t>cuatro continuos relacionados entre sí. Estas cuatro dimensiones consideran, en primer lugar, si la conducta se hace de forma directa/indirecta, si se trata de una acción individual o por el contrario es colectiva, si la acción </w:t>
      </w:r>
      <w:r>
        <w:rPr>
          <w:spacing w:val="3"/>
        </w:rPr>
        <w:t>se </w:t>
      </w:r>
      <w:r>
        <w:rPr/>
        <w:t>orienta hacia la prevención</w:t>
      </w:r>
      <w:r>
        <w:rPr>
          <w:spacing w:val="17"/>
        </w:rPr>
        <w:t> </w:t>
      </w:r>
      <w:r>
        <w:rPr/>
        <w:t>de</w:t>
      </w:r>
      <w:r>
        <w:rPr>
          <w:spacing w:val="17"/>
        </w:rPr>
        <w:t> </w:t>
      </w:r>
      <w:r>
        <w:rPr/>
        <w:t>un</w:t>
      </w:r>
      <w:r>
        <w:rPr>
          <w:spacing w:val="17"/>
        </w:rPr>
        <w:t> </w:t>
      </w:r>
      <w:r>
        <w:rPr/>
        <w:t>problema</w:t>
      </w:r>
      <w:r>
        <w:rPr>
          <w:spacing w:val="17"/>
        </w:rPr>
        <w:t> </w:t>
      </w:r>
      <w:r>
        <w:rPr/>
        <w:t>o</w:t>
      </w:r>
      <w:r>
        <w:rPr>
          <w:spacing w:val="21"/>
        </w:rPr>
        <w:t> </w:t>
      </w:r>
      <w:r>
        <w:rPr/>
        <w:t>está</w:t>
      </w:r>
      <w:r>
        <w:rPr>
          <w:spacing w:val="17"/>
        </w:rPr>
        <w:t> </w:t>
      </w:r>
      <w:r>
        <w:rPr/>
        <w:t>dirigida</w:t>
      </w:r>
      <w:r>
        <w:rPr>
          <w:spacing w:val="17"/>
        </w:rPr>
        <w:t> </w:t>
      </w:r>
      <w:r>
        <w:rPr/>
        <w:t>a</w:t>
      </w:r>
      <w:r>
        <w:rPr>
          <w:spacing w:val="22"/>
        </w:rPr>
        <w:t> </w:t>
      </w:r>
      <w:r>
        <w:rPr/>
        <w:t>corregirlo</w:t>
      </w:r>
      <w:r>
        <w:rPr>
          <w:spacing w:val="21"/>
        </w:rPr>
        <w:t> </w:t>
      </w:r>
      <w:r>
        <w:rPr/>
        <w:t>o</w:t>
      </w:r>
      <w:r>
        <w:rPr>
          <w:spacing w:val="17"/>
        </w:rPr>
        <w:t> </w:t>
      </w:r>
      <w:r>
        <w:rPr/>
        <w:t>repararlo,</w:t>
      </w:r>
      <w:r>
        <w:rPr>
          <w:spacing w:val="19"/>
        </w:rPr>
        <w:t> </w:t>
      </w:r>
      <w:r>
        <w:rPr/>
        <w:t>y</w:t>
      </w:r>
      <w:r>
        <w:rPr>
          <w:spacing w:val="10"/>
        </w:rPr>
        <w:t> </w:t>
      </w:r>
      <w:r>
        <w:rPr>
          <w:spacing w:val="2"/>
        </w:rPr>
        <w:t>por</w:t>
      </w:r>
      <w:r>
        <w:rPr>
          <w:spacing w:val="10"/>
        </w:rPr>
        <w:t> </w:t>
      </w:r>
      <w:r>
        <w:rPr/>
        <w:t>último,</w:t>
      </w:r>
      <w:r>
        <w:rPr>
          <w:spacing w:val="19"/>
        </w:rPr>
        <w:t> </w:t>
      </w:r>
      <w:r>
        <w:rPr/>
        <w:t>si</w:t>
      </w:r>
      <w:r>
        <w:rPr>
          <w:spacing w:val="8"/>
        </w:rPr>
        <w:t> </w:t>
      </w:r>
      <w:r>
        <w:rPr/>
        <w:t>el</w:t>
      </w:r>
      <w:r>
        <w:rPr>
          <w:spacing w:val="13"/>
        </w:rPr>
        <w:t> </w:t>
      </w:r>
      <w:r>
        <w:rPr/>
        <w:t>fin</w:t>
      </w:r>
    </w:p>
    <w:p>
      <w:pPr>
        <w:spacing w:after="0" w:line="364" w:lineRule="auto"/>
        <w:jc w:val="both"/>
        <w:sectPr>
          <w:headerReference w:type="default" r:id="rId31"/>
          <w:pgSz w:w="11910" w:h="16840"/>
          <w:pgMar w:header="1013" w:footer="1711" w:top="1480" w:bottom="1900" w:left="1560" w:right="200"/>
        </w:sectPr>
      </w:pPr>
    </w:p>
    <w:p>
      <w:pPr>
        <w:pStyle w:val="BodyText"/>
        <w:rPr>
          <w:sz w:val="20"/>
        </w:rPr>
      </w:pPr>
    </w:p>
    <w:p>
      <w:pPr>
        <w:pStyle w:val="BodyText"/>
        <w:spacing w:before="5"/>
        <w:rPr>
          <w:sz w:val="17"/>
        </w:rPr>
      </w:pPr>
    </w:p>
    <w:p>
      <w:pPr>
        <w:pStyle w:val="BodyText"/>
        <w:spacing w:line="362" w:lineRule="auto" w:before="73"/>
        <w:ind w:left="120" w:right="895"/>
        <w:jc w:val="both"/>
      </w:pPr>
      <w:r>
        <w:rPr/>
        <w:t>que persigue es la mejora de la calidad ambiental o, </w:t>
      </w:r>
      <w:r>
        <w:rPr>
          <w:spacing w:val="3"/>
        </w:rPr>
        <w:t>si </w:t>
      </w:r>
      <w:r>
        <w:rPr/>
        <w:t>se dirige hacia </w:t>
      </w:r>
      <w:r>
        <w:rPr>
          <w:spacing w:val="-5"/>
        </w:rPr>
        <w:t>la  </w:t>
      </w:r>
      <w:r>
        <w:rPr/>
        <w:t>conservación  de los recursos</w:t>
      </w:r>
      <w:r>
        <w:rPr>
          <w:spacing w:val="29"/>
        </w:rPr>
        <w:t> </w:t>
      </w:r>
      <w:r>
        <w:rPr/>
        <w:t>naturales.</w:t>
      </w:r>
    </w:p>
    <w:p>
      <w:pPr>
        <w:pStyle w:val="Heading2"/>
        <w:spacing w:before="123"/>
        <w:ind w:left="1652" w:right="989"/>
        <w:jc w:val="left"/>
      </w:pPr>
      <w:r>
        <w:rPr/>
        <w:t>Figura 12. Dimensiones de Comportamiento  Ambiental</w:t>
      </w:r>
    </w:p>
    <w:p>
      <w:pPr>
        <w:pStyle w:val="BodyText"/>
        <w:spacing w:before="10"/>
        <w:rPr>
          <w:b/>
          <w:sz w:val="29"/>
        </w:rPr>
      </w:pPr>
      <w:r>
        <w:rPr/>
        <w:drawing>
          <wp:anchor distT="0" distB="0" distL="0" distR="0" allowOverlap="1" layoutInCell="1" locked="0" behindDoc="0" simplePos="0" relativeHeight="1504">
            <wp:simplePos x="0" y="0"/>
            <wp:positionH relativeFrom="page">
              <wp:posOffset>1048511</wp:posOffset>
            </wp:positionH>
            <wp:positionV relativeFrom="paragraph">
              <wp:posOffset>243370</wp:posOffset>
            </wp:positionV>
            <wp:extent cx="5373540" cy="2294286"/>
            <wp:effectExtent l="0" t="0" r="0" b="0"/>
            <wp:wrapTopAndBottom/>
            <wp:docPr id="21" name="image15.png" descr=""/>
            <wp:cNvGraphicFramePr>
              <a:graphicFrameLocks noChangeAspect="1"/>
            </wp:cNvGraphicFramePr>
            <a:graphic>
              <a:graphicData uri="http://schemas.openxmlformats.org/drawingml/2006/picture">
                <pic:pic>
                  <pic:nvPicPr>
                    <pic:cNvPr id="22" name="image15.png"/>
                    <pic:cNvPicPr/>
                  </pic:nvPicPr>
                  <pic:blipFill>
                    <a:blip r:embed="rId33" cstate="print"/>
                    <a:stretch>
                      <a:fillRect/>
                    </a:stretch>
                  </pic:blipFill>
                  <pic:spPr>
                    <a:xfrm>
                      <a:off x="0" y="0"/>
                      <a:ext cx="5373540" cy="2294286"/>
                    </a:xfrm>
                    <a:prstGeom prst="rect">
                      <a:avLst/>
                    </a:prstGeom>
                  </pic:spPr>
                </pic:pic>
              </a:graphicData>
            </a:graphic>
          </wp:anchor>
        </w:drawing>
      </w:r>
    </w:p>
    <w:p>
      <w:pPr>
        <w:spacing w:before="169"/>
        <w:ind w:left="120" w:right="0" w:firstLine="0"/>
        <w:jc w:val="both"/>
        <w:rPr>
          <w:i/>
          <w:sz w:val="21"/>
        </w:rPr>
      </w:pPr>
      <w:r>
        <w:rPr>
          <w:i/>
          <w:sz w:val="21"/>
        </w:rPr>
        <w:t>Fuente: Jiménez y Lafuente</w:t>
      </w:r>
      <w:r>
        <w:rPr>
          <w:i/>
          <w:spacing w:val="51"/>
          <w:sz w:val="21"/>
        </w:rPr>
        <w:t> </w:t>
      </w:r>
      <w:r>
        <w:rPr>
          <w:i/>
          <w:sz w:val="21"/>
        </w:rPr>
        <w:t>(2007).</w:t>
      </w:r>
    </w:p>
    <w:p>
      <w:pPr>
        <w:pStyle w:val="BodyText"/>
        <w:rPr>
          <w:i/>
          <w:sz w:val="20"/>
        </w:rPr>
      </w:pPr>
    </w:p>
    <w:p>
      <w:pPr>
        <w:pStyle w:val="BodyText"/>
        <w:rPr>
          <w:i/>
          <w:sz w:val="20"/>
        </w:rPr>
      </w:pPr>
    </w:p>
    <w:p>
      <w:pPr>
        <w:pStyle w:val="BodyText"/>
        <w:spacing w:before="3"/>
        <w:rPr>
          <w:i/>
          <w:sz w:val="26"/>
        </w:rPr>
      </w:pPr>
    </w:p>
    <w:p>
      <w:pPr>
        <w:pStyle w:val="BodyText"/>
        <w:spacing w:line="364" w:lineRule="auto"/>
        <w:ind w:left="120" w:right="887"/>
        <w:jc w:val="both"/>
      </w:pPr>
      <w:r>
        <w:rPr/>
        <w:t>Otra definición es la planteada por Corral-Verdugo (2001) quien sugiere que el Comportamiento Proambiental es el conjunto de acciones deliberadas y efectivas que responden a requerimientos sociales e individuales y que resultan en la protección del ambiente, por lo que el centro de atención es el entorno físico y las necesidades humanas.</w:t>
      </w:r>
    </w:p>
    <w:p>
      <w:pPr>
        <w:pStyle w:val="BodyText"/>
        <w:spacing w:line="364" w:lineRule="auto" w:before="120"/>
        <w:ind w:left="120" w:right="891"/>
        <w:jc w:val="both"/>
      </w:pPr>
      <w:r>
        <w:rPr/>
        <w:t>En este contexto, desde el punto de vista de la psicología ambiental para poder analizar los factores </w:t>
      </w:r>
      <w:r>
        <w:rPr>
          <w:spacing w:val="-3"/>
        </w:rPr>
        <w:t>que </w:t>
      </w:r>
      <w:r>
        <w:rPr/>
        <w:t>determinan que un individuo manifieste un  comportamiento  proambiental es necesario entender dos conceptos importantes que son las actitudes y   </w:t>
      </w:r>
      <w:r>
        <w:rPr>
          <w:spacing w:val="-5"/>
        </w:rPr>
        <w:t>la </w:t>
      </w:r>
      <w:r>
        <w:rPr/>
        <w:t>conciencia</w:t>
      </w:r>
      <w:r>
        <w:rPr>
          <w:spacing w:val="39"/>
        </w:rPr>
        <w:t> </w:t>
      </w:r>
      <w:r>
        <w:rPr/>
        <w:t>ambiental.</w:t>
      </w:r>
    </w:p>
    <w:p>
      <w:pPr>
        <w:pStyle w:val="BodyText"/>
        <w:rPr>
          <w:sz w:val="22"/>
        </w:rPr>
      </w:pPr>
    </w:p>
    <w:p>
      <w:pPr>
        <w:pStyle w:val="BodyText"/>
        <w:rPr>
          <w:sz w:val="22"/>
        </w:rPr>
      </w:pPr>
    </w:p>
    <w:p>
      <w:pPr>
        <w:pStyle w:val="Heading2"/>
        <w:numPr>
          <w:ilvl w:val="1"/>
          <w:numId w:val="19"/>
        </w:numPr>
        <w:tabs>
          <w:tab w:pos="1498" w:val="left" w:leader="none"/>
          <w:tab w:pos="1499" w:val="left" w:leader="none"/>
        </w:tabs>
        <w:spacing w:line="240" w:lineRule="auto" w:before="132" w:after="0"/>
        <w:ind w:left="1498" w:right="0" w:hanging="691"/>
        <w:jc w:val="left"/>
      </w:pPr>
      <w:r>
        <w:rPr/>
        <w:t>Actitudes</w:t>
      </w:r>
      <w:r>
        <w:rPr>
          <w:spacing w:val="30"/>
        </w:rPr>
        <w:t> </w:t>
      </w:r>
      <w:r>
        <w:rPr/>
        <w:t>ambientales</w:t>
      </w:r>
    </w:p>
    <w:p>
      <w:pPr>
        <w:pStyle w:val="BodyText"/>
        <w:rPr>
          <w:b/>
          <w:sz w:val="22"/>
        </w:rPr>
      </w:pPr>
    </w:p>
    <w:p>
      <w:pPr>
        <w:pStyle w:val="BodyText"/>
        <w:spacing w:line="364" w:lineRule="auto" w:before="1"/>
        <w:ind w:left="120" w:right="889"/>
        <w:jc w:val="both"/>
      </w:pPr>
      <w:r>
        <w:rPr/>
        <w:t>Corraliza y Gilmartín (1996, en Martínez, 2004) establecen que entre las expresiones, equivocadas en la mayoría de los discursos sobre la crisis ecológica, es la relacionada con los problemas ambientales. Ellos sostienen que estos problemas, en realidad se deben   considerar   como   problemas   de   la   humanidad,   y   por   consiguiente,    del</w:t>
      </w:r>
    </w:p>
    <w:p>
      <w:pPr>
        <w:spacing w:after="0" w:line="364" w:lineRule="auto"/>
        <w:jc w:val="both"/>
        <w:sectPr>
          <w:pgSz w:w="11910" w:h="16840"/>
          <w:pgMar w:header="1013" w:footer="1711" w:top="1480" w:bottom="1900" w:left="1540" w:right="200"/>
        </w:sectPr>
      </w:pPr>
    </w:p>
    <w:p>
      <w:pPr>
        <w:pStyle w:val="BodyText"/>
        <w:rPr>
          <w:sz w:val="20"/>
        </w:rPr>
      </w:pPr>
    </w:p>
    <w:p>
      <w:pPr>
        <w:pStyle w:val="BodyText"/>
        <w:spacing w:before="10"/>
        <w:rPr>
          <w:sz w:val="17"/>
        </w:rPr>
      </w:pPr>
    </w:p>
    <w:p>
      <w:pPr>
        <w:pStyle w:val="BodyText"/>
        <w:spacing w:line="362" w:lineRule="auto" w:before="74"/>
        <w:ind w:left="115" w:right="893"/>
        <w:jc w:val="both"/>
      </w:pPr>
      <w:r>
        <w:rPr/>
        <w:t>comportamiento humano, ya que son los comportamientos de las personas los que provocan que un problema ambiental se incremente o se  agrave.</w:t>
      </w:r>
    </w:p>
    <w:p>
      <w:pPr>
        <w:pStyle w:val="BodyText"/>
        <w:spacing w:line="364" w:lineRule="auto" w:before="123"/>
        <w:ind w:left="115" w:right="897"/>
        <w:jc w:val="both"/>
      </w:pPr>
      <w:r>
        <w:rPr/>
        <w:t>Frecuentemente el estudio de </w:t>
      </w:r>
      <w:r>
        <w:rPr>
          <w:spacing w:val="-5"/>
        </w:rPr>
        <w:t>la </w:t>
      </w:r>
      <w:r>
        <w:rPr/>
        <w:t>preocupación ambiental </w:t>
      </w:r>
      <w:r>
        <w:rPr>
          <w:spacing w:val="3"/>
        </w:rPr>
        <w:t>se </w:t>
      </w:r>
      <w:r>
        <w:rPr/>
        <w:t>aborda a través del  concepto de actitud, conciencia ambiental y comportamiento proambiental, el cual interesa sobre todo por </w:t>
      </w:r>
      <w:r>
        <w:rPr>
          <w:spacing w:val="-5"/>
        </w:rPr>
        <w:t>la </w:t>
      </w:r>
      <w:r>
        <w:rPr/>
        <w:t>posible influencia de éstos sobre la conducta humana </w:t>
      </w:r>
      <w:r>
        <w:rPr>
          <w:spacing w:val="-3"/>
        </w:rPr>
        <w:t>que </w:t>
      </w:r>
      <w:r>
        <w:rPr/>
        <w:t>afecta a los recursos naturales y a </w:t>
      </w:r>
      <w:r>
        <w:rPr>
          <w:spacing w:val="-5"/>
        </w:rPr>
        <w:t>la </w:t>
      </w:r>
      <w:r>
        <w:rPr/>
        <w:t>calidad del ambiente,  impacto que se  produce, sino de forma directa, sí como un conjunto de factores que conllevan a definir el comportamiento proambiental como aquella acción que realiza una persona en favor de  </w:t>
      </w:r>
      <w:r>
        <w:rPr>
          <w:spacing w:val="-5"/>
        </w:rPr>
        <w:t>la </w:t>
      </w:r>
      <w:r>
        <w:rPr/>
        <w:t>conservación de los recursos naturales, y que </w:t>
      </w:r>
      <w:r>
        <w:rPr>
          <w:spacing w:val="3"/>
        </w:rPr>
        <w:t>se </w:t>
      </w:r>
      <w:r>
        <w:rPr/>
        <w:t>dirija obtener una mejor calidad del ambiente.</w:t>
      </w:r>
    </w:p>
    <w:p>
      <w:pPr>
        <w:pStyle w:val="BodyText"/>
        <w:spacing w:line="364" w:lineRule="auto" w:before="120"/>
        <w:ind w:left="116" w:right="898"/>
        <w:jc w:val="both"/>
      </w:pPr>
      <w:r>
        <w:rPr/>
        <w:t>En este sentido, las actitudes son el reflejo de una organización duradera de creencias    y cogniciones en general, dotadas de una carga afectiva en favor o en contra de un objeto social definido, que predispone a una acción coherente con las cogniciones y afectos relativos a dicho objeto (Rodríguez, </w:t>
      </w:r>
      <w:r>
        <w:rPr>
          <w:spacing w:val="54"/>
        </w:rPr>
        <w:t> </w:t>
      </w:r>
      <w:r>
        <w:rPr/>
        <w:t>2011).</w:t>
      </w:r>
    </w:p>
    <w:p>
      <w:pPr>
        <w:pStyle w:val="BodyText"/>
        <w:spacing w:line="364" w:lineRule="auto" w:before="120"/>
        <w:ind w:left="116" w:right="893"/>
        <w:jc w:val="both"/>
      </w:pPr>
      <w:r>
        <w:rPr/>
        <w:t>Así el análisis de las actitudes ambientales reconoce los componentes culturales, simbólicos y cognitivos que sustentan los  patrones  de interacción sociedad–naturaleza  y orientan </w:t>
      </w:r>
      <w:r>
        <w:rPr>
          <w:spacing w:val="-4"/>
        </w:rPr>
        <w:t>los</w:t>
      </w:r>
      <w:r>
        <w:rPr>
          <w:spacing w:val="55"/>
        </w:rPr>
        <w:t> </w:t>
      </w:r>
      <w:r>
        <w:rPr/>
        <w:t>usos de los recursos. Caracterizar las actitudes ambientales de la población en función de la posición favorable o desfavorable de su conciencia ambiental  y la orientación fuerte o débil de </w:t>
      </w:r>
      <w:r>
        <w:rPr>
          <w:spacing w:val="-5"/>
        </w:rPr>
        <w:t>la </w:t>
      </w:r>
      <w:r>
        <w:rPr/>
        <w:t>predisposición de adoptar comportamientos proambientales es uno de los objetivos del presente </w:t>
      </w:r>
      <w:r>
        <w:rPr>
          <w:spacing w:val="2"/>
        </w:rPr>
        <w:t> </w:t>
      </w:r>
      <w:r>
        <w:rPr/>
        <w:t>análisis.</w:t>
      </w:r>
    </w:p>
    <w:p>
      <w:pPr>
        <w:pStyle w:val="BodyText"/>
        <w:spacing w:line="364" w:lineRule="auto" w:before="125"/>
        <w:ind w:left="116" w:right="900"/>
        <w:jc w:val="both"/>
      </w:pPr>
      <w:r>
        <w:rPr/>
        <w:t>Dado que en las últimas décadas </w:t>
      </w:r>
      <w:r>
        <w:rPr>
          <w:spacing w:val="3"/>
        </w:rPr>
        <w:t>se </w:t>
      </w:r>
      <w:r>
        <w:rPr/>
        <w:t>ha identificado que el fondo de </w:t>
      </w:r>
      <w:r>
        <w:rPr>
          <w:spacing w:val="-5"/>
        </w:rPr>
        <w:t>la </w:t>
      </w:r>
      <w:r>
        <w:rPr/>
        <w:t>problemática ambiental es el comportamiento humano, siendo necesario analizarlo  para  definir  cuáles son los factores que están determinando una conducta positiva o negativa con respecto al uso de los bienes naturales (Eagly y Chaiken, 1998). Para Fishbein y Ajzen (1975), las actitudes afectan el comportamiento de manera indirecta a través de la “intención de actuar”. A </w:t>
      </w:r>
      <w:r>
        <w:rPr>
          <w:spacing w:val="3"/>
        </w:rPr>
        <w:t>su </w:t>
      </w:r>
      <w:r>
        <w:rPr/>
        <w:t>vez las intenciones reciben su influencia de  normas  subjetivas que reflejan la importancia que tienen para las personas los familiares, los amigos y los vecinos a </w:t>
      </w:r>
      <w:r>
        <w:rPr>
          <w:spacing w:val="-5"/>
        </w:rPr>
        <w:t>la </w:t>
      </w:r>
      <w:r>
        <w:rPr/>
        <w:t>hora de realizar un comportamiento (Corral-Verdugo, </w:t>
      </w:r>
      <w:r>
        <w:rPr>
          <w:spacing w:val="51"/>
        </w:rPr>
        <w:t> </w:t>
      </w:r>
      <w:r>
        <w:rPr/>
        <w:t>2001).</w:t>
      </w:r>
    </w:p>
    <w:p>
      <w:pPr>
        <w:pStyle w:val="BodyText"/>
        <w:spacing w:line="369" w:lineRule="auto" w:before="120"/>
        <w:ind w:left="116" w:right="899"/>
        <w:jc w:val="both"/>
      </w:pPr>
      <w:r>
        <w:rPr/>
        <w:t>Por consiguiente el comportamiento de las personas </w:t>
      </w:r>
      <w:r>
        <w:rPr>
          <w:spacing w:val="-3"/>
        </w:rPr>
        <w:t>es </w:t>
      </w:r>
      <w:r>
        <w:rPr/>
        <w:t>el resultado de  diversos  procesos</w:t>
      </w:r>
      <w:r>
        <w:rPr>
          <w:spacing w:val="21"/>
        </w:rPr>
        <w:t> </w:t>
      </w:r>
      <w:r>
        <w:rPr/>
        <w:t>internos</w:t>
      </w:r>
      <w:r>
        <w:rPr>
          <w:spacing w:val="21"/>
        </w:rPr>
        <w:t> </w:t>
      </w:r>
      <w:r>
        <w:rPr/>
        <w:t>que</w:t>
      </w:r>
      <w:r>
        <w:rPr>
          <w:spacing w:val="18"/>
        </w:rPr>
        <w:t> </w:t>
      </w:r>
      <w:r>
        <w:rPr/>
        <w:t>tienen</w:t>
      </w:r>
      <w:r>
        <w:rPr>
          <w:spacing w:val="18"/>
        </w:rPr>
        <w:t> </w:t>
      </w:r>
      <w:r>
        <w:rPr/>
        <w:t>que</w:t>
      </w:r>
      <w:r>
        <w:rPr>
          <w:spacing w:val="13"/>
        </w:rPr>
        <w:t> </w:t>
      </w:r>
      <w:r>
        <w:rPr/>
        <w:t>ver</w:t>
      </w:r>
      <w:r>
        <w:rPr>
          <w:spacing w:val="12"/>
        </w:rPr>
        <w:t> </w:t>
      </w:r>
      <w:r>
        <w:rPr/>
        <w:t>con</w:t>
      </w:r>
      <w:r>
        <w:rPr>
          <w:spacing w:val="18"/>
        </w:rPr>
        <w:t> </w:t>
      </w:r>
      <w:r>
        <w:rPr/>
        <w:t>la</w:t>
      </w:r>
      <w:r>
        <w:rPr>
          <w:spacing w:val="24"/>
        </w:rPr>
        <w:t> </w:t>
      </w:r>
      <w:r>
        <w:rPr/>
        <w:t>interrelación</w:t>
      </w:r>
      <w:r>
        <w:rPr>
          <w:spacing w:val="18"/>
        </w:rPr>
        <w:t> </w:t>
      </w:r>
      <w:r>
        <w:rPr/>
        <w:t>de</w:t>
      </w:r>
      <w:r>
        <w:rPr>
          <w:spacing w:val="18"/>
        </w:rPr>
        <w:t> </w:t>
      </w:r>
      <w:r>
        <w:rPr/>
        <w:t>aspectos</w:t>
      </w:r>
      <w:r>
        <w:rPr>
          <w:spacing w:val="16"/>
        </w:rPr>
        <w:t> </w:t>
      </w:r>
      <w:r>
        <w:rPr/>
        <w:t>de</w:t>
      </w:r>
      <w:r>
        <w:rPr>
          <w:spacing w:val="18"/>
        </w:rPr>
        <w:t> </w:t>
      </w:r>
      <w:r>
        <w:rPr/>
        <w:t>tipo</w:t>
      </w:r>
      <w:r>
        <w:rPr>
          <w:spacing w:val="18"/>
        </w:rPr>
        <w:t> </w:t>
      </w:r>
      <w:r>
        <w:rPr/>
        <w:t>cognitivo,</w:t>
      </w:r>
    </w:p>
    <w:p>
      <w:pPr>
        <w:spacing w:after="0" w:line="369" w:lineRule="auto"/>
        <w:jc w:val="both"/>
        <w:sectPr>
          <w:headerReference w:type="default" r:id="rId34"/>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2" w:lineRule="auto" w:before="74"/>
        <w:ind w:left="116" w:right="904"/>
        <w:jc w:val="both"/>
      </w:pPr>
      <w:r>
        <w:rPr/>
        <w:t>emocional y valoral. Los predictores más comunes para valorar el comportamiento humano son la conciencia y las actitudes.  En este sentido Baldi (2006) establece  que:</w:t>
      </w:r>
    </w:p>
    <w:p>
      <w:pPr>
        <w:pStyle w:val="BodyText"/>
        <w:spacing w:line="367" w:lineRule="auto" w:before="123"/>
        <w:ind w:left="116" w:right="902" w:firstLine="686"/>
        <w:jc w:val="both"/>
      </w:pPr>
      <w:r>
        <w:rPr/>
        <w:t>“Las actitudes hacia un comportamiento determinado son </w:t>
      </w:r>
      <w:r>
        <w:rPr>
          <w:spacing w:val="-3"/>
        </w:rPr>
        <w:t>un </w:t>
      </w:r>
      <w:r>
        <w:rPr/>
        <w:t>factor de tipo personal que comprende los sentimientos afectivos del individuo, sean de tipo positivo o negativo </w:t>
      </w:r>
      <w:r>
        <w:rPr>
          <w:spacing w:val="2"/>
        </w:rPr>
        <w:t>con </w:t>
      </w:r>
      <w:r>
        <w:rPr/>
        <w:t>respecto a la ejecución de una conducta en cuestión” (Baldi, </w:t>
      </w:r>
      <w:r>
        <w:rPr>
          <w:spacing w:val="10"/>
        </w:rPr>
        <w:t> </w:t>
      </w:r>
      <w:r>
        <w:rPr/>
        <w:t>2006).</w:t>
      </w:r>
    </w:p>
    <w:p>
      <w:pPr>
        <w:pStyle w:val="BodyText"/>
        <w:spacing w:line="364" w:lineRule="auto" w:before="117"/>
        <w:ind w:left="116" w:right="897"/>
        <w:jc w:val="both"/>
      </w:pPr>
      <w:r>
        <w:rPr/>
        <w:t>Entonces la intención conductual es definida por la disposición a realizar cierta clase de acción relevante para la actitud (Fishbein y Azjen, 1975), y esta ha sido analizada como un factor previo del comportamiento proambiental (Hines, Hungenford y Tomera, 1987; Castro 2001). De esta manera las actitudes proambientales se definen como las tendencias a responder favorablemente ante la conservación del ambiente o ante acciones o compromisos conductuales que favorezcan la conservación, siendo también disposiciones valorativas esenciales para entender por qué las personas se deciden a actuar de una forma pro o anti ambiental (Corral-Verdugo,  2000).</w:t>
      </w:r>
    </w:p>
    <w:p>
      <w:pPr>
        <w:pStyle w:val="BodyText"/>
        <w:spacing w:line="364" w:lineRule="auto" w:before="120"/>
        <w:ind w:left="115" w:right="901"/>
        <w:jc w:val="both"/>
      </w:pPr>
      <w:r>
        <w:rPr/>
        <w:t>De esta manera surge el análisis de otro factor importante del comportamiento humano   y es el que tiene que ver </w:t>
      </w:r>
      <w:r>
        <w:rPr>
          <w:spacing w:val="2"/>
        </w:rPr>
        <w:t>con </w:t>
      </w:r>
      <w:r>
        <w:rPr/>
        <w:t>la conciencia ambiental, </w:t>
      </w:r>
      <w:r>
        <w:rPr>
          <w:spacing w:val="2"/>
        </w:rPr>
        <w:t>esta </w:t>
      </w:r>
      <w:r>
        <w:rPr/>
        <w:t>refiere al grado en que los individuos y las sociedades se preocupan por los problemas ambientales y además realizan esfuerzos para resolverlos de </w:t>
      </w:r>
      <w:r>
        <w:rPr>
          <w:spacing w:val="-2"/>
        </w:rPr>
        <w:t>manera </w:t>
      </w:r>
      <w:r>
        <w:rPr/>
        <w:t>individual y  colectivamente  (Pardo,  2006).</w:t>
      </w:r>
    </w:p>
    <w:p>
      <w:pPr>
        <w:pStyle w:val="Heading2"/>
        <w:numPr>
          <w:ilvl w:val="1"/>
          <w:numId w:val="19"/>
        </w:numPr>
        <w:tabs>
          <w:tab w:pos="1493" w:val="left" w:leader="none"/>
          <w:tab w:pos="1494" w:val="left" w:leader="none"/>
        </w:tabs>
        <w:spacing w:line="240" w:lineRule="auto" w:before="125" w:after="0"/>
        <w:ind w:left="1493" w:right="0" w:hanging="691"/>
        <w:jc w:val="left"/>
      </w:pPr>
      <w:r>
        <w:rPr/>
        <w:t>Conciencia</w:t>
      </w:r>
      <w:r>
        <w:rPr>
          <w:spacing w:val="26"/>
        </w:rPr>
        <w:t> </w:t>
      </w:r>
      <w:r>
        <w:rPr/>
        <w:t>Ambiental</w:t>
      </w:r>
    </w:p>
    <w:p>
      <w:pPr>
        <w:pStyle w:val="BodyText"/>
        <w:rPr>
          <w:b/>
          <w:sz w:val="22"/>
        </w:rPr>
      </w:pPr>
    </w:p>
    <w:p>
      <w:pPr>
        <w:pStyle w:val="BodyText"/>
        <w:spacing w:line="364" w:lineRule="auto" w:before="1"/>
        <w:ind w:left="115" w:right="898"/>
        <w:jc w:val="both"/>
      </w:pPr>
      <w:r>
        <w:rPr/>
        <w:t>La conciencia ambiental, también se ha visualizado como una filosofía general y movimiento social en relación con la preocupación por la conservación del ambiente y la mejora del estado del mismo. No obstante su conceptualización va más allá de este tipo de actividades.</w:t>
      </w:r>
    </w:p>
    <w:p>
      <w:pPr>
        <w:pStyle w:val="BodyText"/>
        <w:spacing w:line="364" w:lineRule="auto" w:before="120"/>
        <w:ind w:left="115" w:right="900"/>
        <w:jc w:val="both"/>
      </w:pPr>
      <w:r>
        <w:rPr/>
        <w:t>Cuando </w:t>
      </w:r>
      <w:r>
        <w:rPr>
          <w:spacing w:val="3"/>
        </w:rPr>
        <w:t>se </w:t>
      </w:r>
      <w:r>
        <w:rPr/>
        <w:t>habla de conciencia ambiental se hace referencia a determinados procesos asociados a las acciones que intentan reducir el impacto ambiental ocasionado por el hombre. En este sentido, la conciencia ambiental </w:t>
      </w:r>
      <w:r>
        <w:rPr>
          <w:spacing w:val="3"/>
        </w:rPr>
        <w:t>se </w:t>
      </w:r>
      <w:r>
        <w:rPr/>
        <w:t>estructura paulatina y conscientemente. Su desarrollo es concebido como un cambio que transita desde lo  hostil a lo armónico; del desconocimiento al conocimiento, o desde la inconciencia a la conciencia. (Zimmermann, 2010).  Este proceso </w:t>
      </w:r>
      <w:r>
        <w:rPr>
          <w:spacing w:val="3"/>
        </w:rPr>
        <w:t>se </w:t>
      </w:r>
      <w:r>
        <w:rPr/>
        <w:t>realiza a partir de las vivencias que  el</w:t>
      </w:r>
      <w:r>
        <w:rPr>
          <w:spacing w:val="47"/>
        </w:rPr>
        <w:t> </w:t>
      </w:r>
      <w:r>
        <w:rPr/>
        <w:t>individuo</w:t>
      </w:r>
      <w:r>
        <w:rPr>
          <w:spacing w:val="50"/>
        </w:rPr>
        <w:t> </w:t>
      </w:r>
      <w:r>
        <w:rPr/>
        <w:t>va</w:t>
      </w:r>
      <w:r>
        <w:rPr>
          <w:spacing w:val="50"/>
        </w:rPr>
        <w:t> </w:t>
      </w:r>
      <w:r>
        <w:rPr/>
        <w:t>experimentando,</w:t>
      </w:r>
      <w:r>
        <w:rPr>
          <w:spacing w:val="48"/>
        </w:rPr>
        <w:t> </w:t>
      </w:r>
      <w:r>
        <w:rPr/>
        <w:t>acumulando</w:t>
      </w:r>
      <w:r>
        <w:rPr>
          <w:spacing w:val="51"/>
        </w:rPr>
        <w:t> </w:t>
      </w:r>
      <w:r>
        <w:rPr/>
        <w:t>y</w:t>
      </w:r>
      <w:r>
        <w:rPr>
          <w:spacing w:val="40"/>
        </w:rPr>
        <w:t> </w:t>
      </w:r>
      <w:r>
        <w:rPr/>
        <w:t>actualizando</w:t>
      </w:r>
      <w:r>
        <w:rPr>
          <w:spacing w:val="46"/>
        </w:rPr>
        <w:t> </w:t>
      </w:r>
      <w:r>
        <w:rPr/>
        <w:t>a</w:t>
      </w:r>
      <w:r>
        <w:rPr>
          <w:spacing w:val="51"/>
        </w:rPr>
        <w:t> </w:t>
      </w:r>
      <w:r>
        <w:rPr/>
        <w:t>lo</w:t>
      </w:r>
      <w:r>
        <w:rPr>
          <w:spacing w:val="46"/>
        </w:rPr>
        <w:t> </w:t>
      </w:r>
      <w:r>
        <w:rPr/>
        <w:t>largo</w:t>
      </w:r>
      <w:r>
        <w:rPr>
          <w:spacing w:val="51"/>
        </w:rPr>
        <w:t> </w:t>
      </w:r>
      <w:r>
        <w:rPr/>
        <w:t>de</w:t>
      </w:r>
      <w:r>
        <w:rPr>
          <w:spacing w:val="51"/>
        </w:rPr>
        <w:t> </w:t>
      </w:r>
      <w:r>
        <w:rPr/>
        <w:t>su</w:t>
      </w:r>
      <w:r>
        <w:rPr>
          <w:spacing w:val="46"/>
        </w:rPr>
        <w:t> </w:t>
      </w:r>
      <w:r>
        <w:rPr/>
        <w:t>historia</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6" w:right="892"/>
        <w:jc w:val="both"/>
      </w:pPr>
      <w:r>
        <w:rPr/>
        <w:t>individual; de este modo los sujetos se crean una imagen multidimensional de  la  realidad, en </w:t>
      </w:r>
      <w:r>
        <w:rPr>
          <w:spacing w:val="-5"/>
        </w:rPr>
        <w:t>la </w:t>
      </w:r>
      <w:r>
        <w:rPr/>
        <w:t>que toman parte interdependientemente las características bio-físico- químicas del entorno y el sistema de relaciones sociales en el  momento  histórico- cultural determinado (Corral-Verdugo,</w:t>
      </w:r>
      <w:r>
        <w:rPr>
          <w:spacing w:val="47"/>
        </w:rPr>
        <w:t> </w:t>
      </w:r>
      <w:r>
        <w:rPr/>
        <w:t>2000).</w:t>
      </w:r>
    </w:p>
    <w:p>
      <w:pPr>
        <w:pStyle w:val="Heading2"/>
        <w:numPr>
          <w:ilvl w:val="0"/>
          <w:numId w:val="20"/>
        </w:numPr>
        <w:tabs>
          <w:tab w:pos="1153" w:val="left" w:leader="none"/>
        </w:tabs>
        <w:spacing w:line="240" w:lineRule="auto" w:before="125" w:after="0"/>
        <w:ind w:left="1152" w:right="0" w:hanging="350"/>
        <w:jc w:val="left"/>
      </w:pPr>
      <w:r>
        <w:rPr/>
        <w:t>Factores ce comportamiento</w:t>
      </w:r>
      <w:r>
        <w:rPr>
          <w:spacing w:val="48"/>
        </w:rPr>
        <w:t> </w:t>
      </w:r>
      <w:r>
        <w:rPr/>
        <w:t>Proambiental</w:t>
      </w:r>
    </w:p>
    <w:p>
      <w:pPr>
        <w:pStyle w:val="BodyText"/>
        <w:rPr>
          <w:b/>
          <w:sz w:val="22"/>
        </w:rPr>
      </w:pPr>
    </w:p>
    <w:p>
      <w:pPr>
        <w:pStyle w:val="BodyText"/>
        <w:spacing w:line="364" w:lineRule="auto" w:before="1"/>
        <w:ind w:left="116" w:right="895"/>
        <w:jc w:val="both"/>
      </w:pPr>
      <w:r>
        <w:rPr/>
        <w:t>Los estudios que se han realizado alrededor del comportamiento proambiental han tratado de identificar los “valores sociales” como determinantes en  los  visitantes turísticos como consumidores (Santamarta, 2004). Otras investigaciones prueban relaciones directas entre variables tales como los valores y las  actitudes con  este tipo  de comportamiento (Fraj y Martínez 2003b; Chamorro, 2001; Colamarde, 2000; UNEP, 1999), además de las variables sociodemográficas y psicográficas del individuo (Fraj y Martínez,</w:t>
      </w:r>
      <w:r>
        <w:rPr>
          <w:spacing w:val="15"/>
        </w:rPr>
        <w:t> </w:t>
      </w:r>
      <w:r>
        <w:rPr/>
        <w:t>2004).</w:t>
      </w:r>
    </w:p>
    <w:p>
      <w:pPr>
        <w:pStyle w:val="BodyText"/>
        <w:spacing w:line="364" w:lineRule="auto" w:before="125"/>
        <w:ind w:left="116" w:right="898"/>
        <w:jc w:val="both"/>
      </w:pPr>
      <w:r>
        <w:rPr/>
        <w:t>Durán, Alzate, López y Sabucedo (2007, en Cortés, 2011) en su investigación sobre las emociones y el comportamiento ambiental, proponen una extensión al Modelo de la Teoría de la Conducta Planificada (TCP) a partir de Fishbein y Ajzen (1975, 1980), y Azjen y Madden (1986). Es </w:t>
      </w:r>
      <w:r>
        <w:rPr>
          <w:spacing w:val="-3"/>
        </w:rPr>
        <w:t>un </w:t>
      </w:r>
      <w:r>
        <w:rPr/>
        <w:t>modelo que parte de que la conducta estará determinada por la intención de emprender la acción, intención que a la </w:t>
      </w:r>
      <w:r>
        <w:rPr>
          <w:spacing w:val="2"/>
        </w:rPr>
        <w:t>vez </w:t>
      </w:r>
      <w:r>
        <w:rPr/>
        <w:t>está determinada por la actitud hacia </w:t>
      </w:r>
      <w:r>
        <w:rPr>
          <w:spacing w:val="-5"/>
        </w:rPr>
        <w:t>la </w:t>
      </w:r>
      <w:r>
        <w:rPr/>
        <w:t>conducta, la norma subjetiva y el control conductual percibido, ofrece </w:t>
      </w:r>
      <w:r>
        <w:rPr>
          <w:spacing w:val="-3"/>
        </w:rPr>
        <w:t>un </w:t>
      </w:r>
      <w:r>
        <w:rPr/>
        <w:t>marco de trabajo conceptual útil para tratar la complejidad de la conducta proambiental humana. Incorpora algunos de los conceptos psicosociales fundamentales  y  define  estos conceptos de forma que permite la predicción y comprensión de conductas particulares en contextos específicos (Ajzen,</w:t>
      </w:r>
      <w:r>
        <w:rPr>
          <w:spacing w:val="54"/>
        </w:rPr>
        <w:t> </w:t>
      </w:r>
      <w:r>
        <w:rPr/>
        <w:t>2000).</w:t>
      </w:r>
    </w:p>
    <w:p>
      <w:pPr>
        <w:pStyle w:val="BodyText"/>
        <w:spacing w:line="364" w:lineRule="auto" w:before="120"/>
        <w:ind w:left="116" w:right="899"/>
        <w:jc w:val="both"/>
      </w:pPr>
      <w:r>
        <w:rPr/>
        <w:t>Stern et al. (1999) y Stern (2000), han planteado un modelo específicamente diseñado para la predicción de conductas pro-ambientales: La teoría del valor, las normas y las creencias hacia el ambiente. Desde este modelo específico se considera que las personas construyen sus actitudes según las expectativas que  tienen  sobre  las acciones o las cosas, </w:t>
      </w:r>
      <w:r>
        <w:rPr>
          <w:spacing w:val="-3"/>
        </w:rPr>
        <w:t>es </w:t>
      </w:r>
      <w:r>
        <w:rPr/>
        <w:t>decir, las creencias, así como, a </w:t>
      </w:r>
      <w:r>
        <w:rPr>
          <w:spacing w:val="-5"/>
        </w:rPr>
        <w:t>la </w:t>
      </w:r>
      <w:r>
        <w:rPr/>
        <w:t>evaluación que hagan respecto a los resultados </w:t>
      </w:r>
      <w:r>
        <w:rPr>
          <w:spacing w:val="-3"/>
        </w:rPr>
        <w:t>de </w:t>
      </w:r>
      <w:r>
        <w:rPr/>
        <w:t>sus acciones. </w:t>
      </w:r>
      <w:r>
        <w:rPr>
          <w:spacing w:val="-3"/>
        </w:rPr>
        <w:t>De </w:t>
      </w:r>
      <w:r>
        <w:rPr/>
        <w:t>este modo, </w:t>
      </w:r>
      <w:r>
        <w:rPr>
          <w:spacing w:val="-5"/>
        </w:rPr>
        <w:t>la </w:t>
      </w:r>
      <w:r>
        <w:rPr/>
        <w:t>orientación de valores que tenga </w:t>
      </w:r>
      <w:r>
        <w:rPr>
          <w:spacing w:val="-5"/>
        </w:rPr>
        <w:t>la </w:t>
      </w:r>
      <w:r>
        <w:rPr/>
        <w:t>persona va a ejercer una influencia directa sobre las creencias, y por tanto,  sobre la actitud y la conducta, pues éstas actúan como un filtro que modula la  información que </w:t>
      </w:r>
      <w:r>
        <w:rPr>
          <w:spacing w:val="-5"/>
        </w:rPr>
        <w:t>la </w:t>
      </w:r>
      <w:r>
        <w:rPr/>
        <w:t>persona evaluará, de </w:t>
      </w:r>
      <w:r>
        <w:rPr>
          <w:spacing w:val="-2"/>
        </w:rPr>
        <w:t>manera </w:t>
      </w:r>
      <w:r>
        <w:rPr/>
        <w:t>que, </w:t>
      </w:r>
      <w:r>
        <w:rPr>
          <w:spacing w:val="3"/>
        </w:rPr>
        <w:t>si </w:t>
      </w:r>
      <w:r>
        <w:rPr/>
        <w:t>la información disponible   </w:t>
      </w:r>
      <w:r>
        <w:rPr>
          <w:spacing w:val="19"/>
        </w:rPr>
        <w:t> </w:t>
      </w:r>
      <w:r>
        <w:rPr/>
        <w:t>sobre</w:t>
      </w:r>
    </w:p>
    <w:p>
      <w:pPr>
        <w:spacing w:after="0" w:line="364" w:lineRule="auto"/>
        <w:jc w:val="both"/>
        <w:sectPr>
          <w:footerReference w:type="default" r:id="rId35"/>
          <w:pgSz w:w="11910" w:h="16840"/>
          <w:pgMar w:footer="1715" w:header="1066" w:top="1460" w:bottom="1900" w:left="1540" w:right="200"/>
          <w:pgNumType w:start="50"/>
        </w:sectPr>
      </w:pPr>
    </w:p>
    <w:p>
      <w:pPr>
        <w:pStyle w:val="BodyText"/>
        <w:rPr>
          <w:sz w:val="20"/>
        </w:rPr>
      </w:pPr>
    </w:p>
    <w:p>
      <w:pPr>
        <w:pStyle w:val="BodyText"/>
        <w:spacing w:before="10"/>
        <w:rPr>
          <w:sz w:val="17"/>
        </w:rPr>
      </w:pPr>
    </w:p>
    <w:p>
      <w:pPr>
        <w:pStyle w:val="BodyText"/>
        <w:spacing w:line="364" w:lineRule="auto" w:before="74"/>
        <w:ind w:left="115" w:right="900"/>
        <w:jc w:val="both"/>
      </w:pPr>
      <w:r>
        <w:rPr>
          <w:spacing w:val="-5"/>
        </w:rPr>
        <w:t>la </w:t>
      </w:r>
      <w:r>
        <w:rPr/>
        <w:t>situación, objeto o la conducta en sí misma es congruente con los  valores  individuales, </w:t>
      </w:r>
      <w:r>
        <w:rPr>
          <w:spacing w:val="2"/>
        </w:rPr>
        <w:t>esa </w:t>
      </w:r>
      <w:r>
        <w:rPr/>
        <w:t>persona desarrollará unas creencias más positivas hacia dicha situación, objeto u</w:t>
      </w:r>
      <w:r>
        <w:rPr>
          <w:spacing w:val="34"/>
        </w:rPr>
        <w:t> </w:t>
      </w:r>
      <w:r>
        <w:rPr/>
        <w:t>acción.</w:t>
      </w:r>
    </w:p>
    <w:p>
      <w:pPr>
        <w:pStyle w:val="BodyText"/>
        <w:spacing w:line="364" w:lineRule="auto" w:before="120"/>
        <w:ind w:left="116" w:right="899"/>
        <w:jc w:val="both"/>
      </w:pPr>
      <w:r>
        <w:rPr/>
        <w:t>Por otro lado, existen factores </w:t>
      </w:r>
      <w:r>
        <w:rPr>
          <w:spacing w:val="-3"/>
        </w:rPr>
        <w:t>que </w:t>
      </w:r>
      <w:r>
        <w:rPr/>
        <w:t>determinan que una persona lleve a cabo </w:t>
      </w:r>
      <w:r>
        <w:rPr>
          <w:spacing w:val="-3"/>
        </w:rPr>
        <w:t>una </w:t>
      </w:r>
      <w:r>
        <w:rPr/>
        <w:t>conducta ambiental, y de acuerdo con Hines y Cols (1986 en Puertas y Aguilar, 2008) son</w:t>
      </w:r>
      <w:r>
        <w:rPr>
          <w:spacing w:val="12"/>
        </w:rPr>
        <w:t> </w:t>
      </w:r>
      <w:r>
        <w:rPr/>
        <w:t>cuatro:</w:t>
      </w:r>
    </w:p>
    <w:p>
      <w:pPr>
        <w:pStyle w:val="ListParagraph"/>
        <w:numPr>
          <w:ilvl w:val="0"/>
          <w:numId w:val="21"/>
        </w:numPr>
        <w:tabs>
          <w:tab w:pos="1494" w:val="left" w:leader="none"/>
        </w:tabs>
        <w:spacing w:line="364" w:lineRule="auto" w:before="120" w:after="0"/>
        <w:ind w:left="116" w:right="897" w:firstLine="686"/>
        <w:jc w:val="both"/>
        <w:rPr>
          <w:sz w:val="23"/>
        </w:rPr>
      </w:pPr>
      <w:r>
        <w:rPr>
          <w:sz w:val="23"/>
        </w:rPr>
        <w:t>Factores sociodemográficos: donde </w:t>
      </w:r>
      <w:r>
        <w:rPr>
          <w:spacing w:val="3"/>
          <w:sz w:val="23"/>
        </w:rPr>
        <w:t>se </w:t>
      </w:r>
      <w:r>
        <w:rPr>
          <w:sz w:val="23"/>
        </w:rPr>
        <w:t>consideran la edad, el nivel educativo, el sexo, e incluso el nivel de ingresos, pues los resultados obtenidos en la investigación desarrollada por Dunlap y Van-Liere (1978), indican que las personas jóvenes y con un nivel educativo alto, presentan actitudes </w:t>
      </w:r>
      <w:r>
        <w:rPr>
          <w:spacing w:val="-3"/>
          <w:sz w:val="23"/>
        </w:rPr>
        <w:t>más </w:t>
      </w:r>
      <w:r>
        <w:rPr>
          <w:sz w:val="23"/>
        </w:rPr>
        <w:t>positivas hacia la realización de comportamientos ambientales. No obstante, en otros trabajos se encontraron bajas correlaciones entre tener una actitud positiva  hacia  el comportamiento proambiental y la edad (Amérigo y González, 1996; Samdahl y Robertson, 1989). Con respecto al sexo, en el trabajo de Hines et al. (1986) se indica  que no ejerce una influencia significativa sobre la puesta en marcha de este tipo de conductas, aunque, en estudios más recientes </w:t>
      </w:r>
      <w:r>
        <w:rPr>
          <w:spacing w:val="3"/>
          <w:sz w:val="23"/>
        </w:rPr>
        <w:t>se </w:t>
      </w:r>
      <w:r>
        <w:rPr>
          <w:spacing w:val="-3"/>
          <w:sz w:val="23"/>
        </w:rPr>
        <w:t>ha </w:t>
      </w:r>
      <w:r>
        <w:rPr>
          <w:sz w:val="23"/>
        </w:rPr>
        <w:t>encontrado que las mujeres están significativamente más dispuestas a proteger el medio ambiente que los </w:t>
      </w:r>
      <w:r>
        <w:rPr>
          <w:spacing w:val="30"/>
          <w:sz w:val="23"/>
        </w:rPr>
        <w:t> </w:t>
      </w:r>
      <w:r>
        <w:rPr>
          <w:sz w:val="23"/>
        </w:rPr>
        <w:t>hombres.</w:t>
      </w:r>
    </w:p>
    <w:p>
      <w:pPr>
        <w:pStyle w:val="ListParagraph"/>
        <w:numPr>
          <w:ilvl w:val="0"/>
          <w:numId w:val="21"/>
        </w:numPr>
        <w:tabs>
          <w:tab w:pos="1494" w:val="left" w:leader="none"/>
        </w:tabs>
        <w:spacing w:line="364" w:lineRule="auto" w:before="120" w:after="0"/>
        <w:ind w:left="116" w:right="908" w:firstLine="686"/>
        <w:jc w:val="both"/>
        <w:rPr>
          <w:sz w:val="23"/>
        </w:rPr>
      </w:pPr>
      <w:r>
        <w:rPr>
          <w:sz w:val="23"/>
        </w:rPr>
        <w:t>Factores cognitivos: identificados por Hines et al.  (1986),  han  sido incluidos  aquellos que hacen referencia a los conocimientos sobre el medio ambiente,  es decir, sobre las condiciones ambientales generales y </w:t>
      </w:r>
      <w:r>
        <w:rPr>
          <w:spacing w:val="16"/>
          <w:sz w:val="23"/>
        </w:rPr>
        <w:t> </w:t>
      </w:r>
      <w:r>
        <w:rPr>
          <w:sz w:val="23"/>
        </w:rPr>
        <w:t>específicas.</w:t>
      </w:r>
    </w:p>
    <w:p>
      <w:pPr>
        <w:pStyle w:val="ListParagraph"/>
        <w:numPr>
          <w:ilvl w:val="0"/>
          <w:numId w:val="21"/>
        </w:numPr>
        <w:tabs>
          <w:tab w:pos="1494" w:val="left" w:leader="none"/>
        </w:tabs>
        <w:spacing w:line="364" w:lineRule="auto" w:before="125" w:after="0"/>
        <w:ind w:left="116" w:right="898" w:firstLine="686"/>
        <w:jc w:val="both"/>
        <w:rPr>
          <w:sz w:val="23"/>
        </w:rPr>
      </w:pPr>
      <w:r>
        <w:rPr>
          <w:sz w:val="23"/>
        </w:rPr>
        <w:t>Factores de Intervención ambiental: se considera la información que  poseen las personas acerca de lo que pueden hacer para cambiar </w:t>
      </w:r>
      <w:r>
        <w:rPr>
          <w:spacing w:val="3"/>
          <w:sz w:val="23"/>
        </w:rPr>
        <w:t>su </w:t>
      </w:r>
      <w:r>
        <w:rPr>
          <w:sz w:val="23"/>
        </w:rPr>
        <w:t>conducta y los conocimientos que éstas tienen sobre las posibles estrategias a seguir para solucionar  un problema ambiental concreto. Básicamente, los factores cognitivos y los de intervención, hacen referencia a las creencias de la persona respecto a si posee o no conocimientos sobre la acción ambiental y </w:t>
      </w:r>
      <w:r>
        <w:rPr>
          <w:spacing w:val="3"/>
          <w:sz w:val="23"/>
        </w:rPr>
        <w:t>si </w:t>
      </w:r>
      <w:r>
        <w:rPr>
          <w:sz w:val="23"/>
        </w:rPr>
        <w:t>posee o </w:t>
      </w:r>
      <w:r>
        <w:rPr>
          <w:spacing w:val="-3"/>
          <w:sz w:val="23"/>
        </w:rPr>
        <w:t>no </w:t>
      </w:r>
      <w:r>
        <w:rPr>
          <w:sz w:val="23"/>
        </w:rPr>
        <w:t>la habilidad </w:t>
      </w:r>
      <w:r>
        <w:rPr>
          <w:spacing w:val="12"/>
          <w:sz w:val="23"/>
        </w:rPr>
        <w:t> </w:t>
      </w:r>
      <w:r>
        <w:rPr>
          <w:sz w:val="23"/>
        </w:rPr>
        <w:t>par</w:t>
      </w:r>
    </w:p>
    <w:p>
      <w:pPr>
        <w:pStyle w:val="ListParagraph"/>
        <w:numPr>
          <w:ilvl w:val="0"/>
          <w:numId w:val="21"/>
        </w:numPr>
        <w:tabs>
          <w:tab w:pos="1494" w:val="left" w:leader="none"/>
        </w:tabs>
        <w:spacing w:line="364" w:lineRule="auto" w:before="120" w:after="0"/>
        <w:ind w:left="116" w:right="900" w:firstLine="686"/>
        <w:jc w:val="both"/>
        <w:rPr>
          <w:sz w:val="23"/>
        </w:rPr>
      </w:pPr>
      <w:r>
        <w:rPr>
          <w:sz w:val="23"/>
        </w:rPr>
        <w:t>Factores Psicosociales: refieren variables personales y representacionales en las que se incluyen la propia responsabilidad sobre la acción y el locus de control,   así</w:t>
      </w:r>
      <w:r>
        <w:rPr>
          <w:spacing w:val="36"/>
          <w:sz w:val="23"/>
        </w:rPr>
        <w:t> </w:t>
      </w:r>
      <w:r>
        <w:rPr>
          <w:sz w:val="23"/>
        </w:rPr>
        <w:t>como,</w:t>
      </w:r>
      <w:r>
        <w:rPr>
          <w:spacing w:val="42"/>
          <w:sz w:val="23"/>
        </w:rPr>
        <w:t> </w:t>
      </w:r>
      <w:r>
        <w:rPr>
          <w:sz w:val="23"/>
        </w:rPr>
        <w:t>actitudes,</w:t>
      </w:r>
      <w:r>
        <w:rPr>
          <w:spacing w:val="42"/>
          <w:sz w:val="23"/>
        </w:rPr>
        <w:t> </w:t>
      </w:r>
      <w:r>
        <w:rPr>
          <w:sz w:val="23"/>
        </w:rPr>
        <w:t>creencias</w:t>
      </w:r>
      <w:r>
        <w:rPr>
          <w:spacing w:val="43"/>
          <w:sz w:val="23"/>
        </w:rPr>
        <w:t> </w:t>
      </w:r>
      <w:r>
        <w:rPr>
          <w:sz w:val="23"/>
        </w:rPr>
        <w:t>y</w:t>
      </w:r>
      <w:r>
        <w:rPr>
          <w:spacing w:val="37"/>
          <w:sz w:val="23"/>
        </w:rPr>
        <w:t> </w:t>
      </w:r>
      <w:r>
        <w:rPr>
          <w:sz w:val="23"/>
        </w:rPr>
        <w:t>valores.</w:t>
      </w:r>
      <w:r>
        <w:rPr>
          <w:spacing w:val="42"/>
          <w:sz w:val="23"/>
        </w:rPr>
        <w:t> </w:t>
      </w:r>
      <w:r>
        <w:rPr>
          <w:sz w:val="23"/>
        </w:rPr>
        <w:t>La</w:t>
      </w:r>
      <w:r>
        <w:rPr>
          <w:spacing w:val="39"/>
          <w:sz w:val="23"/>
        </w:rPr>
        <w:t> </w:t>
      </w:r>
      <w:r>
        <w:rPr>
          <w:sz w:val="23"/>
        </w:rPr>
        <w:t>importancia</w:t>
      </w:r>
      <w:r>
        <w:rPr>
          <w:spacing w:val="44"/>
          <w:sz w:val="23"/>
        </w:rPr>
        <w:t> </w:t>
      </w:r>
      <w:r>
        <w:rPr>
          <w:sz w:val="23"/>
        </w:rPr>
        <w:t>de</w:t>
      </w:r>
      <w:r>
        <w:rPr>
          <w:spacing w:val="44"/>
          <w:sz w:val="23"/>
        </w:rPr>
        <w:t> </w:t>
      </w:r>
      <w:r>
        <w:rPr>
          <w:sz w:val="23"/>
        </w:rPr>
        <w:t>estos</w:t>
      </w:r>
      <w:r>
        <w:rPr>
          <w:spacing w:val="47"/>
          <w:sz w:val="23"/>
        </w:rPr>
        <w:t> </w:t>
      </w:r>
      <w:r>
        <w:rPr>
          <w:sz w:val="23"/>
        </w:rPr>
        <w:t>factores,</w:t>
      </w:r>
      <w:r>
        <w:rPr>
          <w:spacing w:val="42"/>
          <w:sz w:val="23"/>
        </w:rPr>
        <w:t> </w:t>
      </w:r>
      <w:r>
        <w:rPr>
          <w:sz w:val="23"/>
        </w:rPr>
        <w:t>reside</w:t>
      </w:r>
      <w:r>
        <w:rPr>
          <w:spacing w:val="44"/>
          <w:sz w:val="23"/>
        </w:rPr>
        <w:t> </w:t>
      </w:r>
      <w:r>
        <w:rPr>
          <w:sz w:val="23"/>
        </w:rPr>
        <w:t>en</w:t>
      </w:r>
    </w:p>
    <w:p>
      <w:pPr>
        <w:spacing w:after="0" w:line="364" w:lineRule="auto"/>
        <w:jc w:val="both"/>
        <w:rPr>
          <w:sz w:val="23"/>
        </w:rPr>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115" w:right="903"/>
        <w:jc w:val="both"/>
      </w:pPr>
      <w:r>
        <w:rPr/>
        <w:t>que han sido considerados fuertes predictores de la actitud ambiental, y por ende, de    los comportamientos ecológicos</w:t>
      </w:r>
      <w:r>
        <w:rPr>
          <w:spacing w:val="52"/>
        </w:rPr>
        <w:t> </w:t>
      </w:r>
      <w:r>
        <w:rPr/>
        <w:t>responsables.</w:t>
      </w:r>
    </w:p>
    <w:p>
      <w:pPr>
        <w:pStyle w:val="BodyText"/>
        <w:rPr>
          <w:sz w:val="22"/>
        </w:rPr>
      </w:pPr>
    </w:p>
    <w:p>
      <w:pPr>
        <w:pStyle w:val="BodyText"/>
        <w:rPr>
          <w:sz w:val="22"/>
        </w:rPr>
      </w:pPr>
    </w:p>
    <w:p>
      <w:pPr>
        <w:pStyle w:val="Heading2"/>
        <w:numPr>
          <w:ilvl w:val="0"/>
          <w:numId w:val="20"/>
        </w:numPr>
        <w:tabs>
          <w:tab w:pos="1153" w:val="left" w:leader="none"/>
        </w:tabs>
        <w:spacing w:line="240" w:lineRule="auto" w:before="135" w:after="0"/>
        <w:ind w:left="1152" w:right="0" w:hanging="350"/>
        <w:jc w:val="left"/>
      </w:pPr>
      <w:r>
        <w:rPr/>
        <w:t>Uso Turístico en Parques</w:t>
      </w:r>
      <w:r>
        <w:rPr>
          <w:spacing w:val="46"/>
        </w:rPr>
        <w:t> </w:t>
      </w:r>
      <w:r>
        <w:rPr/>
        <w:t>Nacionales</w:t>
      </w:r>
    </w:p>
    <w:p>
      <w:pPr>
        <w:pStyle w:val="BodyText"/>
        <w:spacing w:before="5"/>
        <w:rPr>
          <w:b/>
          <w:sz w:val="22"/>
        </w:rPr>
      </w:pPr>
    </w:p>
    <w:p>
      <w:pPr>
        <w:pStyle w:val="BodyText"/>
        <w:spacing w:line="364" w:lineRule="auto"/>
        <w:ind w:left="115" w:right="895"/>
        <w:jc w:val="both"/>
      </w:pPr>
      <w:r>
        <w:rPr/>
        <w:t>Una de </w:t>
      </w:r>
      <w:r>
        <w:rPr>
          <w:spacing w:val="-4"/>
        </w:rPr>
        <w:t>las</w:t>
      </w:r>
      <w:r>
        <w:rPr>
          <w:spacing w:val="55"/>
        </w:rPr>
        <w:t> </w:t>
      </w:r>
      <w:r>
        <w:rPr/>
        <w:t>características </w:t>
      </w:r>
      <w:r>
        <w:rPr>
          <w:spacing w:val="-3"/>
        </w:rPr>
        <w:t>más </w:t>
      </w:r>
      <w:r>
        <w:rPr/>
        <w:t>relevantes de las sociedades económicamente desarrolladas </w:t>
      </w:r>
      <w:r>
        <w:rPr>
          <w:spacing w:val="-3"/>
        </w:rPr>
        <w:t>es </w:t>
      </w:r>
      <w:r>
        <w:rPr/>
        <w:t>la aparición y aumento de la conciencia ambiental, de actitudes que conllevan a comportamientos proambientales de manera que, actualmente las sociedades tienen expresiones múltiples en la temática ambiental ya sean a través de asociaciones o grupos ecologistas, o de la iniciativa individual </w:t>
      </w:r>
      <w:r>
        <w:rPr>
          <w:spacing w:val="2"/>
        </w:rPr>
        <w:t>con </w:t>
      </w:r>
      <w:r>
        <w:rPr/>
        <w:t>acciones </w:t>
      </w:r>
      <w:r>
        <w:rPr>
          <w:spacing w:val="-3"/>
        </w:rPr>
        <w:t>de </w:t>
      </w:r>
      <w:r>
        <w:rPr/>
        <w:t>conservación, protección y preservación de los recursos naturales, siendo  un  buen punto de partida para </w:t>
      </w:r>
      <w:r>
        <w:rPr>
          <w:spacing w:val="4"/>
        </w:rPr>
        <w:t>el </w:t>
      </w:r>
      <w:r>
        <w:rPr/>
        <w:t>desarrollo sustentable, sobre todo </w:t>
      </w:r>
      <w:r>
        <w:rPr>
          <w:spacing w:val="-3"/>
        </w:rPr>
        <w:t>en </w:t>
      </w:r>
      <w:r>
        <w:rPr/>
        <w:t>Áreas Naturales Protegidas, en donde se permite la práctica de </w:t>
      </w:r>
      <w:r>
        <w:rPr>
          <w:spacing w:val="-5"/>
        </w:rPr>
        <w:t>la </w:t>
      </w:r>
      <w:r>
        <w:rPr/>
        <w:t>actividad </w:t>
      </w:r>
      <w:r>
        <w:rPr>
          <w:spacing w:val="37"/>
        </w:rPr>
        <w:t> </w:t>
      </w:r>
      <w:r>
        <w:rPr/>
        <w:t>turística.</w:t>
      </w:r>
    </w:p>
    <w:p>
      <w:pPr>
        <w:pStyle w:val="BodyText"/>
        <w:spacing w:line="364" w:lineRule="auto" w:before="125"/>
        <w:ind w:left="116" w:right="897"/>
        <w:jc w:val="both"/>
      </w:pPr>
      <w:r>
        <w:rPr/>
        <w:t>En este sentido la intervención del turismo en las Áreas Naturales Protegidas, específicamente en los Parques Nacionales, está marcando una pauta para la sensibilización de los visitantes con respecto a las riquezas naturales. Sin embargo desde el planteamiento de un desarrollo sustentable, el medio se va adoptando la idea  de que el ser humano </w:t>
      </w:r>
      <w:r>
        <w:rPr>
          <w:spacing w:val="-3"/>
        </w:rPr>
        <w:t>es </w:t>
      </w:r>
      <w:r>
        <w:rPr/>
        <w:t>uno </w:t>
      </w:r>
      <w:r>
        <w:rPr>
          <w:spacing w:val="-3"/>
        </w:rPr>
        <w:t>de </w:t>
      </w:r>
      <w:r>
        <w:rPr/>
        <w:t>los  principales  responsables de los cambios que se  van produciendo en el entorno. Como apunta Corraliza (1997; 2001), no se trata de problemas ambientales, sino de un “problema de la humanidad”, porque con su comportamiento agrava el deterioro </w:t>
      </w:r>
      <w:r>
        <w:rPr>
          <w:spacing w:val="2"/>
        </w:rPr>
        <w:t>del </w:t>
      </w:r>
      <w:r>
        <w:rPr/>
        <w:t>medio ambiente, o bien, por los  efectos  negativos que en consecuencia se producen sobre la vida de las </w:t>
      </w:r>
      <w:r>
        <w:rPr>
          <w:spacing w:val="16"/>
        </w:rPr>
        <w:t> </w:t>
      </w:r>
      <w:r>
        <w:rPr/>
        <w:t>personas.</w:t>
      </w:r>
    </w:p>
    <w:p>
      <w:pPr>
        <w:pStyle w:val="BodyText"/>
        <w:spacing w:line="364" w:lineRule="auto" w:before="120"/>
        <w:ind w:left="116" w:right="895"/>
        <w:jc w:val="both"/>
      </w:pPr>
      <w:r>
        <w:rPr/>
        <w:t>En esta misma línea, Oskamp señala “que los problemas ambientales están causados por el comportamiento humano y, sin duda, influirán sobre él” (Oskamp, 2000, p. 501).   La percepción por parte del hombre de las consecuencias negativas que para </w:t>
      </w:r>
      <w:r>
        <w:rPr>
          <w:spacing w:val="3"/>
        </w:rPr>
        <w:t>su </w:t>
      </w:r>
      <w:r>
        <w:rPr/>
        <w:t>salud    y bienestar tiene su  propio comportamiento con relación al medio  ambiente,  es cada  vez más, llevándolo a  adquirir esa conciencia ambiental, entendida  como un conjunto  de valores, actitudes, creencias y normas que tienen como objeto de atención el medio ambiente en su conjunto o en aspectos particulares (Corraliza, </w:t>
      </w:r>
      <w:r>
        <w:rPr>
          <w:spacing w:val="12"/>
        </w:rPr>
        <w:t> </w:t>
      </w:r>
      <w:r>
        <w:rPr/>
        <w:t>2001).</w:t>
      </w:r>
    </w:p>
    <w:p>
      <w:pPr>
        <w:pStyle w:val="BodyText"/>
        <w:spacing w:line="369" w:lineRule="auto" w:before="120"/>
        <w:ind w:left="116" w:right="899"/>
        <w:jc w:val="both"/>
      </w:pPr>
      <w:r>
        <w:rPr/>
        <w:t>Ante esta situación se plantea la urgencia de analizar el comportamiento del turista en   los   Parques   Nacionales,   a   fin   de   comprender   la   naturaleza   de   los</w:t>
      </w:r>
      <w:r>
        <w:rPr>
          <w:spacing w:val="46"/>
        </w:rPr>
        <w:t> </w:t>
      </w:r>
      <w:r>
        <w:rPr/>
        <w:t>problemas</w:t>
      </w:r>
    </w:p>
    <w:p>
      <w:pPr>
        <w:spacing w:after="0" w:line="369"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6" w:right="893"/>
        <w:jc w:val="both"/>
      </w:pPr>
      <w:r>
        <w:rPr/>
        <w:t>ambientales, poder analizar sus causas y comprender las consecuencias que pueden acarrear para las personas y analizar la necesidad </w:t>
      </w:r>
      <w:r>
        <w:rPr>
          <w:spacing w:val="-3"/>
        </w:rPr>
        <w:t>de </w:t>
      </w:r>
      <w:r>
        <w:rPr/>
        <w:t>contemplar la relación entre la conducta y el ambiente y sobre todo la </w:t>
      </w:r>
      <w:r>
        <w:rPr>
          <w:spacing w:val="-3"/>
        </w:rPr>
        <w:t>forma </w:t>
      </w:r>
      <w:r>
        <w:rPr/>
        <w:t>en que la actividad  turística  en  los Parques Nacionales puede incidir en la generación de comportamientos  pro  ambientales.</w:t>
      </w:r>
    </w:p>
    <w:p>
      <w:pPr>
        <w:pStyle w:val="BodyText"/>
        <w:spacing w:line="364" w:lineRule="auto" w:before="120"/>
        <w:ind w:left="116" w:right="900"/>
        <w:jc w:val="both"/>
      </w:pPr>
      <w:r>
        <w:rPr/>
        <w:t>Así pues cabe resaltar que la actividad turística depende en su mayoría de los recursos que la naturaleza aporta como atractivo al hombre y la situación ambiental que se está viviendo actualmente, es una señal de alarma que enuncia su  fragilidad.</w:t>
      </w:r>
    </w:p>
    <w:p>
      <w:pPr>
        <w:pStyle w:val="BodyText"/>
        <w:spacing w:line="364" w:lineRule="auto" w:before="125"/>
        <w:ind w:left="115" w:right="899"/>
        <w:jc w:val="both"/>
      </w:pPr>
      <w:r>
        <w:rPr/>
        <w:t>En México </w:t>
      </w:r>
      <w:r>
        <w:rPr>
          <w:spacing w:val="-5"/>
        </w:rPr>
        <w:t>la  </w:t>
      </w:r>
      <w:r>
        <w:rPr/>
        <w:t>superficie protegida, representa aproximadamente el 9.6% del territorio,   sin embargo los estudios de regionalización realizados por la Comisión Nacional para el Conocimiento y Uso de la Biodiversidad (CONABIO) muestran que las regiones  terrestres que destacan por su riqueza ecosistémica abarcan la cuarta  parte  del  territorio nacional (Arriaga,</w:t>
      </w:r>
      <w:r>
        <w:rPr>
          <w:spacing w:val="35"/>
        </w:rPr>
        <w:t> </w:t>
      </w:r>
      <w:r>
        <w:rPr/>
        <w:t>2012).</w:t>
      </w:r>
    </w:p>
    <w:p>
      <w:pPr>
        <w:pStyle w:val="BodyText"/>
        <w:spacing w:line="364" w:lineRule="auto" w:before="120"/>
        <w:ind w:left="116" w:right="893"/>
        <w:jc w:val="both"/>
      </w:pPr>
      <w:r>
        <w:rPr/>
        <w:t>Los datos de la Secretaría de medio Ambiente y Recursos  Naturales  (SEMARNAT, 2013), anualmente las ANP´s son visitadas por 1 millón 300,000 turistas nacionales y extranjeros, habitan aproximadamente 12 millones de personas, y en las regiones de mayor importancia por su biodiversidad viven 3.3 millones en condiciones  de marginación.</w:t>
      </w:r>
    </w:p>
    <w:p>
      <w:pPr>
        <w:pStyle w:val="BodyText"/>
        <w:spacing w:line="364" w:lineRule="auto" w:before="125"/>
        <w:ind w:left="116" w:right="903"/>
        <w:jc w:val="both"/>
      </w:pPr>
      <w:r>
        <w:rPr/>
        <w:t>De esta manera y de acuerdo con Azqueta (1996), se debe considerar el valor que la sociedad les  asigna para su preservación y  conservación porque el mal uso que </w:t>
      </w:r>
      <w:r>
        <w:rPr>
          <w:spacing w:val="3"/>
        </w:rPr>
        <w:t>se </w:t>
      </w:r>
      <w:r>
        <w:rPr/>
        <w:t>le  dé al entorno natural por parte de los individuos puede conducir a </w:t>
      </w:r>
      <w:r>
        <w:rPr>
          <w:spacing w:val="3"/>
        </w:rPr>
        <w:t>su </w:t>
      </w:r>
      <w:r>
        <w:rPr/>
        <w:t>deterioro o destrucción</w:t>
      </w:r>
      <w:r>
        <w:rPr>
          <w:spacing w:val="18"/>
        </w:rPr>
        <w:t> </w:t>
      </w:r>
      <w:r>
        <w:rPr/>
        <w:t>total.</w:t>
      </w:r>
    </w:p>
    <w:p>
      <w:pPr>
        <w:pStyle w:val="BodyText"/>
        <w:rPr>
          <w:sz w:val="22"/>
        </w:rPr>
      </w:pPr>
    </w:p>
    <w:p>
      <w:pPr>
        <w:pStyle w:val="BodyText"/>
        <w:rPr>
          <w:sz w:val="22"/>
        </w:rPr>
      </w:pPr>
    </w:p>
    <w:p>
      <w:pPr>
        <w:pStyle w:val="Heading2"/>
        <w:spacing w:before="132"/>
        <w:ind w:left="116"/>
      </w:pPr>
      <w:r>
        <w:rPr/>
        <w:t>Conclusiones</w:t>
      </w:r>
    </w:p>
    <w:p>
      <w:pPr>
        <w:pStyle w:val="BodyText"/>
        <w:rPr>
          <w:b/>
          <w:sz w:val="22"/>
        </w:rPr>
      </w:pPr>
    </w:p>
    <w:p>
      <w:pPr>
        <w:pStyle w:val="BodyText"/>
        <w:spacing w:line="364" w:lineRule="auto" w:before="1"/>
        <w:ind w:left="116" w:right="897"/>
        <w:jc w:val="both"/>
      </w:pPr>
      <w:r>
        <w:rPr/>
        <w:t>Los estudios sobre comportamiento proambiental (CPA) en México </w:t>
      </w:r>
      <w:r>
        <w:rPr>
          <w:spacing w:val="2"/>
        </w:rPr>
        <w:t>son </w:t>
      </w:r>
      <w:r>
        <w:rPr/>
        <w:t>relativamente pocos y relacionados al Turismo son nulos, debido a que </w:t>
      </w:r>
      <w:r>
        <w:rPr>
          <w:spacing w:val="-3"/>
        </w:rPr>
        <w:t>es </w:t>
      </w:r>
      <w:r>
        <w:rPr/>
        <w:t>una temática nueva en el campo </w:t>
      </w:r>
      <w:r>
        <w:rPr>
          <w:spacing w:val="-3"/>
        </w:rPr>
        <w:t>de </w:t>
      </w:r>
      <w:r>
        <w:rPr/>
        <w:t>la investigación turística. </w:t>
      </w:r>
      <w:r>
        <w:rPr>
          <w:spacing w:val="-3"/>
        </w:rPr>
        <w:t>Sin  </w:t>
      </w:r>
      <w:r>
        <w:rPr/>
        <w:t>embargo mediante la psicología ambiental se  han realizado trabajos de análisis que dieron como resultado el aporte de </w:t>
      </w:r>
      <w:r>
        <w:rPr>
          <w:spacing w:val="-4"/>
        </w:rPr>
        <w:t>las </w:t>
      </w:r>
      <w:r>
        <w:rPr/>
        <w:t>bases teóricas para el entendimiento de las conductas proambientales tal es el caso de los estudios  realizados  por  el  Dr.  Corral  en  2010,  también  el  diseño  de  modelos    </w:t>
      </w:r>
      <w:r>
        <w:rPr>
          <w:spacing w:val="24"/>
        </w:rPr>
        <w:t> </w:t>
      </w:r>
      <w:r>
        <w:rPr/>
        <w:t>de</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6" w:right="900"/>
        <w:jc w:val="both"/>
      </w:pPr>
      <w:r>
        <w:rPr/>
        <w:t>predicción y dinámica del comportamiento realizados por Ajzen y Fishbein en 1985, la descripción de variables de estudio realizadas por Vicente y Aldamiz  en  2003;  las cuales ayudan a conocer que factores inciden para que se dé un  CPA.</w:t>
      </w:r>
    </w:p>
    <w:p>
      <w:pPr>
        <w:pStyle w:val="BodyText"/>
        <w:spacing w:line="364" w:lineRule="auto" w:before="120"/>
        <w:ind w:left="115" w:right="898"/>
        <w:jc w:val="both"/>
      </w:pPr>
      <w:r>
        <w:rPr/>
        <w:t>Así pues la importancia de los resultados de estos trabajos y </w:t>
      </w:r>
      <w:r>
        <w:rPr>
          <w:spacing w:val="2"/>
        </w:rPr>
        <w:t>del </w:t>
      </w:r>
      <w:r>
        <w:rPr/>
        <w:t>comportamiento proambiental en general recae en el análisis de este comportamiento como </w:t>
      </w:r>
      <w:r>
        <w:rPr>
          <w:spacing w:val="-3"/>
        </w:rPr>
        <w:t>una </w:t>
      </w:r>
      <w:r>
        <w:rPr/>
        <w:t>alternativa de solución a la problemática ambiental. En el caso de los Parques Nacionales, tras el aumento de </w:t>
      </w:r>
      <w:r>
        <w:rPr>
          <w:spacing w:val="-5"/>
        </w:rPr>
        <w:t>la </w:t>
      </w:r>
      <w:r>
        <w:rPr/>
        <w:t>afluencia turística que </w:t>
      </w:r>
      <w:r>
        <w:rPr>
          <w:spacing w:val="3"/>
        </w:rPr>
        <w:t>se </w:t>
      </w:r>
      <w:r>
        <w:rPr/>
        <w:t>está presentando en los últimos años, </w:t>
      </w:r>
      <w:r>
        <w:rPr>
          <w:spacing w:val="-3"/>
        </w:rPr>
        <w:t>es </w:t>
      </w:r>
      <w:r>
        <w:rPr/>
        <w:t>conveniente identificar las actitudes, acciones y  </w:t>
      </w:r>
      <w:r>
        <w:rPr>
          <w:spacing w:val="-5"/>
        </w:rPr>
        <w:t>la  </w:t>
      </w:r>
      <w:r>
        <w:rPr/>
        <w:t>conciencia  ambiental que están manifestando los visitantes para conocer si ha sido favorable o no   el uso turístico que se </w:t>
      </w:r>
      <w:r>
        <w:rPr>
          <w:spacing w:val="-4"/>
        </w:rPr>
        <w:t>les </w:t>
      </w:r>
      <w:r>
        <w:rPr/>
        <w:t>ha dado a estos espacios naturales y saber qué factores son  los que están incidiendo para que se </w:t>
      </w:r>
      <w:r>
        <w:rPr>
          <w:spacing w:val="-3"/>
        </w:rPr>
        <w:t>dé </w:t>
      </w:r>
      <w:r>
        <w:rPr/>
        <w:t>un comportamiento  proambiental  que  contribuya a la sustentabilidad de las Áreas Naturales </w:t>
      </w:r>
      <w:r>
        <w:rPr>
          <w:spacing w:val="12"/>
        </w:rPr>
        <w:t> </w:t>
      </w:r>
      <w:r>
        <w:rPr/>
        <w:t>Protegidas.</w:t>
      </w:r>
    </w:p>
    <w:p>
      <w:pPr>
        <w:pStyle w:val="Heading2"/>
        <w:spacing w:before="125"/>
        <w:ind w:left="115"/>
      </w:pPr>
      <w:r>
        <w:rPr/>
        <w:t>Fuentes de Información</w:t>
      </w:r>
    </w:p>
    <w:p>
      <w:pPr>
        <w:pStyle w:val="BodyText"/>
        <w:rPr>
          <w:b/>
          <w:sz w:val="22"/>
        </w:rPr>
      </w:pPr>
    </w:p>
    <w:p>
      <w:pPr>
        <w:pStyle w:val="BodyText"/>
        <w:spacing w:line="364" w:lineRule="auto" w:before="1"/>
        <w:ind w:left="941" w:right="897" w:hanging="826"/>
        <w:jc w:val="both"/>
      </w:pPr>
      <w:r>
        <w:rPr/>
        <w:t>Agras, W.S., Jacob, R.G. y Ledebeck, M. (1980). The California drought: A quasiexperimental analysis of social policy. Journal  of  Applied  Behavior Analysis, 13, 561-570.</w:t>
      </w:r>
    </w:p>
    <w:p>
      <w:pPr>
        <w:pStyle w:val="BodyText"/>
        <w:spacing w:line="364" w:lineRule="auto" w:before="125"/>
        <w:ind w:left="941" w:right="895" w:hanging="826"/>
        <w:jc w:val="both"/>
      </w:pPr>
      <w:r>
        <w:rPr/>
        <w:t>Aguirre, M.; Echeverría, C.; Charterina, J.; Vicente, </w:t>
      </w:r>
      <w:r>
        <w:rPr>
          <w:spacing w:val="3"/>
        </w:rPr>
        <w:t>A. </w:t>
      </w:r>
      <w:r>
        <w:rPr/>
        <w:t>(2003) El consumidor ecológico:  un modelo de comportamiento a partir de la recopilación y análisis de la  evidencia empírica. Facultad de Ciencias Económicas y Empresariales. Universidad del País Vasco. </w:t>
      </w:r>
      <w:r>
        <w:rPr>
          <w:i/>
        </w:rPr>
        <w:t>Distribución y </w:t>
      </w:r>
      <w:r>
        <w:rPr>
          <w:i/>
          <w:spacing w:val="8"/>
        </w:rPr>
        <w:t> </w:t>
      </w:r>
      <w:r>
        <w:rPr>
          <w:i/>
        </w:rPr>
        <w:t>Consumo</w:t>
      </w:r>
      <w:r>
        <w:rPr/>
        <w:t>.</w:t>
      </w:r>
    </w:p>
    <w:p>
      <w:pPr>
        <w:pStyle w:val="BodyText"/>
        <w:spacing w:line="364" w:lineRule="auto" w:before="125"/>
        <w:ind w:left="941" w:right="989" w:hanging="826"/>
      </w:pPr>
      <w:r>
        <w:rPr/>
        <w:t>Aragonés, J.I. y Amérigo, M. (1998). Psicología ambiental. Aspectos conceptuales y metodológicos. En J.I Aragonés y M. Amérigo (eds.), Psicología Ambiental. Madrid: Ediciones Pirámide.</w:t>
      </w:r>
    </w:p>
    <w:p>
      <w:pPr>
        <w:pStyle w:val="BodyText"/>
        <w:spacing w:before="120"/>
        <w:ind w:left="115"/>
        <w:jc w:val="both"/>
      </w:pPr>
      <w:r>
        <w:rPr/>
        <w:t>Arriaga  Cabrera,  L.;  Espinoza  Rodríguez,  J.  M.;  Aguilar  Zúñiga,  C.,  (Coord.).</w:t>
      </w:r>
      <w:r>
        <w:rPr>
          <w:spacing w:val="57"/>
        </w:rPr>
        <w:t> </w:t>
      </w:r>
      <w:r>
        <w:rPr/>
        <w:t>2000.</w:t>
      </w:r>
    </w:p>
    <w:p>
      <w:pPr>
        <w:pStyle w:val="BodyText"/>
        <w:spacing w:before="134"/>
        <w:ind w:left="941" w:right="989"/>
      </w:pPr>
      <w:r>
        <w:rPr/>
        <w:t>Regiones Terrestres Prioritarias de México. México:  CONABIO.</w:t>
      </w:r>
    </w:p>
    <w:p>
      <w:pPr>
        <w:pStyle w:val="BodyText"/>
        <w:spacing w:before="5"/>
        <w:rPr>
          <w:sz w:val="22"/>
        </w:rPr>
      </w:pPr>
    </w:p>
    <w:p>
      <w:pPr>
        <w:pStyle w:val="BodyText"/>
        <w:spacing w:line="364" w:lineRule="auto"/>
        <w:ind w:left="941" w:right="897" w:hanging="826"/>
        <w:jc w:val="both"/>
      </w:pPr>
      <w:r>
        <w:rPr/>
        <w:t>Azqueta Oyarsun, D. (1996) Gestión de espacios naturales: La demanda  de  </w:t>
      </w:r>
      <w:r>
        <w:rPr>
          <w:spacing w:val="-4"/>
        </w:rPr>
        <w:t>los</w:t>
      </w:r>
      <w:r>
        <w:rPr>
          <w:spacing w:val="55"/>
        </w:rPr>
        <w:t> </w:t>
      </w:r>
      <w:r>
        <w:rPr/>
        <w:t>servicios recreativos. Métodos para la determinación de la demanda  de  servicios recreativos de los espacios naturales en Azqueta, D. y Pérez, L. (coord.). Madrid: Mc Graw -</w:t>
      </w:r>
      <w:r>
        <w:rPr>
          <w:spacing w:val="28"/>
        </w:rPr>
        <w:t> </w:t>
      </w:r>
      <w:r>
        <w:rPr/>
        <w:t>Hill.</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941" w:right="897" w:hanging="826"/>
        <w:jc w:val="both"/>
      </w:pPr>
      <w:r>
        <w:rPr/>
        <w:t>Baldi Lopez, G. (2006), Una aproximación a la psicología ambiental. España: Fundamentos de Humanidades.</w:t>
      </w:r>
    </w:p>
    <w:p>
      <w:pPr>
        <w:pStyle w:val="BodyText"/>
        <w:spacing w:line="364" w:lineRule="auto" w:before="123"/>
        <w:ind w:left="941" w:right="989" w:hanging="826"/>
      </w:pPr>
      <w:r>
        <w:rPr/>
        <w:t>Bastida Aguilar, Abraham (2004), “El desarrollo humano a un ambiente sano”, 6° certamen de ensayo sobre derechos humanos y medio ambiente,  México.</w:t>
      </w:r>
    </w:p>
    <w:p>
      <w:pPr>
        <w:pStyle w:val="BodyText"/>
        <w:spacing w:line="364" w:lineRule="auto" w:before="125"/>
        <w:ind w:left="941" w:right="892" w:hanging="826"/>
        <w:jc w:val="both"/>
      </w:pPr>
      <w:r>
        <w:rPr/>
        <w:t>Bechtel, R.B., Corral-Verdugo, V. y Pinheiro, J.Q. (1999). Environmental belief systems. United States, Brazil, and Mexico. Journal of Crosscultural Psychology, 30, 122- 128.</w:t>
      </w:r>
    </w:p>
    <w:p>
      <w:pPr>
        <w:pStyle w:val="BodyText"/>
        <w:spacing w:line="369" w:lineRule="auto" w:before="120"/>
        <w:ind w:left="941" w:right="900" w:hanging="826"/>
        <w:jc w:val="both"/>
      </w:pPr>
      <w:r>
        <w:rPr/>
        <w:t>Berger, I. (1997). The demographics of recycling and the structure of environmental behavior. Environment &amp; Behavior, 29,</w:t>
      </w:r>
      <w:r>
        <w:rPr>
          <w:spacing w:val="59"/>
        </w:rPr>
        <w:t> </w:t>
      </w:r>
      <w:r>
        <w:rPr/>
        <w:t>515-531.</w:t>
      </w:r>
    </w:p>
    <w:p>
      <w:pPr>
        <w:pStyle w:val="BodyText"/>
        <w:spacing w:line="364" w:lineRule="auto" w:before="115"/>
        <w:ind w:left="941" w:right="897" w:hanging="826"/>
        <w:jc w:val="both"/>
      </w:pPr>
      <w:r>
        <w:rPr/>
        <w:t>Bonnes, M. y Bonaiuto, M. (2002). Environmental psychology: from spatialphysical environment to sustainable development. En R.B. Bechtel y A. Churchman  (Eds.), Handbook of Environmental Psychology. New York: </w:t>
      </w:r>
      <w:r>
        <w:rPr>
          <w:spacing w:val="3"/>
        </w:rPr>
        <w:t> </w:t>
      </w:r>
      <w:r>
        <w:rPr/>
        <w:t>Wiley.</w:t>
      </w:r>
    </w:p>
    <w:p>
      <w:pPr>
        <w:pStyle w:val="BodyText"/>
        <w:spacing w:line="362" w:lineRule="auto" w:before="125"/>
        <w:ind w:left="941" w:right="897" w:hanging="826"/>
        <w:jc w:val="both"/>
      </w:pPr>
      <w:r>
        <w:rPr/>
        <w:t>Brook, A.T. (2001). What is “Conservation Psychology?” Population and Environmental Psychology Bulletin, 27, 1-2.</w:t>
      </w:r>
    </w:p>
    <w:p>
      <w:pPr>
        <w:pStyle w:val="BodyText"/>
        <w:spacing w:line="367" w:lineRule="auto" w:before="123"/>
        <w:ind w:left="941" w:right="902" w:hanging="826"/>
        <w:jc w:val="both"/>
      </w:pPr>
      <w:r>
        <w:rPr/>
        <w:t>Brown, L.R. y Flavin, C. (1999). A new economy for a new century. In L. Starke (Ed.), State of the World. A Worldwatch Institute Report on Progress Toward a Sustainable Society. New York: W.W.  Norton &amp;  Company.</w:t>
      </w:r>
    </w:p>
    <w:p>
      <w:pPr>
        <w:pStyle w:val="BodyText"/>
        <w:spacing w:line="364" w:lineRule="auto" w:before="117"/>
        <w:ind w:left="941" w:right="905" w:hanging="826"/>
        <w:jc w:val="both"/>
      </w:pPr>
      <w:r>
        <w:rPr/>
        <w:t>Burgess, R.L., Clark, R.N., y Hendee, J.C. (1971). An experimental analysis of antilitter procedures. Journal of Applied Behavior Analysis, 4,  71-75.</w:t>
      </w:r>
    </w:p>
    <w:p>
      <w:pPr>
        <w:pStyle w:val="BodyText"/>
        <w:spacing w:before="120"/>
        <w:ind w:left="116" w:right="989"/>
      </w:pPr>
      <w:r>
        <w:rPr/>
        <w:t>Canter, D. (2002). Editorial reflections. Journal of Environmental Psychology, 22,  1-3.</w:t>
      </w:r>
    </w:p>
    <w:p>
      <w:pPr>
        <w:pStyle w:val="BodyText"/>
        <w:spacing w:before="5"/>
        <w:rPr>
          <w:sz w:val="22"/>
        </w:rPr>
      </w:pPr>
    </w:p>
    <w:p>
      <w:pPr>
        <w:pStyle w:val="BodyText"/>
        <w:spacing w:line="362" w:lineRule="auto"/>
        <w:ind w:left="941" w:right="989" w:hanging="826"/>
      </w:pPr>
      <w:r>
        <w:rPr/>
        <w:t>Castro R. (2001). Naturaleza y funciones de las actitudes ambientales. Estudios de Psicología. España</w:t>
      </w:r>
    </w:p>
    <w:p>
      <w:pPr>
        <w:pStyle w:val="BodyText"/>
        <w:spacing w:line="364" w:lineRule="auto" w:before="123"/>
        <w:ind w:left="941" w:right="989" w:hanging="826"/>
      </w:pPr>
      <w:r>
        <w:rPr/>
        <w:t>Castro R. (2002). Medio ambiente y comportamiento humano. Estudios de Psicolo-gía, Resma, España.</w:t>
      </w:r>
    </w:p>
    <w:p>
      <w:pPr>
        <w:pStyle w:val="BodyText"/>
        <w:spacing w:line="364" w:lineRule="auto" w:before="120"/>
        <w:ind w:left="941" w:right="1353" w:hanging="826"/>
        <w:jc w:val="both"/>
      </w:pPr>
      <w:r>
        <w:rPr/>
        <w:t>Charterina, J. y Vicente, A. (2003) “El consumidor ecológico. Un modelo de compor- tamiento a partir de la recopilación y análisis de la evidencia empírica”. Dis- tribución y Consumo, 13 (67): 41-53.</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before="74"/>
        <w:ind w:left="115"/>
      </w:pPr>
      <w:r>
        <w:rPr/>
        <w:t>Cone,  J.D.   y  Hayes,   S.C.   (1980).   Environmental  problems.  Behavioral    solutions.</w:t>
      </w:r>
    </w:p>
    <w:p>
      <w:pPr>
        <w:pStyle w:val="BodyText"/>
        <w:spacing w:before="134"/>
        <w:ind w:left="941" w:right="989"/>
      </w:pPr>
      <w:r>
        <w:rPr/>
        <w:t>Monterey, CA: Brooks Cole.</w:t>
      </w:r>
    </w:p>
    <w:p>
      <w:pPr>
        <w:pStyle w:val="BodyText"/>
        <w:rPr>
          <w:sz w:val="22"/>
        </w:rPr>
      </w:pPr>
    </w:p>
    <w:p>
      <w:pPr>
        <w:pStyle w:val="BodyText"/>
        <w:spacing w:line="364" w:lineRule="auto" w:before="1"/>
        <w:ind w:left="941" w:right="899" w:hanging="826"/>
        <w:jc w:val="both"/>
      </w:pPr>
      <w:r>
        <w:rPr/>
        <w:t>Corraliza, J. &amp; Berenguer, J. (2000) Environmental values, beliefs and actions: a situational approach. Environment and Behavior, 32 (6):  832.</w:t>
      </w:r>
    </w:p>
    <w:p>
      <w:pPr>
        <w:pStyle w:val="BodyText"/>
        <w:spacing w:line="364" w:lineRule="auto" w:before="125"/>
        <w:ind w:left="941" w:right="895" w:hanging="826"/>
        <w:jc w:val="both"/>
      </w:pPr>
      <w:r>
        <w:rPr/>
        <w:t>Corral-Verdugo, V. (2001). Comportamiento Proambiental. Una Introducción al Estudio  de las Conductas Protectoras del Ambiente. Santa Cruz de Tenerife, España: RESMA</w:t>
      </w:r>
    </w:p>
    <w:p>
      <w:pPr>
        <w:pStyle w:val="BodyText"/>
        <w:spacing w:line="369" w:lineRule="auto" w:before="120"/>
        <w:ind w:left="941" w:right="989" w:hanging="826"/>
      </w:pPr>
      <w:r>
        <w:rPr/>
        <w:t>Corral-Verdugo, V. (2003). Percepción de riesgos, conducta proambiental y variables demográficas en una comunidad de Sonora, México: Región y  Sociedad.</w:t>
      </w:r>
    </w:p>
    <w:p>
      <w:pPr>
        <w:pStyle w:val="BodyText"/>
        <w:spacing w:line="364" w:lineRule="auto" w:before="115"/>
        <w:ind w:left="941" w:right="899" w:hanging="826"/>
        <w:jc w:val="both"/>
      </w:pPr>
      <w:r>
        <w:rPr/>
        <w:t>Corral-Verdugo, V. (2012). Psicología de </w:t>
      </w:r>
      <w:r>
        <w:rPr>
          <w:spacing w:val="-5"/>
        </w:rPr>
        <w:t>la </w:t>
      </w:r>
      <w:r>
        <w:rPr/>
        <w:t>Conservación: El estudio de las conductas protectoras del ambiente. En V. Corral- Verdugo (Ed.). Conductas protectoras  del Ambiente. México:</w:t>
      </w:r>
      <w:r>
        <w:rPr>
          <w:spacing w:val="46"/>
        </w:rPr>
        <w:t> </w:t>
      </w:r>
      <w:r>
        <w:rPr/>
        <w:t>CONACyT-UniSon.</w:t>
      </w:r>
    </w:p>
    <w:p>
      <w:pPr>
        <w:pStyle w:val="BodyText"/>
        <w:spacing w:line="362" w:lineRule="auto" w:before="125"/>
        <w:ind w:left="941" w:right="910" w:hanging="826"/>
        <w:jc w:val="both"/>
      </w:pPr>
      <w:r>
        <w:rPr/>
        <w:t>Cottrell, S.P. y Graefe, A.R. (1997). Testing a conceptual framework of responsible environmental behavior. Journal of Environmental Education, 29,  17-27.</w:t>
      </w:r>
    </w:p>
    <w:p>
      <w:pPr>
        <w:pStyle w:val="BodyText"/>
        <w:spacing w:line="367" w:lineRule="auto" w:before="123"/>
        <w:ind w:left="941" w:right="903" w:hanging="826"/>
        <w:jc w:val="both"/>
      </w:pPr>
      <w:r>
        <w:rPr/>
        <w:t>De Young, R. (1996) Some psychological aspects of reduced consumption behavior: the role of intrinsic satisfaction and competence motivation. Environment and Behavior, 28 (3): 358.</w:t>
      </w:r>
    </w:p>
    <w:p>
      <w:pPr>
        <w:pStyle w:val="BodyText"/>
        <w:spacing w:line="364" w:lineRule="auto" w:before="117"/>
        <w:ind w:left="941" w:right="895" w:hanging="826"/>
        <w:jc w:val="both"/>
      </w:pPr>
      <w:r>
        <w:rPr/>
        <w:t>Dunlap, R. E. y Van Liere, K.D. (1978). The New Environmental Paradigm. Journal of Environmental Education, 9, 10-19.</w:t>
      </w:r>
    </w:p>
    <w:p>
      <w:pPr>
        <w:pStyle w:val="BodyText"/>
        <w:spacing w:line="364" w:lineRule="auto" w:before="120"/>
        <w:ind w:left="941" w:right="903" w:hanging="826"/>
        <w:jc w:val="both"/>
      </w:pPr>
      <w:r>
        <w:rPr/>
        <w:t>Fishbein, M.A. y Ajzen, I. (1975). Belief, attitude, intention and behavior: An introduction  to theory and research. Reading, MA:</w:t>
      </w:r>
      <w:r>
        <w:rPr>
          <w:spacing w:val="60"/>
        </w:rPr>
        <w:t> </w:t>
      </w:r>
      <w:r>
        <w:rPr/>
        <w:t>Addison-Wesley.</w:t>
      </w:r>
    </w:p>
    <w:p>
      <w:pPr>
        <w:pStyle w:val="BodyText"/>
        <w:spacing w:line="364" w:lineRule="auto" w:before="120"/>
        <w:ind w:left="941" w:right="989" w:hanging="826"/>
      </w:pPr>
      <w:r>
        <w:rPr/>
        <w:t>Fraj, Elena y Martínez, Eva (2002). El comportamiento ecológico de los consumido-res, Universidad de Zaragoza, Madrid: ESIC.</w:t>
      </w:r>
    </w:p>
    <w:p>
      <w:pPr>
        <w:pStyle w:val="BodyText"/>
        <w:spacing w:before="120"/>
        <w:ind w:left="115"/>
      </w:pPr>
      <w:r>
        <w:rPr/>
        <w:t>Gardner, G. (2002). The challenge for Johannesburg: Creating a more secure world.  </w:t>
      </w:r>
      <w:r>
        <w:rPr>
          <w:spacing w:val="61"/>
        </w:rPr>
        <w:t> </w:t>
      </w:r>
      <w:r>
        <w:rPr/>
        <w:t>En</w:t>
      </w:r>
    </w:p>
    <w:p>
      <w:pPr>
        <w:pStyle w:val="BodyText"/>
        <w:spacing w:line="364" w:lineRule="auto" w:before="138"/>
        <w:ind w:left="941" w:right="989"/>
      </w:pPr>
      <w:r>
        <w:rPr/>
        <w:t>L. Starke (Ed.), State of the World 2002. A Worldwatch Institute Report on Progress Toward a Sustainable Society. Nueva York: W.W. Norton &amp;  Company.</w:t>
      </w:r>
    </w:p>
    <w:p>
      <w:pPr>
        <w:pStyle w:val="BodyText"/>
        <w:spacing w:line="364" w:lineRule="auto" w:before="120"/>
        <w:ind w:left="941" w:right="894" w:hanging="826"/>
        <w:jc w:val="both"/>
      </w:pPr>
      <w:r>
        <w:rPr/>
        <w:t>Geller, E.S. (2002). The challenge of increasing pro-environment behavior. En R.B. Bechtel y A. Churchman (Eds.), Handbook of Environmental Psychology. New York: Wiley.</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941" w:right="899" w:hanging="826"/>
        <w:jc w:val="both"/>
      </w:pPr>
      <w:r>
        <w:rPr/>
        <w:t>Gouveia, V. (2002). Self, culture and sustainable development. En P. Schmuck y P.W. Schultz (Eds.), Psychology of Sustainable Development.  Norwell,  Massachusetts:</w:t>
      </w:r>
      <w:r>
        <w:rPr>
          <w:spacing w:val="24"/>
        </w:rPr>
        <w:t> </w:t>
      </w:r>
      <w:r>
        <w:rPr/>
        <w:t>Kluwer.</w:t>
      </w:r>
    </w:p>
    <w:p>
      <w:pPr>
        <w:pStyle w:val="BodyText"/>
        <w:spacing w:line="364" w:lineRule="auto" w:before="120"/>
        <w:ind w:left="941" w:right="894" w:hanging="826"/>
        <w:jc w:val="both"/>
      </w:pPr>
      <w:r>
        <w:rPr/>
        <w:t>Grob, A. (1990). Meinungen im Umweltbereich und umwelgerechtes Verhalten. Ein psychologisches Ursachennetzmodell. Tesis Doctoral. Universidad de Berna, Suiza.</w:t>
      </w:r>
    </w:p>
    <w:p>
      <w:pPr>
        <w:pStyle w:val="BodyText"/>
        <w:spacing w:line="367" w:lineRule="auto" w:before="120"/>
        <w:ind w:left="941" w:right="893" w:hanging="826"/>
        <w:jc w:val="both"/>
      </w:pPr>
      <w:r>
        <w:rPr/>
        <w:t>Guagnano, G.A., Stern, P.C. y Dietz, T. (1995). Influences on attitude-behavior relationships: A natural experiment with curbside recycling. Environment &amp; Behavior, 27, 699-718.</w:t>
      </w:r>
    </w:p>
    <w:p>
      <w:pPr>
        <w:pStyle w:val="BodyText"/>
        <w:spacing w:before="117"/>
        <w:ind w:left="116"/>
      </w:pPr>
      <w:r>
        <w:rPr/>
        <w:t>Huntington,  S. (1999).  The clash of civilizations  and the remaking  of  the  world    order.</w:t>
      </w:r>
    </w:p>
    <w:p>
      <w:pPr>
        <w:pStyle w:val="BodyText"/>
        <w:spacing w:before="138"/>
        <w:ind w:left="941" w:right="989"/>
      </w:pPr>
      <w:r>
        <w:rPr/>
        <w:t>Nueva York: Touchstone Book.</w:t>
      </w:r>
    </w:p>
    <w:p>
      <w:pPr>
        <w:pStyle w:val="BodyText"/>
        <w:rPr>
          <w:sz w:val="22"/>
        </w:rPr>
      </w:pPr>
    </w:p>
    <w:p>
      <w:pPr>
        <w:pStyle w:val="BodyText"/>
        <w:spacing w:before="1"/>
        <w:ind w:left="116"/>
      </w:pPr>
      <w:r>
        <w:rPr/>
        <w:t>Kaiser, F.G. y Shimoda, T.A. (1999). Responsibility as a predictor of ecological  behavior.</w:t>
      </w:r>
    </w:p>
    <w:p>
      <w:pPr>
        <w:pStyle w:val="BodyText"/>
        <w:spacing w:before="138"/>
        <w:ind w:left="941" w:right="989"/>
      </w:pPr>
      <w:r>
        <w:rPr/>
        <w:t>Journal of Environmental Psychology, 19,</w:t>
      </w:r>
      <w:r>
        <w:rPr>
          <w:spacing w:val="58"/>
        </w:rPr>
        <w:t> </w:t>
      </w:r>
      <w:r>
        <w:rPr/>
        <w:t>243-253.</w:t>
      </w:r>
    </w:p>
    <w:p>
      <w:pPr>
        <w:pStyle w:val="BodyText"/>
        <w:rPr>
          <w:sz w:val="22"/>
        </w:rPr>
      </w:pPr>
    </w:p>
    <w:p>
      <w:pPr>
        <w:pStyle w:val="BodyText"/>
        <w:spacing w:line="364" w:lineRule="auto" w:before="1"/>
        <w:ind w:left="941" w:right="898" w:hanging="826"/>
        <w:jc w:val="both"/>
      </w:pPr>
      <w:r>
        <w:rPr/>
        <w:t>Leeming, F., Dwyer, W., Porter,B. y Cobern, M. (1993). Outcome research in environmental education: A critical review. Journal of Environmental Education, 24, 8- 21.</w:t>
      </w:r>
    </w:p>
    <w:p>
      <w:pPr>
        <w:pStyle w:val="BodyText"/>
        <w:spacing w:line="364" w:lineRule="auto" w:before="125"/>
        <w:ind w:left="941" w:right="1044" w:hanging="826"/>
        <w:jc w:val="both"/>
      </w:pPr>
      <w:r>
        <w:rPr/>
        <w:t>Martínez Soto, J. (2004), Comportamiento Proambiental. Una aproximación al estu-dio del desarrollo sustentable con énfasis en el comportamiento persona-ambient”. Theomai, invierno, número especial.</w:t>
      </w:r>
    </w:p>
    <w:p>
      <w:pPr>
        <w:pStyle w:val="BodyText"/>
        <w:spacing w:before="120"/>
        <w:ind w:left="116" w:right="989"/>
      </w:pPr>
      <w:r>
        <w:rPr/>
        <w:t>Myers, G. (2001). Some issues to consider in the role of psychology in conservation.</w:t>
      </w:r>
    </w:p>
    <w:p>
      <w:pPr>
        <w:pStyle w:val="BodyText"/>
        <w:spacing w:before="143"/>
        <w:ind w:left="941" w:right="989"/>
      </w:pPr>
      <w:r>
        <w:rPr/>
        <w:t>Population and Environmental  Psychology Bulletin, 2,  2-4.</w:t>
      </w:r>
    </w:p>
    <w:p>
      <w:pPr>
        <w:pStyle w:val="BodyText"/>
        <w:rPr>
          <w:sz w:val="22"/>
        </w:rPr>
      </w:pPr>
    </w:p>
    <w:p>
      <w:pPr>
        <w:pStyle w:val="BodyText"/>
        <w:spacing w:line="364" w:lineRule="auto" w:before="1"/>
        <w:ind w:left="941" w:right="902" w:hanging="826"/>
        <w:jc w:val="both"/>
      </w:pPr>
      <w:r>
        <w:rPr/>
        <w:t>Pardo, Mercedes, (2006). Persona Sociedad y Medio Ambiente, Análisis de  la  conciencia ecológica en la opinión pública: ¿Contradicciones entre valores y comportamiento? España.  Revista de</w:t>
      </w:r>
      <w:r>
        <w:rPr>
          <w:spacing w:val="58"/>
        </w:rPr>
        <w:t> </w:t>
      </w:r>
      <w:r>
        <w:rPr/>
        <w:t>Andalucia.</w:t>
      </w:r>
    </w:p>
    <w:p>
      <w:pPr>
        <w:pStyle w:val="BodyText"/>
        <w:spacing w:line="367" w:lineRule="auto" w:before="120"/>
        <w:ind w:left="941" w:right="904" w:hanging="826"/>
        <w:jc w:val="both"/>
      </w:pPr>
      <w:r>
        <w:rPr/>
        <w:t>Pinheiro, J. (2002). Apego ao futuro: escala temporal e sustentabilidade em psicología ambiental. En V. Corral-Verdugo (Ed.). Conductas protectoras del Ambiente. México: CONACyT-UniSon.</w:t>
      </w:r>
    </w:p>
    <w:p>
      <w:pPr>
        <w:spacing w:after="0" w:line="367"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941" w:right="897" w:hanging="826"/>
        <w:jc w:val="both"/>
      </w:pPr>
      <w:r>
        <w:rPr/>
        <w:t>Proshansky, H. M., (1976), The Appropriation and Misappropriation of  space.  In  Korosec, P., (Ed.), Appropiation of space. Proceeding of the Strasbourg Conference. Louvain La Neuve:</w:t>
      </w:r>
      <w:r>
        <w:rPr>
          <w:spacing w:val="49"/>
        </w:rPr>
        <w:t> </w:t>
      </w:r>
      <w:r>
        <w:rPr/>
        <w:t>CIACO.</w:t>
      </w:r>
    </w:p>
    <w:p>
      <w:pPr>
        <w:pStyle w:val="BodyText"/>
        <w:spacing w:before="120"/>
        <w:ind w:left="116" w:right="989"/>
      </w:pPr>
      <w:r>
        <w:rPr/>
        <w:t>Puertas Valdez. I. y Aguilar Luzón, M. C. (2008). Psicología Social Aplicada. Tema 9.</w:t>
      </w:r>
    </w:p>
    <w:p>
      <w:pPr>
        <w:pStyle w:val="BodyText"/>
        <w:spacing w:before="143"/>
        <w:ind w:left="941" w:right="989"/>
      </w:pPr>
      <w:r>
        <w:rPr/>
        <w:t>Departamento de Psicología. España: Universidad de  Jaén.</w:t>
      </w:r>
    </w:p>
    <w:p>
      <w:pPr>
        <w:pStyle w:val="BodyText"/>
        <w:rPr>
          <w:sz w:val="22"/>
        </w:rPr>
      </w:pPr>
    </w:p>
    <w:p>
      <w:pPr>
        <w:pStyle w:val="BodyText"/>
        <w:spacing w:line="364" w:lineRule="auto" w:before="1"/>
        <w:ind w:left="941" w:right="902" w:hanging="826"/>
        <w:jc w:val="both"/>
      </w:pPr>
      <w:r>
        <w:rPr/>
        <w:t>Reid, D., Luyben, P., Rawers, R. y Bailey, J. (1976). Newspaper recycling behavior: The effects of prompting and proximity of containers. Environment &amp; Behavior, 8, 471-481.</w:t>
      </w:r>
    </w:p>
    <w:p>
      <w:pPr>
        <w:pStyle w:val="BodyText"/>
        <w:spacing w:line="364" w:lineRule="auto" w:before="125"/>
        <w:ind w:left="941" w:right="904" w:hanging="826"/>
        <w:jc w:val="both"/>
      </w:pPr>
      <w:r>
        <w:rPr/>
        <w:t>Rivera Camino J., Molero Ayala V. (2006).El marketing medio ambiental en las organizaciones. Cuadernos de Economía y Dirección de la Empresa. Núm.  26.</w:t>
      </w:r>
    </w:p>
    <w:p>
      <w:pPr>
        <w:pStyle w:val="BodyText"/>
        <w:spacing w:before="120"/>
        <w:ind w:left="116" w:right="989"/>
      </w:pPr>
      <w:r>
        <w:rPr/>
        <w:t>Rodríguez, A., (2011), Psicología social. México:</w:t>
      </w:r>
      <w:r>
        <w:rPr>
          <w:spacing w:val="57"/>
        </w:rPr>
        <w:t> </w:t>
      </w:r>
      <w:r>
        <w:rPr/>
        <w:t>Trillas.</w:t>
      </w:r>
    </w:p>
    <w:p>
      <w:pPr>
        <w:pStyle w:val="BodyText"/>
        <w:rPr>
          <w:sz w:val="22"/>
        </w:rPr>
      </w:pPr>
    </w:p>
    <w:p>
      <w:pPr>
        <w:pStyle w:val="BodyText"/>
        <w:spacing w:line="369" w:lineRule="auto" w:before="1"/>
        <w:ind w:left="941" w:right="1227" w:hanging="826"/>
      </w:pPr>
      <w:r>
        <w:rPr/>
        <w:t>Santamarta, José (2004), “La Sociedad de Consumo”, Revista Profesiones publicado por Ecoportal.</w:t>
      </w:r>
    </w:p>
    <w:p>
      <w:pPr>
        <w:pStyle w:val="BodyText"/>
        <w:spacing w:line="364" w:lineRule="auto" w:before="115"/>
        <w:ind w:left="941" w:right="901" w:hanging="826"/>
        <w:jc w:val="both"/>
      </w:pPr>
      <w:r>
        <w:rPr/>
        <w:t>Schmuck, P. y Schultz, P.W. (2002). Sustainable development as a challenge for Psychology. En P. Schmuck y P.W. Schultz (Eds.), Psychology of Sustainable Development. Norwell, Massachusetts: Kluwer.</w:t>
      </w:r>
    </w:p>
    <w:p>
      <w:pPr>
        <w:pStyle w:val="BodyText"/>
        <w:spacing w:line="364" w:lineRule="auto" w:before="125"/>
        <w:ind w:left="941" w:right="899" w:hanging="826"/>
        <w:jc w:val="both"/>
      </w:pPr>
      <w:r>
        <w:rPr/>
        <w:t>Schmuck, P. y Schultz, P.W. (2002). Sustainable development as a challenge for Psychology. En P. Schmuck y P.W.</w:t>
      </w:r>
    </w:p>
    <w:p>
      <w:pPr>
        <w:pStyle w:val="BodyText"/>
        <w:spacing w:line="364" w:lineRule="auto" w:before="120"/>
        <w:ind w:left="941" w:right="899" w:hanging="826"/>
        <w:jc w:val="both"/>
      </w:pPr>
      <w:r>
        <w:rPr/>
        <w:t>Schultz, P.W., Zelezny, L. y Dalrymple, N.J. (2000). A multinational perspective on the relation between judeo-christian religious beliefs </w:t>
      </w:r>
      <w:r>
        <w:rPr>
          <w:spacing w:val="-3"/>
        </w:rPr>
        <w:t>and </w:t>
      </w:r>
      <w:r>
        <w:rPr/>
        <w:t>attitudes of environmental concern. Environment &amp; Behavior, 32,</w:t>
      </w:r>
      <w:r>
        <w:rPr>
          <w:spacing w:val="57"/>
        </w:rPr>
        <w:t> </w:t>
      </w:r>
      <w:r>
        <w:rPr/>
        <w:t>576-591.</w:t>
      </w:r>
    </w:p>
    <w:p>
      <w:pPr>
        <w:pStyle w:val="BodyText"/>
        <w:spacing w:line="364" w:lineRule="auto" w:before="120"/>
        <w:ind w:left="941" w:right="903" w:hanging="826"/>
        <w:jc w:val="both"/>
      </w:pPr>
      <w:r>
        <w:rPr/>
        <w:t>Schwartz, S.H. (1977). Normative influences </w:t>
      </w:r>
      <w:r>
        <w:rPr>
          <w:spacing w:val="-3"/>
        </w:rPr>
        <w:t>on </w:t>
      </w:r>
      <w:r>
        <w:rPr/>
        <w:t>altruism. En L. Berkowitz  (ed.),  Advances in Experimental Social Psychology (vol. 10). Nueva York: Academic Press.</w:t>
      </w:r>
    </w:p>
    <w:p>
      <w:pPr>
        <w:pStyle w:val="BodyText"/>
        <w:spacing w:line="364" w:lineRule="auto" w:before="120"/>
        <w:ind w:left="941" w:right="901" w:hanging="826"/>
        <w:jc w:val="both"/>
      </w:pPr>
      <w:r>
        <w:rPr/>
        <w:t>SECTUR (2004), “Modelo de sistema de indicadores de sustentabilidad para el turismo”, en </w:t>
      </w:r>
      <w:hyperlink r:id="rId36">
        <w:r>
          <w:rPr/>
          <w:t>www.sectur.gob.mx</w:t>
        </w:r>
      </w:hyperlink>
    </w:p>
    <w:p>
      <w:pPr>
        <w:pStyle w:val="BodyText"/>
        <w:spacing w:line="364" w:lineRule="auto" w:before="120"/>
        <w:ind w:left="941" w:right="989" w:hanging="826"/>
      </w:pPr>
      <w:r>
        <w:rPr/>
        <w:t>SEMARNAT (2008), Formulación de una estrategia para el turismo sustentable en México: SEMARNAT, consultado en:  </w:t>
      </w:r>
      <w:hyperlink r:id="rId37">
        <w:r>
          <w:rPr/>
          <w:t>www.medioambiente.gob.mx</w:t>
        </w:r>
      </w:hyperlink>
    </w:p>
    <w:p>
      <w:pPr>
        <w:spacing w:after="0" w:line="364" w:lineRule="auto"/>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941" w:right="989" w:hanging="826"/>
      </w:pPr>
      <w:r>
        <w:rPr/>
        <w:t>SEMARNAT (2013), Formulación de una estrategia para el turismo sustentable en México: SEMARNAT, consultado en:  </w:t>
      </w:r>
      <w:hyperlink r:id="rId37">
        <w:r>
          <w:rPr/>
          <w:t>www.medioambiente.gob.mx</w:t>
        </w:r>
      </w:hyperlink>
    </w:p>
    <w:p>
      <w:pPr>
        <w:pStyle w:val="BodyText"/>
        <w:spacing w:line="364" w:lineRule="auto" w:before="123"/>
        <w:ind w:left="941" w:right="989" w:hanging="826"/>
      </w:pPr>
      <w:r>
        <w:rPr/>
        <w:t>Stern, P.C., Dietz, T. y Guagnano, G.A. (1995). The new ecological paradigm in social- psychological context. Environment &amp; Behavior, 27,  723-743.</w:t>
      </w:r>
    </w:p>
    <w:p>
      <w:pPr>
        <w:pStyle w:val="BodyText"/>
        <w:spacing w:line="364" w:lineRule="auto" w:before="125"/>
        <w:ind w:left="941" w:right="989" w:hanging="826"/>
      </w:pPr>
      <w:r>
        <w:rPr/>
        <w:t>Vargas, C.M. (2000). Sustainable development education: Averting or mitigating cultural collision. International Journal of Educational Development, 20,  377-396.</w:t>
      </w:r>
    </w:p>
    <w:p>
      <w:pPr>
        <w:pStyle w:val="BodyText"/>
        <w:spacing w:line="362" w:lineRule="auto" w:before="120"/>
        <w:ind w:left="941" w:right="901" w:hanging="826"/>
      </w:pPr>
      <w:r>
        <w:rPr/>
        <w:t>Zelezny, L.C. (1999). Educational interventions that improve environmental behaviors: A meta-analysis. Journal of Environmental Education, 31,  5-14.</w:t>
      </w:r>
    </w:p>
    <w:p>
      <w:pPr>
        <w:pStyle w:val="BodyText"/>
        <w:spacing w:line="362" w:lineRule="auto" w:before="132"/>
        <w:ind w:left="941" w:right="989" w:hanging="826"/>
      </w:pPr>
      <w:r>
        <w:rPr/>
        <w:t>Zimmermann, Marcel (2010). Psicología ambiental, calidad de vida y desarrollo sostenible. Colombia: Eco-ediciones.</w:t>
      </w:r>
    </w:p>
    <w:p>
      <w:pPr>
        <w:pStyle w:val="BodyText"/>
        <w:rPr>
          <w:sz w:val="22"/>
        </w:rPr>
      </w:pPr>
    </w:p>
    <w:p>
      <w:pPr>
        <w:pStyle w:val="BodyText"/>
        <w:rPr>
          <w:sz w:val="22"/>
        </w:rPr>
      </w:pPr>
    </w:p>
    <w:p>
      <w:pPr>
        <w:pStyle w:val="Heading2"/>
        <w:numPr>
          <w:ilvl w:val="1"/>
          <w:numId w:val="16"/>
        </w:numPr>
        <w:tabs>
          <w:tab w:pos="817" w:val="left" w:leader="none"/>
        </w:tabs>
        <w:spacing w:line="240" w:lineRule="auto" w:before="135" w:after="0"/>
        <w:ind w:left="816" w:right="0" w:hanging="700"/>
        <w:jc w:val="both"/>
      </w:pPr>
      <w:bookmarkStart w:name="_TOC_250020" w:id="15"/>
      <w:r>
        <w:rPr/>
        <w:t>Medición del Comportamiento</w:t>
      </w:r>
      <w:r>
        <w:rPr>
          <w:spacing w:val="46"/>
        </w:rPr>
        <w:t> </w:t>
      </w:r>
      <w:bookmarkEnd w:id="15"/>
      <w:r>
        <w:rPr/>
        <w:t>Proambiental</w:t>
      </w:r>
    </w:p>
    <w:p>
      <w:pPr>
        <w:pStyle w:val="BodyText"/>
        <w:spacing w:before="5"/>
        <w:rPr>
          <w:b/>
          <w:sz w:val="22"/>
        </w:rPr>
      </w:pPr>
    </w:p>
    <w:p>
      <w:pPr>
        <w:pStyle w:val="BodyText"/>
        <w:spacing w:line="364" w:lineRule="auto"/>
        <w:ind w:left="115" w:right="900"/>
        <w:jc w:val="both"/>
      </w:pPr>
      <w:r>
        <w:rPr/>
        <w:t>La evaluación de las actitudes ambientales ha sido uno de los principales temas </w:t>
      </w:r>
      <w:r>
        <w:rPr>
          <w:spacing w:val="-3"/>
        </w:rPr>
        <w:t>de </w:t>
      </w:r>
      <w:r>
        <w:rPr/>
        <w:t>estudio y desarrollo dentro de la psicología ambiental. Su  importancia  tanto  teórica como práctica muestra </w:t>
      </w:r>
      <w:r>
        <w:rPr>
          <w:spacing w:val="-5"/>
        </w:rPr>
        <w:t>la </w:t>
      </w:r>
      <w:r>
        <w:rPr/>
        <w:t>necesidad de establecer medidas estandarizadas que faciliten  </w:t>
      </w:r>
      <w:r>
        <w:rPr>
          <w:spacing w:val="-5"/>
        </w:rPr>
        <w:t>la </w:t>
      </w:r>
      <w:r>
        <w:rPr/>
        <w:t>toma de decisiones en los modelos de gestión </w:t>
      </w:r>
      <w:r>
        <w:rPr>
          <w:spacing w:val="15"/>
        </w:rPr>
        <w:t> </w:t>
      </w:r>
      <w:r>
        <w:rPr/>
        <w:t>ambiental.</w:t>
      </w:r>
    </w:p>
    <w:p>
      <w:pPr>
        <w:pStyle w:val="BodyText"/>
        <w:spacing w:line="364" w:lineRule="auto" w:before="125"/>
        <w:ind w:left="115" w:right="899"/>
        <w:jc w:val="both"/>
      </w:pPr>
      <w:r>
        <w:rPr/>
        <w:t>Sin embargo, los esfuerzos por desarrollar una forma de medición del comportamiento proambiental, se observan en la literatura desde finales de los años 70 y comienzos de los 80 coincidiendo con la crisis energética y el aumento de la población por la preocupación ambiental. Esta situación social por el ambiente favoreció la aparición de innumerables escalas de actitudes ambientales, detectándose principalmente dos medidas de comportamiento proambiental; específicas y  generales.</w:t>
      </w:r>
    </w:p>
    <w:p>
      <w:pPr>
        <w:pStyle w:val="BodyText"/>
        <w:spacing w:line="364" w:lineRule="auto" w:before="120"/>
        <w:ind w:left="115" w:right="896"/>
        <w:jc w:val="both"/>
      </w:pPr>
      <w:r>
        <w:rPr/>
        <w:t>Las medidas generales corresponden a </w:t>
      </w:r>
      <w:r>
        <w:rPr>
          <w:spacing w:val="-3"/>
        </w:rPr>
        <w:t>aquellas </w:t>
      </w:r>
      <w:r>
        <w:rPr/>
        <w:t>investigaciones de las dimensiones de los comportamientos en diferentes grupos, buscando similitudes y diferencias.  En  cuanto a las medidas específicas, estas corresponden a medidas de comportamientos proambientales específicos como el ahorro de energía, el reciclaje, la conservación del agua entre otros (Pato,</w:t>
      </w:r>
      <w:r>
        <w:rPr>
          <w:spacing w:val="29"/>
        </w:rPr>
        <w:t> </w:t>
      </w:r>
      <w:r>
        <w:rPr/>
        <w:t>2004).</w:t>
      </w:r>
    </w:p>
    <w:p>
      <w:pPr>
        <w:pStyle w:val="BodyText"/>
        <w:spacing w:line="364" w:lineRule="auto" w:before="120"/>
        <w:ind w:left="115" w:right="897"/>
        <w:jc w:val="both"/>
      </w:pPr>
      <w:r>
        <w:rPr/>
        <w:t>Dentro de esta medición, cabe destacar las escalas sobre actitudes ambientales de Maloney  y  Ward  (1973),  cuyo  constructo  conceptual  </w:t>
      </w:r>
      <w:r>
        <w:rPr>
          <w:spacing w:val="-3"/>
        </w:rPr>
        <w:t>es  </w:t>
      </w:r>
      <w:r>
        <w:rPr/>
        <w:t>multidimensional;  y  las  </w:t>
      </w:r>
      <w:r>
        <w:rPr>
          <w:spacing w:val="55"/>
        </w:rPr>
        <w:t> </w:t>
      </w:r>
      <w:r>
        <w:rPr/>
        <w:t>de</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215" w:right="898"/>
        <w:jc w:val="both"/>
      </w:pPr>
      <w:r>
        <w:rPr/>
        <w:t>Weigel y Weigel (1978) y Dunlap y </w:t>
      </w:r>
      <w:r>
        <w:rPr>
          <w:spacing w:val="2"/>
        </w:rPr>
        <w:t>Van </w:t>
      </w:r>
      <w:r>
        <w:rPr/>
        <w:t>Liere (1978) con una  concepción  unidimensional; la de Weigel y Weigel mide la preocupación y creencias ambientales, y Dunlap y Van Liere se centran en la evaluación de valores ambientales a nivel general, entendiendo </w:t>
      </w:r>
      <w:r>
        <w:rPr>
          <w:spacing w:val="-3"/>
        </w:rPr>
        <w:t>éstos </w:t>
      </w:r>
      <w:r>
        <w:rPr/>
        <w:t>como un paradigma de origen social que determinan las formas de relación del individuo y el ambiente, llamado </w:t>
      </w:r>
      <w:r>
        <w:rPr>
          <w:i/>
        </w:rPr>
        <w:t>Nuevo Paradigma </w:t>
      </w:r>
      <w:r>
        <w:rPr>
          <w:i/>
          <w:spacing w:val="27"/>
        </w:rPr>
        <w:t> </w:t>
      </w:r>
      <w:r>
        <w:rPr>
          <w:i/>
        </w:rPr>
        <w:t>Ecológico</w:t>
      </w:r>
      <w:r>
        <w:rPr/>
        <w:t>.</w:t>
      </w:r>
    </w:p>
    <w:p>
      <w:pPr>
        <w:pStyle w:val="BodyText"/>
        <w:spacing w:line="364" w:lineRule="auto" w:before="120"/>
        <w:ind w:left="216" w:right="896"/>
        <w:jc w:val="both"/>
      </w:pPr>
      <w:r>
        <w:rPr/>
        <w:t>Otras escalas como la Escala General de Comportamiento Ecológico </w:t>
      </w:r>
      <w:r>
        <w:rPr>
          <w:spacing w:val="2"/>
        </w:rPr>
        <w:t>de </w:t>
      </w:r>
      <w:r>
        <w:rPr/>
        <w:t>Kaiser (1998), aportan la frecuencia de los comportamientos  </w:t>
      </w:r>
      <w:r>
        <w:rPr>
          <w:spacing w:val="-3"/>
        </w:rPr>
        <w:t>de  </w:t>
      </w:r>
      <w:r>
        <w:rPr/>
        <w:t>cuidado al ambiente. Karp (1996),  creó una escala de actividades proambientales relacionadas </w:t>
      </w:r>
      <w:r>
        <w:rPr>
          <w:spacing w:val="2"/>
        </w:rPr>
        <w:t>con </w:t>
      </w:r>
      <w:r>
        <w:rPr>
          <w:spacing w:val="-4"/>
        </w:rPr>
        <w:t>los </w:t>
      </w:r>
      <w:r>
        <w:rPr/>
        <w:t>valores implicados en el comportamiento. La escala de Conciencia General de las Consecuencias ambientales (CGC) ha sido utilizada para medir las creencias sobre las consecuencias  de las condiciones </w:t>
      </w:r>
      <w:r>
        <w:rPr>
          <w:spacing w:val="-3"/>
        </w:rPr>
        <w:t>de </w:t>
      </w:r>
      <w:r>
        <w:rPr/>
        <w:t>protección o deterioro ecológico (Schultz, 2000). Otra escala es la de Negación de la Obligación Ambiental (NOA), basada  en los  aspectos conceptuales de </w:t>
      </w:r>
      <w:r>
        <w:rPr>
          <w:spacing w:val="-5"/>
        </w:rPr>
        <w:t>la </w:t>
      </w:r>
      <w:r>
        <w:rPr/>
        <w:t>exclusión moral y la negación de responsabilidad con el medio ambiente (Opotow   y Weiss, 2000; Montada y Kals, 2000) y </w:t>
      </w:r>
      <w:r>
        <w:rPr>
          <w:spacing w:val="-5"/>
        </w:rPr>
        <w:t>la </w:t>
      </w:r>
      <w:r>
        <w:rPr/>
        <w:t>escala de Valores de Schwartz entre otras  (Ros y Grad, 1991; Schwartz,</w:t>
      </w:r>
      <w:r>
        <w:rPr>
          <w:spacing w:val="41"/>
        </w:rPr>
        <w:t> </w:t>
      </w:r>
      <w:r>
        <w:rPr/>
        <w:t>1992).</w:t>
      </w:r>
    </w:p>
    <w:p>
      <w:pPr>
        <w:pStyle w:val="BodyText"/>
        <w:spacing w:before="120"/>
        <w:ind w:left="1056" w:right="512"/>
      </w:pPr>
      <w:r>
        <w:rPr/>
        <w:t>Tabla No. 2. Escalas de medición de Comportamientos  Proambientales.</w:t>
      </w:r>
    </w:p>
    <w:p>
      <w:pPr>
        <w:pStyle w:val="BodyText"/>
        <w:spacing w:before="10"/>
        <w:rPr>
          <w:sz w:val="22"/>
        </w:rPr>
      </w:pPr>
    </w:p>
    <w:tbl>
      <w:tblPr>
        <w:tblW w:w="0" w:type="auto"/>
        <w:jc w:val="left"/>
        <w:tblInd w:w="100"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ayout w:type="fixed"/>
        <w:tblCellMar>
          <w:top w:w="0" w:type="dxa"/>
          <w:left w:w="0" w:type="dxa"/>
          <w:bottom w:w="0" w:type="dxa"/>
          <w:right w:w="0" w:type="dxa"/>
        </w:tblCellMar>
        <w:tblLook w:val="01E0"/>
      </w:tblPr>
      <w:tblGrid>
        <w:gridCol w:w="2592"/>
        <w:gridCol w:w="6624"/>
      </w:tblGrid>
      <w:tr>
        <w:trPr>
          <w:trHeight w:val="252" w:hRule="exact"/>
        </w:trPr>
        <w:tc>
          <w:tcPr>
            <w:tcW w:w="2592" w:type="dxa"/>
            <w:tcBorders>
              <w:bottom w:val="single" w:sz="2" w:space="0" w:color="C9C9C9"/>
            </w:tcBorders>
            <w:shd w:val="clear" w:color="auto" w:fill="EDEDED"/>
          </w:tcPr>
          <w:p>
            <w:pPr>
              <w:pStyle w:val="TableParagraph"/>
              <w:ind w:left="858" w:right="855"/>
              <w:jc w:val="center"/>
              <w:rPr>
                <w:sz w:val="21"/>
              </w:rPr>
            </w:pPr>
            <w:r>
              <w:rPr>
                <w:sz w:val="21"/>
              </w:rPr>
              <w:t>ESCALA</w:t>
            </w:r>
          </w:p>
        </w:tc>
        <w:tc>
          <w:tcPr>
            <w:tcW w:w="6624" w:type="dxa"/>
            <w:tcBorders>
              <w:bottom w:val="single" w:sz="2" w:space="0" w:color="C9C9C9"/>
            </w:tcBorders>
            <w:shd w:val="clear" w:color="auto" w:fill="EDEDED"/>
          </w:tcPr>
          <w:p>
            <w:pPr>
              <w:pStyle w:val="TableParagraph"/>
              <w:ind w:left="2560" w:right="2555"/>
              <w:jc w:val="center"/>
              <w:rPr>
                <w:sz w:val="21"/>
              </w:rPr>
            </w:pPr>
            <w:r>
              <w:rPr>
                <w:sz w:val="21"/>
              </w:rPr>
              <w:t>DESCRIPCIÓN</w:t>
            </w:r>
          </w:p>
        </w:tc>
      </w:tr>
      <w:tr>
        <w:trPr>
          <w:trHeight w:val="1735" w:hRule="exact"/>
        </w:trPr>
        <w:tc>
          <w:tcPr>
            <w:tcW w:w="2592" w:type="dxa"/>
            <w:tcBorders>
              <w:top w:val="single" w:sz="2" w:space="0" w:color="C9C9C9"/>
            </w:tcBorders>
            <w:shd w:val="clear" w:color="auto" w:fill="EDEDED"/>
          </w:tcPr>
          <w:p>
            <w:pPr>
              <w:pStyle w:val="TableParagraph"/>
              <w:spacing w:line="247" w:lineRule="auto"/>
              <w:ind w:left="105" w:right="97"/>
              <w:jc w:val="both"/>
              <w:rPr>
                <w:sz w:val="21"/>
              </w:rPr>
            </w:pPr>
            <w:r>
              <w:rPr>
                <w:sz w:val="21"/>
              </w:rPr>
              <w:t>Escala del “Nuevo Paradigma Ecológico” (NPE)</w:t>
            </w:r>
          </w:p>
        </w:tc>
        <w:tc>
          <w:tcPr>
            <w:tcW w:w="6624" w:type="dxa"/>
            <w:tcBorders>
              <w:top w:val="single" w:sz="2" w:space="0" w:color="C9C9C9"/>
            </w:tcBorders>
          </w:tcPr>
          <w:p>
            <w:pPr>
              <w:pStyle w:val="TableParagraph"/>
              <w:spacing w:line="244" w:lineRule="auto"/>
              <w:ind w:left="105" w:right="100"/>
              <w:jc w:val="both"/>
              <w:rPr>
                <w:sz w:val="21"/>
              </w:rPr>
            </w:pPr>
            <w:r>
              <w:rPr>
                <w:sz w:val="21"/>
              </w:rPr>
              <w:t>La escala mide creencias ecológicas relativas  al impacto  adverso de la acción humana sobre la Naturaleza y una alta puntuación </w:t>
            </w:r>
            <w:r>
              <w:rPr>
                <w:spacing w:val="-3"/>
                <w:sz w:val="21"/>
              </w:rPr>
              <w:t>en </w:t>
            </w:r>
            <w:r>
              <w:rPr>
                <w:sz w:val="21"/>
              </w:rPr>
              <w:t>ella podría predisponer a la aceptación </w:t>
            </w:r>
            <w:r>
              <w:rPr>
                <w:spacing w:val="-3"/>
                <w:sz w:val="21"/>
              </w:rPr>
              <w:t>de </w:t>
            </w:r>
            <w:r>
              <w:rPr>
                <w:sz w:val="21"/>
              </w:rPr>
              <w:t>creencias más  específicas referentes a los efectos o consecuencias adversas del deterioro del medio ambiente sobre aspectos concretos como </w:t>
            </w:r>
            <w:r>
              <w:rPr>
                <w:spacing w:val="-3"/>
                <w:sz w:val="21"/>
              </w:rPr>
              <w:t>la </w:t>
            </w:r>
            <w:r>
              <w:rPr>
                <w:sz w:val="21"/>
              </w:rPr>
              <w:t>salud, el bienestar y el equilibrio de </w:t>
            </w:r>
            <w:r>
              <w:rPr>
                <w:spacing w:val="-4"/>
                <w:sz w:val="21"/>
              </w:rPr>
              <w:t>los </w:t>
            </w:r>
            <w:r>
              <w:rPr>
                <w:spacing w:val="31"/>
                <w:sz w:val="21"/>
              </w:rPr>
              <w:t> </w:t>
            </w:r>
            <w:r>
              <w:rPr>
                <w:sz w:val="21"/>
              </w:rPr>
              <w:t>ecosistemas.</w:t>
            </w:r>
          </w:p>
          <w:p>
            <w:pPr>
              <w:pStyle w:val="TableParagraph"/>
              <w:spacing w:before="3"/>
              <w:ind w:left="105"/>
              <w:jc w:val="both"/>
              <w:rPr>
                <w:sz w:val="21"/>
              </w:rPr>
            </w:pPr>
            <w:r>
              <w:rPr>
                <w:sz w:val="21"/>
              </w:rPr>
              <w:t>Consta de 24 ítems tipo Likert de 5  puntos.</w:t>
            </w:r>
          </w:p>
        </w:tc>
      </w:tr>
      <w:tr>
        <w:trPr>
          <w:trHeight w:val="1240" w:hRule="exact"/>
        </w:trPr>
        <w:tc>
          <w:tcPr>
            <w:tcW w:w="2592" w:type="dxa"/>
            <w:tcBorders>
              <w:bottom w:val="single" w:sz="2" w:space="0" w:color="C9C9C9"/>
              <w:right w:val="single" w:sz="46" w:space="0" w:color="EDEDED"/>
            </w:tcBorders>
          </w:tcPr>
          <w:p>
            <w:pPr>
              <w:pStyle w:val="TableParagraph"/>
              <w:tabs>
                <w:tab w:pos="968" w:val="left" w:leader="none"/>
                <w:tab w:pos="1419" w:val="left" w:leader="none"/>
                <w:tab w:pos="2211" w:val="left" w:leader="none"/>
              </w:tabs>
              <w:spacing w:line="247" w:lineRule="auto"/>
              <w:ind w:left="105" w:right="44"/>
              <w:rPr>
                <w:sz w:val="21"/>
              </w:rPr>
            </w:pPr>
            <w:r>
              <w:rPr>
                <w:sz w:val="21"/>
              </w:rPr>
              <w:t>Escala</w:t>
              <w:tab/>
            </w:r>
            <w:r>
              <w:rPr>
                <w:spacing w:val="-3"/>
                <w:sz w:val="21"/>
              </w:rPr>
              <w:t>de</w:t>
              <w:tab/>
            </w:r>
            <w:r>
              <w:rPr>
                <w:spacing w:val="-1"/>
                <w:sz w:val="21"/>
              </w:rPr>
              <w:t>Conciencia </w:t>
            </w:r>
            <w:r>
              <w:rPr>
                <w:sz w:val="21"/>
              </w:rPr>
              <w:t>General</w:t>
              <w:tab/>
              <w:tab/>
            </w:r>
            <w:r>
              <w:rPr>
                <w:spacing w:val="-3"/>
                <w:sz w:val="21"/>
              </w:rPr>
              <w:t>de</w:t>
              <w:tab/>
            </w:r>
            <w:r>
              <w:rPr>
                <w:spacing w:val="-1"/>
                <w:sz w:val="21"/>
              </w:rPr>
              <w:t>las </w:t>
            </w:r>
            <w:r>
              <w:rPr>
                <w:sz w:val="21"/>
              </w:rPr>
              <w:t>Consecuencias Ambientales</w:t>
            </w:r>
            <w:r>
              <w:rPr>
                <w:spacing w:val="28"/>
                <w:sz w:val="21"/>
              </w:rPr>
              <w:t> </w:t>
            </w:r>
            <w:r>
              <w:rPr>
                <w:sz w:val="21"/>
              </w:rPr>
              <w:t>(CGC)</w:t>
            </w:r>
          </w:p>
        </w:tc>
        <w:tc>
          <w:tcPr>
            <w:tcW w:w="6624" w:type="dxa"/>
            <w:tcBorders>
              <w:bottom w:val="single" w:sz="2" w:space="0" w:color="C9C9C9"/>
            </w:tcBorders>
            <w:shd w:val="clear" w:color="auto" w:fill="EDEDED"/>
          </w:tcPr>
          <w:p>
            <w:pPr>
              <w:pStyle w:val="TableParagraph"/>
              <w:spacing w:line="247" w:lineRule="auto"/>
              <w:ind w:left="105" w:right="101"/>
              <w:jc w:val="both"/>
              <w:rPr>
                <w:sz w:val="21"/>
              </w:rPr>
            </w:pPr>
            <w:r>
              <w:rPr>
                <w:sz w:val="21"/>
              </w:rPr>
              <w:t>Mide las creencias que el individuo posee sobre </w:t>
            </w:r>
            <w:r>
              <w:rPr>
                <w:spacing w:val="-4"/>
                <w:sz w:val="21"/>
              </w:rPr>
              <w:t>las </w:t>
            </w:r>
            <w:r>
              <w:rPr>
                <w:sz w:val="21"/>
              </w:rPr>
              <w:t>consecuencias de la protección o </w:t>
            </w:r>
            <w:r>
              <w:rPr>
                <w:spacing w:val="2"/>
                <w:sz w:val="21"/>
              </w:rPr>
              <w:t>el </w:t>
            </w:r>
            <w:r>
              <w:rPr>
                <w:sz w:val="21"/>
              </w:rPr>
              <w:t>deterioro ecológico sobre los seres queridos, las demás personas y el</w:t>
            </w:r>
            <w:r>
              <w:rPr>
                <w:spacing w:val="48"/>
                <w:sz w:val="21"/>
              </w:rPr>
              <w:t> </w:t>
            </w:r>
            <w:r>
              <w:rPr>
                <w:sz w:val="21"/>
              </w:rPr>
              <w:t>planeta.</w:t>
            </w:r>
          </w:p>
          <w:p>
            <w:pPr>
              <w:pStyle w:val="TableParagraph"/>
              <w:spacing w:line="238" w:lineRule="exact"/>
              <w:ind w:left="105"/>
              <w:jc w:val="both"/>
              <w:rPr>
                <w:sz w:val="21"/>
              </w:rPr>
            </w:pPr>
            <w:r>
              <w:rPr>
                <w:sz w:val="21"/>
              </w:rPr>
              <w:t>Consta de 8 ítems tipo Likert de 5  puntos.</w:t>
            </w:r>
          </w:p>
        </w:tc>
      </w:tr>
      <w:tr>
        <w:trPr>
          <w:trHeight w:val="1116" w:hRule="exact"/>
        </w:trPr>
        <w:tc>
          <w:tcPr>
            <w:tcW w:w="2592" w:type="dxa"/>
            <w:tcBorders>
              <w:top w:val="single" w:sz="2" w:space="0" w:color="C9C9C9"/>
            </w:tcBorders>
            <w:shd w:val="clear" w:color="auto" w:fill="EDEDED"/>
          </w:tcPr>
          <w:p>
            <w:pPr>
              <w:pStyle w:val="TableParagraph"/>
              <w:spacing w:line="244" w:lineRule="auto"/>
              <w:ind w:left="105" w:right="96"/>
              <w:jc w:val="both"/>
              <w:rPr>
                <w:sz w:val="21"/>
              </w:rPr>
            </w:pPr>
            <w:r>
              <w:rPr>
                <w:sz w:val="21"/>
              </w:rPr>
              <w:t>Escala General de Conducta Ecológica (COGE)</w:t>
            </w:r>
          </w:p>
        </w:tc>
        <w:tc>
          <w:tcPr>
            <w:tcW w:w="6624" w:type="dxa"/>
            <w:tcBorders>
              <w:top w:val="single" w:sz="2" w:space="0" w:color="C9C9C9"/>
            </w:tcBorders>
          </w:tcPr>
          <w:p>
            <w:pPr>
              <w:pStyle w:val="TableParagraph"/>
              <w:spacing w:line="247" w:lineRule="auto"/>
              <w:ind w:left="105" w:right="73"/>
              <w:rPr>
                <w:sz w:val="21"/>
              </w:rPr>
            </w:pPr>
            <w:r>
              <w:rPr>
                <w:sz w:val="21"/>
              </w:rPr>
              <w:t>Es una adaptación de la Escala General de Conducta Ecológica (GEB) de Kaiser (1998 en González  2005)</w:t>
            </w:r>
          </w:p>
          <w:p>
            <w:pPr>
              <w:pStyle w:val="TableParagraph"/>
              <w:spacing w:line="242" w:lineRule="auto"/>
              <w:ind w:left="105" w:right="73"/>
              <w:rPr>
                <w:sz w:val="21"/>
              </w:rPr>
            </w:pPr>
            <w:r>
              <w:rPr>
                <w:sz w:val="21"/>
              </w:rPr>
              <w:t>Consta de 29 tipos diferentes de  conducta ecológica  con  formato de respuesta dicotómico sí/no.</w:t>
            </w:r>
          </w:p>
        </w:tc>
      </w:tr>
      <w:tr>
        <w:trPr>
          <w:trHeight w:val="770" w:hRule="exact"/>
        </w:trPr>
        <w:tc>
          <w:tcPr>
            <w:tcW w:w="2592" w:type="dxa"/>
            <w:tcBorders>
              <w:right w:val="single" w:sz="46" w:space="0" w:color="EDEDED"/>
            </w:tcBorders>
          </w:tcPr>
          <w:p>
            <w:pPr>
              <w:pStyle w:val="TableParagraph"/>
              <w:spacing w:line="244" w:lineRule="auto"/>
              <w:ind w:left="105" w:right="44"/>
              <w:jc w:val="both"/>
              <w:rPr>
                <w:sz w:val="21"/>
              </w:rPr>
            </w:pPr>
            <w:r>
              <w:rPr>
                <w:sz w:val="21"/>
              </w:rPr>
              <w:t>Escala de Negación  de la Obligación Ambiental (NOA)</w:t>
            </w:r>
          </w:p>
        </w:tc>
        <w:tc>
          <w:tcPr>
            <w:tcW w:w="6624" w:type="dxa"/>
            <w:shd w:val="clear" w:color="auto" w:fill="EDEDED"/>
          </w:tcPr>
          <w:p>
            <w:pPr>
              <w:pStyle w:val="TableParagraph"/>
              <w:spacing w:line="244" w:lineRule="auto"/>
              <w:ind w:left="105" w:right="100"/>
              <w:jc w:val="both"/>
              <w:rPr>
                <w:sz w:val="21"/>
              </w:rPr>
            </w:pPr>
            <w:r>
              <w:rPr>
                <w:sz w:val="21"/>
              </w:rPr>
              <w:t>Consiste </w:t>
            </w:r>
            <w:r>
              <w:rPr>
                <w:spacing w:val="2"/>
                <w:sz w:val="21"/>
              </w:rPr>
              <w:t>en </w:t>
            </w:r>
            <w:r>
              <w:rPr>
                <w:sz w:val="21"/>
              </w:rPr>
              <w:t>una escala de 6 ítems tipo Likert de 5 puntos  que miden el sentido de compromiso o responsabilidad con asuntos ambientales.</w:t>
            </w:r>
          </w:p>
        </w:tc>
      </w:tr>
    </w:tbl>
    <w:p>
      <w:pPr>
        <w:spacing w:after="0" w:line="244" w:lineRule="auto"/>
        <w:jc w:val="both"/>
        <w:rPr>
          <w:sz w:val="21"/>
        </w:rPr>
        <w:sectPr>
          <w:footerReference w:type="default" r:id="rId38"/>
          <w:pgSz w:w="11910" w:h="16840"/>
          <w:pgMar w:footer="1715" w:header="1066" w:top="1460" w:bottom="1900" w:left="1440" w:right="200"/>
          <w:pgNumType w:start="60"/>
        </w:sectPr>
      </w:pPr>
    </w:p>
    <w:p>
      <w:pPr>
        <w:pStyle w:val="BodyText"/>
        <w:rPr>
          <w:sz w:val="20"/>
        </w:rPr>
      </w:pPr>
    </w:p>
    <w:p>
      <w:pPr>
        <w:pStyle w:val="BodyText"/>
        <w:spacing w:before="8"/>
        <w:rPr>
          <w:sz w:val="24"/>
        </w:rPr>
      </w:pPr>
    </w:p>
    <w:tbl>
      <w:tblPr>
        <w:tblW w:w="0" w:type="auto"/>
        <w:jc w:val="left"/>
        <w:tblInd w:w="100"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ayout w:type="fixed"/>
        <w:tblCellMar>
          <w:top w:w="0" w:type="dxa"/>
          <w:left w:w="0" w:type="dxa"/>
          <w:bottom w:w="0" w:type="dxa"/>
          <w:right w:w="0" w:type="dxa"/>
        </w:tblCellMar>
        <w:tblLook w:val="01E0"/>
      </w:tblPr>
      <w:tblGrid>
        <w:gridCol w:w="2592"/>
        <w:gridCol w:w="6624"/>
      </w:tblGrid>
      <w:tr>
        <w:trPr>
          <w:trHeight w:val="1584" w:hRule="exact"/>
        </w:trPr>
        <w:tc>
          <w:tcPr>
            <w:tcW w:w="2592" w:type="dxa"/>
            <w:shd w:val="clear" w:color="auto" w:fill="EDEDED"/>
          </w:tcPr>
          <w:p>
            <w:pPr>
              <w:pStyle w:val="TableParagraph"/>
              <w:spacing w:line="242" w:lineRule="auto"/>
              <w:ind w:left="105" w:right="99"/>
              <w:jc w:val="both"/>
              <w:rPr>
                <w:sz w:val="21"/>
              </w:rPr>
            </w:pPr>
            <w:r>
              <w:rPr>
                <w:sz w:val="21"/>
              </w:rPr>
              <w:t>Escala de Normas Personales Ambientales (NPA)</w:t>
            </w:r>
          </w:p>
        </w:tc>
        <w:tc>
          <w:tcPr>
            <w:tcW w:w="6624" w:type="dxa"/>
          </w:tcPr>
          <w:p>
            <w:pPr>
              <w:pStyle w:val="TableParagraph"/>
              <w:spacing w:line="244" w:lineRule="auto"/>
              <w:ind w:left="105" w:right="97"/>
              <w:jc w:val="both"/>
              <w:rPr>
                <w:sz w:val="21"/>
              </w:rPr>
            </w:pPr>
            <w:r>
              <w:rPr>
                <w:sz w:val="21"/>
              </w:rPr>
              <w:t>Mide las disposiciones motivacionales referidas al sentimiento </w:t>
            </w:r>
            <w:r>
              <w:rPr>
                <w:spacing w:val="-3"/>
                <w:sz w:val="21"/>
              </w:rPr>
              <w:t>de </w:t>
            </w:r>
            <w:r>
              <w:rPr>
                <w:sz w:val="21"/>
              </w:rPr>
              <w:t>obligación moral para ejecutar acciones </w:t>
            </w:r>
            <w:r>
              <w:rPr>
                <w:spacing w:val="-3"/>
                <w:sz w:val="21"/>
              </w:rPr>
              <w:t>de </w:t>
            </w:r>
            <w:r>
              <w:rPr>
                <w:sz w:val="21"/>
              </w:rPr>
              <w:t>protección del medio ambiente como los cambios en estilos de vida, denuncias sobre asuntos ecológicos y evitación del agotamiento </w:t>
            </w:r>
            <w:r>
              <w:rPr>
                <w:spacing w:val="-3"/>
                <w:sz w:val="21"/>
              </w:rPr>
              <w:t>de </w:t>
            </w:r>
            <w:r>
              <w:rPr>
                <w:sz w:val="21"/>
              </w:rPr>
              <w:t>los recursos, </w:t>
            </w:r>
            <w:r>
              <w:rPr>
                <w:spacing w:val="-3"/>
                <w:sz w:val="21"/>
              </w:rPr>
              <w:t>de  </w:t>
            </w:r>
            <w:r>
              <w:rPr>
                <w:sz w:val="21"/>
              </w:rPr>
              <w:t>la contaminación y destrucción </w:t>
            </w:r>
            <w:r>
              <w:rPr>
                <w:spacing w:val="-3"/>
                <w:sz w:val="21"/>
              </w:rPr>
              <w:t>de </w:t>
            </w:r>
            <w:r>
              <w:rPr>
                <w:spacing w:val="11"/>
                <w:sz w:val="21"/>
              </w:rPr>
              <w:t> </w:t>
            </w:r>
            <w:r>
              <w:rPr>
                <w:sz w:val="21"/>
              </w:rPr>
              <w:t>selvas.</w:t>
            </w:r>
          </w:p>
        </w:tc>
      </w:tr>
      <w:tr>
        <w:trPr>
          <w:trHeight w:val="1243" w:hRule="exact"/>
        </w:trPr>
        <w:tc>
          <w:tcPr>
            <w:tcW w:w="2592" w:type="dxa"/>
            <w:tcBorders>
              <w:right w:val="single" w:sz="46" w:space="0" w:color="EDEDED"/>
            </w:tcBorders>
          </w:tcPr>
          <w:p>
            <w:pPr>
              <w:pStyle w:val="TableParagraph"/>
              <w:spacing w:line="244" w:lineRule="auto"/>
              <w:ind w:left="105" w:right="44"/>
              <w:jc w:val="both"/>
              <w:rPr>
                <w:sz w:val="21"/>
              </w:rPr>
            </w:pPr>
            <w:r>
              <w:rPr>
                <w:sz w:val="21"/>
              </w:rPr>
              <w:t>Escala de Control de Conducta Ambiental (ECA)</w:t>
            </w:r>
          </w:p>
        </w:tc>
        <w:tc>
          <w:tcPr>
            <w:tcW w:w="6624" w:type="dxa"/>
            <w:shd w:val="clear" w:color="auto" w:fill="EDEDED"/>
          </w:tcPr>
          <w:p>
            <w:pPr>
              <w:pStyle w:val="TableParagraph"/>
              <w:spacing w:line="242" w:lineRule="auto"/>
              <w:ind w:left="105" w:right="101"/>
              <w:jc w:val="both"/>
              <w:rPr>
                <w:sz w:val="21"/>
              </w:rPr>
            </w:pPr>
            <w:r>
              <w:rPr>
                <w:sz w:val="21"/>
              </w:rPr>
              <w:t>Es una adaptación del Índice de Control Interno de Conducta Ambiental de Smith-Sebasto y Fortner (1994 en González  2005).</w:t>
            </w:r>
          </w:p>
          <w:p>
            <w:pPr>
              <w:pStyle w:val="TableParagraph"/>
              <w:spacing w:line="242" w:lineRule="auto" w:before="5"/>
              <w:ind w:left="105" w:right="102"/>
              <w:jc w:val="both"/>
              <w:rPr>
                <w:sz w:val="21"/>
              </w:rPr>
            </w:pPr>
            <w:r>
              <w:rPr>
                <w:sz w:val="21"/>
              </w:rPr>
              <w:t>Consta de 7 ítems tipo Likert de 5 puntos que mide el control ambiental o creencias de que las acciones propias contribuirán al mejoramiento de la calidad del medio  ambiente.</w:t>
            </w:r>
          </w:p>
        </w:tc>
      </w:tr>
      <w:tr>
        <w:trPr>
          <w:trHeight w:val="744" w:hRule="exact"/>
        </w:trPr>
        <w:tc>
          <w:tcPr>
            <w:tcW w:w="2592" w:type="dxa"/>
            <w:shd w:val="clear" w:color="auto" w:fill="EDEDED"/>
          </w:tcPr>
          <w:p>
            <w:pPr>
              <w:pStyle w:val="TableParagraph"/>
              <w:spacing w:line="237" w:lineRule="exact"/>
              <w:ind w:left="105"/>
              <w:rPr>
                <w:sz w:val="21"/>
              </w:rPr>
            </w:pPr>
            <w:r>
              <w:rPr>
                <w:sz w:val="21"/>
              </w:rPr>
              <w:t>Escala de Valores  (EV)</w:t>
            </w:r>
          </w:p>
        </w:tc>
        <w:tc>
          <w:tcPr>
            <w:tcW w:w="6624" w:type="dxa"/>
          </w:tcPr>
          <w:p>
            <w:pPr>
              <w:pStyle w:val="TableParagraph"/>
              <w:spacing w:line="244" w:lineRule="auto"/>
              <w:ind w:left="105" w:right="102"/>
              <w:jc w:val="both"/>
              <w:rPr>
                <w:sz w:val="21"/>
              </w:rPr>
            </w:pPr>
            <w:r>
              <w:rPr>
                <w:sz w:val="21"/>
              </w:rPr>
              <w:t>Mide 17 valores, 15 de los cuales fueron extraídos de la escala de valores de Schwartz. Los 2 valores restantes fueron tomados del trabajo de Stern.</w:t>
            </w:r>
          </w:p>
        </w:tc>
      </w:tr>
    </w:tbl>
    <w:p>
      <w:pPr>
        <w:spacing w:line="218" w:lineRule="exact" w:before="0"/>
        <w:ind w:left="215" w:right="512" w:firstLine="0"/>
        <w:jc w:val="left"/>
        <w:rPr>
          <w:sz w:val="19"/>
        </w:rPr>
      </w:pPr>
      <w:r>
        <w:rPr>
          <w:w w:val="105"/>
          <w:sz w:val="19"/>
        </w:rPr>
        <w:t>Fuente: elaboración propia</w:t>
      </w:r>
    </w:p>
    <w:p>
      <w:pPr>
        <w:spacing w:after="0" w:line="218" w:lineRule="exact"/>
        <w:jc w:val="left"/>
        <w:rPr>
          <w:sz w:val="19"/>
        </w:rPr>
        <w:sectPr>
          <w:pgSz w:w="11910" w:h="16840"/>
          <w:pgMar w:header="1066" w:footer="1715" w:top="1460" w:bottom="1900" w:left="1440" w:right="200"/>
        </w:sectPr>
      </w:pPr>
    </w:p>
    <w:p>
      <w:pPr>
        <w:pStyle w:val="BodyText"/>
        <w:rPr>
          <w:sz w:val="20"/>
        </w:rPr>
      </w:pPr>
    </w:p>
    <w:p>
      <w:pPr>
        <w:pStyle w:val="BodyText"/>
        <w:spacing w:before="10"/>
        <w:rPr>
          <w:sz w:val="17"/>
        </w:rPr>
      </w:pPr>
    </w:p>
    <w:p>
      <w:pPr>
        <w:pStyle w:val="Heading2"/>
        <w:ind w:left="0" w:right="74"/>
        <w:jc w:val="center"/>
      </w:pPr>
      <w:r>
        <w:rPr/>
        <w:t>CAPÍTULO 3.</w:t>
      </w:r>
    </w:p>
    <w:p>
      <w:pPr>
        <w:spacing w:before="134"/>
        <w:ind w:left="0" w:right="88" w:firstLine="0"/>
        <w:jc w:val="center"/>
        <w:rPr>
          <w:b/>
          <w:sz w:val="23"/>
        </w:rPr>
      </w:pPr>
      <w:r>
        <w:rPr>
          <w:b/>
          <w:sz w:val="23"/>
        </w:rPr>
        <w:t>TURISMO Y ÁREAS NATURALES</w:t>
      </w:r>
      <w:r>
        <w:rPr>
          <w:b/>
          <w:spacing w:val="55"/>
          <w:sz w:val="23"/>
        </w:rPr>
        <w:t> </w:t>
      </w:r>
      <w:r>
        <w:rPr>
          <w:b/>
          <w:sz w:val="23"/>
        </w:rPr>
        <w:t>PROTEGIDAS</w:t>
      </w:r>
    </w:p>
    <w:p>
      <w:pPr>
        <w:pStyle w:val="BodyText"/>
        <w:rPr>
          <w:b/>
          <w:sz w:val="22"/>
        </w:rPr>
      </w:pPr>
    </w:p>
    <w:p>
      <w:pPr>
        <w:pStyle w:val="BodyText"/>
        <w:spacing w:before="1"/>
        <w:rPr>
          <w:b/>
          <w:sz w:val="25"/>
        </w:rPr>
      </w:pPr>
    </w:p>
    <w:p>
      <w:pPr>
        <w:pStyle w:val="Heading2"/>
        <w:numPr>
          <w:ilvl w:val="1"/>
          <w:numId w:val="22"/>
        </w:numPr>
        <w:tabs>
          <w:tab w:pos="817" w:val="left" w:leader="none"/>
        </w:tabs>
        <w:spacing w:line="240" w:lineRule="auto" w:before="0" w:after="0"/>
        <w:ind w:left="816" w:right="0" w:hanging="700"/>
        <w:jc w:val="both"/>
      </w:pPr>
      <w:bookmarkStart w:name="_TOC_250019" w:id="16"/>
      <w:r>
        <w:rPr/>
        <w:t>Turismo y Desarrollo</w:t>
      </w:r>
      <w:r>
        <w:rPr>
          <w:spacing w:val="37"/>
        </w:rPr>
        <w:t> </w:t>
      </w:r>
      <w:bookmarkEnd w:id="16"/>
      <w:r>
        <w:rPr/>
        <w:t>Sustentable</w:t>
      </w:r>
    </w:p>
    <w:p>
      <w:pPr>
        <w:pStyle w:val="BodyText"/>
        <w:spacing w:before="5"/>
        <w:rPr>
          <w:b/>
          <w:sz w:val="22"/>
        </w:rPr>
      </w:pPr>
    </w:p>
    <w:p>
      <w:pPr>
        <w:pStyle w:val="BodyText"/>
        <w:spacing w:line="364" w:lineRule="auto"/>
        <w:ind w:left="116" w:right="896"/>
        <w:jc w:val="both"/>
      </w:pPr>
      <w:r>
        <w:rPr/>
        <w:t>El turismo, en la forma en que se lo conoce actualmente, surge en plena revolución industrial, una etapa que produjo grandes y acelerados cambios </w:t>
      </w:r>
      <w:r>
        <w:rPr>
          <w:spacing w:val="-3"/>
        </w:rPr>
        <w:t>en </w:t>
      </w:r>
      <w:r>
        <w:rPr/>
        <w:t>el mundo entero. Surge como una actividad propia de la modernización y la vida urbana  cuando  el hombre tuvo </w:t>
      </w:r>
      <w:r>
        <w:rPr>
          <w:spacing w:val="-3"/>
        </w:rPr>
        <w:t>que </w:t>
      </w:r>
      <w:r>
        <w:rPr/>
        <w:t>buscar nuevas actividades que le permitirían escapar de las tensiones de </w:t>
      </w:r>
      <w:r>
        <w:rPr>
          <w:spacing w:val="-5"/>
        </w:rPr>
        <w:t>la </w:t>
      </w:r>
      <w:r>
        <w:rPr/>
        <w:t>urbanización, cubrir las carencias que le proporcionaba </w:t>
      </w:r>
      <w:r>
        <w:rPr>
          <w:spacing w:val="-5"/>
        </w:rPr>
        <w:t>la </w:t>
      </w:r>
      <w:r>
        <w:rPr/>
        <w:t>tranquila vida rural y reencontrarse consigo</w:t>
      </w:r>
      <w:r>
        <w:rPr>
          <w:spacing w:val="30"/>
        </w:rPr>
        <w:t> </w:t>
      </w:r>
      <w:r>
        <w:rPr/>
        <w:t>mismo.</w:t>
      </w:r>
    </w:p>
    <w:p>
      <w:pPr>
        <w:pStyle w:val="BodyText"/>
        <w:spacing w:line="364" w:lineRule="auto" w:before="120"/>
        <w:ind w:left="116" w:right="894"/>
        <w:jc w:val="both"/>
      </w:pPr>
      <w:r>
        <w:rPr/>
        <w:t>El modelo tradicional turístico de "sol y playa" se convierte rápidamente en un medio de captación de divisas, apenas los gobiernos y los empresarios de los destinos notan </w:t>
      </w:r>
      <w:r>
        <w:rPr>
          <w:spacing w:val="-3"/>
        </w:rPr>
        <w:t>que </w:t>
      </w:r>
      <w:r>
        <w:rPr/>
        <w:t>es </w:t>
      </w:r>
      <w:r>
        <w:rPr>
          <w:spacing w:val="-3"/>
        </w:rPr>
        <w:t>una </w:t>
      </w:r>
      <w:r>
        <w:rPr/>
        <w:t>actividad económica rentable. Este modelo de turismo industrial se orienta a la atracción de la mayor cantidad de visitantes posible, a </w:t>
      </w:r>
      <w:r>
        <w:rPr>
          <w:spacing w:val="-5"/>
        </w:rPr>
        <w:t>la </w:t>
      </w:r>
      <w:r>
        <w:rPr/>
        <w:t>planificación  de  macroproyectos turísticos con elevados números de cuartos y a la oferta de servicios sofisticados que proporcionan todas las comodidades de la vida urbana. Para mover a toda esa gente se arman complicadas redes de manejo, de forma que </w:t>
      </w:r>
      <w:r>
        <w:rPr>
          <w:spacing w:val="4"/>
        </w:rPr>
        <w:t>el </w:t>
      </w:r>
      <w:r>
        <w:rPr/>
        <w:t>turista en su país de origen paga un precio muchísimo mayor que </w:t>
      </w:r>
      <w:r>
        <w:rPr>
          <w:spacing w:val="4"/>
        </w:rPr>
        <w:t>el </w:t>
      </w:r>
      <w:r>
        <w:rPr/>
        <w:t>que gana el destino final. El turista </w:t>
      </w:r>
      <w:r>
        <w:rPr>
          <w:spacing w:val="3"/>
        </w:rPr>
        <w:t>se </w:t>
      </w:r>
      <w:r>
        <w:rPr/>
        <w:t>siente parte de un juego comercial en el que se pierde </w:t>
      </w:r>
      <w:r>
        <w:rPr>
          <w:spacing w:val="3"/>
        </w:rPr>
        <w:t>su </w:t>
      </w:r>
      <w:r>
        <w:rPr/>
        <w:t>objetivo de reencuentro y descubrimiento (Aguirre, 2003). Siendo entonces, el momento en donde  se desata la lucha por mantener o crear un equilibrio entre el ser humano y el </w:t>
      </w:r>
      <w:r>
        <w:rPr>
          <w:spacing w:val="33"/>
        </w:rPr>
        <w:t> </w:t>
      </w:r>
      <w:r>
        <w:rPr/>
        <w:t>ambiente.</w:t>
      </w:r>
    </w:p>
    <w:p>
      <w:pPr>
        <w:pStyle w:val="BodyText"/>
        <w:spacing w:line="364" w:lineRule="auto" w:before="120"/>
        <w:ind w:left="116" w:right="899"/>
        <w:jc w:val="both"/>
      </w:pPr>
      <w:r>
        <w:rPr/>
        <w:t>Las preocupaciones globales de conservación ambiental y de autenticidad cultural  inciden en el pensamiento del turista como </w:t>
      </w:r>
      <w:r>
        <w:rPr>
          <w:spacing w:val="-3"/>
        </w:rPr>
        <w:t>un </w:t>
      </w:r>
      <w:r>
        <w:rPr/>
        <w:t>"volver a lo natural y autóctono" (Cabrini, 2003). Aparece una nueva tendencia turística, la de buscar áreas naturales poco intervenidas para hacer turismo, buscar alternativas que se reflejen en términos como agroturismo, ecoturismo, turismo rural, turismo verde, turismo de aventura, turismo en comunidades indígenas, entre otros. Estas nuevas formas de turismo cambian los destinos y la concepción del turista que ahora se interesa en aprender, comprender y está a favor de la conservación de los </w:t>
      </w:r>
      <w:r>
        <w:rPr>
          <w:spacing w:val="-2"/>
        </w:rPr>
        <w:t>lugares </w:t>
      </w:r>
      <w:r>
        <w:rPr>
          <w:spacing w:val="-3"/>
        </w:rPr>
        <w:t>que </w:t>
      </w:r>
      <w:r>
        <w:rPr/>
        <w:t>visita pero  que pocas  veces  se analiza su</w:t>
      </w:r>
      <w:r>
        <w:rPr>
          <w:spacing w:val="22"/>
        </w:rPr>
        <w:t> </w:t>
      </w:r>
      <w:r>
        <w:rPr/>
        <w:t>consumo.</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0"/>
        <w:jc w:val="both"/>
      </w:pPr>
      <w:r>
        <w:rPr/>
        <w:t>La sustentabilidad como una forma de protección al ambiente y como una herramienta para lograr un desarrollo equilibrado, comienza a consolidarse como un eje rector del  que nadie puede dejar de tomar en cuenta cuando de progreso y desarrollo </w:t>
      </w:r>
      <w:r>
        <w:rPr>
          <w:spacing w:val="3"/>
        </w:rPr>
        <w:t>se </w:t>
      </w:r>
      <w:r>
        <w:rPr/>
        <w:t>trata.    Por ello </w:t>
      </w:r>
      <w:r>
        <w:rPr>
          <w:spacing w:val="-5"/>
        </w:rPr>
        <w:t>la </w:t>
      </w:r>
      <w:r>
        <w:rPr/>
        <w:t>sustentabilidad en el turismo es acuñada, tanto por los gobiernos, como por  las comunidades receptoras, los turistas y las empresas </w:t>
      </w:r>
      <w:r>
        <w:rPr>
          <w:spacing w:val="16"/>
        </w:rPr>
        <w:t> </w:t>
      </w:r>
      <w:r>
        <w:rPr/>
        <w:t>turísticas.</w:t>
      </w:r>
    </w:p>
    <w:p>
      <w:pPr>
        <w:pStyle w:val="BodyText"/>
        <w:spacing w:line="364" w:lineRule="auto" w:before="120"/>
        <w:ind w:left="115" w:right="897"/>
        <w:jc w:val="both"/>
      </w:pPr>
      <w:r>
        <w:rPr/>
        <w:t>En el campo del turismo se han llevado a cabo diversas reuniones, congresos, foros,  para debatir distintos aspectos de esta actividad. Es así, que en 1991 la Asociación Internacional de Expertos Científicos del Turismo (AIEST) describió al  turismo sustentable como "aquel que mantiene un equilibrio entre los intereses sociales, económicos y ecológicos. El turismo debe integrar las actividades económicas y recreativas con el objetivo de </w:t>
      </w:r>
      <w:r>
        <w:rPr>
          <w:spacing w:val="-5"/>
        </w:rPr>
        <w:t>la </w:t>
      </w:r>
      <w:r>
        <w:rPr/>
        <w:t>conservación de los valores naturales  y culturales" (OMT,</w:t>
      </w:r>
      <w:r>
        <w:rPr>
          <w:spacing w:val="15"/>
        </w:rPr>
        <w:t> </w:t>
      </w:r>
      <w:r>
        <w:rPr/>
        <w:t>1999).</w:t>
      </w:r>
    </w:p>
    <w:p>
      <w:pPr>
        <w:pStyle w:val="BodyText"/>
        <w:spacing w:line="364" w:lineRule="auto" w:before="125"/>
        <w:ind w:left="115" w:right="895"/>
        <w:jc w:val="both"/>
      </w:pPr>
      <w:r>
        <w:rPr/>
        <w:t>Dos años más tarde, en 1993 la OMT definió el concepto de turismo sustentable: "El desarrollo turístico sustentable responde a las necesidades de los turistas actuales y las regiones receptivas, protegiendo y agrandando las oportunidades del futuro. Se le presenta como rector de todos los recursos de modo que las necesidades económicas, sociales y estéticas puedan ser satisfechas manteniendo la integridad cultural de los procesos ecológicos esenciales, la diversidad biológica y los sistemas en defensa de la vida" (Peppino, 2008).</w:t>
      </w:r>
    </w:p>
    <w:p>
      <w:pPr>
        <w:pStyle w:val="BodyText"/>
        <w:spacing w:line="364" w:lineRule="auto" w:before="120"/>
        <w:ind w:left="115" w:right="896"/>
        <w:jc w:val="both"/>
      </w:pPr>
      <w:r>
        <w:rPr/>
        <w:t>Una aportación muy relevante en el marco del turismo es </w:t>
      </w:r>
      <w:r>
        <w:rPr>
          <w:spacing w:val="-5"/>
        </w:rPr>
        <w:t>la </w:t>
      </w:r>
      <w:r>
        <w:rPr/>
        <w:t>denominada Carta del Turismo Sustentable, acordada </w:t>
      </w:r>
      <w:r>
        <w:rPr>
          <w:spacing w:val="-3"/>
        </w:rPr>
        <w:t>en </w:t>
      </w:r>
      <w:r>
        <w:rPr/>
        <w:t>la Cumbre Mundial de Lanzarote (1995). En este documento se define a la sustentabilidad en el turismo  como  “soportable  ecológicamente a largo plazo, viable económicamente y equitativo desde  </w:t>
      </w:r>
      <w:r>
        <w:rPr>
          <w:spacing w:val="-3"/>
        </w:rPr>
        <w:t>una  </w:t>
      </w:r>
      <w:r>
        <w:rPr/>
        <w:t>perspectiva ética y social para las comunidades locales”. La actividad turística puede contribuir al desarrollo sostenible “integrándose en el entorno natural,  cultural  y  humano, debiendo respetar los frágiles equilibrios que caracterizan a muchos destinos turísticos”, implicando solidaridad, respeto mutuo y “participación de todos </w:t>
      </w:r>
      <w:r>
        <w:rPr>
          <w:spacing w:val="-4"/>
        </w:rPr>
        <w:t>los </w:t>
      </w:r>
      <w:r>
        <w:rPr/>
        <w:t>actores implicados en el proceso, tanto públicos como  privados”.</w:t>
      </w:r>
    </w:p>
    <w:p>
      <w:pPr>
        <w:pStyle w:val="BodyText"/>
        <w:spacing w:line="364" w:lineRule="auto" w:before="125"/>
        <w:ind w:left="115" w:right="899"/>
        <w:jc w:val="both"/>
      </w:pPr>
      <w:r>
        <w:rPr/>
        <w:t>Y finalmente otra contribución más que se puede destacar en el terreno del turismo sustentable es el Código Ético Mundial para el Turismo, aprobado por Naciones Unidas en 1999, en cuyo art. 3,1 se proclama que “Todos los agentes del desarrollo turístico</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6" w:right="890"/>
        <w:jc w:val="both"/>
      </w:pPr>
      <w:r>
        <w:rPr/>
        <w:t>tienen el deber de salvaguardar el medio ambiente y los recursos naturales, en la perspectiva de un crecimiento económico saneado, constante y sustentable, que sea capaz de satisfacer equitativamente las necesidades  y  aspiraciones  de  las generaciones presentes y futuras”. En este documento se incentiva, entre  otros  aspectos, un desarrollo turístico que permita el ahorro de recursos escasos (agua, energía), que evite la producción de desechos, que presente una mejor distribución temporal (estacionalidad) y geográfica del turismo y que resulte respetuoso </w:t>
      </w:r>
      <w:r>
        <w:rPr>
          <w:spacing w:val="4"/>
        </w:rPr>
        <w:t>con </w:t>
      </w:r>
      <w:r>
        <w:rPr/>
        <w:t>el patrimonio natural en sus diversas</w:t>
      </w:r>
      <w:r>
        <w:rPr>
          <w:spacing w:val="57"/>
        </w:rPr>
        <w:t> </w:t>
      </w:r>
      <w:r>
        <w:rPr/>
        <w:t>manifestaciones.</w:t>
      </w:r>
    </w:p>
    <w:p>
      <w:pPr>
        <w:pStyle w:val="BodyText"/>
        <w:spacing w:line="364" w:lineRule="auto" w:before="130"/>
        <w:ind w:left="116" w:right="896"/>
        <w:jc w:val="both"/>
      </w:pPr>
      <w:r>
        <w:rPr/>
        <w:t>La vinculación entre desarrollo sustentable y protección ambiental, conforme se deduce de los textos internacionales citados, resulta esencial, particularmente  en  la  implantación de actividades turísticas </w:t>
      </w:r>
      <w:r>
        <w:rPr>
          <w:spacing w:val="-3"/>
        </w:rPr>
        <w:t>que </w:t>
      </w:r>
      <w:r>
        <w:rPr/>
        <w:t>se fundamentan en la utilización de recursos naturales: ecoturismo, turismo de aventuras, turismo rural, turismo de alta montaña, etc. (Blanquer, 1999). La políticas de ordenación del turismo tienen bien presente la necesidad de limitar el desarrollo de la actividad turística, de cumplir la legislación de protección ambiental, de impulsar la educación ambiental y la información a los usuarios turísticos, de respetar la normativa sobre eliminación de residuos y prohibición de vertidos, </w:t>
      </w:r>
      <w:r>
        <w:rPr>
          <w:spacing w:val="-3"/>
        </w:rPr>
        <w:t>de </w:t>
      </w:r>
      <w:r>
        <w:rPr/>
        <w:t>implantar medidas de ahorro energético, de limitar </w:t>
      </w:r>
      <w:r>
        <w:rPr>
          <w:spacing w:val="-5"/>
        </w:rPr>
        <w:t>la </w:t>
      </w:r>
      <w:r>
        <w:rPr/>
        <w:t>capacidad  de  ocupación o uso de los espacios turísticos mediante </w:t>
      </w:r>
      <w:r>
        <w:rPr>
          <w:spacing w:val="-5"/>
        </w:rPr>
        <w:t>la </w:t>
      </w:r>
      <w:r>
        <w:rPr/>
        <w:t>declaración de zona turística saturada, de establecer la capacidad de carga de los recursos turísticos e implantar las medidas de limitación necesarias para su adecuado uso y conservación (Pérez, </w:t>
      </w:r>
      <w:r>
        <w:rPr>
          <w:spacing w:val="33"/>
        </w:rPr>
        <w:t> </w:t>
      </w:r>
      <w:r>
        <w:rPr/>
        <w:t>2001).</w:t>
      </w:r>
    </w:p>
    <w:p>
      <w:pPr>
        <w:pStyle w:val="BodyText"/>
        <w:spacing w:line="364" w:lineRule="auto" w:before="125"/>
        <w:ind w:left="115" w:right="899"/>
        <w:jc w:val="both"/>
      </w:pPr>
      <w:r>
        <w:rPr/>
        <w:t>La creación jurídica para </w:t>
      </w:r>
      <w:r>
        <w:rPr>
          <w:spacing w:val="-5"/>
        </w:rPr>
        <w:t>la </w:t>
      </w:r>
      <w:r>
        <w:rPr/>
        <w:t>aplicación de los cimientos del turismo sustentable presenta frentes diversos, aunque sus pilares fundamentales son: las leyes de ordenación del turismo y sus reglamentos de desarrollo; las leyes y reglamentos de protección  ambiental, que afectan a las actividades empresariales turísticas </w:t>
      </w:r>
      <w:r>
        <w:rPr>
          <w:spacing w:val="-4"/>
        </w:rPr>
        <w:t>y, </w:t>
      </w:r>
      <w:r>
        <w:rPr/>
        <w:t>finalmente,  los  planes de desarrollo turístico (estatales, autonómicos o </w:t>
      </w:r>
      <w:r>
        <w:rPr>
          <w:spacing w:val="12"/>
        </w:rPr>
        <w:t> </w:t>
      </w:r>
      <w:r>
        <w:rPr/>
        <w:t>locales).</w:t>
      </w:r>
    </w:p>
    <w:p>
      <w:pPr>
        <w:pStyle w:val="BodyText"/>
        <w:spacing w:line="364" w:lineRule="auto" w:before="125"/>
        <w:ind w:left="116" w:right="896"/>
        <w:jc w:val="both"/>
      </w:pPr>
      <w:r>
        <w:rPr/>
        <w:t>Ante esta situación, Juan y Seva (2007) hace mención de algunas estrategias a seguir para un desarrollo turístico sustentable las cuales serán de gran utilidad para llevar a  cabo una reflexión hacia el consumo sustentable</w:t>
      </w:r>
      <w:r>
        <w:rPr>
          <w:spacing w:val="57"/>
        </w:rPr>
        <w:t> </w:t>
      </w:r>
      <w:r>
        <w:rPr/>
        <w:t>son:</w:t>
      </w:r>
    </w:p>
    <w:p>
      <w:pPr>
        <w:pStyle w:val="ListParagraph"/>
        <w:numPr>
          <w:ilvl w:val="0"/>
          <w:numId w:val="23"/>
        </w:numPr>
        <w:tabs>
          <w:tab w:pos="803" w:val="left" w:leader="none"/>
        </w:tabs>
        <w:spacing w:line="364" w:lineRule="auto" w:before="125" w:after="0"/>
        <w:ind w:left="116" w:right="895" w:firstLine="0"/>
        <w:jc w:val="both"/>
        <w:rPr>
          <w:sz w:val="23"/>
        </w:rPr>
      </w:pPr>
      <w:r>
        <w:rPr>
          <w:sz w:val="23"/>
        </w:rPr>
        <w:t>Mejora de la información para la toma de decisiones, </w:t>
      </w:r>
      <w:r>
        <w:rPr>
          <w:spacing w:val="-3"/>
          <w:sz w:val="23"/>
        </w:rPr>
        <w:t>es </w:t>
      </w:r>
      <w:r>
        <w:rPr>
          <w:sz w:val="23"/>
        </w:rPr>
        <w:t>decir, conocer a profundidad la realidad del espacio socioeconómico sobre el que se </w:t>
      </w:r>
      <w:r>
        <w:rPr>
          <w:spacing w:val="-3"/>
          <w:sz w:val="23"/>
        </w:rPr>
        <w:t>quiere </w:t>
      </w:r>
      <w:r>
        <w:rPr>
          <w:sz w:val="23"/>
        </w:rPr>
        <w:t>actuar para conocer  las  características  actuales  y  potenciales  que  presentan  en  el  campo   </w:t>
      </w:r>
      <w:r>
        <w:rPr>
          <w:spacing w:val="17"/>
          <w:sz w:val="23"/>
        </w:rPr>
        <w:t> </w:t>
      </w:r>
      <w:r>
        <w:rPr>
          <w:sz w:val="23"/>
        </w:rPr>
        <w:t>del</w:t>
      </w:r>
    </w:p>
    <w:p>
      <w:pPr>
        <w:spacing w:after="0" w:line="364" w:lineRule="auto"/>
        <w:jc w:val="both"/>
        <w:rPr>
          <w:sz w:val="23"/>
        </w:rPr>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6"/>
        <w:jc w:val="both"/>
      </w:pPr>
      <w:r>
        <w:rPr/>
        <w:t>turismo las distintas comunidades. Planificación integral que incluya los diferentes aspectos que intervienen en el turismo: variables macroeconómicas, aspectos medioambientales, características culturales, dinámicas territoriales. La ordenación del territorio es muy importante para que tenga lugar un desarrollo turístico adecuado. Adaptar la legislación a las nuevas concepciones medioambientales, pero haciendo que esta normatividad se cumpla. El medio ambiente entendido en su sentido amplio es un elemento fundamental a tener en cuenta en las actuaciones turísticas. Su respeto y mantenimiento constituyen un objetivo prioritario.</w:t>
      </w:r>
    </w:p>
    <w:p>
      <w:pPr>
        <w:pStyle w:val="ListParagraph"/>
        <w:numPr>
          <w:ilvl w:val="0"/>
          <w:numId w:val="23"/>
        </w:numPr>
        <w:tabs>
          <w:tab w:pos="803" w:val="left" w:leader="none"/>
        </w:tabs>
        <w:spacing w:line="364" w:lineRule="auto" w:before="130" w:after="0"/>
        <w:ind w:left="116" w:right="894" w:firstLine="0"/>
        <w:jc w:val="both"/>
        <w:rPr>
          <w:sz w:val="23"/>
        </w:rPr>
      </w:pPr>
      <w:r>
        <w:rPr>
          <w:sz w:val="23"/>
        </w:rPr>
        <w:t>Gestionar la demanda turística estableciendo puntos </w:t>
      </w:r>
      <w:r>
        <w:rPr>
          <w:spacing w:val="-3"/>
          <w:sz w:val="23"/>
        </w:rPr>
        <w:t>de  </w:t>
      </w:r>
      <w:r>
        <w:rPr>
          <w:sz w:val="23"/>
        </w:rPr>
        <w:t>actuación  diferentes  para distribuir a los visitantes por el territorio sin necesidad de disminuir </w:t>
      </w:r>
      <w:r>
        <w:rPr>
          <w:spacing w:val="4"/>
          <w:sz w:val="23"/>
        </w:rPr>
        <w:t>el </w:t>
      </w:r>
      <w:r>
        <w:rPr>
          <w:sz w:val="23"/>
        </w:rPr>
        <w:t>número total de llagadas a </w:t>
      </w:r>
      <w:r>
        <w:rPr>
          <w:spacing w:val="-4"/>
          <w:sz w:val="23"/>
        </w:rPr>
        <w:t>las </w:t>
      </w:r>
      <w:r>
        <w:rPr>
          <w:sz w:val="23"/>
        </w:rPr>
        <w:t>zonas turísticas tanto tradicionales como nuevas </w:t>
      </w:r>
      <w:r>
        <w:rPr>
          <w:spacing w:val="-4"/>
          <w:sz w:val="23"/>
        </w:rPr>
        <w:t>ya </w:t>
      </w:r>
      <w:r>
        <w:rPr>
          <w:sz w:val="23"/>
        </w:rPr>
        <w:t>que </w:t>
      </w:r>
      <w:r>
        <w:rPr>
          <w:spacing w:val="-3"/>
          <w:sz w:val="23"/>
        </w:rPr>
        <w:t>es </w:t>
      </w:r>
      <w:r>
        <w:rPr>
          <w:sz w:val="23"/>
        </w:rPr>
        <w:t>muy importante conocer la capacidad de carga de los distintos lugares o destinos para adaptarlos a los usos turísticos. Apoyo de proyectos turísticos innovadores que sean respetuosos con el entorno y permitan sacar conclusiones para aplicarlos mejor o </w:t>
      </w:r>
      <w:r>
        <w:rPr>
          <w:spacing w:val="2"/>
          <w:sz w:val="23"/>
        </w:rPr>
        <w:t>ser </w:t>
      </w:r>
      <w:r>
        <w:rPr>
          <w:sz w:val="23"/>
        </w:rPr>
        <w:t>trasladadas esas experiencias a otros lugares. Actuar sobre la calidad ambiental, elemento fundamental para el desarrollo turístico sostenible. En el campo del turismo, </w:t>
      </w:r>
      <w:r>
        <w:rPr>
          <w:spacing w:val="4"/>
          <w:sz w:val="23"/>
        </w:rPr>
        <w:t>el </w:t>
      </w:r>
      <w:r>
        <w:rPr>
          <w:sz w:val="23"/>
        </w:rPr>
        <w:t>incremento de los visitantes y del tamaño de las poblaciones, crea la  necesidad  de  tener en cuenta aspectos como el tratamiento de las aguas residuales, el suministro del agua potable, la recogida de las basuras. Minimizar el impacto ambiental de las actividades turísticas con una adecuada planificación para evitar que esos efectos negativos sean los menores</w:t>
      </w:r>
      <w:r>
        <w:rPr>
          <w:spacing w:val="42"/>
          <w:sz w:val="23"/>
        </w:rPr>
        <w:t> </w:t>
      </w:r>
      <w:r>
        <w:rPr>
          <w:sz w:val="23"/>
        </w:rPr>
        <w:t>posibles.</w:t>
      </w:r>
    </w:p>
    <w:p>
      <w:pPr>
        <w:pStyle w:val="ListParagraph"/>
        <w:numPr>
          <w:ilvl w:val="0"/>
          <w:numId w:val="23"/>
        </w:numPr>
        <w:tabs>
          <w:tab w:pos="803" w:val="left" w:leader="none"/>
        </w:tabs>
        <w:spacing w:line="364" w:lineRule="auto" w:before="120" w:after="0"/>
        <w:ind w:left="116" w:right="896" w:firstLine="0"/>
        <w:jc w:val="both"/>
        <w:rPr>
          <w:sz w:val="23"/>
        </w:rPr>
      </w:pPr>
      <w:r>
        <w:rPr>
          <w:sz w:val="23"/>
        </w:rPr>
        <w:t>Controlar las actuaciones turísticas con mecanismos de vigilancia y control mediante un plan detallado de protección y un seguimiento de su cumplimiento. Rehabilitación de los espacios turísticos que han sido dañados ya sea por el efecto de   un desarrollo turístico desproporcionado o por </w:t>
      </w:r>
      <w:r>
        <w:rPr>
          <w:spacing w:val="4"/>
          <w:sz w:val="23"/>
        </w:rPr>
        <w:t>el </w:t>
      </w:r>
      <w:r>
        <w:rPr>
          <w:sz w:val="23"/>
        </w:rPr>
        <w:t>impacto de  otras  actividades. Protección de especies y establecimiento de zonas protegidas, </w:t>
      </w:r>
      <w:r>
        <w:rPr>
          <w:spacing w:val="-4"/>
          <w:sz w:val="23"/>
        </w:rPr>
        <w:t>ya </w:t>
      </w:r>
      <w:r>
        <w:rPr>
          <w:sz w:val="23"/>
        </w:rPr>
        <w:t>que </w:t>
      </w:r>
      <w:r>
        <w:rPr>
          <w:spacing w:val="-3"/>
          <w:sz w:val="23"/>
        </w:rPr>
        <w:t>en </w:t>
      </w:r>
      <w:r>
        <w:rPr>
          <w:sz w:val="23"/>
        </w:rPr>
        <w:t>ocasiones, el desarrollo de actividades, entre las  que se puede incluir el turismo, son incompatibles  con la existencia de determinadas especies animales o vegetales que pueden verse alteradas o amenazadas de</w:t>
      </w:r>
      <w:r>
        <w:rPr>
          <w:spacing w:val="42"/>
          <w:sz w:val="23"/>
        </w:rPr>
        <w:t> </w:t>
      </w:r>
      <w:r>
        <w:rPr>
          <w:sz w:val="23"/>
        </w:rPr>
        <w:t>extinción.</w:t>
      </w:r>
    </w:p>
    <w:p>
      <w:pPr>
        <w:pStyle w:val="ListParagraph"/>
        <w:numPr>
          <w:ilvl w:val="0"/>
          <w:numId w:val="23"/>
        </w:numPr>
        <w:tabs>
          <w:tab w:pos="803" w:val="left" w:leader="none"/>
        </w:tabs>
        <w:spacing w:line="364" w:lineRule="auto" w:before="125" w:after="0"/>
        <w:ind w:left="116" w:right="900" w:firstLine="0"/>
        <w:jc w:val="both"/>
        <w:rPr>
          <w:sz w:val="23"/>
        </w:rPr>
      </w:pPr>
      <w:r>
        <w:rPr>
          <w:sz w:val="23"/>
        </w:rPr>
        <w:t>El conocimiento por parte de </w:t>
      </w:r>
      <w:r>
        <w:rPr>
          <w:spacing w:val="-5"/>
          <w:sz w:val="23"/>
        </w:rPr>
        <w:t>la </w:t>
      </w:r>
      <w:r>
        <w:rPr>
          <w:sz w:val="23"/>
        </w:rPr>
        <w:t>sociedad del medio que la rodea y  sus  limitaciones  son   fundamentales  para   </w:t>
      </w:r>
      <w:r>
        <w:rPr>
          <w:spacing w:val="-5"/>
          <w:sz w:val="23"/>
        </w:rPr>
        <w:t>la   </w:t>
      </w:r>
      <w:r>
        <w:rPr>
          <w:sz w:val="23"/>
        </w:rPr>
        <w:t>implantación  de  actividades  ligadas  a   </w:t>
      </w:r>
      <w:r>
        <w:rPr>
          <w:spacing w:val="9"/>
          <w:sz w:val="23"/>
        </w:rPr>
        <w:t> </w:t>
      </w:r>
      <w:r>
        <w:rPr>
          <w:sz w:val="23"/>
        </w:rPr>
        <w:t>un</w:t>
      </w:r>
    </w:p>
    <w:p>
      <w:pPr>
        <w:spacing w:after="0" w:line="364" w:lineRule="auto"/>
        <w:jc w:val="both"/>
        <w:rPr>
          <w:sz w:val="23"/>
        </w:rPr>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6"/>
        <w:jc w:val="both"/>
      </w:pPr>
      <w:r>
        <w:rPr/>
        <w:t>desarrollo sustentable, por ello </w:t>
      </w:r>
      <w:r>
        <w:rPr>
          <w:spacing w:val="-5"/>
        </w:rPr>
        <w:t>la </w:t>
      </w:r>
      <w:r>
        <w:rPr/>
        <w:t>formación se convierte en una herramienta de primer orden para lograrlo. Pero no sólo </w:t>
      </w:r>
      <w:r>
        <w:rPr>
          <w:spacing w:val="-3"/>
        </w:rPr>
        <w:t>es </w:t>
      </w:r>
      <w:r>
        <w:rPr/>
        <w:t>importante impartir cursos sobre el respeto al  entorno y el desarrollo turístico sustentable, sino que también es necesaria la incorporación de las ideas de desarrollo sustentable en la formación general de las personas. Y creo </w:t>
      </w:r>
      <w:r>
        <w:rPr>
          <w:spacing w:val="-3"/>
        </w:rPr>
        <w:t>que </w:t>
      </w:r>
      <w:r>
        <w:rPr/>
        <w:t>esto se puede  hacer desde  </w:t>
      </w:r>
      <w:r>
        <w:rPr>
          <w:spacing w:val="-5"/>
        </w:rPr>
        <w:t>la  </w:t>
      </w:r>
      <w:r>
        <w:rPr/>
        <w:t>educación básica, inculcando  </w:t>
      </w:r>
      <w:r>
        <w:rPr>
          <w:spacing w:val="-3"/>
        </w:rPr>
        <w:t>en </w:t>
      </w:r>
      <w:r>
        <w:rPr/>
        <w:t>los niños el amor y el respeto no sólo hacia la naturaleza sino hacia </w:t>
      </w:r>
      <w:r>
        <w:rPr>
          <w:spacing w:val="4"/>
        </w:rPr>
        <w:t>el </w:t>
      </w:r>
      <w:r>
        <w:rPr/>
        <w:t>medio ambiente que </w:t>
      </w:r>
      <w:r>
        <w:rPr>
          <w:spacing w:val="-5"/>
        </w:rPr>
        <w:t>lo </w:t>
      </w:r>
      <w:r>
        <w:rPr/>
        <w:t>rodea, incluyendo personas, animales y toda manifestación de vida. Esta formación debe continuar en las escuelas a lo largo de  todos  los niveles  educativos para poder crear una verdadera conciencia en los seres </w:t>
      </w:r>
      <w:r>
        <w:rPr>
          <w:spacing w:val="15"/>
        </w:rPr>
        <w:t> </w:t>
      </w:r>
      <w:r>
        <w:rPr/>
        <w:t>humanos.</w:t>
      </w:r>
    </w:p>
    <w:p>
      <w:pPr>
        <w:pStyle w:val="ListParagraph"/>
        <w:numPr>
          <w:ilvl w:val="0"/>
          <w:numId w:val="23"/>
        </w:numPr>
        <w:tabs>
          <w:tab w:pos="803" w:val="left" w:leader="none"/>
        </w:tabs>
        <w:spacing w:line="364" w:lineRule="auto" w:before="120" w:after="0"/>
        <w:ind w:left="116" w:right="892" w:firstLine="0"/>
        <w:jc w:val="both"/>
        <w:rPr>
          <w:sz w:val="23"/>
        </w:rPr>
      </w:pPr>
      <w:r>
        <w:rPr>
          <w:sz w:val="23"/>
        </w:rPr>
        <w:t>Cualificación y diferenciación de la oferta turística para </w:t>
      </w:r>
      <w:r>
        <w:rPr>
          <w:spacing w:val="-3"/>
          <w:sz w:val="23"/>
        </w:rPr>
        <w:t>que </w:t>
      </w:r>
      <w:r>
        <w:rPr>
          <w:sz w:val="23"/>
        </w:rPr>
        <w:t>se convierta en un factor determinante a la hora de </w:t>
      </w:r>
      <w:r>
        <w:rPr>
          <w:spacing w:val="-5"/>
          <w:sz w:val="23"/>
        </w:rPr>
        <w:t>la </w:t>
      </w:r>
      <w:r>
        <w:rPr>
          <w:sz w:val="23"/>
        </w:rPr>
        <w:t>fijación de precios, estableciendo normas y marcas distintivas de calidad que permitan una diferenciación de la oferta. Incentivos  fiscales para apoyar estrategias medioambientales, es decir, la administración no debe ser un ente pasivo a la hora de contemplar el desarrollo turístico sostenible, ya que ésta puede conceder ventajas fiscales a las empresas o instituciones que colaboren con el mantenimiento </w:t>
      </w:r>
      <w:r>
        <w:rPr>
          <w:spacing w:val="2"/>
          <w:sz w:val="23"/>
        </w:rPr>
        <w:t>del </w:t>
      </w:r>
      <w:r>
        <w:rPr>
          <w:sz w:val="23"/>
        </w:rPr>
        <w:t>entorno medioambiental y que pueden servir de ejemplo para que otros las</w:t>
      </w:r>
      <w:r>
        <w:rPr>
          <w:spacing w:val="17"/>
          <w:sz w:val="23"/>
        </w:rPr>
        <w:t> </w:t>
      </w:r>
      <w:r>
        <w:rPr>
          <w:sz w:val="23"/>
        </w:rPr>
        <w:t>imiten.</w:t>
      </w:r>
    </w:p>
    <w:p>
      <w:pPr>
        <w:pStyle w:val="BodyText"/>
        <w:spacing w:line="364" w:lineRule="auto" w:before="120"/>
        <w:ind w:left="116" w:right="900"/>
        <w:jc w:val="both"/>
      </w:pPr>
      <w:r>
        <w:rPr/>
        <w:t>Estos puntos pueden servir como estrategias para lograr un desarrollo turístico sustentable </w:t>
      </w:r>
      <w:r>
        <w:rPr>
          <w:spacing w:val="3"/>
        </w:rPr>
        <w:t>si </w:t>
      </w:r>
      <w:r>
        <w:rPr/>
        <w:t>se aplican tanto a las empresas como a la comunidad y al turista, además de lograr el consumo sustentable y el comportamiento ecológico, para que se reduzcan los impactos negativos sobre los destinos</w:t>
      </w:r>
      <w:r>
        <w:rPr>
          <w:spacing w:val="60"/>
        </w:rPr>
        <w:t> </w:t>
      </w:r>
      <w:r>
        <w:rPr/>
        <w:t>turísticos.</w:t>
      </w:r>
    </w:p>
    <w:p>
      <w:pPr>
        <w:pStyle w:val="BodyText"/>
        <w:rPr>
          <w:sz w:val="22"/>
        </w:rPr>
      </w:pPr>
    </w:p>
    <w:p>
      <w:pPr>
        <w:pStyle w:val="BodyText"/>
        <w:rPr>
          <w:sz w:val="22"/>
        </w:rPr>
      </w:pPr>
    </w:p>
    <w:p>
      <w:pPr>
        <w:pStyle w:val="Heading2"/>
        <w:numPr>
          <w:ilvl w:val="1"/>
          <w:numId w:val="22"/>
        </w:numPr>
        <w:tabs>
          <w:tab w:pos="817" w:val="left" w:leader="none"/>
        </w:tabs>
        <w:spacing w:line="240" w:lineRule="auto" w:before="132" w:after="0"/>
        <w:ind w:left="816" w:right="0" w:hanging="700"/>
        <w:jc w:val="both"/>
      </w:pPr>
      <w:bookmarkStart w:name="_TOC_250018" w:id="17"/>
      <w:r>
        <w:rPr/>
        <w:t>Uso Turístico en Áreas Naturales</w:t>
      </w:r>
      <w:r>
        <w:rPr>
          <w:spacing w:val="55"/>
        </w:rPr>
        <w:t> </w:t>
      </w:r>
      <w:bookmarkEnd w:id="17"/>
      <w:r>
        <w:rPr/>
        <w:t>Protegidas</w:t>
      </w:r>
    </w:p>
    <w:p>
      <w:pPr>
        <w:pStyle w:val="BodyText"/>
        <w:rPr>
          <w:b/>
          <w:sz w:val="22"/>
        </w:rPr>
      </w:pPr>
    </w:p>
    <w:p>
      <w:pPr>
        <w:pStyle w:val="BodyText"/>
        <w:spacing w:line="364" w:lineRule="auto" w:before="1"/>
        <w:ind w:left="116" w:right="899"/>
        <w:jc w:val="both"/>
      </w:pPr>
      <w:r>
        <w:rPr/>
        <w:t>Con </w:t>
      </w:r>
      <w:r>
        <w:rPr>
          <w:spacing w:val="-5"/>
        </w:rPr>
        <w:t>la </w:t>
      </w:r>
      <w:r>
        <w:rPr/>
        <w:t>finalidad de proteger determinadas áreas de territorio de esta pérdida ambiental aparecieron a finales del siglo XIX, los espacios  naturales  protegidos. Estas áreas en  los últimos años han adquirido una especial importancia en </w:t>
      </w:r>
      <w:r>
        <w:rPr>
          <w:spacing w:val="-5"/>
        </w:rPr>
        <w:t>la </w:t>
      </w:r>
      <w:r>
        <w:rPr/>
        <w:t>sociedad al darle un uso para la práctica de la actividad turística, dicho de otra forma en la ANP </w:t>
      </w:r>
      <w:r>
        <w:rPr>
          <w:spacing w:val="3"/>
        </w:rPr>
        <w:t>se </w:t>
      </w:r>
      <w:r>
        <w:rPr/>
        <w:t>ofrecen </w:t>
      </w:r>
      <w:r>
        <w:rPr>
          <w:spacing w:val="-3"/>
        </w:rPr>
        <w:t>una </w:t>
      </w:r>
      <w:r>
        <w:rPr/>
        <w:t>serie de servicios para el ocio y el disfrute de la naturaleza por parte de los </w:t>
      </w:r>
      <w:r>
        <w:rPr>
          <w:spacing w:val="35"/>
        </w:rPr>
        <w:t> </w:t>
      </w:r>
      <w:r>
        <w:rPr/>
        <w:t>individuos.</w:t>
      </w:r>
    </w:p>
    <w:p>
      <w:pPr>
        <w:pStyle w:val="BodyText"/>
        <w:spacing w:line="369" w:lineRule="auto" w:before="120"/>
        <w:ind w:left="116" w:right="904"/>
        <w:jc w:val="both"/>
      </w:pPr>
      <w:r>
        <w:rPr/>
        <w:t>En México, la creación de zonas protegidas se inició con el bosque de Mineral del Chico en el estado de Hidalgo, pero la entrada formal de México a la corriente internacional   de</w:t>
      </w:r>
    </w:p>
    <w:p>
      <w:pPr>
        <w:spacing w:after="0" w:line="369"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900"/>
        <w:jc w:val="both"/>
      </w:pPr>
      <w:r>
        <w:rPr/>
        <w:t>Áreas Naturales Protegidas comenzó durante el periodo de Venustiano Carranza, al constituir el Desierto de los Leones como el primer parque nacional en 1917 (Semarnap-Conabio, 1995).</w:t>
      </w:r>
    </w:p>
    <w:p>
      <w:pPr>
        <w:pStyle w:val="BodyText"/>
        <w:spacing w:line="367" w:lineRule="auto" w:before="120"/>
        <w:ind w:left="115" w:right="894"/>
        <w:jc w:val="both"/>
      </w:pPr>
      <w:r>
        <w:rPr/>
        <w:t>Con este decreto presidencial </w:t>
      </w:r>
      <w:r>
        <w:rPr>
          <w:spacing w:val="3"/>
        </w:rPr>
        <w:t>se </w:t>
      </w:r>
      <w:r>
        <w:rPr/>
        <w:t>especifica el uso de suelo y las  actividades  </w:t>
      </w:r>
      <w:r>
        <w:rPr>
          <w:spacing w:val="-3"/>
        </w:rPr>
        <w:t>que </w:t>
      </w:r>
      <w:r>
        <w:rPr/>
        <w:t>pueden llevarse a cabo en las Áreas Naturales Protegidas, las cuales están sujetas a regímenes especiales de protección, conservación, restauración y desarrollo, según categorías establecidas </w:t>
      </w:r>
      <w:r>
        <w:rPr>
          <w:spacing w:val="-3"/>
        </w:rPr>
        <w:t>en </w:t>
      </w:r>
      <w:r>
        <w:rPr>
          <w:spacing w:val="-5"/>
        </w:rPr>
        <w:t>la </w:t>
      </w:r>
      <w:r>
        <w:rPr/>
        <w:t>Ley General del Equilibrio Ecológico y la Protección al Ambiente (LGEEPA), además de crearse con el fin antes mencionado, </w:t>
      </w:r>
      <w:r>
        <w:rPr>
          <w:spacing w:val="3"/>
        </w:rPr>
        <w:t>se  </w:t>
      </w:r>
      <w:r>
        <w:rPr/>
        <w:t>hacen  también para cumplir otros objetivos específicos de manejo tales </w:t>
      </w:r>
      <w:r>
        <w:rPr>
          <w:spacing w:val="15"/>
        </w:rPr>
        <w:t> </w:t>
      </w:r>
      <w:r>
        <w:rPr/>
        <w:t>como:</w:t>
      </w:r>
    </w:p>
    <w:p>
      <w:pPr>
        <w:pStyle w:val="ListParagraph"/>
        <w:numPr>
          <w:ilvl w:val="2"/>
          <w:numId w:val="22"/>
        </w:numPr>
        <w:tabs>
          <w:tab w:pos="1493" w:val="left" w:leader="none"/>
          <w:tab w:pos="1494" w:val="left" w:leader="none"/>
        </w:tabs>
        <w:spacing w:line="240" w:lineRule="auto" w:before="117" w:after="0"/>
        <w:ind w:left="1493" w:right="0" w:hanging="725"/>
        <w:jc w:val="left"/>
        <w:rPr>
          <w:sz w:val="23"/>
        </w:rPr>
      </w:pPr>
      <w:r>
        <w:rPr>
          <w:sz w:val="23"/>
        </w:rPr>
        <w:t>Investigación</w:t>
      </w:r>
      <w:r>
        <w:rPr>
          <w:spacing w:val="28"/>
          <w:sz w:val="23"/>
        </w:rPr>
        <w:t> </w:t>
      </w:r>
      <w:r>
        <w:rPr>
          <w:sz w:val="23"/>
        </w:rPr>
        <w:t>científica</w:t>
      </w:r>
    </w:p>
    <w:p>
      <w:pPr>
        <w:pStyle w:val="ListParagraph"/>
        <w:numPr>
          <w:ilvl w:val="2"/>
          <w:numId w:val="22"/>
        </w:numPr>
        <w:tabs>
          <w:tab w:pos="1493" w:val="left" w:leader="none"/>
          <w:tab w:pos="1494" w:val="left" w:leader="none"/>
        </w:tabs>
        <w:spacing w:line="240" w:lineRule="auto" w:before="134" w:after="0"/>
        <w:ind w:left="1493" w:right="0" w:hanging="725"/>
        <w:jc w:val="left"/>
        <w:rPr>
          <w:sz w:val="23"/>
        </w:rPr>
      </w:pPr>
      <w:r>
        <w:rPr>
          <w:sz w:val="23"/>
        </w:rPr>
        <w:t>Protección de zonas</w:t>
      </w:r>
      <w:r>
        <w:rPr>
          <w:spacing w:val="30"/>
          <w:sz w:val="23"/>
        </w:rPr>
        <w:t> </w:t>
      </w:r>
      <w:r>
        <w:rPr>
          <w:sz w:val="23"/>
        </w:rPr>
        <w:t>silvestres</w:t>
      </w:r>
    </w:p>
    <w:p>
      <w:pPr>
        <w:pStyle w:val="ListParagraph"/>
        <w:numPr>
          <w:ilvl w:val="2"/>
          <w:numId w:val="22"/>
        </w:numPr>
        <w:tabs>
          <w:tab w:pos="1493" w:val="left" w:leader="none"/>
          <w:tab w:pos="1494" w:val="left" w:leader="none"/>
        </w:tabs>
        <w:spacing w:line="240" w:lineRule="auto" w:before="138" w:after="0"/>
        <w:ind w:left="1493" w:right="0" w:hanging="725"/>
        <w:jc w:val="left"/>
        <w:rPr>
          <w:sz w:val="23"/>
        </w:rPr>
      </w:pPr>
      <w:r>
        <w:rPr>
          <w:sz w:val="23"/>
        </w:rPr>
        <w:t>Preservación de las especies y la diversidad</w:t>
      </w:r>
      <w:r>
        <w:rPr>
          <w:spacing w:val="63"/>
          <w:sz w:val="23"/>
        </w:rPr>
        <w:t> </w:t>
      </w:r>
      <w:r>
        <w:rPr>
          <w:sz w:val="23"/>
        </w:rPr>
        <w:t>genética</w:t>
      </w:r>
    </w:p>
    <w:p>
      <w:pPr>
        <w:pStyle w:val="ListParagraph"/>
        <w:numPr>
          <w:ilvl w:val="2"/>
          <w:numId w:val="22"/>
        </w:numPr>
        <w:tabs>
          <w:tab w:pos="1493" w:val="left" w:leader="none"/>
          <w:tab w:pos="1494" w:val="left" w:leader="none"/>
        </w:tabs>
        <w:spacing w:line="240" w:lineRule="auto" w:before="143" w:after="0"/>
        <w:ind w:left="1493" w:right="0" w:hanging="725"/>
        <w:jc w:val="left"/>
        <w:rPr>
          <w:sz w:val="23"/>
        </w:rPr>
      </w:pPr>
      <w:r>
        <w:rPr>
          <w:sz w:val="23"/>
        </w:rPr>
        <w:t>Mantenimiento de los servicios</w:t>
      </w:r>
      <w:r>
        <w:rPr>
          <w:spacing w:val="44"/>
          <w:sz w:val="23"/>
        </w:rPr>
        <w:t> </w:t>
      </w:r>
      <w:r>
        <w:rPr>
          <w:sz w:val="23"/>
        </w:rPr>
        <w:t>ambientales</w:t>
      </w:r>
    </w:p>
    <w:p>
      <w:pPr>
        <w:pStyle w:val="ListParagraph"/>
        <w:numPr>
          <w:ilvl w:val="2"/>
          <w:numId w:val="22"/>
        </w:numPr>
        <w:tabs>
          <w:tab w:pos="1493" w:val="left" w:leader="none"/>
          <w:tab w:pos="1494" w:val="left" w:leader="none"/>
        </w:tabs>
        <w:spacing w:line="240" w:lineRule="auto" w:before="134" w:after="0"/>
        <w:ind w:left="1493" w:right="0" w:hanging="725"/>
        <w:jc w:val="left"/>
        <w:rPr>
          <w:sz w:val="23"/>
        </w:rPr>
      </w:pPr>
      <w:r>
        <w:rPr>
          <w:sz w:val="23"/>
        </w:rPr>
        <w:t>Protección de características naturales y culturales </w:t>
      </w:r>
      <w:r>
        <w:rPr>
          <w:spacing w:val="7"/>
          <w:sz w:val="23"/>
        </w:rPr>
        <w:t> </w:t>
      </w:r>
      <w:r>
        <w:rPr>
          <w:sz w:val="23"/>
        </w:rPr>
        <w:t>especificas</w:t>
      </w:r>
    </w:p>
    <w:p>
      <w:pPr>
        <w:pStyle w:val="ListParagraph"/>
        <w:numPr>
          <w:ilvl w:val="2"/>
          <w:numId w:val="22"/>
        </w:numPr>
        <w:tabs>
          <w:tab w:pos="1531" w:val="left" w:leader="none"/>
          <w:tab w:pos="1532" w:val="left" w:leader="none"/>
        </w:tabs>
        <w:spacing w:line="240" w:lineRule="auto" w:before="138" w:after="0"/>
        <w:ind w:left="1532" w:right="0" w:hanging="764"/>
        <w:jc w:val="left"/>
        <w:rPr>
          <w:sz w:val="23"/>
        </w:rPr>
      </w:pPr>
      <w:r>
        <w:rPr>
          <w:sz w:val="23"/>
        </w:rPr>
        <w:t>Turismo y</w:t>
      </w:r>
      <w:r>
        <w:rPr>
          <w:spacing w:val="20"/>
          <w:sz w:val="23"/>
        </w:rPr>
        <w:t> </w:t>
      </w:r>
      <w:r>
        <w:rPr>
          <w:sz w:val="23"/>
        </w:rPr>
        <w:t>recreación</w:t>
      </w:r>
    </w:p>
    <w:p>
      <w:pPr>
        <w:pStyle w:val="ListParagraph"/>
        <w:numPr>
          <w:ilvl w:val="2"/>
          <w:numId w:val="22"/>
        </w:numPr>
        <w:tabs>
          <w:tab w:pos="1493" w:val="left" w:leader="none"/>
          <w:tab w:pos="1494" w:val="left" w:leader="none"/>
        </w:tabs>
        <w:spacing w:line="240" w:lineRule="auto" w:before="138" w:after="0"/>
        <w:ind w:left="1493" w:right="0" w:hanging="725"/>
        <w:jc w:val="left"/>
        <w:rPr>
          <w:sz w:val="23"/>
        </w:rPr>
      </w:pPr>
      <w:r>
        <w:rPr>
          <w:sz w:val="23"/>
        </w:rPr>
        <w:t>Educación</w:t>
      </w:r>
    </w:p>
    <w:p>
      <w:pPr>
        <w:pStyle w:val="ListParagraph"/>
        <w:numPr>
          <w:ilvl w:val="2"/>
          <w:numId w:val="22"/>
        </w:numPr>
        <w:tabs>
          <w:tab w:pos="1493" w:val="left" w:leader="none"/>
          <w:tab w:pos="1494" w:val="left" w:leader="none"/>
        </w:tabs>
        <w:spacing w:line="240" w:lineRule="auto" w:before="138" w:after="0"/>
        <w:ind w:left="1493" w:right="0" w:hanging="725"/>
        <w:jc w:val="left"/>
        <w:rPr>
          <w:sz w:val="23"/>
        </w:rPr>
      </w:pPr>
      <w:r>
        <w:rPr>
          <w:sz w:val="23"/>
        </w:rPr>
        <w:t>Utilización sostenible de los recursos derivados de ecosistemas </w:t>
      </w:r>
      <w:r>
        <w:rPr>
          <w:spacing w:val="16"/>
          <w:sz w:val="23"/>
        </w:rPr>
        <w:t> </w:t>
      </w:r>
      <w:r>
        <w:rPr>
          <w:sz w:val="23"/>
        </w:rPr>
        <w:t>naturales</w:t>
      </w:r>
    </w:p>
    <w:p>
      <w:pPr>
        <w:pStyle w:val="ListParagraph"/>
        <w:numPr>
          <w:ilvl w:val="2"/>
          <w:numId w:val="22"/>
        </w:numPr>
        <w:tabs>
          <w:tab w:pos="1594" w:val="left" w:leader="none"/>
          <w:tab w:pos="1595" w:val="left" w:leader="none"/>
        </w:tabs>
        <w:spacing w:line="240" w:lineRule="auto" w:before="138" w:after="0"/>
        <w:ind w:left="1594" w:right="0" w:hanging="826"/>
        <w:jc w:val="left"/>
        <w:rPr>
          <w:sz w:val="23"/>
        </w:rPr>
      </w:pPr>
      <w:r>
        <w:rPr>
          <w:sz w:val="23"/>
        </w:rPr>
        <w:t>Mantenimiento de los atributos culturales y  tradicionales.</w:t>
      </w:r>
    </w:p>
    <w:p>
      <w:pPr>
        <w:pStyle w:val="BodyText"/>
        <w:rPr>
          <w:sz w:val="22"/>
        </w:rPr>
      </w:pPr>
    </w:p>
    <w:p>
      <w:pPr>
        <w:pStyle w:val="BodyText"/>
        <w:spacing w:line="364" w:lineRule="auto" w:before="1"/>
        <w:ind w:left="115" w:right="892"/>
        <w:jc w:val="both"/>
      </w:pPr>
      <w:r>
        <w:rPr/>
        <w:t>De acuerdo a esto la Ley General de Equilibrio Ecológico y Protección al Ambiente (LEGEEPA, año) considera ocho categorías de manejo de áreas naturales protegidas,  las cuales </w:t>
      </w:r>
      <w:r>
        <w:rPr>
          <w:spacing w:val="3"/>
        </w:rPr>
        <w:t>se </w:t>
      </w:r>
      <w:r>
        <w:rPr/>
        <w:t>nombran a partir de las diferentes características de las zonas y  obviamente de los objetivos antes mencionados y estas son: Reservas de la Biosfera, Parques Nacionales, Áreas de Protección de Recursos Naturales, Áreas de Protección de Flora y Fauna Silvestre, Santuarios, Parques y Reservas estatales, Zonas de Preservación Ecológica y Monumentos</w:t>
      </w:r>
      <w:r>
        <w:rPr>
          <w:spacing w:val="52"/>
        </w:rPr>
        <w:t> </w:t>
      </w:r>
      <w:r>
        <w:rPr/>
        <w:t>Naturales.</w:t>
      </w:r>
    </w:p>
    <w:p>
      <w:pPr>
        <w:pStyle w:val="BodyText"/>
        <w:spacing w:line="364" w:lineRule="auto" w:before="125"/>
        <w:ind w:left="115" w:right="898"/>
        <w:jc w:val="both"/>
      </w:pPr>
      <w:r>
        <w:rPr/>
        <w:t>En este sentido, </w:t>
      </w:r>
      <w:r>
        <w:rPr>
          <w:spacing w:val="-5"/>
        </w:rPr>
        <w:t>la </w:t>
      </w:r>
      <w:r>
        <w:rPr/>
        <w:t>superficie protegida en México,  representa  aproximadamente  </w:t>
      </w:r>
      <w:r>
        <w:rPr>
          <w:spacing w:val="4"/>
        </w:rPr>
        <w:t>el </w:t>
      </w:r>
      <w:r>
        <w:rPr/>
        <w:t>9.6% del territorio, sin embargo los estudios </w:t>
      </w:r>
      <w:r>
        <w:rPr>
          <w:spacing w:val="-3"/>
        </w:rPr>
        <w:t>de </w:t>
      </w:r>
      <w:r>
        <w:rPr/>
        <w:t>regionalización realizados por la  Comisión Nacional para </w:t>
      </w:r>
      <w:r>
        <w:rPr>
          <w:spacing w:val="4"/>
        </w:rPr>
        <w:t>el </w:t>
      </w:r>
      <w:r>
        <w:rPr/>
        <w:t>Conocimiento y Uso de la Biodiversidad (CONABIO)  muestran que las regiones terrestres que destacan por su riqueza ecosistémica abarcan </w:t>
      </w:r>
      <w:r>
        <w:rPr>
          <w:spacing w:val="-5"/>
        </w:rPr>
        <w:t>la </w:t>
      </w:r>
      <w:r>
        <w:rPr/>
        <w:t>cuarta parte del territorio nacional (Arriaga, </w:t>
      </w:r>
      <w:r>
        <w:rPr>
          <w:spacing w:val="8"/>
        </w:rPr>
        <w:t> </w:t>
      </w:r>
      <w:r>
        <w:rPr/>
        <w:t>2012).</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4"/>
        <w:jc w:val="both"/>
      </w:pPr>
      <w:r>
        <w:rPr/>
        <w:t>En dichas zonas, de acuerdo a datos de la Secretaría de medio Ambiente y Recursos Naturales (SEMARNAT, 2013), anualmente las ANP´s son visitadas por 1  </w:t>
      </w:r>
      <w:r>
        <w:rPr>
          <w:spacing w:val="-2"/>
        </w:rPr>
        <w:t>millón</w:t>
      </w:r>
      <w:r>
        <w:rPr>
          <w:spacing w:val="59"/>
        </w:rPr>
        <w:t> </w:t>
      </w:r>
      <w:r>
        <w:rPr/>
        <w:t>300,000 turistas nacionales y extranjeros, habitan aproximadamente 12 millones de personas, y en las regiones de </w:t>
      </w:r>
      <w:r>
        <w:rPr>
          <w:spacing w:val="-3"/>
        </w:rPr>
        <w:t>mayor </w:t>
      </w:r>
      <w:r>
        <w:rPr/>
        <w:t>importancia por su biodiversidad viven  3.3  millones en condiciones de</w:t>
      </w:r>
      <w:r>
        <w:rPr>
          <w:spacing w:val="38"/>
        </w:rPr>
        <w:t> </w:t>
      </w:r>
      <w:r>
        <w:rPr/>
        <w:t>marginación.</w:t>
      </w:r>
    </w:p>
    <w:p>
      <w:pPr>
        <w:pStyle w:val="BodyText"/>
        <w:spacing w:line="364" w:lineRule="auto" w:before="120"/>
        <w:ind w:left="116" w:right="896"/>
        <w:jc w:val="both"/>
      </w:pPr>
      <w:r>
        <w:rPr/>
        <w:t>En este sentido la intervención del turismo en las Áreas Naturales Protegidas, está marcando una pauta para la sensibilización de los visitantes con respecto a las riquezas naturales. Sin embargo desde el planteamiento de un </w:t>
      </w:r>
      <w:r>
        <w:rPr>
          <w:spacing w:val="-3"/>
        </w:rPr>
        <w:t>desarrollo  </w:t>
      </w:r>
      <w:r>
        <w:rPr/>
        <w:t>sustentable, el medio   va adoptando la idea de que el ser humano es uno de los principales responsables de   los cambios </w:t>
      </w:r>
      <w:r>
        <w:rPr>
          <w:spacing w:val="-3"/>
        </w:rPr>
        <w:t>que </w:t>
      </w:r>
      <w:r>
        <w:rPr/>
        <w:t>se van produciendo en el entorno. Como  apunta  Corraliza  (1997; 2001), no se trata de problemas ambientales, sino de un “problema de la humanidad”, porque </w:t>
      </w:r>
      <w:r>
        <w:rPr>
          <w:spacing w:val="2"/>
        </w:rPr>
        <w:t>con </w:t>
      </w:r>
      <w:r>
        <w:rPr>
          <w:spacing w:val="3"/>
        </w:rPr>
        <w:t>su </w:t>
      </w:r>
      <w:r>
        <w:rPr/>
        <w:t>comportamiento agrava el deterioro del ambiente, o bien, por los efectos negativos que en consecuencia se producen sobre </w:t>
      </w:r>
      <w:r>
        <w:rPr>
          <w:spacing w:val="-5"/>
        </w:rPr>
        <w:t>la </w:t>
      </w:r>
      <w:r>
        <w:rPr/>
        <w:t>vida de las personas. En esta misma línea, Oskamp (2000: 501) señala “que los problemas ambientales están causados por el comportamiento humano </w:t>
      </w:r>
      <w:r>
        <w:rPr>
          <w:spacing w:val="-4"/>
        </w:rPr>
        <w:t>y, </w:t>
      </w:r>
      <w:r>
        <w:rPr/>
        <w:t>sin duda, influirán sobre </w:t>
      </w:r>
      <w:r>
        <w:rPr>
          <w:spacing w:val="34"/>
        </w:rPr>
        <w:t> </w:t>
      </w:r>
      <w:r>
        <w:rPr>
          <w:spacing w:val="-3"/>
        </w:rPr>
        <w:t>él”.</w:t>
      </w:r>
    </w:p>
    <w:p>
      <w:pPr>
        <w:pStyle w:val="BodyText"/>
        <w:spacing w:line="364" w:lineRule="auto" w:before="120"/>
        <w:ind w:left="116" w:right="894"/>
        <w:jc w:val="both"/>
      </w:pPr>
      <w:r>
        <w:rPr/>
        <w:t>Muestra de </w:t>
      </w:r>
      <w:r>
        <w:rPr>
          <w:spacing w:val="-3"/>
        </w:rPr>
        <w:t>ello </w:t>
      </w:r>
      <w:r>
        <w:rPr/>
        <w:t>son los servicios recreativos y de turismo que ofrecen las Áreas  Naturales Protegidas, en </w:t>
      </w:r>
      <w:r>
        <w:rPr>
          <w:spacing w:val="-4"/>
        </w:rPr>
        <w:t>las </w:t>
      </w:r>
      <w:r>
        <w:rPr/>
        <w:t>cuales de acuerdo </w:t>
      </w:r>
      <w:r>
        <w:rPr>
          <w:spacing w:val="2"/>
        </w:rPr>
        <w:t>con </w:t>
      </w:r>
      <w:r>
        <w:rPr/>
        <w:t>Azqueta (1996), se debe considerar  el valor que la sociedad les asigna para su preservación y conservación porque el mal  uso que se le dé al entorno natural por parte de los individuos puede conducir a su deterioro o destrucción total. </w:t>
      </w:r>
      <w:r>
        <w:rPr>
          <w:spacing w:val="2"/>
        </w:rPr>
        <w:t>Por </w:t>
      </w:r>
      <w:r>
        <w:rPr/>
        <w:t>tal motivo la Secretaría de Medio Ambiente y Recursos Naturales (SEMARNAT) implementó distintas estrategias tendientes a eliminar o reducir las presiones que los amenazan, a mitigar </w:t>
      </w:r>
      <w:r>
        <w:rPr>
          <w:spacing w:val="2"/>
        </w:rPr>
        <w:t>sus </w:t>
      </w:r>
      <w:r>
        <w:rPr/>
        <w:t>efectos, e incluso, a revertir su deterioro. Tales estrategias se han dirigido básicamente a dos niveles de </w:t>
      </w:r>
      <w:r>
        <w:rPr>
          <w:spacing w:val="-5"/>
        </w:rPr>
        <w:t>la </w:t>
      </w:r>
      <w:r>
        <w:rPr/>
        <w:t>biodiversidad: el de especies y el de ecosistemas que son utilizadas con fines de recreación, turismo e investigación científica (PNUMA,</w:t>
      </w:r>
      <w:r>
        <w:rPr>
          <w:spacing w:val="41"/>
        </w:rPr>
        <w:t> </w:t>
      </w:r>
      <w:r>
        <w:rPr/>
        <w:t>2002).</w:t>
      </w:r>
    </w:p>
    <w:p>
      <w:pPr>
        <w:pStyle w:val="BodyText"/>
        <w:spacing w:line="364" w:lineRule="auto" w:before="125"/>
        <w:ind w:left="116" w:right="895"/>
        <w:jc w:val="both"/>
      </w:pPr>
      <w:r>
        <w:rPr/>
        <w:t>Por lo tanto se plantea </w:t>
      </w:r>
      <w:r>
        <w:rPr>
          <w:spacing w:val="-5"/>
        </w:rPr>
        <w:t>la </w:t>
      </w:r>
      <w:r>
        <w:rPr/>
        <w:t>urgencia de analizar  el comportamiento  del turista  en  las Áreas Naturales Protegidas, a </w:t>
      </w:r>
      <w:r>
        <w:rPr>
          <w:spacing w:val="-3"/>
        </w:rPr>
        <w:t>fin </w:t>
      </w:r>
      <w:r>
        <w:rPr/>
        <w:t>de comprender la naturaleza de los problemas ambientales, analizar sus causas y comprender las consecuencias que pueden acarrear para </w:t>
      </w:r>
      <w:r>
        <w:rPr>
          <w:spacing w:val="-4"/>
        </w:rPr>
        <w:t>las </w:t>
      </w:r>
      <w:r>
        <w:rPr/>
        <w:t>personas y analizar la necesidad de contemplar la relación entre la conducta y  el  ambiente  y  sobre  todo  la  forma  en  que  la  actividad  turística  en  Áreas</w:t>
      </w:r>
      <w:r>
        <w:rPr>
          <w:spacing w:val="-16"/>
        </w:rPr>
        <w:t> </w:t>
      </w:r>
      <w:r>
        <w:rPr/>
        <w:t>Naturales</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215" w:right="903"/>
        <w:jc w:val="both"/>
      </w:pPr>
      <w:r>
        <w:rPr/>
        <w:t>Protegidas puede incidir en </w:t>
      </w:r>
      <w:r>
        <w:rPr>
          <w:spacing w:val="-5"/>
        </w:rPr>
        <w:t>la </w:t>
      </w:r>
      <w:r>
        <w:rPr/>
        <w:t>generación de comportamientos proambientales que ayuden a frenar la degradación de la</w:t>
      </w:r>
      <w:r>
        <w:rPr>
          <w:spacing w:val="52"/>
        </w:rPr>
        <w:t> </w:t>
      </w:r>
      <w:r>
        <w:rPr/>
        <w:t>naturaleza.</w:t>
      </w:r>
    </w:p>
    <w:p>
      <w:pPr>
        <w:pStyle w:val="BodyText"/>
        <w:spacing w:line="364" w:lineRule="auto" w:before="123"/>
        <w:ind w:left="216" w:right="891"/>
        <w:jc w:val="both"/>
      </w:pPr>
      <w:r>
        <w:rPr/>
        <w:t>En el caso de las Áreas Naturales Protegidas, tras el aumento de la afluencia turística que se está presentando en los últimos años, </w:t>
      </w:r>
      <w:r>
        <w:rPr>
          <w:spacing w:val="-3"/>
        </w:rPr>
        <w:t>es </w:t>
      </w:r>
      <w:r>
        <w:rPr/>
        <w:t>conveniente identificar las actitudes, acciones y </w:t>
      </w:r>
      <w:r>
        <w:rPr>
          <w:spacing w:val="-5"/>
        </w:rPr>
        <w:t>la  </w:t>
      </w:r>
      <w:r>
        <w:rPr/>
        <w:t>conciencia ambiental que están manifestando los visitantes para conocer   si ha sido favorable o no el uso turístico que se les ha dado a estos espacios naturales     y saber qué factores son los </w:t>
      </w:r>
      <w:r>
        <w:rPr>
          <w:spacing w:val="-3"/>
        </w:rPr>
        <w:t>que </w:t>
      </w:r>
      <w:r>
        <w:rPr/>
        <w:t>están incidiendo para que se </w:t>
      </w:r>
      <w:r>
        <w:rPr>
          <w:spacing w:val="-3"/>
        </w:rPr>
        <w:t>dé </w:t>
      </w:r>
      <w:r>
        <w:rPr/>
        <w:t>un comportamiento proambiental que contribuya a la sustentabilidad de las Áreas Naturales </w:t>
      </w:r>
      <w:r>
        <w:rPr>
          <w:spacing w:val="32"/>
        </w:rPr>
        <w:t> </w:t>
      </w:r>
      <w:r>
        <w:rPr/>
        <w:t>Protegidas.</w:t>
      </w:r>
    </w:p>
    <w:p>
      <w:pPr>
        <w:pStyle w:val="BodyText"/>
        <w:rPr>
          <w:sz w:val="22"/>
        </w:rPr>
      </w:pPr>
    </w:p>
    <w:p>
      <w:pPr>
        <w:pStyle w:val="BodyText"/>
        <w:rPr>
          <w:sz w:val="22"/>
        </w:rPr>
      </w:pPr>
    </w:p>
    <w:p>
      <w:pPr>
        <w:pStyle w:val="Heading2"/>
        <w:numPr>
          <w:ilvl w:val="1"/>
          <w:numId w:val="22"/>
        </w:numPr>
        <w:tabs>
          <w:tab w:pos="903" w:val="left" w:leader="none"/>
        </w:tabs>
        <w:spacing w:line="240" w:lineRule="auto" w:before="137" w:after="0"/>
        <w:ind w:left="902" w:right="0" w:hanging="686"/>
        <w:jc w:val="both"/>
      </w:pPr>
      <w:r>
        <w:rPr/>
        <w:t>Tipología del visitante en Áreas Naturales Protegidas de uso </w:t>
      </w:r>
      <w:r>
        <w:rPr>
          <w:spacing w:val="19"/>
        </w:rPr>
        <w:t> </w:t>
      </w:r>
      <w:r>
        <w:rPr/>
        <w:t>turístico.</w:t>
      </w:r>
    </w:p>
    <w:p>
      <w:pPr>
        <w:pStyle w:val="BodyText"/>
        <w:rPr>
          <w:b/>
          <w:sz w:val="22"/>
        </w:rPr>
      </w:pPr>
    </w:p>
    <w:p>
      <w:pPr>
        <w:pStyle w:val="BodyText"/>
        <w:spacing w:line="364" w:lineRule="auto" w:before="1"/>
        <w:ind w:left="216" w:right="896"/>
        <w:jc w:val="both"/>
      </w:pPr>
      <w:r>
        <w:rPr/>
        <w:t>De acuerdo con la CONANP (2007, p. 7) se considera visitante a </w:t>
      </w:r>
      <w:r>
        <w:rPr>
          <w:spacing w:val="-5"/>
        </w:rPr>
        <w:t>la </w:t>
      </w:r>
      <w:r>
        <w:rPr/>
        <w:t>persona </w:t>
      </w:r>
      <w:r>
        <w:rPr>
          <w:spacing w:val="-3"/>
        </w:rPr>
        <w:t>que </w:t>
      </w:r>
      <w:r>
        <w:rPr/>
        <w:t>se desplaza temporalmente fuera de </w:t>
      </w:r>
      <w:r>
        <w:rPr>
          <w:spacing w:val="3"/>
        </w:rPr>
        <w:t>su </w:t>
      </w:r>
      <w:r>
        <w:rPr/>
        <w:t>lugar de residencia para uso y disfrute  de  las  Áreas Protegidas durante uno o </w:t>
      </w:r>
      <w:r>
        <w:rPr>
          <w:spacing w:val="-3"/>
        </w:rPr>
        <w:t>más </w:t>
      </w:r>
      <w:r>
        <w:rPr/>
        <w:t>días utilizando los servicios de prestadores </w:t>
      </w:r>
      <w:r>
        <w:rPr>
          <w:spacing w:val="-3"/>
        </w:rPr>
        <w:t>de </w:t>
      </w:r>
      <w:r>
        <w:rPr/>
        <w:t>servicios turísticos o realizando sus actividades de manera </w:t>
      </w:r>
      <w:r>
        <w:rPr>
          <w:spacing w:val="23"/>
        </w:rPr>
        <w:t> </w:t>
      </w:r>
      <w:r>
        <w:rPr/>
        <w:t>independiente.</w:t>
      </w:r>
    </w:p>
    <w:p>
      <w:pPr>
        <w:pStyle w:val="BodyText"/>
        <w:spacing w:line="364" w:lineRule="auto" w:before="120"/>
        <w:ind w:left="216" w:right="896"/>
        <w:jc w:val="both"/>
      </w:pPr>
      <w:r>
        <w:rPr/>
        <w:t>Cabe señalar que no existe un visitante característico de las áreas naturales protegidas. Si bien existen algunas clasificaciones que permite identificar los perfiles  más importantes de estos visitantes, </w:t>
      </w:r>
      <w:r>
        <w:rPr>
          <w:spacing w:val="-3"/>
        </w:rPr>
        <w:t>no </w:t>
      </w:r>
      <w:r>
        <w:rPr/>
        <w:t>permiten englobar a todos </w:t>
      </w:r>
      <w:r>
        <w:rPr>
          <w:spacing w:val="-4"/>
        </w:rPr>
        <w:t>los</w:t>
      </w:r>
      <w:r>
        <w:rPr>
          <w:spacing w:val="55"/>
        </w:rPr>
        <w:t> </w:t>
      </w:r>
      <w:r>
        <w:rPr/>
        <w:t>visitantes que concurren en las áreas protegidas. Esta diferencia en el perfil de los visitantes se convierte en un obstáculo al momento de implementar actividades turísticas  diferenciadas y que contribuyan a la realización de un turismo responsable. En </w:t>
      </w:r>
      <w:r>
        <w:rPr>
          <w:spacing w:val="-5"/>
        </w:rPr>
        <w:t>la </w:t>
      </w:r>
      <w:r>
        <w:rPr/>
        <w:t>tabla   se muestra </w:t>
      </w:r>
      <w:r>
        <w:rPr>
          <w:spacing w:val="-5"/>
        </w:rPr>
        <w:t>la </w:t>
      </w:r>
      <w:r>
        <w:rPr/>
        <w:t>clasificación de </w:t>
      </w:r>
      <w:r>
        <w:rPr>
          <w:spacing w:val="-3"/>
        </w:rPr>
        <w:t>estos </w:t>
      </w:r>
      <w:r>
        <w:rPr>
          <w:spacing w:val="23"/>
        </w:rPr>
        <w:t> </w:t>
      </w:r>
      <w:r>
        <w:rPr/>
        <w:t>visitantes.</w:t>
      </w:r>
    </w:p>
    <w:p>
      <w:pPr>
        <w:pStyle w:val="BodyText"/>
        <w:spacing w:before="9" w:after="1"/>
        <w:rPr>
          <w:sz w:val="10"/>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6"/>
        <w:gridCol w:w="6658"/>
      </w:tblGrid>
      <w:tr>
        <w:trPr>
          <w:trHeight w:val="547" w:hRule="exact"/>
        </w:trPr>
        <w:tc>
          <w:tcPr>
            <w:tcW w:w="9204" w:type="dxa"/>
            <w:gridSpan w:val="2"/>
            <w:shd w:val="clear" w:color="auto" w:fill="A5A5A5"/>
          </w:tcPr>
          <w:p>
            <w:pPr>
              <w:pStyle w:val="TableParagraph"/>
              <w:spacing w:before="11"/>
              <w:rPr>
                <w:sz w:val="22"/>
              </w:rPr>
            </w:pPr>
          </w:p>
          <w:p>
            <w:pPr>
              <w:pStyle w:val="TableParagraph"/>
              <w:ind w:left="2724"/>
              <w:rPr>
                <w:b/>
                <w:sz w:val="23"/>
              </w:rPr>
            </w:pPr>
            <w:r>
              <w:rPr>
                <w:b/>
                <w:sz w:val="23"/>
              </w:rPr>
              <w:t>Tabla No. 3. TIPO </w:t>
            </w:r>
            <w:r>
              <w:rPr>
                <w:b/>
                <w:spacing w:val="-3"/>
                <w:sz w:val="23"/>
              </w:rPr>
              <w:t>DE</w:t>
            </w:r>
            <w:r>
              <w:rPr>
                <w:b/>
                <w:spacing w:val="49"/>
                <w:sz w:val="23"/>
              </w:rPr>
              <w:t> </w:t>
            </w:r>
            <w:r>
              <w:rPr>
                <w:b/>
                <w:sz w:val="23"/>
              </w:rPr>
              <w:t>VISITANTES</w:t>
            </w:r>
          </w:p>
        </w:tc>
      </w:tr>
      <w:tr>
        <w:trPr>
          <w:trHeight w:val="816" w:hRule="exact"/>
        </w:trPr>
        <w:tc>
          <w:tcPr>
            <w:tcW w:w="2546" w:type="dxa"/>
            <w:tcBorders>
              <w:right w:val="single" w:sz="44" w:space="0" w:color="DBDBDB"/>
            </w:tcBorders>
            <w:shd w:val="clear" w:color="auto" w:fill="A5A5A5"/>
          </w:tcPr>
          <w:p>
            <w:pPr>
              <w:pStyle w:val="TableParagraph"/>
              <w:spacing w:line="244" w:lineRule="auto"/>
              <w:ind w:left="597" w:hanging="58"/>
              <w:rPr>
                <w:b/>
                <w:sz w:val="23"/>
              </w:rPr>
            </w:pPr>
            <w:r>
              <w:rPr>
                <w:b/>
                <w:sz w:val="23"/>
              </w:rPr>
              <w:t>Aventureros- montañeros</w:t>
            </w:r>
          </w:p>
        </w:tc>
        <w:tc>
          <w:tcPr>
            <w:tcW w:w="6658" w:type="dxa"/>
            <w:tcBorders>
              <w:left w:val="single" w:sz="40" w:space="0" w:color="A5A5A5"/>
            </w:tcBorders>
            <w:shd w:val="clear" w:color="auto" w:fill="DBDBDB"/>
          </w:tcPr>
          <w:p>
            <w:pPr>
              <w:pStyle w:val="TableParagraph"/>
              <w:spacing w:line="244" w:lineRule="auto"/>
              <w:ind w:left="55" w:right="99"/>
              <w:jc w:val="both"/>
              <w:rPr>
                <w:sz w:val="23"/>
              </w:rPr>
            </w:pPr>
            <w:r>
              <w:rPr>
                <w:sz w:val="23"/>
              </w:rPr>
              <w:t>Buscan </w:t>
            </w:r>
            <w:r>
              <w:rPr>
                <w:spacing w:val="-3"/>
                <w:sz w:val="23"/>
              </w:rPr>
              <w:t>un </w:t>
            </w:r>
            <w:r>
              <w:rPr>
                <w:sz w:val="23"/>
              </w:rPr>
              <w:t>reto en </w:t>
            </w:r>
            <w:r>
              <w:rPr>
                <w:spacing w:val="-5"/>
                <w:sz w:val="23"/>
              </w:rPr>
              <w:t>la </w:t>
            </w:r>
            <w:r>
              <w:rPr>
                <w:sz w:val="23"/>
              </w:rPr>
              <w:t>naturaleza, espacios </w:t>
            </w:r>
            <w:r>
              <w:rPr>
                <w:spacing w:val="-2"/>
                <w:sz w:val="23"/>
              </w:rPr>
              <w:t>naturales </w:t>
            </w:r>
            <w:r>
              <w:rPr>
                <w:sz w:val="23"/>
              </w:rPr>
              <w:t>que sean el escenario para la exploración y el desarrollo de una  actividad física intensa, prefieren los espacios de </w:t>
            </w:r>
            <w:r>
              <w:rPr>
                <w:spacing w:val="3"/>
                <w:sz w:val="23"/>
              </w:rPr>
              <w:t> </w:t>
            </w:r>
            <w:r>
              <w:rPr>
                <w:sz w:val="23"/>
              </w:rPr>
              <w:t>montaña.</w:t>
            </w:r>
          </w:p>
        </w:tc>
      </w:tr>
      <w:tr>
        <w:trPr>
          <w:trHeight w:val="1620" w:hRule="exact"/>
        </w:trPr>
        <w:tc>
          <w:tcPr>
            <w:tcW w:w="2546" w:type="dxa"/>
            <w:tcBorders>
              <w:right w:val="single" w:sz="44" w:space="0" w:color="EDEDED"/>
            </w:tcBorders>
            <w:shd w:val="clear" w:color="auto" w:fill="A5A5A5"/>
          </w:tcPr>
          <w:p>
            <w:pPr>
              <w:pStyle w:val="TableParagraph"/>
              <w:spacing w:line="244" w:lineRule="auto"/>
              <w:ind w:left="266" w:right="217" w:hanging="5"/>
              <w:jc w:val="center"/>
              <w:rPr>
                <w:b/>
                <w:sz w:val="23"/>
              </w:rPr>
            </w:pPr>
            <w:r>
              <w:rPr>
                <w:b/>
                <w:sz w:val="23"/>
              </w:rPr>
              <w:t>Naturalistas y admiradores de la naturaleza</w:t>
            </w:r>
          </w:p>
        </w:tc>
        <w:tc>
          <w:tcPr>
            <w:tcW w:w="6658" w:type="dxa"/>
            <w:tcBorders>
              <w:left w:val="single" w:sz="40" w:space="0" w:color="A5A5A5"/>
            </w:tcBorders>
            <w:shd w:val="clear" w:color="auto" w:fill="EDEDED"/>
          </w:tcPr>
          <w:p>
            <w:pPr>
              <w:pStyle w:val="TableParagraph"/>
              <w:spacing w:line="244" w:lineRule="auto"/>
              <w:ind w:left="55" w:right="97"/>
              <w:jc w:val="both"/>
              <w:rPr>
                <w:sz w:val="23"/>
              </w:rPr>
            </w:pPr>
            <w:r>
              <w:rPr>
                <w:sz w:val="23"/>
              </w:rPr>
              <w:t>Están interesados </w:t>
            </w:r>
            <w:r>
              <w:rPr>
                <w:spacing w:val="-3"/>
                <w:sz w:val="23"/>
              </w:rPr>
              <w:t>en </w:t>
            </w:r>
            <w:r>
              <w:rPr>
                <w:sz w:val="23"/>
              </w:rPr>
              <w:t>conocer el relieve, las aguas, la flora, la fauna y el paisaje, y por eso acostumbran a documentarse  muy bien sobre </w:t>
            </w:r>
            <w:r>
              <w:rPr>
                <w:spacing w:val="-5"/>
                <w:sz w:val="23"/>
              </w:rPr>
              <w:t>la </w:t>
            </w:r>
            <w:r>
              <w:rPr>
                <w:sz w:val="23"/>
              </w:rPr>
              <w:t>zona, son personas </w:t>
            </w:r>
            <w:r>
              <w:rPr>
                <w:spacing w:val="-3"/>
                <w:sz w:val="23"/>
              </w:rPr>
              <w:t>que </w:t>
            </w:r>
            <w:r>
              <w:rPr>
                <w:sz w:val="23"/>
              </w:rPr>
              <w:t>realizan viajes específicamente a áreas protegidas y desean entender la historia, por eso buscan el contacto con la naturaleza  y  suelen tener comportamientos respetuosos con el </w:t>
            </w:r>
            <w:r>
              <w:rPr>
                <w:spacing w:val="1"/>
                <w:sz w:val="23"/>
              </w:rPr>
              <w:t> </w:t>
            </w:r>
            <w:r>
              <w:rPr>
                <w:sz w:val="23"/>
              </w:rPr>
              <w:t>medio.</w:t>
            </w:r>
          </w:p>
        </w:tc>
      </w:tr>
    </w:tbl>
    <w:p>
      <w:pPr>
        <w:spacing w:after="0" w:line="244" w:lineRule="auto"/>
        <w:jc w:val="both"/>
        <w:rPr>
          <w:sz w:val="23"/>
        </w:rPr>
        <w:sectPr>
          <w:pgSz w:w="11910" w:h="16840"/>
          <w:pgMar w:header="1066" w:footer="1715" w:top="1460" w:bottom="1900" w:left="1440" w:right="200"/>
        </w:sectPr>
      </w:pPr>
    </w:p>
    <w:p>
      <w:pPr>
        <w:pStyle w:val="BodyText"/>
        <w:rPr>
          <w:sz w:val="20"/>
        </w:rPr>
      </w:pPr>
    </w:p>
    <w:p>
      <w:pPr>
        <w:pStyle w:val="BodyText"/>
        <w:spacing w:before="8"/>
        <w:rPr>
          <w:sz w:val="24"/>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6"/>
        <w:gridCol w:w="6658"/>
      </w:tblGrid>
      <w:tr>
        <w:trPr>
          <w:trHeight w:val="1085" w:hRule="exact"/>
        </w:trPr>
        <w:tc>
          <w:tcPr>
            <w:tcW w:w="2546" w:type="dxa"/>
            <w:tcBorders>
              <w:right w:val="single" w:sz="44" w:space="0" w:color="DBDBDB"/>
            </w:tcBorders>
            <w:shd w:val="clear" w:color="auto" w:fill="A5A5A5"/>
          </w:tcPr>
          <w:p>
            <w:pPr>
              <w:pStyle w:val="TableParagraph"/>
              <w:spacing w:line="260" w:lineRule="exact"/>
              <w:ind w:left="674"/>
              <w:rPr>
                <w:b/>
                <w:sz w:val="23"/>
              </w:rPr>
            </w:pPr>
            <w:r>
              <w:rPr>
                <w:b/>
                <w:sz w:val="23"/>
              </w:rPr>
              <w:t>Campistas</w:t>
            </w:r>
          </w:p>
        </w:tc>
        <w:tc>
          <w:tcPr>
            <w:tcW w:w="6658" w:type="dxa"/>
            <w:shd w:val="clear" w:color="auto" w:fill="DBDBDB"/>
          </w:tcPr>
          <w:p>
            <w:pPr>
              <w:pStyle w:val="TableParagraph"/>
              <w:spacing w:line="242" w:lineRule="auto"/>
              <w:ind w:left="100" w:right="93"/>
              <w:jc w:val="both"/>
              <w:rPr>
                <w:sz w:val="23"/>
              </w:rPr>
            </w:pPr>
            <w:r>
              <w:rPr>
                <w:sz w:val="23"/>
              </w:rPr>
              <w:t>El grupo reúne un amplio espectro de comportamientos, pueden buscar en la naturaleza sólo un lugar para descansar  y un escenario agradable para su ocio o bien tener aspiraciones </w:t>
            </w:r>
            <w:r>
              <w:rPr>
                <w:spacing w:val="-3"/>
                <w:sz w:val="23"/>
              </w:rPr>
              <w:t>más</w:t>
            </w:r>
            <w:r>
              <w:rPr>
                <w:spacing w:val="45"/>
                <w:sz w:val="23"/>
              </w:rPr>
              <w:t> </w:t>
            </w:r>
            <w:r>
              <w:rPr>
                <w:sz w:val="23"/>
              </w:rPr>
              <w:t>elevadas.</w:t>
            </w:r>
          </w:p>
        </w:tc>
      </w:tr>
      <w:tr>
        <w:trPr>
          <w:trHeight w:val="1618" w:hRule="exact"/>
        </w:trPr>
        <w:tc>
          <w:tcPr>
            <w:tcW w:w="2546" w:type="dxa"/>
            <w:tcBorders>
              <w:right w:val="single" w:sz="44" w:space="0" w:color="EDEDED"/>
            </w:tcBorders>
            <w:shd w:val="clear" w:color="auto" w:fill="A5A5A5"/>
          </w:tcPr>
          <w:p>
            <w:pPr>
              <w:pStyle w:val="TableParagraph"/>
              <w:spacing w:line="244" w:lineRule="auto"/>
              <w:ind w:left="597" w:right="548" w:firstLine="43"/>
              <w:jc w:val="both"/>
              <w:rPr>
                <w:b/>
                <w:sz w:val="23"/>
              </w:rPr>
            </w:pPr>
            <w:r>
              <w:rPr>
                <w:b/>
                <w:sz w:val="23"/>
              </w:rPr>
              <w:t>Turistas de naturaleza ocasionales</w:t>
            </w:r>
          </w:p>
        </w:tc>
        <w:tc>
          <w:tcPr>
            <w:tcW w:w="6658" w:type="dxa"/>
            <w:shd w:val="clear" w:color="auto" w:fill="EDEDED"/>
          </w:tcPr>
          <w:p>
            <w:pPr>
              <w:pStyle w:val="TableParagraph"/>
              <w:spacing w:line="244" w:lineRule="auto"/>
              <w:ind w:left="100" w:right="95"/>
              <w:jc w:val="both"/>
              <w:rPr>
                <w:sz w:val="23"/>
              </w:rPr>
            </w:pPr>
            <w:r>
              <w:rPr>
                <w:sz w:val="23"/>
              </w:rPr>
              <w:t>Participan de la naturaleza accidentalmente, como parte  </w:t>
            </w:r>
            <w:r>
              <w:rPr>
                <w:spacing w:val="-3"/>
                <w:sz w:val="23"/>
              </w:rPr>
              <w:t>de  </w:t>
            </w:r>
            <w:r>
              <w:rPr>
                <w:sz w:val="23"/>
              </w:rPr>
              <w:t>un viaje más largo, y dedican muy poco tiempo a la visita del espacio natural, también incluye a aquellos que buscan principalmente paisajes espectaculares y muy conocidos, a duras penas disponen de información de la zona, no les importa demasiado y las estancias son muy</w:t>
            </w:r>
            <w:r>
              <w:rPr>
                <w:spacing w:val="61"/>
                <w:sz w:val="23"/>
              </w:rPr>
              <w:t> </w:t>
            </w:r>
            <w:r>
              <w:rPr>
                <w:sz w:val="23"/>
              </w:rPr>
              <w:t>cortas.</w:t>
            </w:r>
          </w:p>
        </w:tc>
      </w:tr>
      <w:tr>
        <w:trPr>
          <w:trHeight w:val="1354" w:hRule="exact"/>
        </w:trPr>
        <w:tc>
          <w:tcPr>
            <w:tcW w:w="2546" w:type="dxa"/>
            <w:tcBorders>
              <w:right w:val="single" w:sz="44" w:space="0" w:color="DBDBDB"/>
            </w:tcBorders>
            <w:shd w:val="clear" w:color="auto" w:fill="A5A5A5"/>
          </w:tcPr>
          <w:p>
            <w:pPr>
              <w:pStyle w:val="TableParagraph"/>
              <w:spacing w:line="244" w:lineRule="auto"/>
              <w:ind w:left="175" w:right="131"/>
              <w:jc w:val="center"/>
              <w:rPr>
                <w:b/>
                <w:sz w:val="23"/>
              </w:rPr>
            </w:pPr>
            <w:r>
              <w:rPr>
                <w:b/>
                <w:sz w:val="23"/>
              </w:rPr>
              <w:t>Colectivo de estudiantes y gente mayor</w:t>
            </w:r>
          </w:p>
        </w:tc>
        <w:tc>
          <w:tcPr>
            <w:tcW w:w="6658" w:type="dxa"/>
            <w:shd w:val="clear" w:color="auto" w:fill="DBDBDB"/>
          </w:tcPr>
          <w:p>
            <w:pPr>
              <w:pStyle w:val="TableParagraph"/>
              <w:spacing w:line="244" w:lineRule="auto"/>
              <w:ind w:left="100" w:right="94"/>
              <w:jc w:val="both"/>
              <w:rPr>
                <w:sz w:val="23"/>
              </w:rPr>
            </w:pPr>
            <w:r>
              <w:rPr>
                <w:sz w:val="23"/>
              </w:rPr>
              <w:t>Son grupos organizados que pueden producir impactos significativos según el tamaño del grupo  y  su  comportamiento, pueden seguir programas de educación ambiental y realizan estancias muy cortas </w:t>
            </w:r>
            <w:r>
              <w:rPr>
                <w:spacing w:val="-3"/>
                <w:sz w:val="23"/>
              </w:rPr>
              <w:t>de </w:t>
            </w:r>
            <w:r>
              <w:rPr>
                <w:sz w:val="23"/>
              </w:rPr>
              <w:t>media jornada o un día</w:t>
            </w:r>
            <w:r>
              <w:rPr>
                <w:spacing w:val="23"/>
                <w:sz w:val="23"/>
              </w:rPr>
              <w:t> </w:t>
            </w:r>
            <w:r>
              <w:rPr>
                <w:sz w:val="23"/>
              </w:rPr>
              <w:t>completo.</w:t>
            </w:r>
          </w:p>
        </w:tc>
      </w:tr>
      <w:tr>
        <w:trPr>
          <w:trHeight w:val="1618" w:hRule="exact"/>
        </w:trPr>
        <w:tc>
          <w:tcPr>
            <w:tcW w:w="2546" w:type="dxa"/>
            <w:tcBorders>
              <w:right w:val="single" w:sz="44" w:space="0" w:color="EDEDED"/>
            </w:tcBorders>
            <w:shd w:val="clear" w:color="auto" w:fill="A5A5A5"/>
          </w:tcPr>
          <w:p>
            <w:pPr>
              <w:pStyle w:val="TableParagraph"/>
              <w:spacing w:line="247" w:lineRule="auto"/>
              <w:ind w:left="280" w:firstLine="360"/>
              <w:rPr>
                <w:b/>
                <w:sz w:val="23"/>
              </w:rPr>
            </w:pPr>
            <w:r>
              <w:rPr>
                <w:b/>
                <w:sz w:val="23"/>
              </w:rPr>
              <w:t>Turistas de naturaleza radical</w:t>
            </w:r>
          </w:p>
        </w:tc>
        <w:tc>
          <w:tcPr>
            <w:tcW w:w="6658" w:type="dxa"/>
            <w:shd w:val="clear" w:color="auto" w:fill="EDEDED"/>
          </w:tcPr>
          <w:p>
            <w:pPr>
              <w:pStyle w:val="TableParagraph"/>
              <w:spacing w:line="244" w:lineRule="auto"/>
              <w:ind w:left="100" w:right="94"/>
              <w:jc w:val="both"/>
              <w:rPr>
                <w:sz w:val="23"/>
              </w:rPr>
            </w:pPr>
            <w:r>
              <w:rPr>
                <w:sz w:val="23"/>
              </w:rPr>
              <w:t>Muestra un interés claramente definido por la naturaleza, gran sensibilidad ambiental, largos períodos de estancia,  demandas de infraestructura mínimas, grandes expectativas sobre la experiencia que desea obtener y exige contextos naturales no perturbados, evita las masivas concentraciones de</w:t>
            </w:r>
            <w:r>
              <w:rPr>
                <w:spacing w:val="21"/>
                <w:sz w:val="23"/>
              </w:rPr>
              <w:t> </w:t>
            </w:r>
            <w:r>
              <w:rPr>
                <w:sz w:val="23"/>
              </w:rPr>
              <w:t>visitantes.</w:t>
            </w:r>
          </w:p>
        </w:tc>
      </w:tr>
      <w:tr>
        <w:trPr>
          <w:trHeight w:val="1894" w:hRule="exact"/>
        </w:trPr>
        <w:tc>
          <w:tcPr>
            <w:tcW w:w="2546" w:type="dxa"/>
            <w:tcBorders>
              <w:bottom w:val="single" w:sz="2" w:space="0" w:color="000000"/>
              <w:right w:val="single" w:sz="44" w:space="0" w:color="DBDBDB"/>
            </w:tcBorders>
            <w:shd w:val="clear" w:color="auto" w:fill="A5A5A5"/>
          </w:tcPr>
          <w:p>
            <w:pPr>
              <w:pStyle w:val="TableParagraph"/>
              <w:spacing w:line="247" w:lineRule="auto"/>
              <w:ind w:left="122" w:firstLine="580"/>
              <w:rPr>
                <w:b/>
                <w:sz w:val="23"/>
              </w:rPr>
            </w:pPr>
            <w:r>
              <w:rPr>
                <w:b/>
                <w:sz w:val="23"/>
              </w:rPr>
              <w:t>Turista de naturaleza promedio</w:t>
            </w:r>
          </w:p>
        </w:tc>
        <w:tc>
          <w:tcPr>
            <w:tcW w:w="6658" w:type="dxa"/>
            <w:tcBorders>
              <w:bottom w:val="single" w:sz="2" w:space="0" w:color="000000"/>
            </w:tcBorders>
            <w:shd w:val="clear" w:color="auto" w:fill="DBDBDB"/>
          </w:tcPr>
          <w:p>
            <w:pPr>
              <w:pStyle w:val="TableParagraph"/>
              <w:spacing w:line="244" w:lineRule="auto"/>
              <w:ind w:left="100" w:right="95"/>
              <w:jc w:val="both"/>
              <w:rPr>
                <w:sz w:val="23"/>
              </w:rPr>
            </w:pPr>
            <w:r>
              <w:rPr>
                <w:sz w:val="23"/>
              </w:rPr>
              <w:t>Expresa un interés por la naturaleza poco especializado, sensibilidad ambiental superior al promedio, períodos de estancia relativamente cortos, demanda una infraestructura convencional, tiene grandes expectativas acerca de la calidad de la experiencia y demanda información, no es exigente con respecto a los contextos naturales no perturbados, ni evita las grandes concentraciones de visitantes.</w:t>
            </w:r>
          </w:p>
        </w:tc>
      </w:tr>
      <w:tr>
        <w:trPr>
          <w:trHeight w:val="1891" w:hRule="exact"/>
        </w:trPr>
        <w:tc>
          <w:tcPr>
            <w:tcW w:w="2546" w:type="dxa"/>
            <w:tcBorders>
              <w:top w:val="single" w:sz="2" w:space="0" w:color="000000"/>
              <w:right w:val="single" w:sz="44" w:space="0" w:color="EDEDED"/>
            </w:tcBorders>
            <w:shd w:val="clear" w:color="auto" w:fill="A5A5A5"/>
          </w:tcPr>
          <w:p>
            <w:pPr>
              <w:pStyle w:val="TableParagraph"/>
              <w:spacing w:line="247" w:lineRule="auto"/>
              <w:ind w:left="290" w:firstLine="412"/>
              <w:rPr>
                <w:b/>
                <w:sz w:val="23"/>
              </w:rPr>
            </w:pPr>
            <w:r>
              <w:rPr>
                <w:b/>
                <w:sz w:val="23"/>
              </w:rPr>
              <w:t>Turista de naturaleza casual</w:t>
            </w:r>
          </w:p>
        </w:tc>
        <w:tc>
          <w:tcPr>
            <w:tcW w:w="6658" w:type="dxa"/>
            <w:tcBorders>
              <w:top w:val="single" w:sz="2" w:space="0" w:color="000000"/>
            </w:tcBorders>
            <w:shd w:val="clear" w:color="auto" w:fill="EDEDED"/>
          </w:tcPr>
          <w:p>
            <w:pPr>
              <w:pStyle w:val="TableParagraph"/>
              <w:spacing w:line="244" w:lineRule="auto"/>
              <w:ind w:left="100" w:right="95"/>
              <w:jc w:val="both"/>
              <w:rPr>
                <w:sz w:val="23"/>
              </w:rPr>
            </w:pPr>
            <w:r>
              <w:rPr>
                <w:sz w:val="23"/>
              </w:rPr>
              <w:t>Muestra un interés superficial en la naturaleza, sensibilidad ambiental promedio, períodos de estancia sumamente cortos (generalmente de un día), gran demanda de infraestructura, mayores expectativas con respecto a la experiencia buscada, pero no le otorga importancia a un contexto natural no perturbado y no demanda información sobre el lugar que  visita, insensible a las grandes concentraciones de </w:t>
            </w:r>
            <w:r>
              <w:rPr>
                <w:spacing w:val="6"/>
                <w:sz w:val="23"/>
              </w:rPr>
              <w:t> </w:t>
            </w:r>
            <w:r>
              <w:rPr>
                <w:sz w:val="23"/>
              </w:rPr>
              <w:t>visitantes.</w:t>
            </w:r>
          </w:p>
        </w:tc>
      </w:tr>
    </w:tbl>
    <w:p>
      <w:pPr>
        <w:pStyle w:val="BodyText"/>
        <w:rPr>
          <w:sz w:val="20"/>
        </w:rPr>
      </w:pPr>
    </w:p>
    <w:p>
      <w:pPr>
        <w:pStyle w:val="BodyText"/>
        <w:spacing w:before="5"/>
        <w:rPr>
          <w:sz w:val="18"/>
        </w:rPr>
      </w:pPr>
    </w:p>
    <w:p>
      <w:pPr>
        <w:pStyle w:val="BodyText"/>
        <w:spacing w:before="74"/>
        <w:ind w:left="215" w:right="512"/>
      </w:pPr>
      <w:r>
        <w:rPr/>
        <w:t>Fuente: Elaboración propia a partir de Mugica &amp; De Lucio, Vera </w:t>
      </w:r>
      <w:r>
        <w:rPr>
          <w:i/>
        </w:rPr>
        <w:t>et. al </w:t>
      </w:r>
      <w:r>
        <w:rPr/>
        <w:t>(en Muñoz, 2008,</w:t>
      </w:r>
    </w:p>
    <w:p>
      <w:pPr>
        <w:pStyle w:val="BodyText"/>
        <w:spacing w:before="134"/>
        <w:ind w:left="216" w:right="512"/>
      </w:pPr>
      <w:r>
        <w:rPr/>
        <w:t>p. 297) y Ruíz (s/a).</w:t>
      </w:r>
    </w:p>
    <w:p>
      <w:pPr>
        <w:spacing w:after="0"/>
        <w:sectPr>
          <w:footerReference w:type="default" r:id="rId39"/>
          <w:pgSz w:w="11910" w:h="16840"/>
          <w:pgMar w:footer="1711" w:header="1066" w:top="1460" w:bottom="1900" w:left="1440" w:right="200"/>
          <w:pgNumType w:start="70"/>
        </w:sectPr>
      </w:pPr>
    </w:p>
    <w:p>
      <w:pPr>
        <w:pStyle w:val="BodyText"/>
        <w:rPr>
          <w:sz w:val="20"/>
        </w:rPr>
      </w:pPr>
    </w:p>
    <w:p>
      <w:pPr>
        <w:pStyle w:val="BodyText"/>
        <w:spacing w:before="10"/>
        <w:rPr>
          <w:sz w:val="17"/>
        </w:rPr>
      </w:pPr>
    </w:p>
    <w:p>
      <w:pPr>
        <w:pStyle w:val="Heading2"/>
        <w:ind w:right="989"/>
        <w:jc w:val="left"/>
      </w:pPr>
      <w:r>
        <w:rPr/>
        <w:t>3.3.1. Características del visitante y normatividad en las  ANP´s.</w:t>
      </w:r>
    </w:p>
    <w:p>
      <w:pPr>
        <w:pStyle w:val="BodyText"/>
        <w:rPr>
          <w:b/>
          <w:sz w:val="22"/>
        </w:rPr>
      </w:pPr>
    </w:p>
    <w:p>
      <w:pPr>
        <w:pStyle w:val="BodyText"/>
        <w:spacing w:line="364" w:lineRule="auto" w:before="1"/>
        <w:ind w:left="115" w:right="898"/>
        <w:jc w:val="both"/>
      </w:pPr>
      <w:r>
        <w:rPr/>
        <w:t>Los ecoturistas tienden a tener un nivel educativo superior </w:t>
      </w:r>
      <w:r>
        <w:rPr>
          <w:spacing w:val="4"/>
        </w:rPr>
        <w:t>al </w:t>
      </w:r>
      <w:r>
        <w:rPr/>
        <w:t>de los turistas en general, por lo tanto, </w:t>
      </w:r>
      <w:r>
        <w:rPr>
          <w:spacing w:val="3"/>
        </w:rPr>
        <w:t>se </w:t>
      </w:r>
      <w:r>
        <w:rPr/>
        <w:t>requiere material explicativo, servicios de interpretación y guías </w:t>
      </w:r>
      <w:r>
        <w:rPr>
          <w:spacing w:val="-3"/>
        </w:rPr>
        <w:t>que </w:t>
      </w:r>
      <w:r>
        <w:rPr/>
        <w:t>interpreten </w:t>
      </w:r>
      <w:r>
        <w:rPr>
          <w:spacing w:val="-5"/>
        </w:rPr>
        <w:t>la </w:t>
      </w:r>
      <w:r>
        <w:rPr/>
        <w:t>naturaleza (Muñoz, 2008). Lo que a </w:t>
      </w:r>
      <w:r>
        <w:rPr>
          <w:spacing w:val="3"/>
        </w:rPr>
        <w:t>su </w:t>
      </w:r>
      <w:r>
        <w:rPr/>
        <w:t>vez contribuye a generar un comportamiento responsable con el</w:t>
      </w:r>
      <w:r>
        <w:rPr>
          <w:spacing w:val="54"/>
        </w:rPr>
        <w:t> </w:t>
      </w:r>
      <w:r>
        <w:rPr/>
        <w:t>entorno.</w:t>
      </w:r>
    </w:p>
    <w:p>
      <w:pPr>
        <w:pStyle w:val="BodyText"/>
        <w:spacing w:line="364" w:lineRule="auto" w:before="120"/>
        <w:ind w:left="115" w:right="897"/>
        <w:jc w:val="both"/>
      </w:pPr>
      <w:r>
        <w:rPr/>
        <w:t>La edad promedio del turista de naturaleza oscila entre los 30 y 50 años. El segmento femenino representa entre el 50 y el 65 %, dependiendo del tipo de actividad. En cuanto al segmento masculino constituyen </w:t>
      </w:r>
      <w:r>
        <w:rPr>
          <w:spacing w:val="3"/>
        </w:rPr>
        <w:t>en </w:t>
      </w:r>
      <w:r>
        <w:rPr/>
        <w:t>su </w:t>
      </w:r>
      <w:r>
        <w:rPr>
          <w:spacing w:val="-3"/>
        </w:rPr>
        <w:t>mayoría </w:t>
      </w:r>
      <w:r>
        <w:rPr/>
        <w:t>el turismo de aventura (Ruíz, s/a). Se considera que el nivel educativo </w:t>
      </w:r>
      <w:r>
        <w:rPr>
          <w:spacing w:val="-3"/>
        </w:rPr>
        <w:t>de </w:t>
      </w:r>
      <w:r>
        <w:rPr/>
        <w:t>estos viajeros explica su exigencia de información y sus altas expectativas en cuanto a la calidad de la</w:t>
      </w:r>
      <w:r>
        <w:rPr>
          <w:spacing w:val="63"/>
        </w:rPr>
        <w:t> </w:t>
      </w:r>
      <w:r>
        <w:rPr/>
        <w:t>experiencia.</w:t>
      </w:r>
    </w:p>
    <w:p>
      <w:pPr>
        <w:pStyle w:val="BodyText"/>
        <w:spacing w:line="364" w:lineRule="auto" w:before="120"/>
        <w:ind w:left="115" w:right="896"/>
        <w:jc w:val="both"/>
      </w:pPr>
      <w:r>
        <w:rPr/>
        <w:t>El gasto promedio del turista de naturaleza es superior a la media, algunos de ellos se consideran de clase media alta, y profesionales altamente calificados. </w:t>
      </w:r>
      <w:r>
        <w:rPr>
          <w:spacing w:val="-3"/>
        </w:rPr>
        <w:t>Las </w:t>
      </w:r>
      <w:r>
        <w:rPr/>
        <w:t>parejas jóvenes o las parejas de jubilados representan un fuerte mercado potencial. En cuando  al gasto promedio se consideran dos modalidades de viaje, el turista que  viaja  de manera individual y el que viaja en grupos organizados; siendo este último </w:t>
      </w:r>
      <w:r>
        <w:rPr>
          <w:spacing w:val="2"/>
        </w:rPr>
        <w:t>caso </w:t>
      </w:r>
      <w:r>
        <w:rPr/>
        <w:t>el predominante.</w:t>
      </w:r>
    </w:p>
    <w:p>
      <w:pPr>
        <w:pStyle w:val="BodyText"/>
        <w:spacing w:line="364" w:lineRule="auto" w:before="125"/>
        <w:ind w:left="115" w:right="896"/>
        <w:jc w:val="both"/>
      </w:pPr>
      <w:r>
        <w:rPr/>
        <w:t>En la figura No. 12 se presentan los lineamientos que debe seguir el visitante de  las áreas naturales protegidas con el fin de contribuir a su conservación. Entre los que destacan no extraer flora y fauna, seguir las reglas administrativas, seguir las instrucciones y recomendaciones del personal y el manejo responsable de su  basura.</w:t>
      </w:r>
    </w:p>
    <w:p>
      <w:pPr>
        <w:pStyle w:val="BodyText"/>
        <w:spacing w:line="364" w:lineRule="auto" w:before="125"/>
        <w:ind w:left="115" w:right="895"/>
        <w:jc w:val="both"/>
      </w:pPr>
      <w:r>
        <w:rPr/>
        <w:t>Así, el reto de la actividad turística </w:t>
      </w:r>
      <w:r>
        <w:rPr>
          <w:spacing w:val="-3"/>
        </w:rPr>
        <w:t>es </w:t>
      </w:r>
      <w:r>
        <w:rPr/>
        <w:t>garantizar que los entornos naturales </w:t>
      </w:r>
      <w:r>
        <w:rPr>
          <w:spacing w:val="3"/>
        </w:rPr>
        <w:t>se </w:t>
      </w:r>
      <w:r>
        <w:rPr/>
        <w:t>respeten  y </w:t>
      </w:r>
      <w:r>
        <w:rPr>
          <w:spacing w:val="3"/>
        </w:rPr>
        <w:t>se </w:t>
      </w:r>
      <w:r>
        <w:rPr/>
        <w:t>conserven. Una opción para lograrlo es contar con diagnósticos sobre cuál es el conocimiento que tiene </w:t>
      </w:r>
      <w:r>
        <w:rPr>
          <w:spacing w:val="4"/>
        </w:rPr>
        <w:t>el </w:t>
      </w:r>
      <w:r>
        <w:rPr/>
        <w:t>turista del medio ambiente que visita. Si </w:t>
      </w:r>
      <w:r>
        <w:rPr>
          <w:spacing w:val="3"/>
        </w:rPr>
        <w:t>se </w:t>
      </w:r>
      <w:r>
        <w:rPr/>
        <w:t>conoce </w:t>
      </w:r>
      <w:r>
        <w:rPr>
          <w:spacing w:val="-5"/>
        </w:rPr>
        <w:t>lo </w:t>
      </w:r>
      <w:r>
        <w:rPr/>
        <w:t>que el turista piensa no sólo de los atractivos naturales, sino de la actividad misma y de los impactos ambientales que genera, será más fácil desarrollar e implementar acciones ambientalmente amigables por parte del turista. Asimismo, es importante asegurar que las actividades turísticas que se desarrollen sean compatibles con las necesidades </w:t>
      </w:r>
      <w:r>
        <w:rPr>
          <w:spacing w:val="-3"/>
        </w:rPr>
        <w:t>de </w:t>
      </w:r>
      <w:r>
        <w:rPr/>
        <w:t>conservación y con la capacidad de carga de los espacios </w:t>
      </w:r>
      <w:r>
        <w:rPr>
          <w:spacing w:val="16"/>
        </w:rPr>
        <w:t> </w:t>
      </w:r>
      <w:r>
        <w:rPr/>
        <w:t>protegidos.</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Heading2"/>
        <w:ind w:left="115" w:right="989"/>
        <w:jc w:val="left"/>
      </w:pPr>
      <w:r>
        <w:rPr/>
        <w:t>Tabla No. 4. Normatividad para visitantes en Áreas Naturales  Protegidas</w:t>
      </w:r>
    </w:p>
    <w:p>
      <w:pPr>
        <w:pStyle w:val="BodyText"/>
        <w:rPr>
          <w:b/>
          <w:sz w:val="20"/>
        </w:rPr>
      </w:pPr>
    </w:p>
    <w:p>
      <w:pPr>
        <w:pStyle w:val="BodyText"/>
        <w:rPr>
          <w:b/>
          <w:sz w:val="20"/>
        </w:rPr>
      </w:pPr>
    </w:p>
    <w:p>
      <w:pPr>
        <w:pStyle w:val="BodyText"/>
        <w:spacing w:before="6"/>
        <w:rPr>
          <w:b/>
          <w:sz w:val="27"/>
        </w:rPr>
      </w:pPr>
    </w:p>
    <w:tbl>
      <w:tblPr>
        <w:tblW w:w="0" w:type="auto"/>
        <w:jc w:val="left"/>
        <w:tblInd w:w="471"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CellMar>
          <w:top w:w="0" w:type="dxa"/>
          <w:left w:w="0" w:type="dxa"/>
          <w:bottom w:w="0" w:type="dxa"/>
          <w:right w:w="0" w:type="dxa"/>
        </w:tblCellMar>
        <w:tblLook w:val="01E0"/>
      </w:tblPr>
      <w:tblGrid>
        <w:gridCol w:w="8436"/>
      </w:tblGrid>
      <w:tr>
        <w:trPr>
          <w:trHeight w:val="1116" w:hRule="exact"/>
        </w:trPr>
        <w:tc>
          <w:tcPr>
            <w:tcW w:w="8436" w:type="dxa"/>
            <w:tcBorders>
              <w:left w:val="single" w:sz="2" w:space="0" w:color="A8D08D"/>
              <w:bottom w:val="single" w:sz="10" w:space="0" w:color="A8D08D"/>
            </w:tcBorders>
          </w:tcPr>
          <w:p>
            <w:pPr>
              <w:pStyle w:val="TableParagraph"/>
              <w:spacing w:before="11"/>
              <w:rPr>
                <w:b/>
                <w:sz w:val="22"/>
              </w:rPr>
            </w:pPr>
          </w:p>
          <w:p>
            <w:pPr>
              <w:pStyle w:val="TableParagraph"/>
              <w:ind w:left="364" w:right="364"/>
              <w:jc w:val="center"/>
              <w:rPr>
                <w:sz w:val="23"/>
              </w:rPr>
            </w:pPr>
            <w:r>
              <w:rPr>
                <w:sz w:val="23"/>
              </w:rPr>
              <w:t>Obedecer las reglas administrativas y la legislación  aplicable.</w:t>
            </w:r>
          </w:p>
        </w:tc>
      </w:tr>
      <w:tr>
        <w:trPr>
          <w:trHeight w:val="1092" w:hRule="exact"/>
        </w:trPr>
        <w:tc>
          <w:tcPr>
            <w:tcW w:w="8436" w:type="dxa"/>
            <w:tcBorders>
              <w:top w:val="single" w:sz="10" w:space="0" w:color="A8D08D"/>
              <w:left w:val="single" w:sz="2" w:space="0" w:color="A8D08D"/>
            </w:tcBorders>
            <w:shd w:val="clear" w:color="auto" w:fill="E2EFD9"/>
          </w:tcPr>
          <w:p>
            <w:pPr>
              <w:pStyle w:val="TableParagraph"/>
              <w:spacing w:before="4"/>
              <w:rPr>
                <w:b/>
                <w:sz w:val="23"/>
              </w:rPr>
            </w:pPr>
          </w:p>
          <w:p>
            <w:pPr>
              <w:pStyle w:val="TableParagraph"/>
              <w:ind w:left="1247" w:hanging="898"/>
              <w:rPr>
                <w:sz w:val="23"/>
              </w:rPr>
            </w:pPr>
            <w:r>
              <w:rPr>
                <w:sz w:val="23"/>
              </w:rPr>
              <w:t>Atender las observaciones y recomendaciones del personal, en materia de protección y conservación de los ecosistemas  existentes.</w:t>
            </w:r>
          </w:p>
        </w:tc>
      </w:tr>
      <w:tr>
        <w:trPr>
          <w:trHeight w:val="818" w:hRule="exact"/>
        </w:trPr>
        <w:tc>
          <w:tcPr>
            <w:tcW w:w="8436" w:type="dxa"/>
            <w:tcBorders>
              <w:left w:val="single" w:sz="2" w:space="0" w:color="A8D08D"/>
              <w:bottom w:val="single" w:sz="2" w:space="0" w:color="A8D08D"/>
            </w:tcBorders>
          </w:tcPr>
          <w:p>
            <w:pPr>
              <w:pStyle w:val="TableParagraph"/>
              <w:spacing w:line="244" w:lineRule="auto"/>
              <w:ind w:left="3441" w:hanging="3293"/>
              <w:rPr>
                <w:sz w:val="23"/>
              </w:rPr>
            </w:pPr>
            <w:r>
              <w:rPr>
                <w:sz w:val="23"/>
              </w:rPr>
              <w:t>No extraer plantas, animales o sus productos, como la tierra, rocas o cualquier material inerte.</w:t>
            </w:r>
          </w:p>
        </w:tc>
      </w:tr>
      <w:tr>
        <w:trPr>
          <w:trHeight w:val="1082" w:hRule="exact"/>
        </w:trPr>
        <w:tc>
          <w:tcPr>
            <w:tcW w:w="8436" w:type="dxa"/>
            <w:tcBorders>
              <w:top w:val="single" w:sz="2" w:space="0" w:color="A8D08D"/>
              <w:left w:val="single" w:sz="2" w:space="0" w:color="A8D08D"/>
            </w:tcBorders>
            <w:shd w:val="clear" w:color="auto" w:fill="E2EFD9"/>
          </w:tcPr>
          <w:p>
            <w:pPr>
              <w:pStyle w:val="TableParagraph"/>
              <w:spacing w:before="11"/>
              <w:rPr>
                <w:b/>
                <w:sz w:val="22"/>
              </w:rPr>
            </w:pPr>
          </w:p>
          <w:p>
            <w:pPr>
              <w:pStyle w:val="TableParagraph"/>
              <w:spacing w:line="244" w:lineRule="auto"/>
              <w:ind w:left="532" w:hanging="116"/>
              <w:rPr>
                <w:sz w:val="23"/>
              </w:rPr>
            </w:pPr>
            <w:r>
              <w:rPr>
                <w:sz w:val="23"/>
              </w:rPr>
              <w:t>Mantener las condiciones del sitio, evitando disturbios auditivos, molestar animales, cortar plantas, apropiarse de fósiles u objetos  arqueológicos.</w:t>
            </w:r>
          </w:p>
        </w:tc>
      </w:tr>
      <w:tr>
        <w:trPr>
          <w:trHeight w:val="1085" w:hRule="exact"/>
        </w:trPr>
        <w:tc>
          <w:tcPr>
            <w:tcW w:w="8436" w:type="dxa"/>
            <w:tcBorders>
              <w:left w:val="single" w:sz="2" w:space="0" w:color="A8D08D"/>
            </w:tcBorders>
          </w:tcPr>
          <w:p>
            <w:pPr>
              <w:pStyle w:val="TableParagraph"/>
              <w:spacing w:before="11"/>
              <w:rPr>
                <w:b/>
                <w:sz w:val="22"/>
              </w:rPr>
            </w:pPr>
          </w:p>
          <w:p>
            <w:pPr>
              <w:pStyle w:val="TableParagraph"/>
              <w:spacing w:line="244" w:lineRule="auto"/>
              <w:ind w:left="1574" w:hanging="1469"/>
              <w:rPr>
                <w:sz w:val="23"/>
              </w:rPr>
            </w:pPr>
            <w:r>
              <w:rPr>
                <w:sz w:val="23"/>
              </w:rPr>
              <w:t>Retirar todos sus desechos sólidos y líquidos, orgánicos e inorgánicos, en caso de no contar con instalaciones para su disposición.</w:t>
            </w:r>
          </w:p>
        </w:tc>
      </w:tr>
      <w:tr>
        <w:trPr>
          <w:trHeight w:val="1349" w:hRule="exact"/>
        </w:trPr>
        <w:tc>
          <w:tcPr>
            <w:tcW w:w="8436" w:type="dxa"/>
            <w:tcBorders>
              <w:left w:val="single" w:sz="2" w:space="0" w:color="A8D08D"/>
            </w:tcBorders>
            <w:shd w:val="clear" w:color="auto" w:fill="E2EFD9"/>
          </w:tcPr>
          <w:p>
            <w:pPr>
              <w:pStyle w:val="TableParagraph"/>
              <w:spacing w:before="6"/>
              <w:rPr>
                <w:b/>
                <w:sz w:val="22"/>
              </w:rPr>
            </w:pPr>
          </w:p>
          <w:p>
            <w:pPr>
              <w:pStyle w:val="TableParagraph"/>
              <w:spacing w:line="244" w:lineRule="auto"/>
              <w:ind w:left="288" w:right="284" w:hanging="1"/>
              <w:jc w:val="center"/>
              <w:rPr>
                <w:sz w:val="23"/>
              </w:rPr>
            </w:pPr>
            <w:r>
              <w:rPr>
                <w:sz w:val="23"/>
              </w:rPr>
              <w:t>Utilizar los baños secos o letrinas de bajo impacto, en caso de que estos no existan el visitante deberá utilizar la técnica del hoyo de gato para defecar a una distancia mínima de 60 metros de cualquier cuerpo de  agua.</w:t>
            </w:r>
          </w:p>
        </w:tc>
      </w:tr>
      <w:tr>
        <w:trPr>
          <w:trHeight w:val="821" w:hRule="exact"/>
        </w:trPr>
        <w:tc>
          <w:tcPr>
            <w:tcW w:w="8436" w:type="dxa"/>
            <w:tcBorders>
              <w:left w:val="single" w:sz="2" w:space="0" w:color="A8D08D"/>
            </w:tcBorders>
          </w:tcPr>
          <w:p>
            <w:pPr>
              <w:pStyle w:val="TableParagraph"/>
              <w:spacing w:before="4"/>
              <w:rPr>
                <w:b/>
                <w:sz w:val="23"/>
              </w:rPr>
            </w:pPr>
          </w:p>
          <w:p>
            <w:pPr>
              <w:pStyle w:val="TableParagraph"/>
              <w:ind w:left="364" w:right="361"/>
              <w:jc w:val="center"/>
              <w:rPr>
                <w:sz w:val="23"/>
              </w:rPr>
            </w:pPr>
            <w:r>
              <w:rPr>
                <w:sz w:val="23"/>
              </w:rPr>
              <w:t>No arrojar desechos líquidos o sólidos a los cuerpos de  agua.</w:t>
            </w:r>
          </w:p>
        </w:tc>
      </w:tr>
      <w:tr>
        <w:trPr>
          <w:trHeight w:val="811" w:hRule="exact"/>
        </w:trPr>
        <w:tc>
          <w:tcPr>
            <w:tcW w:w="8436" w:type="dxa"/>
            <w:tcBorders>
              <w:left w:val="single" w:sz="2" w:space="0" w:color="A8D08D"/>
            </w:tcBorders>
            <w:shd w:val="clear" w:color="auto" w:fill="E2EFD9"/>
          </w:tcPr>
          <w:p>
            <w:pPr>
              <w:pStyle w:val="TableParagraph"/>
              <w:spacing w:before="6"/>
              <w:rPr>
                <w:b/>
                <w:sz w:val="22"/>
              </w:rPr>
            </w:pPr>
          </w:p>
          <w:p>
            <w:pPr>
              <w:pStyle w:val="TableParagraph"/>
              <w:ind w:left="364" w:right="359"/>
              <w:jc w:val="center"/>
              <w:rPr>
                <w:sz w:val="23"/>
              </w:rPr>
            </w:pPr>
            <w:r>
              <w:rPr>
                <w:sz w:val="23"/>
              </w:rPr>
              <w:t>Evitar el uso de fuegos.</w:t>
            </w:r>
          </w:p>
        </w:tc>
      </w:tr>
      <w:tr>
        <w:trPr>
          <w:trHeight w:val="1090" w:hRule="exact"/>
        </w:trPr>
        <w:tc>
          <w:tcPr>
            <w:tcW w:w="8436" w:type="dxa"/>
            <w:tcBorders>
              <w:left w:val="single" w:sz="2" w:space="0" w:color="A8D08D"/>
            </w:tcBorders>
          </w:tcPr>
          <w:p>
            <w:pPr>
              <w:pStyle w:val="TableParagraph"/>
              <w:spacing w:before="11"/>
              <w:rPr>
                <w:b/>
                <w:sz w:val="22"/>
              </w:rPr>
            </w:pPr>
          </w:p>
          <w:p>
            <w:pPr>
              <w:pStyle w:val="TableParagraph"/>
              <w:spacing w:line="247" w:lineRule="auto"/>
              <w:ind w:left="2548" w:hanging="2103"/>
              <w:rPr>
                <w:sz w:val="23"/>
              </w:rPr>
            </w:pPr>
            <w:r>
              <w:rPr>
                <w:sz w:val="23"/>
              </w:rPr>
              <w:t>Informar a los visitantes acerca de las zonas de uso público para realizar actividades turístico-recreativas.</w:t>
            </w:r>
          </w:p>
        </w:tc>
      </w:tr>
      <w:tr>
        <w:trPr>
          <w:trHeight w:val="811" w:hRule="exact"/>
        </w:trPr>
        <w:tc>
          <w:tcPr>
            <w:tcW w:w="8436" w:type="dxa"/>
            <w:tcBorders>
              <w:left w:val="single" w:sz="2" w:space="0" w:color="A8D08D"/>
            </w:tcBorders>
            <w:shd w:val="clear" w:color="auto" w:fill="E2EFD9"/>
          </w:tcPr>
          <w:p>
            <w:pPr>
              <w:pStyle w:val="TableParagraph"/>
              <w:spacing w:before="6"/>
              <w:rPr>
                <w:b/>
                <w:sz w:val="22"/>
              </w:rPr>
            </w:pPr>
          </w:p>
          <w:p>
            <w:pPr>
              <w:pStyle w:val="TableParagraph"/>
              <w:ind w:left="364" w:right="360"/>
              <w:jc w:val="center"/>
              <w:rPr>
                <w:sz w:val="23"/>
              </w:rPr>
            </w:pPr>
            <w:r>
              <w:rPr>
                <w:sz w:val="23"/>
              </w:rPr>
              <w:t>Mantener en buen estado las</w:t>
            </w:r>
            <w:r>
              <w:rPr>
                <w:spacing w:val="52"/>
                <w:sz w:val="23"/>
              </w:rPr>
              <w:t> </w:t>
            </w:r>
            <w:r>
              <w:rPr>
                <w:sz w:val="23"/>
              </w:rPr>
              <w:t>instalaciones.</w:t>
            </w:r>
          </w:p>
        </w:tc>
      </w:tr>
      <w:tr>
        <w:trPr>
          <w:trHeight w:val="821" w:hRule="exact"/>
        </w:trPr>
        <w:tc>
          <w:tcPr>
            <w:tcW w:w="8436" w:type="dxa"/>
            <w:tcBorders>
              <w:left w:val="single" w:sz="2" w:space="0" w:color="A8D08D"/>
            </w:tcBorders>
          </w:tcPr>
          <w:p>
            <w:pPr>
              <w:pStyle w:val="TableParagraph"/>
              <w:spacing w:before="4"/>
              <w:rPr>
                <w:b/>
                <w:sz w:val="23"/>
              </w:rPr>
            </w:pPr>
          </w:p>
          <w:p>
            <w:pPr>
              <w:pStyle w:val="TableParagraph"/>
              <w:ind w:left="364" w:right="364"/>
              <w:jc w:val="center"/>
              <w:rPr>
                <w:sz w:val="23"/>
              </w:rPr>
            </w:pPr>
            <w:r>
              <w:rPr>
                <w:sz w:val="23"/>
              </w:rPr>
              <w:t>Difundir un código de conducta homogéneo en todas las áreas  protegidas.</w:t>
            </w:r>
          </w:p>
        </w:tc>
      </w:tr>
    </w:tbl>
    <w:p>
      <w:pPr>
        <w:pStyle w:val="BodyText"/>
        <w:rPr>
          <w:b/>
          <w:sz w:val="22"/>
        </w:rPr>
      </w:pPr>
    </w:p>
    <w:p>
      <w:pPr>
        <w:pStyle w:val="BodyText"/>
        <w:spacing w:before="3"/>
        <w:rPr>
          <w:b/>
          <w:sz w:val="22"/>
        </w:rPr>
      </w:pPr>
    </w:p>
    <w:p>
      <w:pPr>
        <w:pStyle w:val="BodyText"/>
        <w:ind w:left="115" w:right="989"/>
      </w:pPr>
      <w:r>
        <w:rPr/>
        <w:t>Fuente: Elaboración propia, a partir de CONANP (2007, p.  34)</w:t>
      </w:r>
    </w:p>
    <w:p>
      <w:pPr>
        <w:spacing w:after="0"/>
        <w:sectPr>
          <w:pgSz w:w="11910" w:h="16840"/>
          <w:pgMar w:header="1066" w:footer="1711" w:top="1460" w:bottom="1900" w:left="1540" w:right="200"/>
        </w:sectPr>
      </w:pPr>
    </w:p>
    <w:p>
      <w:pPr>
        <w:pStyle w:val="BodyText"/>
        <w:rPr>
          <w:sz w:val="20"/>
        </w:rPr>
      </w:pPr>
    </w:p>
    <w:p>
      <w:pPr>
        <w:pStyle w:val="BodyText"/>
        <w:rPr>
          <w:sz w:val="20"/>
        </w:rPr>
      </w:pPr>
    </w:p>
    <w:p>
      <w:pPr>
        <w:pStyle w:val="BodyText"/>
        <w:rPr>
          <w:sz w:val="20"/>
        </w:rPr>
      </w:pPr>
    </w:p>
    <w:p>
      <w:pPr>
        <w:pStyle w:val="BodyText"/>
      </w:pPr>
    </w:p>
    <w:p>
      <w:pPr>
        <w:pStyle w:val="Heading2"/>
        <w:numPr>
          <w:ilvl w:val="1"/>
          <w:numId w:val="22"/>
        </w:numPr>
        <w:tabs>
          <w:tab w:pos="817" w:val="left" w:leader="none"/>
        </w:tabs>
        <w:spacing w:line="240" w:lineRule="auto" w:before="73" w:after="0"/>
        <w:ind w:left="816" w:right="0" w:hanging="700"/>
        <w:jc w:val="both"/>
      </w:pPr>
      <w:r>
        <w:rPr/>
        <w:t>Parque Nacional Desierto de los</w:t>
      </w:r>
      <w:r>
        <w:rPr>
          <w:spacing w:val="48"/>
        </w:rPr>
        <w:t> </w:t>
      </w:r>
      <w:r>
        <w:rPr/>
        <w:t>Leones.</w:t>
      </w:r>
    </w:p>
    <w:p>
      <w:pPr>
        <w:pStyle w:val="BodyText"/>
        <w:rPr>
          <w:b/>
          <w:sz w:val="22"/>
        </w:rPr>
      </w:pPr>
    </w:p>
    <w:p>
      <w:pPr>
        <w:pStyle w:val="BodyText"/>
        <w:spacing w:line="364" w:lineRule="auto" w:before="1"/>
        <w:ind w:left="116" w:right="898"/>
        <w:jc w:val="both"/>
      </w:pPr>
      <w:r>
        <w:rPr/>
        <w:t>Es desde 1917, cuando fue declarado Parque Nacional por </w:t>
      </w:r>
      <w:r>
        <w:rPr>
          <w:spacing w:val="4"/>
        </w:rPr>
        <w:t>el </w:t>
      </w:r>
      <w:r>
        <w:rPr/>
        <w:t>presidente Venustiano Carranza, un lugar de esparcimiento y recreación para quien desea estar en contacto  con la</w:t>
      </w:r>
      <w:r>
        <w:rPr>
          <w:spacing w:val="13"/>
        </w:rPr>
        <w:t> </w:t>
      </w:r>
      <w:r>
        <w:rPr/>
        <w:t>naturaleza.</w:t>
      </w:r>
    </w:p>
    <w:p>
      <w:pPr>
        <w:pStyle w:val="BodyText"/>
        <w:spacing w:line="364" w:lineRule="auto" w:before="120"/>
        <w:ind w:left="116" w:right="893"/>
        <w:jc w:val="both"/>
      </w:pPr>
      <w:r>
        <w:rPr/>
        <w:t>Ubicado al poniente de la Ciudad de México, el Desierto de los Leones es un parque nacional muy importante, </w:t>
      </w:r>
      <w:r>
        <w:rPr>
          <w:spacing w:val="-4"/>
        </w:rPr>
        <w:t>ya </w:t>
      </w:r>
      <w:r>
        <w:rPr/>
        <w:t>que cuenta con mil 866 hectáreas de bosque y una gran variedad de especies de plantas y animales. Su clima es semifrío y semihúmedo, y con lluvias en el verano. El bosque tiene árboles como </w:t>
      </w:r>
      <w:r>
        <w:rPr>
          <w:spacing w:val="-3"/>
        </w:rPr>
        <w:t>oyamel, </w:t>
      </w:r>
      <w:r>
        <w:rPr/>
        <w:t>fresno, encino, entre otros. Existen </w:t>
      </w:r>
      <w:r>
        <w:rPr>
          <w:spacing w:val="-3"/>
        </w:rPr>
        <w:t>más </w:t>
      </w:r>
      <w:r>
        <w:rPr/>
        <w:t>de cien especies de</w:t>
      </w:r>
      <w:r>
        <w:rPr>
          <w:spacing w:val="59"/>
        </w:rPr>
        <w:t> </w:t>
      </w:r>
      <w:r>
        <w:rPr/>
        <w:t>hongos.</w:t>
      </w:r>
    </w:p>
    <w:p>
      <w:pPr>
        <w:pStyle w:val="BodyText"/>
        <w:spacing w:line="364" w:lineRule="auto" w:before="120"/>
        <w:ind w:left="116" w:right="892"/>
        <w:jc w:val="both"/>
      </w:pPr>
      <w:r>
        <w:rPr/>
        <w:t>En cuanto a su fauna, </w:t>
      </w:r>
      <w:r>
        <w:rPr>
          <w:spacing w:val="-3"/>
        </w:rPr>
        <w:t>hay </w:t>
      </w:r>
      <w:r>
        <w:rPr/>
        <w:t>más de cien aves, 30 mamíferos, 7 especies de anfibios y 9  de reptiles. Algunas de las especies más importantes son los tlacuaches, conejos, mapaches, coyotes, zorros grises, venados de cola blanca,  halcones,  pájaros carpintero, murciélgos, etc. Además del bosque, el Parque cuenta con </w:t>
      </w:r>
      <w:r>
        <w:rPr>
          <w:spacing w:val="-3"/>
        </w:rPr>
        <w:t>un </w:t>
      </w:r>
      <w:r>
        <w:rPr/>
        <w:t>ex-convento, llamado del mismo nombre, túneles subterráneos, jardines, reserva </w:t>
      </w:r>
      <w:r>
        <w:rPr>
          <w:spacing w:val="-3"/>
        </w:rPr>
        <w:t>de </w:t>
      </w:r>
      <w:r>
        <w:rPr/>
        <w:t>venados, restaurante, espacios para exposiciones y</w:t>
      </w:r>
      <w:r>
        <w:rPr>
          <w:spacing w:val="56"/>
        </w:rPr>
        <w:t> </w:t>
      </w:r>
      <w:r>
        <w:rPr/>
        <w:t>eventos.</w:t>
      </w:r>
    </w:p>
    <w:p>
      <w:pPr>
        <w:pStyle w:val="BodyText"/>
        <w:rPr>
          <w:sz w:val="22"/>
        </w:rPr>
      </w:pPr>
    </w:p>
    <w:p>
      <w:pPr>
        <w:pStyle w:val="BodyText"/>
        <w:rPr>
          <w:sz w:val="22"/>
        </w:rPr>
      </w:pPr>
    </w:p>
    <w:p>
      <w:pPr>
        <w:pStyle w:val="Heading2"/>
        <w:numPr>
          <w:ilvl w:val="2"/>
          <w:numId w:val="24"/>
        </w:numPr>
        <w:tabs>
          <w:tab w:pos="880" w:val="left" w:leader="none"/>
        </w:tabs>
        <w:spacing w:line="240" w:lineRule="auto" w:before="137" w:after="0"/>
        <w:ind w:left="879" w:right="0" w:hanging="763"/>
        <w:jc w:val="both"/>
      </w:pPr>
      <w:r>
        <w:rPr/>
        <w:t>Datos generales del Parque</w:t>
      </w:r>
      <w:r>
        <w:rPr>
          <w:spacing w:val="50"/>
        </w:rPr>
        <w:t> </w:t>
      </w:r>
      <w:r>
        <w:rPr/>
        <w:t>Nacional</w:t>
      </w:r>
    </w:p>
    <w:p>
      <w:pPr>
        <w:pStyle w:val="BodyText"/>
        <w:spacing w:before="5"/>
        <w:rPr>
          <w:b/>
          <w:sz w:val="22"/>
        </w:rPr>
      </w:pPr>
    </w:p>
    <w:p>
      <w:pPr>
        <w:pStyle w:val="BodyText"/>
        <w:spacing w:line="364" w:lineRule="auto"/>
        <w:ind w:left="116" w:right="890"/>
        <w:jc w:val="both"/>
      </w:pPr>
      <w:r>
        <w:rPr/>
        <w:t>El Parque Nacional Desierto de los Leones se localiza en </w:t>
      </w:r>
      <w:r>
        <w:rPr>
          <w:spacing w:val="-5"/>
        </w:rPr>
        <w:t>la </w:t>
      </w:r>
      <w:r>
        <w:rPr/>
        <w:t>región central de la  República Mexicana, al suroeste de la Cuenca de México. Pertenece a la unidad geomorfológica Sierra de Las Cruces, </w:t>
      </w:r>
      <w:r>
        <w:rPr>
          <w:spacing w:val="-3"/>
        </w:rPr>
        <w:t>que </w:t>
      </w:r>
      <w:r>
        <w:rPr/>
        <w:t>forma parte del sistema montañoso denominado Eje Neovolcánico Transversal (Cantoral, 1986). De acuerdo al plano oficial de la Comisión Nacional de Áreas Naturales Protegidas, el parque cuenta con </w:t>
      </w:r>
      <w:r>
        <w:rPr>
          <w:spacing w:val="-3"/>
        </w:rPr>
        <w:t>una </w:t>
      </w:r>
      <w:r>
        <w:rPr/>
        <w:t>superficie de 1529 </w:t>
      </w:r>
      <w:r>
        <w:rPr>
          <w:spacing w:val="-3"/>
        </w:rPr>
        <w:t>ha, </w:t>
      </w:r>
      <w:r>
        <w:rPr/>
        <w:t>conforme el artículo primero del decreto  de creación  publicado  en el Diario Oficial de </w:t>
      </w:r>
      <w:r>
        <w:rPr>
          <w:spacing w:val="-5"/>
        </w:rPr>
        <w:t>la </w:t>
      </w:r>
      <w:r>
        <w:rPr/>
        <w:t>Federación el 27 de noviembre de </w:t>
      </w:r>
      <w:r>
        <w:rPr>
          <w:spacing w:val="28"/>
        </w:rPr>
        <w:t> </w:t>
      </w:r>
      <w:r>
        <w:rPr/>
        <w:t>1917.</w:t>
      </w:r>
    </w:p>
    <w:p>
      <w:pPr>
        <w:pStyle w:val="BodyText"/>
        <w:spacing w:line="362" w:lineRule="auto" w:before="125"/>
        <w:ind w:left="116" w:right="902"/>
        <w:jc w:val="both"/>
      </w:pPr>
      <w:r>
        <w:rPr/>
        <w:t>El parque se ubica al poniente de </w:t>
      </w:r>
      <w:r>
        <w:rPr>
          <w:spacing w:val="-5"/>
        </w:rPr>
        <w:t>la </w:t>
      </w:r>
      <w:r>
        <w:rPr/>
        <w:t>Ciudad de México, dentro de las delegaciones  Álvaro Obregón y Cuajimalpa de Morelos, en el Distrito</w:t>
      </w:r>
      <w:r>
        <w:rPr>
          <w:spacing w:val="63"/>
        </w:rPr>
        <w:t> </w:t>
      </w:r>
      <w:r>
        <w:rPr/>
        <w:t>Federal.</w:t>
      </w:r>
    </w:p>
    <w:p>
      <w:pPr>
        <w:spacing w:after="0" w:line="362" w:lineRule="auto"/>
        <w:jc w:val="both"/>
        <w:sectPr>
          <w:pgSz w:w="11910" w:h="16840"/>
          <w:pgMar w:header="1066" w:footer="1711" w:top="1460" w:bottom="1900" w:left="1540" w:right="200"/>
        </w:sectPr>
      </w:pPr>
    </w:p>
    <w:p>
      <w:pPr>
        <w:pStyle w:val="BodyText"/>
        <w:ind w:left="100"/>
        <w:rPr>
          <w:sz w:val="20"/>
        </w:rPr>
      </w:pPr>
      <w:r>
        <w:rPr>
          <w:sz w:val="20"/>
        </w:rPr>
        <w:pict>
          <v:group style="width:496.8pt;height:23.55pt;mso-position-horizontal-relative:char;mso-position-vertical-relative:line" coordorigin="0,0" coordsize="9936,471">
            <v:shape style="position:absolute;left:8822;top:48;width:1114;height:278" type="#_x0000_t75" stroked="false">
              <v:imagedata r:id="rId5" o:title=""/>
            </v:shape>
            <v:shape style="position:absolute;left:0;top:0;width:9158;height:470" type="#_x0000_t75" stroked="false">
              <v:imagedata r:id="rId6" o:title=""/>
            </v:shape>
            <v:shape style="position:absolute;left:0;top:0;width:9936;height:471" type="#_x0000_t202" filled="false" stroked="false">
              <v:textbox inset="0,0,0,0">
                <w:txbxContent>
                  <w:p>
                    <w:pPr>
                      <w:spacing w:line="413" w:lineRule="exact" w:before="57"/>
                      <w:ind w:left="859" w:right="0" w:firstLine="0"/>
                      <w:jc w:val="left"/>
                      <w:rPr>
                        <w:rFonts w:ascii="Gabriola"/>
                        <w:sz w:val="27"/>
                      </w:rPr>
                    </w:pPr>
                    <w:r>
                      <w:rPr>
                        <w:rFonts w:ascii="Gabriola"/>
                        <w:sz w:val="27"/>
                      </w:rPr>
                      <w:t>Comportamiento Proambiental del Visitante en el Parque Nacional Desierto de los Leones</w:t>
                    </w:r>
                  </w:p>
                </w:txbxContent>
              </v:textbox>
              <w10:wrap type="none"/>
            </v:shape>
          </v:group>
        </w:pict>
      </w:r>
      <w:r>
        <w:rPr>
          <w:sz w:val="20"/>
        </w:rPr>
      </w:r>
    </w:p>
    <w:p>
      <w:pPr>
        <w:pStyle w:val="BodyText"/>
        <w:rPr>
          <w:sz w:val="20"/>
        </w:rPr>
      </w:pPr>
    </w:p>
    <w:p>
      <w:pPr>
        <w:pStyle w:val="BodyText"/>
        <w:spacing w:before="1"/>
        <w:rPr>
          <w:sz w:val="16"/>
        </w:rPr>
      </w:pPr>
    </w:p>
    <w:p>
      <w:pPr>
        <w:pStyle w:val="BodyText"/>
        <w:spacing w:before="73"/>
        <w:ind w:left="100"/>
        <w:jc w:val="both"/>
      </w:pPr>
      <w:r>
        <w:rPr/>
        <w:t>Figura No. 13. Ubicación Geográfica del Parque Nacional Desierto de los  Leones</w:t>
      </w:r>
    </w:p>
    <w:p>
      <w:pPr>
        <w:pStyle w:val="BodyText"/>
        <w:spacing w:before="7"/>
        <w:rPr>
          <w:sz w:val="13"/>
        </w:rPr>
      </w:pPr>
      <w:r>
        <w:rPr/>
        <w:drawing>
          <wp:anchor distT="0" distB="0" distL="0" distR="0" allowOverlap="1" layoutInCell="1" locked="0" behindDoc="0" simplePos="0" relativeHeight="1576">
            <wp:simplePos x="0" y="0"/>
            <wp:positionH relativeFrom="page">
              <wp:posOffset>1557527</wp:posOffset>
            </wp:positionH>
            <wp:positionV relativeFrom="paragraph">
              <wp:posOffset>124497</wp:posOffset>
            </wp:positionV>
            <wp:extent cx="4548064" cy="5238178"/>
            <wp:effectExtent l="0" t="0" r="0" b="0"/>
            <wp:wrapTopAndBottom/>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42" cstate="print"/>
                    <a:stretch>
                      <a:fillRect/>
                    </a:stretch>
                  </pic:blipFill>
                  <pic:spPr>
                    <a:xfrm>
                      <a:off x="0" y="0"/>
                      <a:ext cx="4548064" cy="5238178"/>
                    </a:xfrm>
                    <a:prstGeom prst="rect">
                      <a:avLst/>
                    </a:prstGeom>
                  </pic:spPr>
                </pic:pic>
              </a:graphicData>
            </a:graphic>
          </wp:anchor>
        </w:drawing>
      </w:r>
    </w:p>
    <w:p>
      <w:pPr>
        <w:pStyle w:val="BodyText"/>
        <w:spacing w:before="93"/>
        <w:ind w:left="100"/>
        <w:jc w:val="both"/>
      </w:pPr>
      <w:r>
        <w:rPr/>
        <w:t>Fuente: CONANP (2014)</w:t>
      </w:r>
    </w:p>
    <w:p>
      <w:pPr>
        <w:pStyle w:val="BodyText"/>
        <w:rPr>
          <w:sz w:val="22"/>
        </w:rPr>
      </w:pPr>
    </w:p>
    <w:p>
      <w:pPr>
        <w:pStyle w:val="BodyText"/>
        <w:rPr>
          <w:sz w:val="22"/>
        </w:rPr>
      </w:pPr>
    </w:p>
    <w:p>
      <w:pPr>
        <w:pStyle w:val="BodyText"/>
        <w:spacing w:before="1"/>
      </w:pPr>
    </w:p>
    <w:p>
      <w:pPr>
        <w:pStyle w:val="Heading2"/>
        <w:numPr>
          <w:ilvl w:val="2"/>
          <w:numId w:val="24"/>
        </w:numPr>
        <w:tabs>
          <w:tab w:pos="1478" w:val="left" w:leader="none"/>
          <w:tab w:pos="1479" w:val="left" w:leader="none"/>
        </w:tabs>
        <w:spacing w:line="240" w:lineRule="auto" w:before="1" w:after="0"/>
        <w:ind w:left="1478" w:right="0" w:hanging="1378"/>
        <w:jc w:val="both"/>
      </w:pPr>
      <w:r>
        <w:rPr/>
        <w:t>Atractivos de uso</w:t>
      </w:r>
      <w:r>
        <w:rPr>
          <w:spacing w:val="36"/>
        </w:rPr>
        <w:t> </w:t>
      </w:r>
      <w:r>
        <w:rPr/>
        <w:t>turístico</w:t>
      </w:r>
    </w:p>
    <w:p>
      <w:pPr>
        <w:pStyle w:val="BodyText"/>
        <w:spacing w:before="5"/>
        <w:rPr>
          <w:b/>
          <w:sz w:val="22"/>
        </w:rPr>
      </w:pPr>
    </w:p>
    <w:p>
      <w:pPr>
        <w:pStyle w:val="BodyText"/>
        <w:spacing w:line="364" w:lineRule="auto"/>
        <w:ind w:left="100" w:right="893"/>
        <w:jc w:val="both"/>
      </w:pPr>
      <w:r>
        <w:rPr/>
        <w:t>La reserva natural </w:t>
      </w:r>
      <w:r>
        <w:rPr>
          <w:spacing w:val="2"/>
        </w:rPr>
        <w:t>del </w:t>
      </w:r>
      <w:r>
        <w:rPr/>
        <w:t>Parque Nacional Desierto de los Leones (PNDL), tiene su origen en su nombre mismo y con la llegada de los carmelitas descalzos, quienes construyeron en este lugar su monasterio debido a la paz y tranquilidad del bosque  y  sus  manantiales, los cuales abastecían de agua a la capital del </w:t>
      </w:r>
      <w:r>
        <w:rPr>
          <w:spacing w:val="10"/>
        </w:rPr>
        <w:t> </w:t>
      </w:r>
      <w:r>
        <w:rPr/>
        <w:t>país.</w:t>
      </w:r>
    </w:p>
    <w:p>
      <w:pPr>
        <w:pStyle w:val="BodyText"/>
        <w:spacing w:line="369" w:lineRule="auto" w:before="120"/>
        <w:ind w:left="100" w:right="514"/>
      </w:pPr>
      <w:r>
        <w:rPr/>
        <w:t>Durante la independencia de México la orden religiosa se vio obligada a abandonar el convento,  cediendo  las  instalaciones  al  gobierno  para  los  carteles  militares  hasta el</w:t>
      </w:r>
    </w:p>
    <w:p>
      <w:pPr>
        <w:spacing w:after="0" w:line="369" w:lineRule="auto"/>
        <w:sectPr>
          <w:headerReference w:type="default" r:id="rId40"/>
          <w:footerReference w:type="default" r:id="rId41"/>
          <w:pgSz w:w="11910" w:h="16840"/>
          <w:pgMar w:header="0" w:footer="1711" w:top="1000" w:bottom="1900" w:left="1560" w:right="200"/>
          <w:pgNumType w:start="74"/>
        </w:sectPr>
      </w:pPr>
    </w:p>
    <w:p>
      <w:pPr>
        <w:pStyle w:val="BodyText"/>
        <w:rPr>
          <w:sz w:val="20"/>
        </w:rPr>
      </w:pPr>
    </w:p>
    <w:p>
      <w:pPr>
        <w:pStyle w:val="BodyText"/>
        <w:spacing w:before="10"/>
        <w:rPr>
          <w:sz w:val="17"/>
        </w:rPr>
      </w:pPr>
    </w:p>
    <w:p>
      <w:pPr>
        <w:pStyle w:val="BodyText"/>
        <w:spacing w:line="364" w:lineRule="auto" w:before="74"/>
        <w:ind w:left="115" w:right="894"/>
        <w:jc w:val="both"/>
      </w:pPr>
      <w:r>
        <w:rPr/>
        <w:t>siglo XIX, tiempo después los gobiernos </w:t>
      </w:r>
      <w:r>
        <w:rPr>
          <w:spacing w:val="-3"/>
        </w:rPr>
        <w:t>que </w:t>
      </w:r>
      <w:r>
        <w:rPr/>
        <w:t>prosiguieron conscientes de los recursos acuíferos y forestales del lugar, la declararon zona de reserva forestal e interés público en 1876, tiempo después iniciada la revolución Venustiano Carranza lo decreto Parque Nacional y en pleno siglo XX, ante el crecimiento de la Ciudad de México y la necesidad de contar con espacios naturales que propiciaran, </w:t>
      </w:r>
      <w:r>
        <w:rPr>
          <w:spacing w:val="-5"/>
        </w:rPr>
        <w:t>la </w:t>
      </w:r>
      <w:r>
        <w:rPr/>
        <w:t>recreación, esparcimiento y la importancia que el parque representa, el gobierno local y federal han buscado la conservación y expropiación </w:t>
      </w:r>
      <w:r>
        <w:rPr>
          <w:spacing w:val="2"/>
        </w:rPr>
        <w:t>del </w:t>
      </w:r>
      <w:r>
        <w:rPr/>
        <w:t>lugar convirtiéndolo en un lugar de recreación y esparcimiento para los habitantes del Distrito Federal principalmente y demás </w:t>
      </w:r>
      <w:r>
        <w:rPr>
          <w:spacing w:val="36"/>
        </w:rPr>
        <w:t> </w:t>
      </w:r>
      <w:r>
        <w:rPr/>
        <w:t>visitantes.</w:t>
      </w:r>
    </w:p>
    <w:p>
      <w:pPr>
        <w:pStyle w:val="BodyText"/>
        <w:spacing w:line="362" w:lineRule="auto" w:before="130"/>
        <w:ind w:left="116" w:right="896"/>
        <w:jc w:val="both"/>
      </w:pPr>
      <w:r>
        <w:rPr/>
        <w:t>Dentro del PNDL se pueden realizar diversas actividades desde correr, andar en bici, montar a caballo hasta para la realización de algún evento social como  bodas.</w:t>
      </w:r>
    </w:p>
    <w:p>
      <w:pPr>
        <w:pStyle w:val="BodyText"/>
        <w:spacing w:line="367" w:lineRule="auto" w:before="123"/>
        <w:ind w:left="115" w:right="1539"/>
        <w:jc w:val="both"/>
      </w:pPr>
      <w:r>
        <w:rPr/>
        <w:t>El bosque tiene más de mil 500 hectáreas, en donde las personas pueden realizar actividades al aire libre como caminatas, carreras, juegos, fogatas, picnics, etc., al mismo tiempo que disfrutan de la naturaleza.</w:t>
      </w:r>
    </w:p>
    <w:p>
      <w:pPr>
        <w:pStyle w:val="BodyText"/>
        <w:spacing w:line="364" w:lineRule="auto" w:before="117"/>
        <w:ind w:left="116" w:right="897"/>
        <w:jc w:val="both"/>
      </w:pPr>
      <w:r>
        <w:rPr/>
        <w:t>En el ex-convento se pueden recorrer mediante visitas guiadas los  túneles  subterráneos. Se tiene también una hostería, en donde actualmente </w:t>
      </w:r>
      <w:r>
        <w:rPr>
          <w:spacing w:val="3"/>
        </w:rPr>
        <w:t>se </w:t>
      </w:r>
      <w:r>
        <w:rPr/>
        <w:t>organizan  eventos como exposiciones, desayunos y presentaciones. En la nave mayor, que es el recinto religioso,se celebran los eventos religiosos de bodas, primeras comuniones y además </w:t>
      </w:r>
      <w:r>
        <w:rPr>
          <w:spacing w:val="3"/>
        </w:rPr>
        <w:t>se </w:t>
      </w:r>
      <w:r>
        <w:rPr/>
        <w:t>llevan a cabo representaciones teatrales, conciertos, coros, </w:t>
      </w:r>
      <w:r>
        <w:rPr>
          <w:spacing w:val="10"/>
        </w:rPr>
        <w:t> </w:t>
      </w:r>
      <w:r>
        <w:rPr/>
        <w:t>etc.</w:t>
      </w:r>
    </w:p>
    <w:p>
      <w:pPr>
        <w:pStyle w:val="BodyText"/>
        <w:spacing w:line="364" w:lineRule="auto" w:before="125"/>
        <w:ind w:left="116" w:right="892"/>
        <w:jc w:val="both"/>
      </w:pPr>
      <w:r>
        <w:rPr/>
        <w:t>Hay también un sitio llamado el Jardín de los Secretos, con vestigios antiguos y hermosos arbolados, </w:t>
      </w:r>
      <w:r>
        <w:rPr>
          <w:spacing w:val="-3"/>
        </w:rPr>
        <w:t>en </w:t>
      </w:r>
      <w:r>
        <w:rPr/>
        <w:t>donde también </w:t>
      </w:r>
      <w:r>
        <w:rPr>
          <w:spacing w:val="3"/>
        </w:rPr>
        <w:t>se </w:t>
      </w:r>
      <w:r>
        <w:rPr/>
        <w:t>llevan acabo diversos eventos. Cuenta con  un restaurante en donde </w:t>
      </w:r>
      <w:r>
        <w:rPr>
          <w:spacing w:val="3"/>
        </w:rPr>
        <w:t>se </w:t>
      </w:r>
      <w:r>
        <w:rPr/>
        <w:t>puede disfrutar deliciosos desayunos </w:t>
      </w:r>
      <w:r>
        <w:rPr>
          <w:spacing w:val="2"/>
        </w:rPr>
        <w:t>con </w:t>
      </w:r>
      <w:r>
        <w:rPr/>
        <w:t>pan recién horneado y comidas internacionales y hay también un museo del  Bicentenario,  en  donde se pueden apreciar exposiciones culturales y artísticas, como muestras cinematográficas, fotográficas, artesanales, teatrales, musicales, </w:t>
      </w:r>
      <w:r>
        <w:rPr>
          <w:spacing w:val="13"/>
        </w:rPr>
        <w:t> </w:t>
      </w:r>
      <w:r>
        <w:rPr/>
        <w:t>etc.</w:t>
      </w:r>
    </w:p>
    <w:p>
      <w:pPr>
        <w:pStyle w:val="BodyText"/>
        <w:spacing w:line="367" w:lineRule="auto" w:before="120"/>
        <w:ind w:left="116" w:right="894"/>
        <w:jc w:val="both"/>
      </w:pPr>
      <w:r>
        <w:rPr/>
        <w:t>Afuera de las instalaciones del convento, a orillas  del bosque, también se encuentran  dos zonas de alimentos y bebidas, venta de artesanías e instalaciones para tirolesa. El PNDL recibe poco más de 3700 turistas </w:t>
      </w:r>
      <w:r>
        <w:rPr>
          <w:spacing w:val="-3"/>
        </w:rPr>
        <w:t>al </w:t>
      </w:r>
      <w:r>
        <w:rPr/>
        <w:t>mes y la afluencia de visitantes sigue aumentando debido a </w:t>
      </w:r>
      <w:r>
        <w:rPr>
          <w:spacing w:val="-5"/>
        </w:rPr>
        <w:t>la </w:t>
      </w:r>
      <w:r>
        <w:rPr/>
        <w:t>creciente demanda por espacios en donde se pueda tener contacto directo con la naturaleza y sobre todo este uno de los pocos  con  los  </w:t>
      </w:r>
      <w:r>
        <w:rPr>
          <w:spacing w:val="-3"/>
        </w:rPr>
        <w:t>que </w:t>
      </w:r>
      <w:r>
        <w:rPr/>
        <w:t>cuenta el Distrito</w:t>
      </w:r>
      <w:r>
        <w:rPr>
          <w:spacing w:val="25"/>
        </w:rPr>
        <w:t> </w:t>
      </w:r>
      <w:r>
        <w:rPr/>
        <w:t>Federal.</w:t>
      </w:r>
    </w:p>
    <w:p>
      <w:pPr>
        <w:spacing w:after="0" w:line="367" w:lineRule="auto"/>
        <w:jc w:val="both"/>
        <w:sectPr>
          <w:headerReference w:type="default" r:id="rId43"/>
          <w:pgSz w:w="11910" w:h="16840"/>
          <w:pgMar w:header="1066" w:footer="1711" w:top="1460" w:bottom="1900" w:left="1540" w:right="200"/>
        </w:sectPr>
      </w:pPr>
    </w:p>
    <w:p>
      <w:pPr>
        <w:pStyle w:val="BodyText"/>
        <w:rPr>
          <w:sz w:val="20"/>
        </w:rPr>
      </w:pPr>
    </w:p>
    <w:p>
      <w:pPr>
        <w:pStyle w:val="BodyText"/>
        <w:spacing w:before="10"/>
        <w:rPr>
          <w:sz w:val="17"/>
        </w:rPr>
      </w:pPr>
    </w:p>
    <w:p>
      <w:pPr>
        <w:pStyle w:val="Heading2"/>
        <w:numPr>
          <w:ilvl w:val="1"/>
          <w:numId w:val="25"/>
        </w:numPr>
        <w:tabs>
          <w:tab w:pos="817" w:val="left" w:leader="none"/>
        </w:tabs>
        <w:spacing w:line="240" w:lineRule="auto" w:before="74" w:after="0"/>
        <w:ind w:left="816" w:right="0" w:hanging="700"/>
        <w:jc w:val="both"/>
      </w:pPr>
      <w:r>
        <w:rPr/>
        <w:t>Situación medioambiental del Parque Nacional Desierto de los </w:t>
      </w:r>
      <w:r>
        <w:rPr>
          <w:spacing w:val="17"/>
        </w:rPr>
        <w:t> </w:t>
      </w:r>
      <w:r>
        <w:rPr/>
        <w:t>Leones</w:t>
      </w:r>
    </w:p>
    <w:p>
      <w:pPr>
        <w:pStyle w:val="BodyText"/>
        <w:rPr>
          <w:b/>
          <w:sz w:val="22"/>
        </w:rPr>
      </w:pPr>
    </w:p>
    <w:p>
      <w:pPr>
        <w:pStyle w:val="BodyText"/>
        <w:spacing w:line="364" w:lineRule="auto" w:before="1"/>
        <w:ind w:left="116" w:right="897"/>
        <w:jc w:val="both"/>
      </w:pPr>
      <w:r>
        <w:rPr/>
        <w:t>La Ciudad de México </w:t>
      </w:r>
      <w:r>
        <w:rPr>
          <w:spacing w:val="-3"/>
        </w:rPr>
        <w:t>es </w:t>
      </w:r>
      <w:r>
        <w:rPr/>
        <w:t>una de las urbes más pobladas del mundo, </w:t>
      </w:r>
      <w:r>
        <w:rPr>
          <w:spacing w:val="-4"/>
        </w:rPr>
        <w:t>ya </w:t>
      </w:r>
      <w:r>
        <w:rPr/>
        <w:t>que desde  épocas prehispánicas se han asentado en su territorio diferentes culturas que han aprovechado las características físico-biológicas que presenta esta zona, ubicada en la región suroeste de la Cuenca de México. En la actualidad, el Distrito Federal (D.F.) es una entidad principalmente urbana, en donde se han modificado en gran medida los paisajes naturales, por lo que las estrategias de gobierno en materia de medio ambiente se han encaminado a la creación de áreas naturales protegidas para promover la conservación y protección de los recursos naturales; como el caso del Parque Nacional Desierto de los Leones</w:t>
      </w:r>
      <w:r>
        <w:rPr>
          <w:spacing w:val="36"/>
        </w:rPr>
        <w:t> </w:t>
      </w:r>
      <w:r>
        <w:rPr/>
        <w:t>(PNDL).</w:t>
      </w:r>
    </w:p>
    <w:p>
      <w:pPr>
        <w:pStyle w:val="BodyText"/>
        <w:spacing w:line="364" w:lineRule="auto" w:before="120"/>
        <w:ind w:left="116" w:right="896"/>
        <w:jc w:val="both"/>
      </w:pPr>
      <w:r>
        <w:rPr/>
        <w:t>Con base en esta medida, el PNDL es un espacio natural que ha propiciado el mantenimiento de los ecosistemas que lo componen, permitiendo la producción  de bienes y servicios ambientales de los cuales depende directamente la población de la Ciudad de México. Esta área favorece la retención de la humedad y la recarga del acuífero, previene la erosión, contribuye a mejorar la calidad del aire, así como al sostenimiento y mejoramiento de poblaciones de flora y fauna  silvestres.</w:t>
      </w:r>
    </w:p>
    <w:p>
      <w:pPr>
        <w:pStyle w:val="BodyText"/>
        <w:spacing w:line="364" w:lineRule="auto" w:before="125"/>
        <w:ind w:left="116" w:right="899"/>
        <w:jc w:val="both"/>
      </w:pPr>
      <w:r>
        <w:rPr>
          <w:spacing w:val="-3"/>
        </w:rPr>
        <w:t>Sin </w:t>
      </w:r>
      <w:r>
        <w:rPr/>
        <w:t>embargo, el Desierto de los Leones presenta un </w:t>
      </w:r>
      <w:r>
        <w:rPr>
          <w:spacing w:val="-2"/>
        </w:rPr>
        <w:t>deterioro </w:t>
      </w:r>
      <w:r>
        <w:rPr/>
        <w:t>de  sus  recursos  naturales, debido principalmente a factores relacionados con su colindancia con </w:t>
      </w:r>
      <w:r>
        <w:rPr>
          <w:spacing w:val="-5"/>
        </w:rPr>
        <w:t>la </w:t>
      </w:r>
      <w:r>
        <w:rPr/>
        <w:t>zona urbana de la Ciudad de México y por </w:t>
      </w:r>
      <w:r>
        <w:rPr>
          <w:spacing w:val="4"/>
        </w:rPr>
        <w:t>el </w:t>
      </w:r>
      <w:r>
        <w:rPr/>
        <w:t>comportamiento del visitante, así como a la falta de políticas claras y sustentables de protección, restauración y uso del parque.  </w:t>
      </w:r>
      <w:r>
        <w:rPr>
          <w:spacing w:val="-3"/>
        </w:rPr>
        <w:t>Lo </w:t>
      </w:r>
      <w:r>
        <w:rPr/>
        <w:t>anterior es consecuencia de la falta de un programa de manejo que dé solución a los conflictos sobre la tenencia legal de la tierra y la protección del </w:t>
      </w:r>
      <w:r>
        <w:rPr>
          <w:spacing w:val="23"/>
        </w:rPr>
        <w:t> </w:t>
      </w:r>
      <w:r>
        <w:rPr/>
        <w:t>bosque.</w:t>
      </w:r>
    </w:p>
    <w:p>
      <w:pPr>
        <w:pStyle w:val="BodyText"/>
        <w:spacing w:before="120"/>
        <w:ind w:left="178"/>
        <w:jc w:val="both"/>
      </w:pPr>
      <w:r>
        <w:rPr/>
        <w:t>Impactos ambientales en el PNDL:</w:t>
      </w:r>
    </w:p>
    <w:p>
      <w:pPr>
        <w:pStyle w:val="BodyText"/>
        <w:rPr>
          <w:sz w:val="22"/>
        </w:rPr>
      </w:pPr>
    </w:p>
    <w:p>
      <w:pPr>
        <w:pStyle w:val="ListParagraph"/>
        <w:numPr>
          <w:ilvl w:val="2"/>
          <w:numId w:val="25"/>
        </w:numPr>
        <w:tabs>
          <w:tab w:pos="1493" w:val="left" w:leader="none"/>
          <w:tab w:pos="1494" w:val="left" w:leader="none"/>
        </w:tabs>
        <w:spacing w:line="240" w:lineRule="auto" w:before="1" w:after="0"/>
        <w:ind w:left="1080" w:right="0" w:hanging="177"/>
        <w:jc w:val="left"/>
        <w:rPr>
          <w:sz w:val="23"/>
        </w:rPr>
      </w:pPr>
      <w:r>
        <w:rPr>
          <w:sz w:val="23"/>
        </w:rPr>
        <w:t>Efectos por contaminación provenientes de </w:t>
      </w:r>
      <w:r>
        <w:rPr>
          <w:spacing w:val="-5"/>
          <w:sz w:val="23"/>
        </w:rPr>
        <w:t>la </w:t>
      </w:r>
      <w:r>
        <w:rPr>
          <w:sz w:val="23"/>
        </w:rPr>
        <w:t>zona </w:t>
      </w:r>
      <w:r>
        <w:rPr>
          <w:spacing w:val="22"/>
          <w:sz w:val="23"/>
        </w:rPr>
        <w:t> </w:t>
      </w:r>
      <w:r>
        <w:rPr>
          <w:sz w:val="23"/>
        </w:rPr>
        <w:t>urbana.</w:t>
      </w:r>
    </w:p>
    <w:p>
      <w:pPr>
        <w:pStyle w:val="BodyText"/>
        <w:rPr>
          <w:sz w:val="22"/>
        </w:rPr>
      </w:pPr>
    </w:p>
    <w:p>
      <w:pPr>
        <w:pStyle w:val="ListParagraph"/>
        <w:numPr>
          <w:ilvl w:val="2"/>
          <w:numId w:val="25"/>
        </w:numPr>
        <w:tabs>
          <w:tab w:pos="1493" w:val="left" w:leader="none"/>
          <w:tab w:pos="1494" w:val="left" w:leader="none"/>
        </w:tabs>
        <w:spacing w:line="240" w:lineRule="auto" w:before="1" w:after="0"/>
        <w:ind w:left="1493" w:right="0" w:hanging="590"/>
        <w:jc w:val="left"/>
        <w:rPr>
          <w:sz w:val="23"/>
        </w:rPr>
      </w:pPr>
      <w:r>
        <w:rPr>
          <w:sz w:val="23"/>
        </w:rPr>
        <w:t>Falta de manejo de la vegetación forestal, con fines de </w:t>
      </w:r>
      <w:r>
        <w:rPr>
          <w:spacing w:val="17"/>
          <w:sz w:val="23"/>
        </w:rPr>
        <w:t> </w:t>
      </w:r>
      <w:r>
        <w:rPr>
          <w:sz w:val="23"/>
        </w:rPr>
        <w:t>conservación.</w:t>
      </w:r>
    </w:p>
    <w:p>
      <w:pPr>
        <w:pStyle w:val="BodyText"/>
        <w:spacing w:before="5"/>
        <w:rPr>
          <w:sz w:val="22"/>
        </w:rPr>
      </w:pPr>
    </w:p>
    <w:p>
      <w:pPr>
        <w:pStyle w:val="ListParagraph"/>
        <w:numPr>
          <w:ilvl w:val="2"/>
          <w:numId w:val="25"/>
        </w:numPr>
        <w:tabs>
          <w:tab w:pos="1493" w:val="left" w:leader="none"/>
          <w:tab w:pos="1494" w:val="left" w:leader="none"/>
        </w:tabs>
        <w:spacing w:line="240" w:lineRule="auto" w:before="0" w:after="0"/>
        <w:ind w:left="1493" w:right="0" w:hanging="590"/>
        <w:jc w:val="left"/>
        <w:rPr>
          <w:sz w:val="23"/>
        </w:rPr>
      </w:pPr>
      <w:r>
        <w:rPr>
          <w:sz w:val="23"/>
        </w:rPr>
        <w:t>Extracción desordenada de agua en las partes</w:t>
      </w:r>
      <w:r>
        <w:rPr>
          <w:spacing w:val="62"/>
          <w:sz w:val="23"/>
        </w:rPr>
        <w:t> </w:t>
      </w:r>
      <w:r>
        <w:rPr>
          <w:sz w:val="23"/>
        </w:rPr>
        <w:t>altas.</w:t>
      </w:r>
    </w:p>
    <w:p>
      <w:pPr>
        <w:pStyle w:val="BodyText"/>
        <w:rPr>
          <w:sz w:val="22"/>
        </w:rPr>
      </w:pPr>
    </w:p>
    <w:p>
      <w:pPr>
        <w:pStyle w:val="ListParagraph"/>
        <w:numPr>
          <w:ilvl w:val="2"/>
          <w:numId w:val="25"/>
        </w:numPr>
        <w:tabs>
          <w:tab w:pos="1493" w:val="left" w:leader="none"/>
          <w:tab w:pos="1494" w:val="left" w:leader="none"/>
        </w:tabs>
        <w:spacing w:line="240" w:lineRule="auto" w:before="1" w:after="0"/>
        <w:ind w:left="1493" w:right="0" w:hanging="590"/>
        <w:jc w:val="left"/>
        <w:rPr>
          <w:sz w:val="23"/>
        </w:rPr>
      </w:pPr>
      <w:r>
        <w:rPr>
          <w:sz w:val="23"/>
        </w:rPr>
        <w:t>Presencia </w:t>
      </w:r>
      <w:r>
        <w:rPr>
          <w:spacing w:val="2"/>
          <w:sz w:val="23"/>
        </w:rPr>
        <w:t>de </w:t>
      </w:r>
      <w:r>
        <w:rPr>
          <w:sz w:val="23"/>
        </w:rPr>
        <w:t>fauna</w:t>
      </w:r>
      <w:r>
        <w:rPr>
          <w:spacing w:val="32"/>
          <w:sz w:val="23"/>
        </w:rPr>
        <w:t> </w:t>
      </w:r>
      <w:r>
        <w:rPr>
          <w:spacing w:val="-3"/>
          <w:sz w:val="23"/>
        </w:rPr>
        <w:t>feral.</w:t>
      </w:r>
    </w:p>
    <w:p>
      <w:pPr>
        <w:pStyle w:val="BodyText"/>
        <w:rPr>
          <w:sz w:val="22"/>
        </w:rPr>
      </w:pPr>
    </w:p>
    <w:p>
      <w:pPr>
        <w:pStyle w:val="ListParagraph"/>
        <w:numPr>
          <w:ilvl w:val="2"/>
          <w:numId w:val="25"/>
        </w:numPr>
        <w:tabs>
          <w:tab w:pos="1493" w:val="left" w:leader="none"/>
          <w:tab w:pos="1494" w:val="left" w:leader="none"/>
        </w:tabs>
        <w:spacing w:line="364" w:lineRule="auto" w:before="1" w:after="0"/>
        <w:ind w:left="1080" w:right="898" w:hanging="177"/>
        <w:jc w:val="left"/>
        <w:rPr>
          <w:sz w:val="23"/>
        </w:rPr>
      </w:pPr>
      <w:r>
        <w:rPr>
          <w:sz w:val="23"/>
        </w:rPr>
        <w:t>Recreación desordenada y creciente práctica de  deportes  extremos  de alto impacto en áreas frágiles del</w:t>
      </w:r>
      <w:r>
        <w:rPr>
          <w:spacing w:val="46"/>
          <w:sz w:val="23"/>
        </w:rPr>
        <w:t> </w:t>
      </w:r>
      <w:r>
        <w:rPr>
          <w:sz w:val="23"/>
        </w:rPr>
        <w:t>parque.</w:t>
      </w:r>
    </w:p>
    <w:p>
      <w:pPr>
        <w:spacing w:after="0" w:line="364" w:lineRule="auto"/>
        <w:jc w:val="left"/>
        <w:rPr>
          <w:sz w:val="23"/>
        </w:rPr>
        <w:sectPr>
          <w:pgSz w:w="11910" w:h="16840"/>
          <w:pgMar w:header="1066" w:footer="1711" w:top="1460" w:bottom="1900" w:left="1540" w:right="200"/>
        </w:sectPr>
      </w:pPr>
    </w:p>
    <w:p>
      <w:pPr>
        <w:pStyle w:val="BodyText"/>
        <w:rPr>
          <w:sz w:val="20"/>
        </w:rPr>
      </w:pPr>
    </w:p>
    <w:p>
      <w:pPr>
        <w:pStyle w:val="BodyText"/>
        <w:spacing w:before="10"/>
        <w:rPr>
          <w:sz w:val="17"/>
        </w:rPr>
      </w:pPr>
    </w:p>
    <w:p>
      <w:pPr>
        <w:pStyle w:val="ListParagraph"/>
        <w:numPr>
          <w:ilvl w:val="2"/>
          <w:numId w:val="25"/>
        </w:numPr>
        <w:tabs>
          <w:tab w:pos="1474" w:val="left" w:leader="none"/>
          <w:tab w:pos="1475" w:val="left" w:leader="none"/>
        </w:tabs>
        <w:spacing w:line="240" w:lineRule="auto" w:before="74" w:after="0"/>
        <w:ind w:left="1474" w:right="0" w:hanging="571"/>
        <w:jc w:val="left"/>
        <w:rPr>
          <w:sz w:val="23"/>
        </w:rPr>
      </w:pPr>
      <w:r>
        <w:rPr>
          <w:sz w:val="23"/>
        </w:rPr>
        <w:t>Indefinición de procesos legales respecto a la tenencia de la </w:t>
      </w:r>
      <w:r>
        <w:rPr>
          <w:spacing w:val="2"/>
          <w:sz w:val="23"/>
        </w:rPr>
        <w:t> </w:t>
      </w:r>
      <w:r>
        <w:rPr>
          <w:sz w:val="23"/>
        </w:rPr>
        <w:t>tierra.</w:t>
      </w:r>
    </w:p>
    <w:p>
      <w:pPr>
        <w:pStyle w:val="BodyText"/>
        <w:rPr>
          <w:sz w:val="22"/>
        </w:rPr>
      </w:pPr>
    </w:p>
    <w:p>
      <w:pPr>
        <w:pStyle w:val="ListParagraph"/>
        <w:numPr>
          <w:ilvl w:val="2"/>
          <w:numId w:val="25"/>
        </w:numPr>
        <w:tabs>
          <w:tab w:pos="1493" w:val="left" w:leader="none"/>
          <w:tab w:pos="1494" w:val="left" w:leader="none"/>
        </w:tabs>
        <w:spacing w:line="240" w:lineRule="auto" w:before="1" w:after="0"/>
        <w:ind w:left="1493" w:right="0" w:hanging="590"/>
        <w:jc w:val="left"/>
        <w:rPr>
          <w:sz w:val="23"/>
        </w:rPr>
      </w:pPr>
      <w:r>
        <w:rPr>
          <w:sz w:val="23"/>
        </w:rPr>
        <w:t>Control y erradicación de especies exóticas </w:t>
      </w:r>
      <w:r>
        <w:rPr>
          <w:spacing w:val="6"/>
          <w:sz w:val="23"/>
        </w:rPr>
        <w:t> </w:t>
      </w:r>
      <w:r>
        <w:rPr>
          <w:sz w:val="23"/>
        </w:rPr>
        <w:t>establecidas.</w:t>
      </w:r>
    </w:p>
    <w:p>
      <w:pPr>
        <w:pStyle w:val="BodyText"/>
        <w:rPr>
          <w:sz w:val="22"/>
        </w:rPr>
      </w:pPr>
    </w:p>
    <w:p>
      <w:pPr>
        <w:pStyle w:val="BodyText"/>
        <w:spacing w:line="364" w:lineRule="auto" w:before="1"/>
        <w:ind w:left="116" w:right="894"/>
        <w:jc w:val="both"/>
      </w:pPr>
      <w:r>
        <w:rPr/>
        <w:t>Por otro lado</w:t>
      </w:r>
      <w:r>
        <w:rPr>
          <w:b/>
        </w:rPr>
        <w:t>, </w:t>
      </w:r>
      <w:r>
        <w:rPr/>
        <w:t>por tradición, el parque nacional ha sido un lugar de recreación de los habitantes del Distrito Federal, un ejemplo de </w:t>
      </w:r>
      <w:r>
        <w:rPr>
          <w:spacing w:val="-3"/>
        </w:rPr>
        <w:t>ello </w:t>
      </w:r>
      <w:r>
        <w:rPr/>
        <w:t>es el hecho de que el  antiguo  convento recibe alrededor de 17 mil visitantes  al año, esta cifra no representa a todas   las personas que entran al parque, aunque </w:t>
      </w:r>
      <w:r>
        <w:rPr>
          <w:spacing w:val="-3"/>
        </w:rPr>
        <w:t>de </w:t>
      </w:r>
      <w:r>
        <w:rPr/>
        <w:t>esto último no se tienen estadísticas. A pesar de que esta actividad se ha realizado  de una manera intensiva y descontrolada,  los efectos negativos </w:t>
      </w:r>
      <w:r>
        <w:rPr>
          <w:spacing w:val="3"/>
        </w:rPr>
        <w:t>se </w:t>
      </w:r>
      <w:r>
        <w:rPr/>
        <w:t>han concentrado </w:t>
      </w:r>
      <w:r>
        <w:rPr>
          <w:spacing w:val="-3"/>
        </w:rPr>
        <w:t>en </w:t>
      </w:r>
      <w:r>
        <w:rPr/>
        <w:t>los alrededores del antiguo convento, la carretera y el paraje “Cruz Blanca”, en donde hay oferta de alimentos e instalaciones </w:t>
      </w:r>
      <w:r>
        <w:rPr>
          <w:spacing w:val="-3"/>
        </w:rPr>
        <w:t>de </w:t>
      </w:r>
      <w:r>
        <w:rPr/>
        <w:t>asadores. Además la mayor parte de </w:t>
      </w:r>
      <w:r>
        <w:rPr>
          <w:spacing w:val="-5"/>
        </w:rPr>
        <w:t>la  </w:t>
      </w:r>
      <w:r>
        <w:rPr/>
        <w:t>recreación por turismo  se sigue concentrando  en áreas de uso intensivo, en las </w:t>
      </w:r>
      <w:r>
        <w:rPr>
          <w:spacing w:val="-3"/>
        </w:rPr>
        <w:t>que </w:t>
      </w:r>
      <w:r>
        <w:rPr/>
        <w:t>los impactos negativos han ido aumentando  debido al mal comportamiento de los visitantes </w:t>
      </w:r>
      <w:r>
        <w:rPr>
          <w:spacing w:val="-3"/>
        </w:rPr>
        <w:t>que </w:t>
      </w:r>
      <w:r>
        <w:rPr/>
        <w:t>irrumpen </w:t>
      </w:r>
      <w:r>
        <w:rPr>
          <w:spacing w:val="4"/>
        </w:rPr>
        <w:t>el </w:t>
      </w:r>
      <w:r>
        <w:rPr/>
        <w:t>entorno natural al tirar basura en las áreas verdes, en las fuentes hídricas, destruyen </w:t>
      </w:r>
      <w:r>
        <w:rPr>
          <w:spacing w:val="-5"/>
        </w:rPr>
        <w:t>la </w:t>
      </w:r>
      <w:r>
        <w:rPr/>
        <w:t>vegetación y agreden    </w:t>
      </w:r>
      <w:r>
        <w:rPr>
          <w:spacing w:val="-5"/>
        </w:rPr>
        <w:t>la</w:t>
      </w:r>
      <w:r>
        <w:rPr>
          <w:spacing w:val="18"/>
        </w:rPr>
        <w:t> </w:t>
      </w:r>
      <w:r>
        <w:rPr/>
        <w:t>fauna.</w:t>
      </w:r>
    </w:p>
    <w:p>
      <w:pPr>
        <w:pStyle w:val="BodyText"/>
        <w:spacing w:line="364" w:lineRule="auto" w:before="120"/>
        <w:ind w:left="116" w:right="895"/>
        <w:jc w:val="both"/>
      </w:pPr>
      <w:r>
        <w:rPr/>
        <w:t>La mayor parte de la vegetación del desierto de los leones presenta diversos grados de deterioro; esto se debe a la acción directa </w:t>
      </w:r>
      <w:r>
        <w:rPr>
          <w:spacing w:val="-3"/>
        </w:rPr>
        <w:t>de </w:t>
      </w:r>
      <w:r>
        <w:rPr>
          <w:spacing w:val="-5"/>
        </w:rPr>
        <w:t>la </w:t>
      </w:r>
      <w:r>
        <w:rPr/>
        <w:t>contaminación proveniente de </w:t>
      </w:r>
      <w:r>
        <w:rPr>
          <w:spacing w:val="-5"/>
        </w:rPr>
        <w:t>la </w:t>
      </w:r>
      <w:r>
        <w:rPr/>
        <w:t>zona urbana (declinación), a los incendios forestales y a un manejo forestal inadecuado. Asimismo, se detectan necesidades urgentes de manejo de vegetación, principalmente en las áreas de</w:t>
      </w:r>
      <w:r>
        <w:rPr>
          <w:spacing w:val="30"/>
        </w:rPr>
        <w:t> </w:t>
      </w:r>
      <w:r>
        <w:rPr/>
        <w:t>reforestación.</w:t>
      </w:r>
    </w:p>
    <w:p>
      <w:pPr>
        <w:pStyle w:val="BodyText"/>
        <w:spacing w:line="364" w:lineRule="auto" w:before="120"/>
        <w:ind w:left="116" w:right="896"/>
        <w:jc w:val="both"/>
      </w:pPr>
      <w:r>
        <w:rPr/>
        <w:t>Entre los factores que </w:t>
      </w:r>
      <w:r>
        <w:rPr>
          <w:spacing w:val="-3"/>
        </w:rPr>
        <w:t>han </w:t>
      </w:r>
      <w:r>
        <w:rPr/>
        <w:t>afectado de manera considerable a la vegetación arbórea y  en consecuencia, a los demás estratos, se encuentran las plagas de descortezadores,  los incendios forestales y </w:t>
      </w:r>
      <w:r>
        <w:rPr>
          <w:spacing w:val="-5"/>
        </w:rPr>
        <w:t>la  </w:t>
      </w:r>
      <w:r>
        <w:rPr/>
        <w:t>declinación. Actualmente, no se identifican plagas dentro   del parque, aunque en </w:t>
      </w:r>
      <w:r>
        <w:rPr>
          <w:spacing w:val="-5"/>
        </w:rPr>
        <w:t>la </w:t>
      </w:r>
      <w:r>
        <w:rPr/>
        <w:t>parte alta presenta afectación por muérdago; por lo que respecta a incendios, las estadísticas indican que en los últimos nueve años se han presentado sólo ocho siniestros, los cuales afectaron poco </w:t>
      </w:r>
      <w:r>
        <w:rPr>
          <w:spacing w:val="-3"/>
        </w:rPr>
        <w:t>más </w:t>
      </w:r>
      <w:r>
        <w:rPr/>
        <w:t>de 24 ha, esto excluyendo el incendio de 1998 que afectó más de 400 </w:t>
      </w:r>
      <w:r>
        <w:rPr>
          <w:spacing w:val="-3"/>
        </w:rPr>
        <w:t>ha </w:t>
      </w:r>
      <w:r>
        <w:rPr/>
        <w:t>dentro del parque. Los </w:t>
      </w:r>
      <w:r>
        <w:rPr>
          <w:spacing w:val="-3"/>
        </w:rPr>
        <w:t>dos </w:t>
      </w:r>
      <w:r>
        <w:rPr/>
        <w:t>primeros factores pueden </w:t>
      </w:r>
      <w:r>
        <w:rPr>
          <w:spacing w:val="2"/>
        </w:rPr>
        <w:t>ser </w:t>
      </w:r>
      <w:r>
        <w:rPr/>
        <w:t>prevenidos y combatidos de manera directa para su control, la recuperación de los daños depende de </w:t>
      </w:r>
      <w:r>
        <w:rPr>
          <w:spacing w:val="-5"/>
        </w:rPr>
        <w:t>la </w:t>
      </w:r>
      <w:r>
        <w:rPr/>
        <w:t>eficiencia de la acción del hombre; pero con la declinación es</w:t>
      </w:r>
      <w:r>
        <w:rPr>
          <w:spacing w:val="42"/>
        </w:rPr>
        <w:t> </w:t>
      </w:r>
      <w:r>
        <w:rPr/>
        <w:t>distinto.</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9"/>
        <w:jc w:val="both"/>
      </w:pPr>
      <w:r>
        <w:rPr/>
        <w:t>La declinación es especialmente crítica </w:t>
      </w:r>
      <w:r>
        <w:rPr>
          <w:spacing w:val="3"/>
        </w:rPr>
        <w:t>si </w:t>
      </w:r>
      <w:r>
        <w:rPr/>
        <w:t>consideramos  que la contaminación del aire  es uno de los principales factores que </w:t>
      </w:r>
      <w:r>
        <w:rPr>
          <w:spacing w:val="-5"/>
        </w:rPr>
        <w:t>la </w:t>
      </w:r>
      <w:r>
        <w:rPr/>
        <w:t>provocan y que ésta se genera fuera </w:t>
      </w:r>
      <w:r>
        <w:rPr>
          <w:spacing w:val="-3"/>
        </w:rPr>
        <w:t>de </w:t>
      </w:r>
      <w:r>
        <w:rPr/>
        <w:t>los límites del parque y </w:t>
      </w:r>
      <w:r>
        <w:rPr>
          <w:spacing w:val="2"/>
        </w:rPr>
        <w:t>del </w:t>
      </w:r>
      <w:r>
        <w:rPr/>
        <w:t>propio suelo de conservación, lo que significa que la solución a este problema no está dentro del desierto de los leones. El hecho de </w:t>
      </w:r>
      <w:r>
        <w:rPr>
          <w:spacing w:val="-3"/>
        </w:rPr>
        <w:t>que </w:t>
      </w:r>
      <w:r>
        <w:rPr/>
        <w:t>la contaminación tenga un origen en las actividades del hombre, implica que  </w:t>
      </w:r>
      <w:r>
        <w:rPr>
          <w:spacing w:val="-3"/>
        </w:rPr>
        <w:t>es  </w:t>
      </w:r>
      <w:r>
        <w:rPr/>
        <w:t>un  proceso extensivo, creciente y permanente. Por ejemplo, </w:t>
      </w:r>
      <w:r>
        <w:rPr>
          <w:spacing w:val="-5"/>
        </w:rPr>
        <w:t>la </w:t>
      </w:r>
      <w:r>
        <w:rPr/>
        <w:t>SEMARNAT ha informado que los efectos de </w:t>
      </w:r>
      <w:r>
        <w:rPr>
          <w:spacing w:val="-5"/>
        </w:rPr>
        <w:t>la </w:t>
      </w:r>
      <w:r>
        <w:rPr/>
        <w:t>declinación </w:t>
      </w:r>
      <w:r>
        <w:rPr>
          <w:spacing w:val="-4"/>
        </w:rPr>
        <w:t>ya </w:t>
      </w:r>
      <w:r>
        <w:rPr/>
        <w:t>se detectan en muchas especies, incluso de uso urbano, como el eucalipto y el sauce, entre</w:t>
      </w:r>
      <w:r>
        <w:rPr>
          <w:spacing w:val="56"/>
        </w:rPr>
        <w:t> </w:t>
      </w:r>
      <w:r>
        <w:rPr/>
        <w:t>otros.</w:t>
      </w:r>
    </w:p>
    <w:p>
      <w:pPr>
        <w:pStyle w:val="BodyText"/>
        <w:spacing w:line="364" w:lineRule="auto" w:before="130"/>
        <w:ind w:left="116" w:right="894"/>
        <w:jc w:val="both"/>
      </w:pPr>
      <w:r>
        <w:rPr/>
        <w:t>Actualmente, no se tienen registros de plagas dentro del desierto de los leones, pero considerando los antecedentes  de  ataques  graves, principalmente  por descortezador, es importante establecer un monitoreo sistemático para la detección oportuna de éstas, así como diseñar procedimientos de atención a este tipo de  contingencias.</w:t>
      </w:r>
    </w:p>
    <w:p>
      <w:pPr>
        <w:pStyle w:val="BodyText"/>
        <w:spacing w:line="364" w:lineRule="auto" w:before="125"/>
        <w:ind w:left="115" w:right="893"/>
        <w:jc w:val="both"/>
      </w:pPr>
      <w:r>
        <w:rPr/>
        <w:t>Por otro lado, los incendios forestales, a diferencia del proceso de declinación, no son frecuentes en el desierto de los leones, pero eventualmente han causado daños serios, como lo fue el caso del incendio de 1998 en donde se afectaron drásticamente más de</w:t>
      </w:r>
    </w:p>
    <w:p>
      <w:pPr>
        <w:pStyle w:val="BodyText"/>
        <w:spacing w:line="364" w:lineRule="auto" w:before="5"/>
        <w:ind w:left="115" w:right="897"/>
        <w:jc w:val="both"/>
      </w:pPr>
      <w:r>
        <w:rPr/>
        <w:t>400 ha (Diario Oficial de </w:t>
      </w:r>
      <w:r>
        <w:rPr>
          <w:spacing w:val="-5"/>
        </w:rPr>
        <w:t>la </w:t>
      </w:r>
      <w:r>
        <w:rPr/>
        <w:t>Federación, 1998). Los daños por este incendio se potenciaron por las insuficientes medidas de prevención y por las condiciones de debilidad del arbolado. Es necesario revisar las prácticas de  reforestación  con  chaponeo para identificar si son las que favorecen la erosión hídrica de los suelos, al descubrirlos y exponerlos a la acción torrencial del  agua.  Deben  de  fomentarse acciones de cajeteo en los árboles y arbustos reforestados y de regeneración natural, para evitar que se dañen </w:t>
      </w:r>
      <w:r>
        <w:rPr>
          <w:spacing w:val="-3"/>
        </w:rPr>
        <w:t>en </w:t>
      </w:r>
      <w:r>
        <w:rPr/>
        <w:t>los incendios y se conviertan en material combustible que incremente </w:t>
      </w:r>
      <w:r>
        <w:rPr>
          <w:spacing w:val="-5"/>
        </w:rPr>
        <w:t>la </w:t>
      </w:r>
      <w:r>
        <w:rPr/>
        <w:t>propagación del fuego. El cajeteo daña menos la biodiversidad existente  en el sotobosque, mantiene el hábitat de la fauna silvestre y  expone  menos  a  los suelos.</w:t>
      </w:r>
    </w:p>
    <w:p>
      <w:pPr>
        <w:pStyle w:val="BodyText"/>
        <w:spacing w:line="364" w:lineRule="auto" w:before="125"/>
        <w:ind w:left="115" w:right="898"/>
        <w:jc w:val="both"/>
      </w:pPr>
      <w:r>
        <w:rPr/>
        <w:t>Otra actividad que ha venido cambiando la diversidad biológica del parque es la introducción de especies de plantas no nativas y para uso ornamental alrededor de la infraestructura existente en el antiguo convento, ermitas, carretera,  etc.  Muchas  de estas plantas se han reproducido y se ha incrementado su extensión de manera natural, afectando la distribución de la  vegetación nativa, lo  cual tiene repercusiones    negativas</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2" w:lineRule="auto" w:before="74"/>
        <w:ind w:left="115" w:right="904"/>
        <w:jc w:val="both"/>
      </w:pPr>
      <w:r>
        <w:rPr/>
        <w:t>en la calidad de hábitat de la fauna silvestre y por otro lado, beneficia a la fauna introducida al parque.</w:t>
      </w:r>
    </w:p>
    <w:p>
      <w:pPr>
        <w:pStyle w:val="BodyText"/>
        <w:spacing w:line="364" w:lineRule="auto" w:before="123"/>
        <w:ind w:left="116" w:right="895"/>
        <w:jc w:val="both"/>
      </w:pPr>
      <w:r>
        <w:rPr/>
        <w:t>Es importante el manejo de </w:t>
      </w:r>
      <w:r>
        <w:rPr>
          <w:spacing w:val="-5"/>
        </w:rPr>
        <w:t>la </w:t>
      </w:r>
      <w:r>
        <w:rPr/>
        <w:t>vegetación, principalmente las reforestaciones  en  las áreas llamadas “cementerios”, </w:t>
      </w:r>
      <w:r>
        <w:rPr>
          <w:spacing w:val="-4"/>
        </w:rPr>
        <w:t>ya </w:t>
      </w:r>
      <w:r>
        <w:rPr/>
        <w:t>que la densidad de arbolado es alta y requiere de acciones para su control con fines de protección forestal, </w:t>
      </w:r>
      <w:r>
        <w:rPr>
          <w:spacing w:val="2"/>
        </w:rPr>
        <w:t>así </w:t>
      </w:r>
      <w:r>
        <w:rPr/>
        <w:t>como generar condiciones para un incremento de biodiversidad con el establecimiento de estratos arbustivos y herbáceos. Por su densidad, estas áreas son altamente  potenciales  para  la  propagación de incendios forestales, los que representarían una gran pérdida,  </w:t>
      </w:r>
      <w:r>
        <w:rPr>
          <w:spacing w:val="-4"/>
        </w:rPr>
        <w:t>ya  </w:t>
      </w:r>
      <w:r>
        <w:rPr/>
        <w:t>que   se trata de reforestaciones con más de siete años que han tenido un alto porcentaje de sobrevivencia.</w:t>
      </w:r>
    </w:p>
    <w:p>
      <w:pPr>
        <w:pStyle w:val="BodyText"/>
        <w:spacing w:line="364" w:lineRule="auto" w:before="120"/>
        <w:ind w:left="115" w:right="892"/>
        <w:jc w:val="both"/>
      </w:pPr>
      <w:r>
        <w:rPr/>
        <w:t>Por otro lado, la construcción y mantenimiento de caminos, </w:t>
      </w:r>
      <w:r>
        <w:rPr>
          <w:spacing w:val="-5"/>
        </w:rPr>
        <w:t>la </w:t>
      </w:r>
      <w:r>
        <w:rPr/>
        <w:t>apertura de brechas cortafuego y otras labores de protección han tenido impacto directo sobre la vegetación   y consecuentemente, sobre </w:t>
      </w:r>
      <w:r>
        <w:rPr>
          <w:spacing w:val="-5"/>
        </w:rPr>
        <w:t>la </w:t>
      </w:r>
      <w:r>
        <w:rPr/>
        <w:t>estabilidad del suelo y </w:t>
      </w:r>
      <w:r>
        <w:rPr>
          <w:spacing w:val="-5"/>
        </w:rPr>
        <w:t>la </w:t>
      </w:r>
      <w:r>
        <w:rPr/>
        <w:t>calidad de hábitat para la fauna silvestre. Existe </w:t>
      </w:r>
      <w:r>
        <w:rPr>
          <w:spacing w:val="-3"/>
        </w:rPr>
        <w:t>una </w:t>
      </w:r>
      <w:r>
        <w:rPr/>
        <w:t>amplia red de caminos, de los cuales algunos pueden ser cerrados con base en un análisis de conveniencia de </w:t>
      </w:r>
      <w:r>
        <w:rPr>
          <w:spacing w:val="-4"/>
        </w:rPr>
        <w:t>las </w:t>
      </w:r>
      <w:r>
        <w:rPr/>
        <w:t>actividades operativas (incendios, reforestación, vigilancia). En lo que se refiere a la apertura de brechas cortafuego, ésta  se ha realizado más de una manera extensiva que con criterios de  eficiencia.  Por fortuna, la tala clandestina no es significativa dentro del parque, esto deriva de </w:t>
      </w:r>
      <w:r>
        <w:rPr>
          <w:spacing w:val="-4"/>
        </w:rPr>
        <w:t>las</w:t>
      </w:r>
      <w:r>
        <w:rPr>
          <w:spacing w:val="55"/>
        </w:rPr>
        <w:t> </w:t>
      </w:r>
      <w:r>
        <w:rPr/>
        <w:t>acciones de vigilancia que actualmente se llevan a cabo por parte de  algunos  comuneros y la delegación Cuajimalpa, </w:t>
      </w:r>
      <w:r>
        <w:rPr>
          <w:spacing w:val="2"/>
        </w:rPr>
        <w:t>así </w:t>
      </w:r>
      <w:r>
        <w:rPr/>
        <w:t>como del sistema de control en ambos accesos al parque que es implementado por la misma delegación. Sin embargo, es un tema que debe estar en constante evaluación para atender cualquier  incremento  en  esta</w:t>
      </w:r>
      <w:r>
        <w:rPr>
          <w:spacing w:val="12"/>
        </w:rPr>
        <w:t> </w:t>
      </w:r>
      <w:r>
        <w:rPr/>
        <w:t>actividad.</w:t>
      </w:r>
    </w:p>
    <w:p>
      <w:pPr>
        <w:pStyle w:val="BodyText"/>
        <w:spacing w:line="364" w:lineRule="auto" w:before="120"/>
        <w:ind w:left="116" w:right="891"/>
        <w:jc w:val="both"/>
      </w:pPr>
      <w:r>
        <w:rPr/>
        <w:t>El proceso continuo de alteración y eliminación –parcial o total– de la cobertura vegetal que presenta el Parque Nacional Desierto de los Leones tiene un efecto directo en la distribución y población de las especies de fauna silvestre, esto se debe a  que no  existen condiciones adecuadas para cubrir sus necesidades de alimentación, reproducción y ocultamiento. En este sentido y dada la conexión natural (corredor) entre el desierto de los leones, la Cañada de Contreras y el Parque  Nacional  Insurgente Miguel Hidalgo,  existe  una  alta  probabilidad  de que la  fauna se  mueva por toda </w:t>
      </w:r>
      <w:r>
        <w:rPr>
          <w:spacing w:val="36"/>
        </w:rPr>
        <w:t> </w:t>
      </w:r>
      <w:r>
        <w:rPr/>
        <w:t>esta</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2" w:lineRule="auto" w:before="74"/>
        <w:ind w:left="116" w:right="894"/>
        <w:jc w:val="both"/>
      </w:pPr>
      <w:r>
        <w:rPr/>
        <w:t>zona, lo que depende de la intensidad de las alteraciones de la vegetación que </w:t>
      </w:r>
      <w:r>
        <w:rPr>
          <w:spacing w:val="3"/>
        </w:rPr>
        <w:t>se </w:t>
      </w:r>
      <w:r>
        <w:rPr>
          <w:spacing w:val="-3"/>
        </w:rPr>
        <w:t>dan   </w:t>
      </w:r>
      <w:r>
        <w:rPr/>
        <w:t>en una u otra</w:t>
      </w:r>
      <w:r>
        <w:rPr>
          <w:spacing w:val="22"/>
        </w:rPr>
        <w:t> </w:t>
      </w:r>
      <w:r>
        <w:rPr/>
        <w:t>zona.</w:t>
      </w:r>
    </w:p>
    <w:p>
      <w:pPr>
        <w:pStyle w:val="BodyText"/>
        <w:spacing w:line="364" w:lineRule="auto" w:before="123"/>
        <w:ind w:left="116" w:right="895"/>
        <w:jc w:val="both"/>
      </w:pPr>
      <w:r>
        <w:rPr/>
        <w:t>Si bien la introducción de especies no nativas de plantas contribuye a la protección del suelo y a la infiltración de agua, también desplaza a la fauna silvestre, ya que constituye condiciones de hábitat distintas a las originales que, además de estar en constante extensión, no le proporciona los servicios necesarios, lo cual ocasiona que la fauna se mueva a otras áreas. Esto es crítico si consideramos que las áreas aledañas al parque también están sujetas a factores similares de deterioro, con lo que prácticamente, se le condena a tener poblaciones de animales cada vez más pequeños. Por todas estas razones resulta evidente la importancia y urgencia de restaurar la cobertura vegetal con especies nativas. Por su sensibilidad a la calidad del medio ambiente, las especies de anfibios son importantes indicadores en un sistema de monitoreo, además de que en todos los casos se trata de especies endémicas y clasificadas con algún estado de protección.</w:t>
      </w:r>
    </w:p>
    <w:p>
      <w:pPr>
        <w:spacing w:after="0" w:line="364" w:lineRule="auto"/>
        <w:jc w:val="both"/>
        <w:sectPr>
          <w:footerReference w:type="default" r:id="rId44"/>
          <w:pgSz w:w="11910" w:h="16840"/>
          <w:pgMar w:footer="1715" w:header="1066" w:top="1460" w:bottom="1900" w:left="1540" w:right="200"/>
          <w:pgNumType w:start="80"/>
        </w:sectPr>
      </w:pPr>
    </w:p>
    <w:p>
      <w:pPr>
        <w:pStyle w:val="BodyText"/>
        <w:rPr>
          <w:sz w:val="20"/>
        </w:rPr>
      </w:pPr>
    </w:p>
    <w:p>
      <w:pPr>
        <w:pStyle w:val="BodyText"/>
        <w:spacing w:before="10"/>
        <w:rPr>
          <w:sz w:val="17"/>
        </w:rPr>
      </w:pPr>
    </w:p>
    <w:p>
      <w:pPr>
        <w:pStyle w:val="Heading2"/>
        <w:ind w:left="0" w:right="787"/>
        <w:jc w:val="center"/>
      </w:pPr>
      <w:bookmarkStart w:name="_TOC_250017" w:id="18"/>
      <w:bookmarkEnd w:id="18"/>
      <w:r>
        <w:rPr/>
        <w:t>CAPÍTULO 4. DISEÑO METODOLÓGICO</w:t>
      </w:r>
    </w:p>
    <w:p>
      <w:pPr>
        <w:pStyle w:val="BodyText"/>
        <w:rPr>
          <w:b/>
          <w:sz w:val="22"/>
        </w:rPr>
      </w:pPr>
    </w:p>
    <w:p>
      <w:pPr>
        <w:pStyle w:val="Heading2"/>
        <w:numPr>
          <w:ilvl w:val="1"/>
          <w:numId w:val="26"/>
        </w:numPr>
        <w:tabs>
          <w:tab w:pos="803" w:val="left" w:leader="none"/>
        </w:tabs>
        <w:spacing w:line="240" w:lineRule="auto" w:before="1" w:after="0"/>
        <w:ind w:left="802" w:right="0" w:hanging="686"/>
        <w:jc w:val="both"/>
      </w:pPr>
      <w:bookmarkStart w:name="_TOC_250016" w:id="19"/>
      <w:r>
        <w:rPr/>
        <w:t>Tipo </w:t>
      </w:r>
      <w:r>
        <w:rPr>
          <w:spacing w:val="2"/>
        </w:rPr>
        <w:t>de</w:t>
      </w:r>
      <w:r>
        <w:rPr>
          <w:spacing w:val="20"/>
        </w:rPr>
        <w:t> </w:t>
      </w:r>
      <w:bookmarkEnd w:id="19"/>
      <w:r>
        <w:rPr/>
        <w:t>investigación</w:t>
      </w:r>
    </w:p>
    <w:p>
      <w:pPr>
        <w:pStyle w:val="BodyText"/>
        <w:rPr>
          <w:b/>
          <w:sz w:val="22"/>
        </w:rPr>
      </w:pPr>
    </w:p>
    <w:p>
      <w:pPr>
        <w:pStyle w:val="BodyText"/>
        <w:spacing w:line="364" w:lineRule="auto" w:before="1"/>
        <w:ind w:left="115" w:right="894"/>
        <w:jc w:val="both"/>
      </w:pPr>
      <w:r>
        <w:rPr/>
        <w:t>Debido a que </w:t>
      </w:r>
      <w:r>
        <w:rPr>
          <w:spacing w:val="-5"/>
        </w:rPr>
        <w:t>la </w:t>
      </w:r>
      <w:r>
        <w:rPr/>
        <w:t>información que existe sobre los estudios empíricos </w:t>
      </w:r>
      <w:r>
        <w:rPr>
          <w:spacing w:val="-3"/>
        </w:rPr>
        <w:t>de</w:t>
      </w:r>
      <w:r>
        <w:rPr>
          <w:spacing w:val="57"/>
        </w:rPr>
        <w:t> </w:t>
      </w:r>
      <w:r>
        <w:rPr/>
        <w:t>Comportamientos Proambientales del turismo en Áreas  Naturales Protegidas (ANP´s), es muy poca, la presente investigación es </w:t>
      </w:r>
      <w:r>
        <w:rPr>
          <w:spacing w:val="-3"/>
        </w:rPr>
        <w:t>de  </w:t>
      </w:r>
      <w:r>
        <w:rPr/>
        <w:t>carácter exploratorio  (Hernández, 2010),  </w:t>
      </w:r>
      <w:r>
        <w:rPr>
          <w:spacing w:val="-4"/>
        </w:rPr>
        <w:t>ya </w:t>
      </w:r>
      <w:r>
        <w:rPr/>
        <w:t>que pretende indagar en un fenómeno </w:t>
      </w:r>
      <w:r>
        <w:rPr>
          <w:spacing w:val="2"/>
        </w:rPr>
        <w:t>que </w:t>
      </w:r>
      <w:r>
        <w:rPr/>
        <w:t>es prácticamente desconocido para el sector turístico; por </w:t>
      </w:r>
      <w:r>
        <w:rPr>
          <w:spacing w:val="-3"/>
        </w:rPr>
        <w:t>ello </w:t>
      </w:r>
      <w:r>
        <w:rPr/>
        <w:t>se revisó información en la materia con la finalidad de conocer cuáles son los elementos que permitieran identificar el comportamiento proambiental de los visitantes en el parque; obteniendo así un panorama inicial de la realidad que conforma el objeto de estudio</w:t>
      </w:r>
      <w:r>
        <w:rPr>
          <w:spacing w:val="35"/>
        </w:rPr>
        <w:t> </w:t>
      </w:r>
      <w:r>
        <w:rPr/>
        <w:t>.</w:t>
      </w:r>
    </w:p>
    <w:p>
      <w:pPr>
        <w:pStyle w:val="BodyText"/>
        <w:spacing w:line="364" w:lineRule="auto" w:before="120"/>
        <w:ind w:left="116" w:right="898"/>
        <w:jc w:val="both"/>
      </w:pPr>
      <w:r>
        <w:rPr/>
        <w:t>Además </w:t>
      </w:r>
      <w:r>
        <w:rPr>
          <w:spacing w:val="-3"/>
        </w:rPr>
        <w:t>es </w:t>
      </w:r>
      <w:r>
        <w:rPr/>
        <w:t>un estudio correlacional explicativo ya que refiere el  fenómeno  y  lo  relaciona con diversos elementos que permiten mostrar la realidad de los comportamientos proambientales de los visitantes, y efectuar además </w:t>
      </w:r>
      <w:r>
        <w:rPr>
          <w:spacing w:val="-3"/>
        </w:rPr>
        <w:t>una </w:t>
      </w:r>
      <w:r>
        <w:rPr/>
        <w:t>correlación entre lo que acontece contra lo que debiera</w:t>
      </w:r>
      <w:r>
        <w:rPr>
          <w:spacing w:val="58"/>
        </w:rPr>
        <w:t> </w:t>
      </w:r>
      <w:r>
        <w:rPr/>
        <w:t>suceder.</w:t>
      </w:r>
    </w:p>
    <w:p>
      <w:pPr>
        <w:pStyle w:val="BodyText"/>
        <w:spacing w:line="364" w:lineRule="auto" w:before="120"/>
        <w:ind w:left="115" w:right="899"/>
        <w:jc w:val="both"/>
      </w:pPr>
      <w:r>
        <w:rPr/>
        <w:t>En este sentido, el diseño de la investigación fue transeccional, ya que los datos se recolectaron en un solo periodo de tiempo, debido a que su propósito es describir variables y analizar su incidencia e interrelación en un momento dado (Taylor,  2003).</w:t>
      </w:r>
    </w:p>
    <w:p>
      <w:pPr>
        <w:pStyle w:val="BodyText"/>
        <w:spacing w:line="364" w:lineRule="auto" w:before="120"/>
        <w:ind w:left="116" w:right="897"/>
        <w:jc w:val="both"/>
      </w:pPr>
      <w:r>
        <w:rPr/>
        <w:t>Y finalmente esta investigación tiene un enfoque cuantitativo que  utiliza  </w:t>
      </w:r>
      <w:r>
        <w:rPr>
          <w:spacing w:val="-5"/>
        </w:rPr>
        <w:t>la  </w:t>
      </w:r>
      <w:r>
        <w:rPr/>
        <w:t>recolección de datos para probar hipótesis con base en </w:t>
      </w:r>
      <w:r>
        <w:rPr>
          <w:spacing w:val="-5"/>
        </w:rPr>
        <w:t>la </w:t>
      </w:r>
      <w:r>
        <w:rPr/>
        <w:t>medición numérica y el  análisis  estadístico, con el </w:t>
      </w:r>
      <w:r>
        <w:rPr>
          <w:spacing w:val="-3"/>
        </w:rPr>
        <w:t>fin </w:t>
      </w:r>
      <w:r>
        <w:rPr/>
        <w:t>de establecer pautas de comportamiento y probar teorías (Hernández et al., 2014); este ayuda a obtener datos que permitan </w:t>
      </w:r>
      <w:r>
        <w:rPr>
          <w:spacing w:val="-5"/>
        </w:rPr>
        <w:t>la </w:t>
      </w:r>
      <w:r>
        <w:rPr/>
        <w:t>comprensión del problema de estudio, generando una mayor interpretación del fenómeno </w:t>
      </w:r>
      <w:r>
        <w:rPr>
          <w:spacing w:val="33"/>
        </w:rPr>
        <w:t> </w:t>
      </w:r>
      <w:r>
        <w:rPr/>
        <w:t>observado.</w:t>
      </w:r>
    </w:p>
    <w:p>
      <w:pPr>
        <w:pStyle w:val="BodyText"/>
        <w:rPr>
          <w:sz w:val="22"/>
        </w:rPr>
      </w:pPr>
    </w:p>
    <w:p>
      <w:pPr>
        <w:pStyle w:val="BodyText"/>
        <w:rPr>
          <w:sz w:val="22"/>
        </w:rPr>
      </w:pPr>
    </w:p>
    <w:p>
      <w:pPr>
        <w:pStyle w:val="Heading2"/>
        <w:numPr>
          <w:ilvl w:val="1"/>
          <w:numId w:val="26"/>
        </w:numPr>
        <w:tabs>
          <w:tab w:pos="817" w:val="left" w:leader="none"/>
        </w:tabs>
        <w:spacing w:line="240" w:lineRule="auto" w:before="132" w:after="0"/>
        <w:ind w:left="816" w:right="0" w:hanging="700"/>
        <w:jc w:val="both"/>
      </w:pPr>
      <w:bookmarkStart w:name="_TOC_250015" w:id="20"/>
      <w:r>
        <w:rPr/>
        <w:t>Población y</w:t>
      </w:r>
      <w:r>
        <w:rPr>
          <w:spacing w:val="26"/>
        </w:rPr>
        <w:t> </w:t>
      </w:r>
      <w:bookmarkEnd w:id="20"/>
      <w:r>
        <w:rPr/>
        <w:t>muestra</w:t>
      </w:r>
    </w:p>
    <w:p>
      <w:pPr>
        <w:pStyle w:val="BodyText"/>
        <w:rPr>
          <w:b/>
          <w:sz w:val="22"/>
        </w:rPr>
      </w:pPr>
    </w:p>
    <w:p>
      <w:pPr>
        <w:pStyle w:val="BodyText"/>
        <w:spacing w:line="364" w:lineRule="auto" w:before="1"/>
        <w:ind w:left="115" w:right="894"/>
        <w:jc w:val="both"/>
      </w:pPr>
      <w:r>
        <w:rPr/>
        <w:t>La actividad turística </w:t>
      </w:r>
      <w:r>
        <w:rPr>
          <w:spacing w:val="-3"/>
        </w:rPr>
        <w:t>en </w:t>
      </w:r>
      <w:r>
        <w:rPr/>
        <w:t>el Parque Nacional Desierto de los Leones  (PNDL)  se  constituye principalmente por los visitantes que llegan </w:t>
      </w:r>
      <w:r>
        <w:rPr>
          <w:spacing w:val="4"/>
        </w:rPr>
        <w:t>al </w:t>
      </w:r>
      <w:r>
        <w:rPr/>
        <w:t>lugar y las diferentes  actividades de esparcimiento que realizan en relación con la </w:t>
      </w:r>
      <w:r>
        <w:rPr>
          <w:spacing w:val="10"/>
        </w:rPr>
        <w:t> </w:t>
      </w:r>
      <w:r>
        <w:rPr/>
        <w:t>naturaleza.</w:t>
      </w:r>
    </w:p>
    <w:p>
      <w:pPr>
        <w:pStyle w:val="BodyText"/>
        <w:spacing w:line="364" w:lineRule="auto" w:before="120"/>
        <w:ind w:left="115" w:right="901"/>
        <w:jc w:val="both"/>
      </w:pPr>
      <w:r>
        <w:rPr/>
        <w:t>Se estima que aproximadamente el parque recibe 205, 500 visitantes  anuales,  los cuales realizan diferentes actividades entre las que destacan recorridos por el museo y</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115" w:right="989"/>
      </w:pPr>
      <w:r>
        <w:rPr/>
        <w:t>el bosque, caminata, ciclismo, senderismo, cabalgata, tirolesa, y zonas de convivencias de días </w:t>
      </w:r>
      <w:r>
        <w:rPr>
          <w:spacing w:val="-3"/>
        </w:rPr>
        <w:t>de </w:t>
      </w:r>
      <w:r>
        <w:rPr/>
        <w:t>campo. (SECTUR,</w:t>
      </w:r>
      <w:r>
        <w:rPr>
          <w:spacing w:val="54"/>
        </w:rPr>
        <w:t> </w:t>
      </w:r>
      <w:r>
        <w:rPr/>
        <w:t>2014)</w:t>
      </w:r>
    </w:p>
    <w:p>
      <w:pPr>
        <w:pStyle w:val="BodyText"/>
        <w:spacing w:line="364" w:lineRule="auto" w:before="123"/>
        <w:ind w:left="116" w:right="989"/>
      </w:pPr>
      <w:r>
        <w:rPr/>
        <w:t>Así pues para la realización de este estudio se identificó el colectivo que proporcionó información clara y directa sobre el objeto de análisis: turistas (ver tabla  X).</w:t>
      </w:r>
    </w:p>
    <w:p>
      <w:pPr>
        <w:pStyle w:val="BodyText"/>
        <w:spacing w:before="125"/>
        <w:ind w:left="2453" w:right="989"/>
      </w:pPr>
      <w:r>
        <w:rPr/>
        <w:t>Tabla No. 5. Ficha técnica de la  muestra</w:t>
      </w:r>
    </w:p>
    <w:p>
      <w:pPr>
        <w:pStyle w:val="BodyText"/>
        <w:spacing w:before="5"/>
        <w:rPr>
          <w:sz w:val="22"/>
        </w:rPr>
      </w:pPr>
    </w:p>
    <w:tbl>
      <w:tblPr>
        <w:tblW w:w="0" w:type="auto"/>
        <w:jc w:val="left"/>
        <w:tblInd w:w="18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99"/>
        <w:gridCol w:w="1934"/>
      </w:tblGrid>
      <w:tr>
        <w:trPr>
          <w:trHeight w:val="528" w:hRule="exact"/>
        </w:trPr>
        <w:tc>
          <w:tcPr>
            <w:tcW w:w="2899" w:type="dxa"/>
            <w:shd w:val="clear" w:color="auto" w:fill="E5E5E5"/>
          </w:tcPr>
          <w:p>
            <w:pPr>
              <w:pStyle w:val="TableParagraph"/>
              <w:spacing w:line="260" w:lineRule="exact"/>
              <w:ind w:left="105"/>
              <w:rPr>
                <w:sz w:val="23"/>
              </w:rPr>
            </w:pPr>
            <w:r>
              <w:rPr>
                <w:sz w:val="23"/>
              </w:rPr>
              <w:t>Colectivo/características</w:t>
            </w:r>
          </w:p>
        </w:tc>
        <w:tc>
          <w:tcPr>
            <w:tcW w:w="1934" w:type="dxa"/>
            <w:shd w:val="clear" w:color="auto" w:fill="E5E5E5"/>
          </w:tcPr>
          <w:p>
            <w:pPr>
              <w:pStyle w:val="TableParagraph"/>
              <w:spacing w:line="260" w:lineRule="exact"/>
              <w:ind w:left="100"/>
              <w:rPr>
                <w:sz w:val="23"/>
              </w:rPr>
            </w:pPr>
            <w:r>
              <w:rPr>
                <w:sz w:val="23"/>
              </w:rPr>
              <w:t>Turistas</w:t>
            </w:r>
          </w:p>
        </w:tc>
      </w:tr>
      <w:tr>
        <w:trPr>
          <w:trHeight w:val="533" w:hRule="exact"/>
        </w:trPr>
        <w:tc>
          <w:tcPr>
            <w:tcW w:w="2899" w:type="dxa"/>
          </w:tcPr>
          <w:p>
            <w:pPr>
              <w:pStyle w:val="TableParagraph"/>
              <w:spacing w:line="260" w:lineRule="exact"/>
              <w:ind w:left="105"/>
              <w:rPr>
                <w:sz w:val="23"/>
              </w:rPr>
            </w:pPr>
            <w:r>
              <w:rPr>
                <w:sz w:val="23"/>
              </w:rPr>
              <w:t>Tamaño de población</w:t>
            </w:r>
          </w:p>
        </w:tc>
        <w:tc>
          <w:tcPr>
            <w:tcW w:w="1934" w:type="dxa"/>
          </w:tcPr>
          <w:p>
            <w:pPr>
              <w:pStyle w:val="TableParagraph"/>
              <w:spacing w:line="260" w:lineRule="exact"/>
              <w:ind w:left="100"/>
              <w:rPr>
                <w:sz w:val="23"/>
              </w:rPr>
            </w:pPr>
            <w:r>
              <w:rPr>
                <w:sz w:val="23"/>
              </w:rPr>
              <w:t>205,500</w:t>
            </w:r>
          </w:p>
        </w:tc>
      </w:tr>
      <w:tr>
        <w:trPr>
          <w:trHeight w:val="528" w:hRule="exact"/>
        </w:trPr>
        <w:tc>
          <w:tcPr>
            <w:tcW w:w="2899" w:type="dxa"/>
          </w:tcPr>
          <w:p>
            <w:pPr>
              <w:pStyle w:val="TableParagraph"/>
              <w:spacing w:line="260" w:lineRule="exact"/>
              <w:ind w:left="105"/>
              <w:rPr>
                <w:sz w:val="23"/>
              </w:rPr>
            </w:pPr>
            <w:r>
              <w:rPr>
                <w:sz w:val="23"/>
              </w:rPr>
              <w:t>Tamaño de muestra</w:t>
            </w:r>
          </w:p>
        </w:tc>
        <w:tc>
          <w:tcPr>
            <w:tcW w:w="1934" w:type="dxa"/>
          </w:tcPr>
          <w:p>
            <w:pPr>
              <w:pStyle w:val="TableParagraph"/>
              <w:spacing w:line="260" w:lineRule="exact"/>
              <w:ind w:left="100"/>
              <w:rPr>
                <w:sz w:val="23"/>
              </w:rPr>
            </w:pPr>
            <w:r>
              <w:rPr>
                <w:sz w:val="23"/>
              </w:rPr>
              <w:t>420</w:t>
            </w:r>
          </w:p>
        </w:tc>
      </w:tr>
      <w:tr>
        <w:trPr>
          <w:trHeight w:val="931" w:hRule="exact"/>
        </w:trPr>
        <w:tc>
          <w:tcPr>
            <w:tcW w:w="2899" w:type="dxa"/>
          </w:tcPr>
          <w:p>
            <w:pPr>
              <w:pStyle w:val="TableParagraph"/>
              <w:spacing w:line="364" w:lineRule="auto"/>
              <w:ind w:left="105"/>
              <w:rPr>
                <w:sz w:val="23"/>
              </w:rPr>
            </w:pPr>
            <w:r>
              <w:rPr>
                <w:sz w:val="23"/>
              </w:rPr>
              <w:t>Instrumento de obtención de información</w:t>
            </w:r>
          </w:p>
        </w:tc>
        <w:tc>
          <w:tcPr>
            <w:tcW w:w="1934" w:type="dxa"/>
          </w:tcPr>
          <w:p>
            <w:pPr>
              <w:pStyle w:val="TableParagraph"/>
              <w:spacing w:line="260" w:lineRule="exact"/>
              <w:ind w:left="100"/>
              <w:rPr>
                <w:sz w:val="23"/>
              </w:rPr>
            </w:pPr>
            <w:r>
              <w:rPr>
                <w:sz w:val="23"/>
              </w:rPr>
              <w:t>Cuestionario</w:t>
            </w:r>
          </w:p>
        </w:tc>
      </w:tr>
      <w:tr>
        <w:trPr>
          <w:trHeight w:val="533" w:hRule="exact"/>
        </w:trPr>
        <w:tc>
          <w:tcPr>
            <w:tcW w:w="2899" w:type="dxa"/>
          </w:tcPr>
          <w:p>
            <w:pPr>
              <w:pStyle w:val="TableParagraph"/>
              <w:ind w:left="105"/>
              <w:rPr>
                <w:sz w:val="23"/>
              </w:rPr>
            </w:pPr>
            <w:r>
              <w:rPr>
                <w:sz w:val="23"/>
              </w:rPr>
              <w:t>Muestra</w:t>
            </w:r>
          </w:p>
        </w:tc>
        <w:tc>
          <w:tcPr>
            <w:tcW w:w="1934" w:type="dxa"/>
          </w:tcPr>
          <w:p>
            <w:pPr>
              <w:pStyle w:val="TableParagraph"/>
              <w:ind w:left="100"/>
              <w:rPr>
                <w:sz w:val="23"/>
              </w:rPr>
            </w:pPr>
            <w:r>
              <w:rPr>
                <w:sz w:val="23"/>
              </w:rPr>
              <w:t>Probabilística</w:t>
            </w:r>
          </w:p>
        </w:tc>
      </w:tr>
    </w:tbl>
    <w:p>
      <w:pPr>
        <w:pStyle w:val="BodyText"/>
        <w:rPr>
          <w:sz w:val="20"/>
        </w:rPr>
      </w:pPr>
    </w:p>
    <w:p>
      <w:pPr>
        <w:pStyle w:val="BodyText"/>
        <w:spacing w:before="3"/>
        <w:rPr>
          <w:sz w:val="18"/>
        </w:rPr>
      </w:pPr>
    </w:p>
    <w:p>
      <w:pPr>
        <w:pStyle w:val="BodyText"/>
        <w:spacing w:line="364" w:lineRule="auto" w:before="74"/>
        <w:ind w:left="115" w:right="898"/>
        <w:jc w:val="both"/>
      </w:pPr>
      <w:r>
        <w:rPr/>
        <w:t>Para la determinación de la muestra </w:t>
      </w:r>
      <w:r>
        <w:rPr>
          <w:spacing w:val="-3"/>
        </w:rPr>
        <w:t>de </w:t>
      </w:r>
      <w:r>
        <w:rPr/>
        <w:t>los visitantes, se usaron </w:t>
      </w:r>
      <w:r>
        <w:rPr>
          <w:spacing w:val="-4"/>
        </w:rPr>
        <w:t>los  </w:t>
      </w:r>
      <w:r>
        <w:rPr/>
        <w:t>datos estadísticos  de 2014, que proporciona la secretaria de turismo sobre el número de visitantes </w:t>
      </w:r>
      <w:r>
        <w:rPr>
          <w:spacing w:val="-3"/>
        </w:rPr>
        <w:t>que </w:t>
      </w:r>
      <w:r>
        <w:rPr/>
        <w:t>recibe el parque, se realizó una estimación para determinar el tamaño de la muestra, como se conoce el tamaño de </w:t>
      </w:r>
      <w:r>
        <w:rPr>
          <w:spacing w:val="-5"/>
        </w:rPr>
        <w:t>la </w:t>
      </w:r>
      <w:r>
        <w:rPr/>
        <w:t>población entonces se utiliza el método para  poblaciones finitas, de tal manera que la fórmula para </w:t>
      </w:r>
      <w:r>
        <w:rPr>
          <w:spacing w:val="-5"/>
        </w:rPr>
        <w:t>la </w:t>
      </w:r>
      <w:r>
        <w:rPr/>
        <w:t>obtención de la muestra para  los turistas </w:t>
      </w:r>
      <w:r>
        <w:rPr>
          <w:spacing w:val="-3"/>
        </w:rPr>
        <w:t>es </w:t>
      </w:r>
      <w:r>
        <w:rPr/>
        <w:t>la</w:t>
      </w:r>
      <w:r>
        <w:rPr>
          <w:spacing w:val="33"/>
        </w:rPr>
        <w:t> </w:t>
      </w:r>
      <w:r>
        <w:rPr/>
        <w:t>siguiente:</w:t>
      </w:r>
    </w:p>
    <w:p>
      <w:pPr>
        <w:tabs>
          <w:tab w:pos="3965" w:val="left" w:leader="none"/>
          <w:tab w:pos="4622" w:val="left" w:leader="none"/>
          <w:tab w:pos="6003" w:val="left" w:leader="none"/>
        </w:tabs>
        <w:spacing w:line="369" w:lineRule="auto" w:before="129"/>
        <w:ind w:left="3423" w:right="4160" w:firstLine="0"/>
        <w:jc w:val="center"/>
        <w:rPr>
          <w:sz w:val="19"/>
        </w:rPr>
      </w:pPr>
      <w:r>
        <w:rPr>
          <w:w w:val="105"/>
          <w:sz w:val="19"/>
        </w:rPr>
        <w:t>n</w:t>
      </w:r>
      <w:r>
        <w:rPr>
          <w:spacing w:val="-3"/>
          <w:w w:val="105"/>
          <w:sz w:val="19"/>
        </w:rPr>
        <w:t> </w:t>
      </w:r>
      <w:r>
        <w:rPr>
          <w:w w:val="105"/>
          <w:sz w:val="19"/>
        </w:rPr>
        <w:t>=</w:t>
        <w:tab/>
        <w:t>σ</w:t>
      </w:r>
      <w:r>
        <w:rPr>
          <w:spacing w:val="-6"/>
          <w:w w:val="105"/>
          <w:sz w:val="19"/>
        </w:rPr>
        <w:t> </w:t>
      </w:r>
      <w:r>
        <w:rPr>
          <w:w w:val="105"/>
          <w:sz w:val="19"/>
        </w:rPr>
        <w:t>2</w:t>
        <w:tab/>
        <w:t>N.p.q</w:t>
      </w:r>
      <w:r>
        <w:rPr>
          <w:rFonts w:ascii="Times New Roman" w:hAnsi="Times New Roman"/>
          <w:w w:val="105"/>
          <w:sz w:val="19"/>
          <w:u w:val="single"/>
        </w:rPr>
        <w:tab/>
      </w:r>
      <w:r>
        <w:rPr>
          <w:rFonts w:ascii="Times New Roman" w:hAnsi="Times New Roman"/>
          <w:w w:val="105"/>
          <w:sz w:val="19"/>
        </w:rPr>
        <w:t> </w:t>
      </w:r>
      <w:r>
        <w:rPr>
          <w:w w:val="105"/>
          <w:sz w:val="19"/>
        </w:rPr>
        <w:t>e2</w:t>
      </w:r>
      <w:r>
        <w:rPr>
          <w:spacing w:val="-6"/>
          <w:w w:val="105"/>
          <w:sz w:val="19"/>
        </w:rPr>
        <w:t> </w:t>
      </w:r>
      <w:r>
        <w:rPr>
          <w:w w:val="105"/>
          <w:sz w:val="19"/>
        </w:rPr>
        <w:t>(N</w:t>
      </w:r>
      <w:r>
        <w:rPr>
          <w:spacing w:val="-4"/>
          <w:w w:val="105"/>
          <w:sz w:val="19"/>
        </w:rPr>
        <w:t> </w:t>
      </w:r>
      <w:r>
        <w:rPr>
          <w:w w:val="105"/>
          <w:sz w:val="19"/>
        </w:rPr>
        <w:t>-</w:t>
      </w:r>
      <w:r>
        <w:rPr>
          <w:spacing w:val="-5"/>
          <w:w w:val="105"/>
          <w:sz w:val="19"/>
        </w:rPr>
        <w:t> </w:t>
      </w:r>
      <w:r>
        <w:rPr>
          <w:w w:val="105"/>
          <w:sz w:val="19"/>
        </w:rPr>
        <w:t>1)</w:t>
      </w:r>
      <w:r>
        <w:rPr>
          <w:spacing w:val="-9"/>
          <w:w w:val="105"/>
          <w:sz w:val="19"/>
        </w:rPr>
        <w:t> </w:t>
      </w:r>
      <w:r>
        <w:rPr>
          <w:w w:val="105"/>
          <w:sz w:val="19"/>
        </w:rPr>
        <w:t>+</w:t>
      </w:r>
      <w:r>
        <w:rPr>
          <w:spacing w:val="-6"/>
          <w:w w:val="105"/>
          <w:sz w:val="19"/>
        </w:rPr>
        <w:t> </w:t>
      </w:r>
      <w:r>
        <w:rPr>
          <w:w w:val="105"/>
          <w:sz w:val="19"/>
        </w:rPr>
        <w:t>σ</w:t>
      </w:r>
      <w:r>
        <w:rPr>
          <w:spacing w:val="-8"/>
          <w:w w:val="105"/>
          <w:sz w:val="19"/>
        </w:rPr>
        <w:t> </w:t>
      </w:r>
      <w:r>
        <w:rPr>
          <w:w w:val="105"/>
          <w:sz w:val="19"/>
        </w:rPr>
        <w:t>2</w:t>
      </w:r>
      <w:r>
        <w:rPr>
          <w:spacing w:val="-5"/>
          <w:w w:val="105"/>
          <w:sz w:val="19"/>
        </w:rPr>
        <w:t> </w:t>
      </w:r>
      <w:r>
        <w:rPr>
          <w:spacing w:val="2"/>
          <w:w w:val="105"/>
          <w:sz w:val="19"/>
        </w:rPr>
        <w:t>p.</w:t>
      </w:r>
      <w:r>
        <w:rPr>
          <w:spacing w:val="-13"/>
          <w:w w:val="105"/>
          <w:sz w:val="19"/>
        </w:rPr>
        <w:t> </w:t>
      </w:r>
      <w:r>
        <w:rPr>
          <w:w w:val="105"/>
          <w:sz w:val="19"/>
        </w:rPr>
        <w:t>q</w:t>
      </w:r>
    </w:p>
    <w:p>
      <w:pPr>
        <w:spacing w:before="7"/>
        <w:ind w:left="0" w:right="781" w:firstLine="0"/>
        <w:jc w:val="center"/>
        <w:rPr>
          <w:sz w:val="19"/>
        </w:rPr>
      </w:pPr>
      <w:r>
        <w:rPr>
          <w:w w:val="105"/>
          <w:sz w:val="19"/>
        </w:rPr>
        <w:t>Dónde:</w:t>
      </w:r>
    </w:p>
    <w:p>
      <w:pPr>
        <w:tabs>
          <w:tab w:pos="686" w:val="left" w:leader="none"/>
        </w:tabs>
        <w:spacing w:before="127"/>
        <w:ind w:left="0" w:right="783" w:firstLine="0"/>
        <w:jc w:val="center"/>
        <w:rPr>
          <w:sz w:val="19"/>
        </w:rPr>
      </w:pPr>
      <w:r>
        <w:rPr>
          <w:w w:val="105"/>
          <w:sz w:val="19"/>
        </w:rPr>
        <w:t>n</w:t>
      </w:r>
      <w:r>
        <w:rPr>
          <w:spacing w:val="-3"/>
          <w:w w:val="105"/>
          <w:sz w:val="19"/>
        </w:rPr>
        <w:t> </w:t>
      </w:r>
      <w:r>
        <w:rPr>
          <w:w w:val="105"/>
          <w:sz w:val="19"/>
        </w:rPr>
        <w:t>=</w:t>
        <w:tab/>
      </w:r>
      <w:r>
        <w:rPr>
          <w:sz w:val="19"/>
        </w:rPr>
        <w:t>Tamaño</w:t>
      </w:r>
      <w:r>
        <w:rPr>
          <w:spacing w:val="27"/>
          <w:sz w:val="19"/>
        </w:rPr>
        <w:t> </w:t>
      </w:r>
      <w:r>
        <w:rPr>
          <w:sz w:val="19"/>
        </w:rPr>
        <w:t>muestral</w:t>
      </w:r>
    </w:p>
    <w:p>
      <w:pPr>
        <w:tabs>
          <w:tab w:pos="686" w:val="left" w:leader="none"/>
        </w:tabs>
        <w:spacing w:before="122"/>
        <w:ind w:left="0" w:right="789" w:firstLine="0"/>
        <w:jc w:val="center"/>
        <w:rPr>
          <w:sz w:val="19"/>
        </w:rPr>
      </w:pPr>
      <w:r>
        <w:rPr>
          <w:w w:val="105"/>
          <w:sz w:val="19"/>
        </w:rPr>
        <w:t>N</w:t>
      </w:r>
      <w:r>
        <w:rPr>
          <w:spacing w:val="-4"/>
          <w:w w:val="105"/>
          <w:sz w:val="19"/>
        </w:rPr>
        <w:t> </w:t>
      </w:r>
      <w:r>
        <w:rPr>
          <w:w w:val="105"/>
          <w:sz w:val="19"/>
        </w:rPr>
        <w:t>=</w:t>
        <w:tab/>
        <w:t>Tamaño</w:t>
      </w:r>
      <w:r>
        <w:rPr>
          <w:spacing w:val="-18"/>
          <w:w w:val="105"/>
          <w:sz w:val="19"/>
        </w:rPr>
        <w:t> </w:t>
      </w:r>
      <w:r>
        <w:rPr>
          <w:w w:val="105"/>
          <w:sz w:val="19"/>
        </w:rPr>
        <w:t>de</w:t>
      </w:r>
      <w:r>
        <w:rPr>
          <w:spacing w:val="-17"/>
          <w:w w:val="105"/>
          <w:sz w:val="19"/>
        </w:rPr>
        <w:t> </w:t>
      </w:r>
      <w:r>
        <w:rPr>
          <w:w w:val="105"/>
          <w:sz w:val="19"/>
        </w:rPr>
        <w:t>la</w:t>
      </w:r>
      <w:r>
        <w:rPr>
          <w:spacing w:val="-21"/>
          <w:w w:val="105"/>
          <w:sz w:val="19"/>
        </w:rPr>
        <w:t> </w:t>
      </w:r>
      <w:r>
        <w:rPr>
          <w:w w:val="105"/>
          <w:sz w:val="19"/>
        </w:rPr>
        <w:t>población,</w:t>
      </w:r>
      <w:r>
        <w:rPr>
          <w:spacing w:val="-23"/>
          <w:w w:val="105"/>
          <w:sz w:val="19"/>
        </w:rPr>
        <w:t> </w:t>
      </w:r>
      <w:r>
        <w:rPr>
          <w:w w:val="105"/>
          <w:sz w:val="19"/>
        </w:rPr>
        <w:t>número</w:t>
      </w:r>
      <w:r>
        <w:rPr>
          <w:spacing w:val="-17"/>
          <w:w w:val="105"/>
          <w:sz w:val="19"/>
        </w:rPr>
        <w:t> </w:t>
      </w:r>
      <w:r>
        <w:rPr>
          <w:w w:val="105"/>
          <w:sz w:val="19"/>
        </w:rPr>
        <w:t>total</w:t>
      </w:r>
      <w:r>
        <w:rPr>
          <w:spacing w:val="-15"/>
          <w:w w:val="105"/>
          <w:sz w:val="19"/>
        </w:rPr>
        <w:t> </w:t>
      </w:r>
      <w:r>
        <w:rPr>
          <w:w w:val="105"/>
          <w:sz w:val="19"/>
        </w:rPr>
        <w:t>de</w:t>
      </w:r>
      <w:r>
        <w:rPr>
          <w:spacing w:val="-17"/>
          <w:w w:val="105"/>
          <w:sz w:val="19"/>
        </w:rPr>
        <w:t> </w:t>
      </w:r>
      <w:r>
        <w:rPr>
          <w:w w:val="105"/>
          <w:sz w:val="19"/>
        </w:rPr>
        <w:t>turistas.</w:t>
      </w:r>
    </w:p>
    <w:p>
      <w:pPr>
        <w:tabs>
          <w:tab w:pos="2717" w:val="left" w:leader="none"/>
        </w:tabs>
        <w:spacing w:line="374" w:lineRule="auto" w:before="122"/>
        <w:ind w:left="2031" w:right="2819" w:firstLine="0"/>
        <w:jc w:val="center"/>
        <w:rPr>
          <w:sz w:val="19"/>
        </w:rPr>
      </w:pPr>
      <w:r>
        <w:rPr>
          <w:w w:val="105"/>
          <w:sz w:val="19"/>
        </w:rPr>
        <w:t>σ</w:t>
      </w:r>
      <w:r>
        <w:rPr>
          <w:spacing w:val="-5"/>
          <w:w w:val="105"/>
          <w:sz w:val="19"/>
        </w:rPr>
        <w:t> </w:t>
      </w:r>
      <w:r>
        <w:rPr>
          <w:w w:val="105"/>
          <w:sz w:val="19"/>
        </w:rPr>
        <w:t>=</w:t>
        <w:tab/>
        <w:t>Valor</w:t>
      </w:r>
      <w:r>
        <w:rPr>
          <w:spacing w:val="-19"/>
          <w:w w:val="105"/>
          <w:sz w:val="19"/>
        </w:rPr>
        <w:t> </w:t>
      </w:r>
      <w:r>
        <w:rPr>
          <w:w w:val="105"/>
          <w:sz w:val="19"/>
        </w:rPr>
        <w:t>correspondiente</w:t>
      </w:r>
      <w:r>
        <w:rPr>
          <w:spacing w:val="-19"/>
          <w:w w:val="105"/>
          <w:sz w:val="19"/>
        </w:rPr>
        <w:t> </w:t>
      </w:r>
      <w:r>
        <w:rPr>
          <w:w w:val="105"/>
          <w:sz w:val="19"/>
        </w:rPr>
        <w:t>a</w:t>
      </w:r>
      <w:r>
        <w:rPr>
          <w:spacing w:val="-19"/>
          <w:w w:val="105"/>
          <w:sz w:val="19"/>
        </w:rPr>
        <w:t> </w:t>
      </w:r>
      <w:r>
        <w:rPr>
          <w:spacing w:val="-3"/>
          <w:w w:val="105"/>
          <w:sz w:val="19"/>
        </w:rPr>
        <w:t>la</w:t>
      </w:r>
      <w:r>
        <w:rPr>
          <w:spacing w:val="-19"/>
          <w:w w:val="105"/>
          <w:sz w:val="19"/>
        </w:rPr>
        <w:t> </w:t>
      </w:r>
      <w:r>
        <w:rPr>
          <w:w w:val="105"/>
          <w:sz w:val="19"/>
        </w:rPr>
        <w:t>distribución</w:t>
      </w:r>
      <w:r>
        <w:rPr>
          <w:spacing w:val="-19"/>
          <w:w w:val="105"/>
          <w:sz w:val="19"/>
        </w:rPr>
        <w:t> </w:t>
      </w:r>
      <w:r>
        <w:rPr>
          <w:w w:val="105"/>
          <w:sz w:val="19"/>
        </w:rPr>
        <w:t>de</w:t>
      </w:r>
      <w:r>
        <w:rPr>
          <w:spacing w:val="-19"/>
          <w:w w:val="105"/>
          <w:sz w:val="19"/>
        </w:rPr>
        <w:t> </w:t>
      </w:r>
      <w:r>
        <w:rPr>
          <w:w w:val="105"/>
          <w:sz w:val="19"/>
        </w:rPr>
        <w:t>Gauss</w:t>
      </w:r>
      <w:r>
        <w:rPr>
          <w:spacing w:val="-25"/>
          <w:w w:val="105"/>
          <w:sz w:val="19"/>
        </w:rPr>
        <w:t> </w:t>
      </w:r>
      <w:r>
        <w:rPr>
          <w:w w:val="105"/>
          <w:sz w:val="19"/>
        </w:rPr>
        <w:t>1.96</w:t>
      </w:r>
      <w:r>
        <w:rPr>
          <w:w w:val="103"/>
          <w:sz w:val="19"/>
        </w:rPr>
        <w:t> </w:t>
      </w:r>
      <w:r>
        <w:rPr>
          <w:w w:val="105"/>
          <w:sz w:val="19"/>
        </w:rPr>
        <w:t>p</w:t>
      </w:r>
      <w:r>
        <w:rPr>
          <w:spacing w:val="-3"/>
          <w:w w:val="105"/>
          <w:sz w:val="19"/>
        </w:rPr>
        <w:t> </w:t>
      </w:r>
      <w:r>
        <w:rPr>
          <w:w w:val="105"/>
          <w:sz w:val="19"/>
        </w:rPr>
        <w:t>=</w:t>
      </w:r>
      <w:r>
        <w:rPr>
          <w:rFonts w:ascii="Times New Roman" w:hAnsi="Times New Roman"/>
          <w:w w:val="105"/>
          <w:sz w:val="19"/>
        </w:rPr>
        <w:tab/>
      </w:r>
      <w:r>
        <w:rPr>
          <w:w w:val="105"/>
          <w:sz w:val="19"/>
        </w:rPr>
        <w:t>0.5</w:t>
      </w:r>
    </w:p>
    <w:p>
      <w:pPr>
        <w:tabs>
          <w:tab w:pos="686" w:val="left" w:leader="none"/>
        </w:tabs>
        <w:spacing w:before="3"/>
        <w:ind w:left="0" w:right="784" w:firstLine="0"/>
        <w:jc w:val="center"/>
        <w:rPr>
          <w:sz w:val="19"/>
        </w:rPr>
      </w:pPr>
      <w:r>
        <w:rPr>
          <w:w w:val="105"/>
          <w:sz w:val="19"/>
        </w:rPr>
        <w:t>q</w:t>
      </w:r>
      <w:r>
        <w:rPr>
          <w:spacing w:val="-3"/>
          <w:w w:val="105"/>
          <w:sz w:val="19"/>
        </w:rPr>
        <w:t> </w:t>
      </w:r>
      <w:r>
        <w:rPr>
          <w:w w:val="105"/>
          <w:sz w:val="19"/>
        </w:rPr>
        <w:t>=</w:t>
      </w:r>
      <w:r>
        <w:rPr>
          <w:rFonts w:ascii="Times New Roman"/>
          <w:w w:val="105"/>
          <w:sz w:val="19"/>
        </w:rPr>
        <w:tab/>
      </w:r>
      <w:r>
        <w:rPr>
          <w:w w:val="105"/>
          <w:sz w:val="19"/>
        </w:rPr>
        <w:t>0.5</w:t>
      </w:r>
    </w:p>
    <w:p>
      <w:pPr>
        <w:pStyle w:val="BodyText"/>
        <w:spacing w:line="364" w:lineRule="auto" w:before="747"/>
        <w:ind w:left="115" w:right="900"/>
        <w:jc w:val="both"/>
      </w:pPr>
      <w:r>
        <w:rPr/>
        <w:t>Sustituyendo la ecuación para estimar proporciones, con un nivel de confianza de 95%   y un margen de error de 5%, el tamaño de la muestra fue de 420 </w:t>
      </w:r>
      <w:r>
        <w:rPr>
          <w:spacing w:val="24"/>
        </w:rPr>
        <w:t> </w:t>
      </w:r>
      <w:r>
        <w:rPr/>
        <w:t>turistas.</w:t>
      </w:r>
    </w:p>
    <w:p>
      <w:pPr>
        <w:spacing w:after="0" w:line="364" w:lineRule="auto"/>
        <w:jc w:val="both"/>
        <w:sectPr>
          <w:pgSz w:w="11910" w:h="16840"/>
          <w:pgMar w:header="1066" w:footer="1715" w:top="1460" w:bottom="1900" w:left="1540" w:right="200"/>
        </w:sectPr>
      </w:pPr>
    </w:p>
    <w:p>
      <w:pPr>
        <w:pStyle w:val="BodyText"/>
        <w:rPr>
          <w:sz w:val="22"/>
        </w:rPr>
      </w:pPr>
    </w:p>
    <w:p>
      <w:pPr>
        <w:pStyle w:val="BodyText"/>
        <w:spacing w:before="3"/>
        <w:rPr>
          <w:sz w:val="22"/>
        </w:rPr>
      </w:pPr>
    </w:p>
    <w:p>
      <w:pPr>
        <w:pStyle w:val="Heading2"/>
        <w:numPr>
          <w:ilvl w:val="1"/>
          <w:numId w:val="26"/>
        </w:numPr>
        <w:tabs>
          <w:tab w:pos="817" w:val="left" w:leader="none"/>
        </w:tabs>
        <w:spacing w:line="240" w:lineRule="auto" w:before="0" w:after="0"/>
        <w:ind w:left="816" w:right="0" w:hanging="700"/>
        <w:jc w:val="both"/>
      </w:pPr>
      <w:bookmarkStart w:name="_TOC_250014" w:id="21"/>
      <w:r>
        <w:rPr/>
        <w:t>Diseño del</w:t>
      </w:r>
      <w:r>
        <w:rPr>
          <w:spacing w:val="26"/>
        </w:rPr>
        <w:t> </w:t>
      </w:r>
      <w:bookmarkEnd w:id="21"/>
      <w:r>
        <w:rPr/>
        <w:t>instrumento</w:t>
      </w:r>
    </w:p>
    <w:p>
      <w:pPr>
        <w:pStyle w:val="BodyText"/>
        <w:rPr>
          <w:b/>
          <w:sz w:val="22"/>
        </w:rPr>
      </w:pPr>
    </w:p>
    <w:p>
      <w:pPr>
        <w:pStyle w:val="BodyText"/>
        <w:spacing w:line="364" w:lineRule="auto" w:before="1"/>
        <w:ind w:left="116" w:right="900"/>
        <w:jc w:val="both"/>
      </w:pPr>
      <w:r>
        <w:rPr/>
        <w:t>En la investigación se disponen de múltiples </w:t>
      </w:r>
      <w:r>
        <w:rPr>
          <w:spacing w:val="-3"/>
        </w:rPr>
        <w:t>tipos </w:t>
      </w:r>
      <w:r>
        <w:rPr/>
        <w:t>de instrumentos para medir las variables de interés y en algunos casos llegan a combinarse varias técnicas de recolección de datos, los instrumentos más usuales </w:t>
      </w:r>
      <w:r>
        <w:rPr>
          <w:spacing w:val="2"/>
        </w:rPr>
        <w:t>son </w:t>
      </w:r>
      <w:r>
        <w:rPr/>
        <w:t>los cuestionarios y las escalas de</w:t>
      </w:r>
      <w:r>
        <w:rPr>
          <w:spacing w:val="12"/>
        </w:rPr>
        <w:t> </w:t>
      </w:r>
      <w:r>
        <w:rPr/>
        <w:t>actitudes.</w:t>
      </w:r>
    </w:p>
    <w:p>
      <w:pPr>
        <w:pStyle w:val="BodyText"/>
        <w:spacing w:line="364" w:lineRule="auto" w:before="120"/>
        <w:ind w:left="116" w:right="899"/>
        <w:jc w:val="both"/>
      </w:pPr>
      <w:r>
        <w:rPr/>
        <w:t>En fenómenos sociales, el instrumento más utilizado para recolectar datos </w:t>
      </w:r>
      <w:r>
        <w:rPr>
          <w:spacing w:val="-3"/>
        </w:rPr>
        <w:t>es </w:t>
      </w:r>
      <w:r>
        <w:rPr/>
        <w:t>el cuestionario. Este consiste en un conjunto de preguntas respecto a una o más variables a medir y se utilizan en encuestas de todo tipo (Chasteauneuf, 2009). De esta manera, para la presente investigación se diseñó la encuesta a partir de un instrumento bajo la escala de Likert, la cual es un método de los más conocidos para medir </w:t>
      </w:r>
      <w:r>
        <w:rPr>
          <w:spacing w:val="2"/>
        </w:rPr>
        <w:t>por </w:t>
      </w:r>
      <w:r>
        <w:rPr/>
        <w:t>escalas las variables que constituyen</w:t>
      </w:r>
      <w:r>
        <w:rPr>
          <w:spacing w:val="42"/>
        </w:rPr>
        <w:t> </w:t>
      </w:r>
      <w:r>
        <w:rPr/>
        <w:t>actitudes.</w:t>
      </w:r>
    </w:p>
    <w:p>
      <w:pPr>
        <w:pStyle w:val="BodyText"/>
        <w:spacing w:line="364" w:lineRule="auto" w:before="120"/>
        <w:ind w:left="115" w:right="893"/>
        <w:jc w:val="both"/>
      </w:pPr>
      <w:r>
        <w:rPr/>
        <w:t>Este método consiste en un conjunto de ítems presentados </w:t>
      </w:r>
      <w:r>
        <w:rPr>
          <w:spacing w:val="-3"/>
        </w:rPr>
        <w:t>en </w:t>
      </w:r>
      <w:r>
        <w:rPr/>
        <w:t>forma de afirmaciones o juicios, ante los cuales se pide la relación de los participantes. Es decir, se presenta  cada afirmación y </w:t>
      </w:r>
      <w:r>
        <w:rPr>
          <w:spacing w:val="3"/>
        </w:rPr>
        <w:t>se </w:t>
      </w:r>
      <w:r>
        <w:rPr/>
        <w:t>solicita al sujeto que externe su reacción eligiendo uno de los 5 puntos o categorías de la escala. A cada punto se le asigna un valor numérico y así el participante proporciona una puntuación </w:t>
      </w:r>
      <w:r>
        <w:rPr>
          <w:spacing w:val="2"/>
        </w:rPr>
        <w:t>con </w:t>
      </w:r>
      <w:r>
        <w:rPr/>
        <w:t>respecto a la afirmación. Dicha afirmación califica el objeto de actitud que </w:t>
      </w:r>
      <w:r>
        <w:rPr>
          <w:spacing w:val="3"/>
        </w:rPr>
        <w:t>se </w:t>
      </w:r>
      <w:r>
        <w:rPr/>
        <w:t>está midiendo (Hernández, 2014). Así pues se construyó </w:t>
      </w:r>
      <w:r>
        <w:rPr>
          <w:spacing w:val="4"/>
        </w:rPr>
        <w:t>el </w:t>
      </w:r>
      <w:r>
        <w:rPr/>
        <w:t>instrumento basado en la escala Likert  y basado en la operacionalización  de las variables de acuerdo al modelo</w:t>
      </w:r>
      <w:r>
        <w:rPr>
          <w:spacing w:val="50"/>
        </w:rPr>
        <w:t> </w:t>
      </w:r>
      <w:r>
        <w:rPr/>
        <w:t>teórico.</w:t>
      </w:r>
    </w:p>
    <w:p>
      <w:pPr>
        <w:pStyle w:val="BodyText"/>
        <w:rPr>
          <w:sz w:val="22"/>
        </w:rPr>
      </w:pPr>
    </w:p>
    <w:p>
      <w:pPr>
        <w:pStyle w:val="BodyText"/>
        <w:rPr>
          <w:sz w:val="22"/>
        </w:rPr>
      </w:pPr>
    </w:p>
    <w:p>
      <w:pPr>
        <w:pStyle w:val="Heading2"/>
        <w:numPr>
          <w:ilvl w:val="1"/>
          <w:numId w:val="26"/>
        </w:numPr>
        <w:tabs>
          <w:tab w:pos="817" w:val="left" w:leader="none"/>
        </w:tabs>
        <w:spacing w:line="240" w:lineRule="auto" w:before="137" w:after="0"/>
        <w:ind w:left="816" w:right="0" w:hanging="700"/>
        <w:jc w:val="both"/>
      </w:pPr>
      <w:r>
        <w:rPr/>
        <w:t>Operacionalización de las</w:t>
      </w:r>
      <w:r>
        <w:rPr>
          <w:spacing w:val="43"/>
        </w:rPr>
        <w:t> </w:t>
      </w:r>
      <w:r>
        <w:rPr/>
        <w:t>variables</w:t>
      </w:r>
    </w:p>
    <w:p>
      <w:pPr>
        <w:pStyle w:val="BodyText"/>
        <w:rPr>
          <w:b/>
          <w:sz w:val="22"/>
        </w:rPr>
      </w:pPr>
    </w:p>
    <w:p>
      <w:pPr>
        <w:pStyle w:val="BodyText"/>
        <w:spacing w:line="364" w:lineRule="auto" w:before="1"/>
        <w:ind w:left="115" w:right="901"/>
        <w:jc w:val="both"/>
      </w:pPr>
      <w:r>
        <w:rPr/>
        <w:t>De acuerdo al análisis obtenido de los modelos que se han realizado para el estudio de los comportamientos proambientales, se identificó que el modelo de Hines, Hutenford y Tomera, era el más completo y de decidió utilizarlo identificando las siguientes variables para el estudio:</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Heading2"/>
        <w:ind w:left="2308" w:right="512"/>
        <w:jc w:val="left"/>
      </w:pPr>
      <w:r>
        <w:rPr/>
        <w:t>Tabla No. 6. Operacionalización de</w:t>
      </w:r>
      <w:r>
        <w:rPr>
          <w:spacing w:val="52"/>
        </w:rPr>
        <w:t> </w:t>
      </w:r>
      <w:r>
        <w:rPr/>
        <w:t>Variables</w:t>
      </w:r>
    </w:p>
    <w:p>
      <w:pPr>
        <w:pStyle w:val="BodyText"/>
        <w:spacing w:before="5"/>
        <w:rPr>
          <w:b/>
          <w:sz w:val="22"/>
        </w:rPr>
      </w:pPr>
    </w:p>
    <w:tbl>
      <w:tblPr>
        <w:tblW w:w="0" w:type="auto"/>
        <w:jc w:val="left"/>
        <w:tblInd w:w="103"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CellMar>
          <w:top w:w="0" w:type="dxa"/>
          <w:left w:w="0" w:type="dxa"/>
          <w:bottom w:w="0" w:type="dxa"/>
          <w:right w:w="0" w:type="dxa"/>
        </w:tblCellMar>
        <w:tblLook w:val="01E0"/>
      </w:tblPr>
      <w:tblGrid>
        <w:gridCol w:w="1524"/>
        <w:gridCol w:w="2899"/>
        <w:gridCol w:w="2136"/>
        <w:gridCol w:w="2160"/>
      </w:tblGrid>
      <w:tr>
        <w:trPr>
          <w:trHeight w:val="600" w:hRule="exact"/>
        </w:trPr>
        <w:tc>
          <w:tcPr>
            <w:tcW w:w="1524" w:type="dxa"/>
            <w:tcBorders>
              <w:bottom w:val="single" w:sz="12" w:space="0" w:color="9CC2E5"/>
            </w:tcBorders>
          </w:tcPr>
          <w:p>
            <w:pPr>
              <w:pStyle w:val="TableParagraph"/>
              <w:spacing w:line="218" w:lineRule="exact"/>
              <w:ind w:left="103"/>
              <w:rPr>
                <w:b/>
                <w:sz w:val="19"/>
              </w:rPr>
            </w:pPr>
            <w:r>
              <w:rPr>
                <w:b/>
                <w:w w:val="105"/>
                <w:sz w:val="19"/>
              </w:rPr>
              <w:t>VARIABLES</w:t>
            </w:r>
          </w:p>
        </w:tc>
        <w:tc>
          <w:tcPr>
            <w:tcW w:w="2899" w:type="dxa"/>
            <w:tcBorders>
              <w:bottom w:val="single" w:sz="12" w:space="0" w:color="9CC2E5"/>
            </w:tcBorders>
          </w:tcPr>
          <w:p>
            <w:pPr>
              <w:pStyle w:val="TableParagraph"/>
              <w:spacing w:line="218" w:lineRule="exact"/>
              <w:ind w:left="100"/>
              <w:rPr>
                <w:b/>
                <w:sz w:val="19"/>
              </w:rPr>
            </w:pPr>
            <w:r>
              <w:rPr>
                <w:b/>
                <w:sz w:val="19"/>
              </w:rPr>
              <w:t>DEFINICION CONCEPTUAL</w:t>
            </w:r>
          </w:p>
        </w:tc>
        <w:tc>
          <w:tcPr>
            <w:tcW w:w="2136" w:type="dxa"/>
            <w:tcBorders>
              <w:bottom w:val="single" w:sz="12" w:space="0" w:color="9CC2E5"/>
            </w:tcBorders>
          </w:tcPr>
          <w:p>
            <w:pPr>
              <w:pStyle w:val="TableParagraph"/>
              <w:spacing w:line="218" w:lineRule="exact"/>
              <w:ind w:left="100"/>
              <w:rPr>
                <w:b/>
                <w:sz w:val="19"/>
              </w:rPr>
            </w:pPr>
            <w:r>
              <w:rPr>
                <w:b/>
                <w:w w:val="105"/>
                <w:sz w:val="19"/>
              </w:rPr>
              <w:t>DIMENSIONES</w:t>
            </w:r>
          </w:p>
        </w:tc>
        <w:tc>
          <w:tcPr>
            <w:tcW w:w="2160" w:type="dxa"/>
            <w:tcBorders>
              <w:bottom w:val="single" w:sz="12" w:space="0" w:color="9CC2E5"/>
            </w:tcBorders>
          </w:tcPr>
          <w:p>
            <w:pPr>
              <w:pStyle w:val="TableParagraph"/>
              <w:spacing w:line="242" w:lineRule="auto"/>
              <w:ind w:left="100" w:right="85"/>
              <w:rPr>
                <w:b/>
                <w:sz w:val="19"/>
              </w:rPr>
            </w:pPr>
            <w:r>
              <w:rPr>
                <w:b/>
                <w:w w:val="105"/>
                <w:sz w:val="19"/>
              </w:rPr>
              <w:t>DEFINICION </w:t>
            </w:r>
            <w:r>
              <w:rPr>
                <w:b/>
                <w:sz w:val="19"/>
              </w:rPr>
              <w:t>OPERACIONAL</w:t>
            </w:r>
          </w:p>
        </w:tc>
      </w:tr>
      <w:tr>
        <w:trPr>
          <w:trHeight w:val="917" w:hRule="exact"/>
        </w:trPr>
        <w:tc>
          <w:tcPr>
            <w:tcW w:w="1524" w:type="dxa"/>
            <w:vMerge w:val="restart"/>
            <w:tcBorders>
              <w:top w:val="single" w:sz="12" w:space="0" w:color="9CC2E5"/>
            </w:tcBorders>
            <w:shd w:val="clear" w:color="auto" w:fill="DEEAF6"/>
          </w:tcPr>
          <w:p>
            <w:pPr>
              <w:pStyle w:val="TableParagraph"/>
              <w:spacing w:line="247" w:lineRule="auto"/>
              <w:ind w:left="103"/>
              <w:rPr>
                <w:b/>
                <w:sz w:val="19"/>
              </w:rPr>
            </w:pPr>
            <w:r>
              <w:rPr>
                <w:b/>
                <w:w w:val="105"/>
                <w:sz w:val="19"/>
              </w:rPr>
              <w:t>FACTORES </w:t>
            </w:r>
            <w:r>
              <w:rPr>
                <w:b/>
                <w:sz w:val="19"/>
              </w:rPr>
              <w:t>SOCIODEMO- </w:t>
            </w:r>
            <w:r>
              <w:rPr>
                <w:b/>
                <w:w w:val="105"/>
                <w:sz w:val="19"/>
              </w:rPr>
              <w:t>GRAFICOS</w:t>
            </w:r>
          </w:p>
        </w:tc>
        <w:tc>
          <w:tcPr>
            <w:tcW w:w="2899" w:type="dxa"/>
            <w:vMerge w:val="restart"/>
            <w:tcBorders>
              <w:top w:val="single" w:sz="12" w:space="0" w:color="9CC2E5"/>
            </w:tcBorders>
            <w:shd w:val="clear" w:color="auto" w:fill="DEEAF6"/>
          </w:tcPr>
          <w:p>
            <w:pPr>
              <w:pStyle w:val="TableParagraph"/>
              <w:tabs>
                <w:tab w:pos="983" w:val="left" w:leader="none"/>
                <w:tab w:pos="2633" w:val="left" w:leader="none"/>
              </w:tabs>
              <w:spacing w:line="247" w:lineRule="auto"/>
              <w:ind w:left="100" w:right="94"/>
              <w:jc w:val="both"/>
              <w:rPr>
                <w:sz w:val="19"/>
              </w:rPr>
            </w:pPr>
            <w:r>
              <w:rPr>
                <w:w w:val="105"/>
                <w:sz w:val="19"/>
              </w:rPr>
              <w:t>Son </w:t>
            </w:r>
            <w:r>
              <w:rPr>
                <w:spacing w:val="2"/>
                <w:w w:val="105"/>
                <w:sz w:val="19"/>
              </w:rPr>
              <w:t>el </w:t>
            </w:r>
            <w:r>
              <w:rPr>
                <w:w w:val="105"/>
                <w:sz w:val="19"/>
              </w:rPr>
              <w:t>reflejo de las características demográficas de una población. Entre ellos se</w:t>
              <w:tab/>
              <w:t>encuentran</w:t>
              <w:tab/>
              <w:t>la caracterización</w:t>
            </w:r>
            <w:r>
              <w:rPr>
                <w:spacing w:val="-19"/>
                <w:w w:val="105"/>
                <w:sz w:val="19"/>
              </w:rPr>
              <w:t> </w:t>
            </w:r>
            <w:r>
              <w:rPr>
                <w:w w:val="105"/>
                <w:sz w:val="19"/>
              </w:rPr>
              <w:t>de</w:t>
            </w:r>
            <w:r>
              <w:rPr>
                <w:spacing w:val="-16"/>
                <w:w w:val="105"/>
                <w:sz w:val="19"/>
              </w:rPr>
              <w:t> </w:t>
            </w:r>
            <w:r>
              <w:rPr>
                <w:spacing w:val="-3"/>
                <w:w w:val="105"/>
                <w:sz w:val="19"/>
              </w:rPr>
              <w:t>la</w:t>
            </w:r>
            <w:r>
              <w:rPr>
                <w:spacing w:val="-19"/>
                <w:w w:val="105"/>
                <w:sz w:val="19"/>
              </w:rPr>
              <w:t> </w:t>
            </w:r>
            <w:r>
              <w:rPr>
                <w:w w:val="105"/>
                <w:sz w:val="19"/>
              </w:rPr>
              <w:t>población según edad y </w:t>
            </w:r>
            <w:r>
              <w:rPr>
                <w:spacing w:val="-3"/>
                <w:w w:val="105"/>
                <w:sz w:val="19"/>
              </w:rPr>
              <w:t>sexo, </w:t>
            </w:r>
            <w:r>
              <w:rPr>
                <w:w w:val="105"/>
                <w:sz w:val="19"/>
              </w:rPr>
              <w:t>ocupación y grado de estudios; estas medidas resumen parte </w:t>
            </w:r>
            <w:r>
              <w:rPr>
                <w:spacing w:val="2"/>
                <w:w w:val="105"/>
                <w:sz w:val="19"/>
              </w:rPr>
              <w:t>de </w:t>
            </w:r>
            <w:r>
              <w:rPr>
                <w:w w:val="105"/>
                <w:sz w:val="19"/>
              </w:rPr>
              <w:t>la situación de una población y algunos determinantes de su perfil.</w:t>
            </w:r>
            <w:r>
              <w:rPr>
                <w:spacing w:val="-17"/>
                <w:w w:val="105"/>
                <w:sz w:val="19"/>
              </w:rPr>
              <w:t> </w:t>
            </w:r>
            <w:r>
              <w:rPr>
                <w:w w:val="105"/>
                <w:sz w:val="19"/>
              </w:rPr>
              <w:t>(Fraj</w:t>
            </w:r>
            <w:r>
              <w:rPr>
                <w:spacing w:val="-17"/>
                <w:w w:val="105"/>
                <w:sz w:val="19"/>
              </w:rPr>
              <w:t> </w:t>
            </w:r>
            <w:r>
              <w:rPr>
                <w:w w:val="105"/>
                <w:sz w:val="19"/>
              </w:rPr>
              <w:t>y</w:t>
            </w:r>
            <w:r>
              <w:rPr>
                <w:spacing w:val="-18"/>
                <w:w w:val="105"/>
                <w:sz w:val="19"/>
              </w:rPr>
              <w:t> </w:t>
            </w:r>
            <w:r>
              <w:rPr>
                <w:w w:val="105"/>
                <w:sz w:val="19"/>
              </w:rPr>
              <w:t>Martínez,</w:t>
            </w:r>
            <w:r>
              <w:rPr>
                <w:spacing w:val="-21"/>
                <w:w w:val="105"/>
                <w:sz w:val="19"/>
              </w:rPr>
              <w:t> </w:t>
            </w:r>
            <w:r>
              <w:rPr>
                <w:w w:val="105"/>
                <w:sz w:val="19"/>
              </w:rPr>
              <w:t>2012)</w:t>
            </w:r>
          </w:p>
        </w:tc>
        <w:tc>
          <w:tcPr>
            <w:tcW w:w="2136" w:type="dxa"/>
            <w:tcBorders>
              <w:top w:val="single" w:sz="12" w:space="0" w:color="9CC2E5"/>
            </w:tcBorders>
            <w:shd w:val="clear" w:color="auto" w:fill="DEEAF6"/>
          </w:tcPr>
          <w:p>
            <w:pPr>
              <w:pStyle w:val="TableParagraph"/>
              <w:spacing w:line="218" w:lineRule="exact"/>
              <w:ind w:left="100"/>
              <w:rPr>
                <w:sz w:val="19"/>
              </w:rPr>
            </w:pPr>
            <w:r>
              <w:rPr>
                <w:w w:val="105"/>
                <w:sz w:val="19"/>
              </w:rPr>
              <w:t>EDAD</w:t>
            </w:r>
          </w:p>
        </w:tc>
        <w:tc>
          <w:tcPr>
            <w:tcW w:w="2160" w:type="dxa"/>
            <w:tcBorders>
              <w:top w:val="single" w:sz="12" w:space="0" w:color="9CC2E5"/>
            </w:tcBorders>
            <w:shd w:val="clear" w:color="auto" w:fill="DEEAF6"/>
          </w:tcPr>
          <w:p>
            <w:pPr>
              <w:pStyle w:val="TableParagraph"/>
              <w:spacing w:line="218" w:lineRule="exact"/>
              <w:ind w:left="100" w:right="85"/>
              <w:rPr>
                <w:sz w:val="19"/>
              </w:rPr>
            </w:pPr>
            <w:r>
              <w:rPr>
                <w:w w:val="105"/>
                <w:sz w:val="19"/>
              </w:rPr>
              <w:t>Jóvenes: 15-30,</w:t>
            </w:r>
          </w:p>
          <w:p>
            <w:pPr>
              <w:pStyle w:val="TableParagraph"/>
              <w:spacing w:before="7"/>
              <w:ind w:left="100" w:right="85"/>
              <w:rPr>
                <w:sz w:val="19"/>
              </w:rPr>
            </w:pPr>
            <w:r>
              <w:rPr>
                <w:w w:val="105"/>
                <w:sz w:val="19"/>
              </w:rPr>
              <w:t>Adultos: 30-60,</w:t>
            </w:r>
          </w:p>
          <w:p>
            <w:pPr>
              <w:pStyle w:val="TableParagraph"/>
              <w:spacing w:line="242" w:lineRule="auto" w:before="7"/>
              <w:ind w:left="100" w:right="85"/>
              <w:rPr>
                <w:sz w:val="19"/>
              </w:rPr>
            </w:pPr>
            <w:r>
              <w:rPr>
                <w:w w:val="105"/>
                <w:sz w:val="19"/>
              </w:rPr>
              <w:t>Adulto mayor 61 y mas</w:t>
            </w:r>
          </w:p>
        </w:tc>
      </w:tr>
      <w:tr>
        <w:trPr>
          <w:trHeight w:val="288" w:hRule="exact"/>
        </w:trPr>
        <w:tc>
          <w:tcPr>
            <w:tcW w:w="1524" w:type="dxa"/>
            <w:vMerge/>
            <w:shd w:val="clear" w:color="auto" w:fill="DEEAF6"/>
          </w:tcPr>
          <w:p>
            <w:pPr/>
          </w:p>
        </w:tc>
        <w:tc>
          <w:tcPr>
            <w:tcW w:w="2899" w:type="dxa"/>
            <w:vMerge/>
            <w:shd w:val="clear" w:color="auto" w:fill="DEEAF6"/>
          </w:tcPr>
          <w:p>
            <w:pPr/>
          </w:p>
        </w:tc>
        <w:tc>
          <w:tcPr>
            <w:tcW w:w="2136" w:type="dxa"/>
            <w:tcBorders>
              <w:left w:val="single" w:sz="40" w:space="0" w:color="DEEAF6"/>
            </w:tcBorders>
          </w:tcPr>
          <w:p>
            <w:pPr>
              <w:pStyle w:val="TableParagraph"/>
              <w:spacing w:line="218" w:lineRule="exact"/>
              <w:ind w:left="55" w:right="91"/>
              <w:rPr>
                <w:sz w:val="19"/>
              </w:rPr>
            </w:pPr>
            <w:r>
              <w:rPr>
                <w:w w:val="105"/>
                <w:sz w:val="19"/>
              </w:rPr>
              <w:t>SEXO</w:t>
            </w:r>
          </w:p>
        </w:tc>
        <w:tc>
          <w:tcPr>
            <w:tcW w:w="2160" w:type="dxa"/>
          </w:tcPr>
          <w:p>
            <w:pPr>
              <w:pStyle w:val="TableParagraph"/>
              <w:tabs>
                <w:tab w:pos="1232" w:val="left" w:leader="none"/>
              </w:tabs>
              <w:spacing w:line="218" w:lineRule="exact"/>
              <w:ind w:left="100" w:right="85"/>
              <w:rPr>
                <w:sz w:val="19"/>
              </w:rPr>
            </w:pPr>
            <w:r>
              <w:rPr>
                <w:w w:val="105"/>
                <w:sz w:val="19"/>
              </w:rPr>
              <w:t>1-Hombre</w:t>
              <w:tab/>
              <w:t>2-</w:t>
            </w:r>
            <w:r>
              <w:rPr>
                <w:spacing w:val="-12"/>
                <w:w w:val="105"/>
                <w:sz w:val="19"/>
              </w:rPr>
              <w:t> </w:t>
            </w:r>
            <w:r>
              <w:rPr>
                <w:w w:val="105"/>
                <w:sz w:val="19"/>
              </w:rPr>
              <w:t>Mujer</w:t>
            </w:r>
          </w:p>
        </w:tc>
      </w:tr>
      <w:tr>
        <w:trPr>
          <w:trHeight w:val="1128" w:hRule="exact"/>
        </w:trPr>
        <w:tc>
          <w:tcPr>
            <w:tcW w:w="1524" w:type="dxa"/>
            <w:vMerge/>
            <w:shd w:val="clear" w:color="auto" w:fill="DEEAF6"/>
          </w:tcPr>
          <w:p>
            <w:pPr/>
          </w:p>
        </w:tc>
        <w:tc>
          <w:tcPr>
            <w:tcW w:w="2899" w:type="dxa"/>
            <w:vMerge/>
            <w:shd w:val="clear" w:color="auto" w:fill="DEEAF6"/>
          </w:tcPr>
          <w:p>
            <w:pPr/>
          </w:p>
        </w:tc>
        <w:tc>
          <w:tcPr>
            <w:tcW w:w="2136" w:type="dxa"/>
            <w:shd w:val="clear" w:color="auto" w:fill="DEEAF6"/>
          </w:tcPr>
          <w:p>
            <w:pPr>
              <w:pStyle w:val="TableParagraph"/>
              <w:spacing w:line="218" w:lineRule="exact"/>
              <w:ind w:left="100"/>
              <w:rPr>
                <w:sz w:val="19"/>
              </w:rPr>
            </w:pPr>
            <w:r>
              <w:rPr>
                <w:w w:val="105"/>
                <w:sz w:val="19"/>
              </w:rPr>
              <w:t>OCUPACIÓN</w:t>
            </w:r>
          </w:p>
        </w:tc>
        <w:tc>
          <w:tcPr>
            <w:tcW w:w="2160" w:type="dxa"/>
            <w:shd w:val="clear" w:color="auto" w:fill="DEEAF6"/>
          </w:tcPr>
          <w:p>
            <w:pPr>
              <w:pStyle w:val="TableParagraph"/>
              <w:numPr>
                <w:ilvl w:val="0"/>
                <w:numId w:val="27"/>
              </w:numPr>
              <w:tabs>
                <w:tab w:pos="317" w:val="left" w:leader="none"/>
              </w:tabs>
              <w:spacing w:line="218" w:lineRule="exact" w:before="0" w:after="0"/>
              <w:ind w:left="100" w:right="0" w:firstLine="0"/>
              <w:jc w:val="left"/>
              <w:rPr>
                <w:sz w:val="19"/>
              </w:rPr>
            </w:pPr>
            <w:r>
              <w:rPr>
                <w:w w:val="105"/>
                <w:sz w:val="19"/>
              </w:rPr>
              <w:t>Empleado,</w:t>
            </w:r>
          </w:p>
          <w:p>
            <w:pPr>
              <w:pStyle w:val="TableParagraph"/>
              <w:numPr>
                <w:ilvl w:val="0"/>
                <w:numId w:val="27"/>
              </w:numPr>
              <w:tabs>
                <w:tab w:pos="370" w:val="left" w:leader="none"/>
              </w:tabs>
              <w:spacing w:line="240" w:lineRule="auto" w:before="7" w:after="0"/>
              <w:ind w:left="369" w:right="0" w:hanging="216"/>
              <w:jc w:val="left"/>
              <w:rPr>
                <w:sz w:val="19"/>
              </w:rPr>
            </w:pPr>
            <w:r>
              <w:rPr>
                <w:w w:val="105"/>
                <w:sz w:val="19"/>
              </w:rPr>
              <w:t>Profesionista,</w:t>
            </w:r>
          </w:p>
          <w:p>
            <w:pPr>
              <w:pStyle w:val="TableParagraph"/>
              <w:numPr>
                <w:ilvl w:val="0"/>
                <w:numId w:val="27"/>
              </w:numPr>
              <w:tabs>
                <w:tab w:pos="370" w:val="left" w:leader="none"/>
              </w:tabs>
              <w:spacing w:line="240" w:lineRule="auto" w:before="7" w:after="0"/>
              <w:ind w:left="369" w:right="0" w:hanging="216"/>
              <w:jc w:val="left"/>
              <w:rPr>
                <w:sz w:val="19"/>
              </w:rPr>
            </w:pPr>
            <w:r>
              <w:rPr>
                <w:w w:val="105"/>
                <w:sz w:val="19"/>
              </w:rPr>
              <w:t>Estudiante,</w:t>
            </w:r>
          </w:p>
          <w:p>
            <w:pPr>
              <w:pStyle w:val="TableParagraph"/>
              <w:numPr>
                <w:ilvl w:val="0"/>
                <w:numId w:val="27"/>
              </w:numPr>
              <w:tabs>
                <w:tab w:pos="317" w:val="left" w:leader="none"/>
              </w:tabs>
              <w:spacing w:line="242" w:lineRule="auto" w:before="7" w:after="0"/>
              <w:ind w:left="100" w:right="688" w:firstLine="0"/>
              <w:jc w:val="left"/>
              <w:rPr>
                <w:sz w:val="19"/>
              </w:rPr>
            </w:pPr>
            <w:r>
              <w:rPr>
                <w:w w:val="105"/>
                <w:sz w:val="19"/>
              </w:rPr>
              <w:t>Pensionado, 5.Ama de</w:t>
            </w:r>
            <w:r>
              <w:rPr>
                <w:spacing w:val="-33"/>
                <w:w w:val="105"/>
                <w:sz w:val="19"/>
              </w:rPr>
              <w:t> </w:t>
            </w:r>
            <w:r>
              <w:rPr>
                <w:w w:val="105"/>
                <w:sz w:val="19"/>
              </w:rPr>
              <w:t>casa.</w:t>
            </w:r>
          </w:p>
        </w:tc>
      </w:tr>
      <w:tr>
        <w:trPr>
          <w:trHeight w:val="1354" w:hRule="exact"/>
        </w:trPr>
        <w:tc>
          <w:tcPr>
            <w:tcW w:w="1524" w:type="dxa"/>
            <w:vMerge/>
            <w:shd w:val="clear" w:color="auto" w:fill="DEEAF6"/>
          </w:tcPr>
          <w:p>
            <w:pPr/>
          </w:p>
        </w:tc>
        <w:tc>
          <w:tcPr>
            <w:tcW w:w="2899" w:type="dxa"/>
            <w:vMerge/>
            <w:shd w:val="clear" w:color="auto" w:fill="DEEAF6"/>
          </w:tcPr>
          <w:p>
            <w:pPr/>
          </w:p>
        </w:tc>
        <w:tc>
          <w:tcPr>
            <w:tcW w:w="2136" w:type="dxa"/>
            <w:tcBorders>
              <w:left w:val="single" w:sz="40" w:space="0" w:color="DEEAF6"/>
            </w:tcBorders>
          </w:tcPr>
          <w:p>
            <w:pPr>
              <w:pStyle w:val="TableParagraph"/>
              <w:tabs>
                <w:tab w:pos="1710" w:val="left" w:leader="none"/>
              </w:tabs>
              <w:spacing w:line="247" w:lineRule="auto"/>
              <w:ind w:left="55" w:right="93"/>
              <w:rPr>
                <w:sz w:val="19"/>
              </w:rPr>
            </w:pPr>
            <w:r>
              <w:rPr>
                <w:w w:val="105"/>
                <w:sz w:val="19"/>
              </w:rPr>
              <w:t>GRADO</w:t>
              <w:tab/>
            </w:r>
            <w:r>
              <w:rPr>
                <w:sz w:val="19"/>
              </w:rPr>
              <w:t>DE </w:t>
            </w:r>
            <w:r>
              <w:rPr>
                <w:w w:val="105"/>
                <w:sz w:val="19"/>
              </w:rPr>
              <w:t>ESTUDIOS</w:t>
            </w:r>
          </w:p>
        </w:tc>
        <w:tc>
          <w:tcPr>
            <w:tcW w:w="2160" w:type="dxa"/>
          </w:tcPr>
          <w:p>
            <w:pPr>
              <w:pStyle w:val="TableParagraph"/>
              <w:numPr>
                <w:ilvl w:val="0"/>
                <w:numId w:val="28"/>
              </w:numPr>
              <w:tabs>
                <w:tab w:pos="317" w:val="left" w:leader="none"/>
              </w:tabs>
              <w:spacing w:line="218" w:lineRule="exact" w:before="0" w:after="0"/>
              <w:ind w:left="100" w:right="0" w:firstLine="0"/>
              <w:jc w:val="left"/>
              <w:rPr>
                <w:sz w:val="19"/>
              </w:rPr>
            </w:pPr>
            <w:r>
              <w:rPr>
                <w:w w:val="105"/>
                <w:sz w:val="19"/>
              </w:rPr>
              <w:t>Primaria,</w:t>
            </w:r>
          </w:p>
          <w:p>
            <w:pPr>
              <w:pStyle w:val="TableParagraph"/>
              <w:numPr>
                <w:ilvl w:val="0"/>
                <w:numId w:val="28"/>
              </w:numPr>
              <w:tabs>
                <w:tab w:pos="317" w:val="left" w:leader="none"/>
              </w:tabs>
              <w:spacing w:line="240" w:lineRule="auto" w:before="7" w:after="0"/>
              <w:ind w:left="316" w:right="0" w:hanging="216"/>
              <w:jc w:val="left"/>
              <w:rPr>
                <w:sz w:val="19"/>
              </w:rPr>
            </w:pPr>
            <w:r>
              <w:rPr>
                <w:w w:val="105"/>
                <w:sz w:val="19"/>
              </w:rPr>
              <w:t>Secundaria,</w:t>
            </w:r>
          </w:p>
          <w:p>
            <w:pPr>
              <w:pStyle w:val="TableParagraph"/>
              <w:numPr>
                <w:ilvl w:val="0"/>
                <w:numId w:val="28"/>
              </w:numPr>
              <w:tabs>
                <w:tab w:pos="370" w:val="left" w:leader="none"/>
              </w:tabs>
              <w:spacing w:line="240" w:lineRule="auto" w:before="2" w:after="0"/>
              <w:ind w:left="369" w:right="0" w:hanging="216"/>
              <w:jc w:val="left"/>
              <w:rPr>
                <w:sz w:val="19"/>
              </w:rPr>
            </w:pPr>
            <w:r>
              <w:rPr>
                <w:w w:val="105"/>
                <w:sz w:val="19"/>
              </w:rPr>
              <w:t>Preparatoria,</w:t>
            </w:r>
          </w:p>
          <w:p>
            <w:pPr>
              <w:pStyle w:val="TableParagraph"/>
              <w:numPr>
                <w:ilvl w:val="0"/>
                <w:numId w:val="28"/>
              </w:numPr>
              <w:tabs>
                <w:tab w:pos="317" w:val="left" w:leader="none"/>
              </w:tabs>
              <w:spacing w:line="240" w:lineRule="auto" w:before="7" w:after="0"/>
              <w:ind w:left="316" w:right="0" w:hanging="216"/>
              <w:jc w:val="left"/>
              <w:rPr>
                <w:sz w:val="19"/>
              </w:rPr>
            </w:pPr>
            <w:r>
              <w:rPr>
                <w:w w:val="105"/>
                <w:sz w:val="19"/>
              </w:rPr>
              <w:t>Licenciatura,</w:t>
            </w:r>
          </w:p>
          <w:p>
            <w:pPr>
              <w:pStyle w:val="TableParagraph"/>
              <w:numPr>
                <w:ilvl w:val="0"/>
                <w:numId w:val="28"/>
              </w:numPr>
              <w:tabs>
                <w:tab w:pos="729" w:val="left" w:leader="none"/>
                <w:tab w:pos="730" w:val="left" w:leader="none"/>
                <w:tab w:pos="1947" w:val="left" w:leader="none"/>
              </w:tabs>
              <w:spacing w:line="247" w:lineRule="auto" w:before="7" w:after="0"/>
              <w:ind w:left="100" w:right="91" w:firstLine="0"/>
              <w:jc w:val="left"/>
              <w:rPr>
                <w:sz w:val="19"/>
              </w:rPr>
            </w:pPr>
            <w:r>
              <w:rPr>
                <w:w w:val="105"/>
                <w:sz w:val="19"/>
              </w:rPr>
              <w:t>Maestría</w:t>
              <w:tab/>
              <w:t>o</w:t>
            </w:r>
            <w:r>
              <w:rPr>
                <w:w w:val="103"/>
                <w:sz w:val="19"/>
              </w:rPr>
              <w:t> </w:t>
            </w:r>
            <w:r>
              <w:rPr>
                <w:w w:val="105"/>
                <w:sz w:val="19"/>
              </w:rPr>
              <w:t>Doctorado.</w:t>
            </w:r>
          </w:p>
        </w:tc>
      </w:tr>
      <w:tr>
        <w:trPr>
          <w:trHeight w:val="2026" w:hRule="exact"/>
        </w:trPr>
        <w:tc>
          <w:tcPr>
            <w:tcW w:w="1524" w:type="dxa"/>
            <w:vMerge w:val="restart"/>
            <w:shd w:val="clear" w:color="auto" w:fill="DEEAF6"/>
          </w:tcPr>
          <w:p>
            <w:pPr>
              <w:pStyle w:val="TableParagraph"/>
              <w:spacing w:line="247" w:lineRule="auto"/>
              <w:ind w:left="103"/>
              <w:rPr>
                <w:b/>
                <w:sz w:val="19"/>
              </w:rPr>
            </w:pPr>
            <w:r>
              <w:rPr>
                <w:b/>
                <w:sz w:val="19"/>
              </w:rPr>
              <w:t>FACTORES COGITIVOS</w:t>
            </w:r>
          </w:p>
        </w:tc>
        <w:tc>
          <w:tcPr>
            <w:tcW w:w="2899" w:type="dxa"/>
            <w:vMerge w:val="restart"/>
            <w:shd w:val="clear" w:color="auto" w:fill="DEEAF6"/>
          </w:tcPr>
          <w:p>
            <w:pPr>
              <w:pStyle w:val="TableParagraph"/>
              <w:spacing w:line="247" w:lineRule="auto"/>
              <w:ind w:left="100" w:right="93"/>
              <w:jc w:val="both"/>
              <w:rPr>
                <w:sz w:val="19"/>
              </w:rPr>
            </w:pPr>
            <w:r>
              <w:rPr>
                <w:w w:val="105"/>
                <w:sz w:val="19"/>
              </w:rPr>
              <w:t>Son aquellos que hacen referencia a los</w:t>
            </w:r>
            <w:r>
              <w:rPr>
                <w:spacing w:val="-9"/>
                <w:w w:val="105"/>
                <w:sz w:val="19"/>
              </w:rPr>
              <w:t> </w:t>
            </w:r>
            <w:r>
              <w:rPr>
                <w:w w:val="105"/>
                <w:sz w:val="19"/>
              </w:rPr>
              <w:t>conocimientos sobre el medio ambiente y la información que poseen las personas acerca de lo que pueden hacer para cambiar</w:t>
            </w:r>
            <w:r>
              <w:rPr>
                <w:spacing w:val="-24"/>
                <w:w w:val="105"/>
                <w:sz w:val="19"/>
              </w:rPr>
              <w:t> </w:t>
            </w:r>
            <w:r>
              <w:rPr>
                <w:w w:val="105"/>
                <w:sz w:val="19"/>
              </w:rPr>
              <w:t>su conducta y los conocimientos que éstas </w:t>
            </w:r>
            <w:r>
              <w:rPr>
                <w:spacing w:val="-3"/>
                <w:w w:val="105"/>
                <w:sz w:val="19"/>
              </w:rPr>
              <w:t>tienen </w:t>
            </w:r>
            <w:r>
              <w:rPr>
                <w:w w:val="105"/>
                <w:sz w:val="19"/>
              </w:rPr>
              <w:t>sobre las posibles estrategias a </w:t>
            </w:r>
            <w:r>
              <w:rPr>
                <w:spacing w:val="-3"/>
                <w:w w:val="105"/>
                <w:sz w:val="19"/>
              </w:rPr>
              <w:t>seguir </w:t>
            </w:r>
            <w:r>
              <w:rPr>
                <w:w w:val="105"/>
                <w:sz w:val="19"/>
              </w:rPr>
              <w:t>para solucionar un problema ambiental concreto y si posee o no la habilidad para ejecutarla. ( Corral-Verdugo, 2002)</w:t>
            </w:r>
          </w:p>
        </w:tc>
        <w:tc>
          <w:tcPr>
            <w:tcW w:w="2136" w:type="dxa"/>
            <w:shd w:val="clear" w:color="auto" w:fill="DEEAF6"/>
          </w:tcPr>
          <w:p>
            <w:pPr>
              <w:pStyle w:val="TableParagraph"/>
              <w:spacing w:line="247" w:lineRule="auto"/>
              <w:ind w:left="100"/>
              <w:rPr>
                <w:sz w:val="19"/>
              </w:rPr>
            </w:pPr>
            <w:r>
              <w:rPr>
                <w:w w:val="105"/>
                <w:sz w:val="19"/>
              </w:rPr>
              <w:t>CONOCIMIENTO DE TEMAS AMBIENTALES:</w:t>
            </w:r>
          </w:p>
          <w:p>
            <w:pPr>
              <w:pStyle w:val="TableParagraph"/>
              <w:tabs>
                <w:tab w:pos="1702" w:val="left" w:leader="none"/>
              </w:tabs>
              <w:spacing w:line="244" w:lineRule="auto"/>
              <w:ind w:left="100" w:right="94" w:firstLine="115"/>
              <w:jc w:val="both"/>
              <w:rPr>
                <w:sz w:val="19"/>
              </w:rPr>
            </w:pPr>
            <w:r>
              <w:rPr>
                <w:w w:val="105"/>
                <w:sz w:val="19"/>
              </w:rPr>
              <w:t>Es el conjunto de información</w:t>
              <w:tab/>
            </w:r>
            <w:r>
              <w:rPr>
                <w:sz w:val="19"/>
              </w:rPr>
              <w:t>que </w:t>
            </w:r>
            <w:r>
              <w:rPr>
                <w:w w:val="105"/>
                <w:sz w:val="19"/>
              </w:rPr>
              <w:t>dispone un individuo sobre la situación ambiental. (Bustos, 2004)</w:t>
            </w:r>
          </w:p>
        </w:tc>
        <w:tc>
          <w:tcPr>
            <w:tcW w:w="2160" w:type="dxa"/>
            <w:shd w:val="clear" w:color="auto" w:fill="DEEAF6"/>
          </w:tcPr>
          <w:p>
            <w:pPr>
              <w:pStyle w:val="TableParagraph"/>
              <w:spacing w:line="218" w:lineRule="exact"/>
              <w:ind w:left="100"/>
              <w:rPr>
                <w:sz w:val="19"/>
              </w:rPr>
            </w:pPr>
            <w:r>
              <w:rPr>
                <w:w w:val="105"/>
                <w:sz w:val="19"/>
              </w:rPr>
              <w:t>ÍTEM 1, ÍTEM 2, ÍTEM</w:t>
            </w:r>
          </w:p>
          <w:p>
            <w:pPr>
              <w:pStyle w:val="TableParagraph"/>
              <w:spacing w:before="7"/>
              <w:ind w:left="100" w:right="85"/>
              <w:rPr>
                <w:sz w:val="19"/>
              </w:rPr>
            </w:pPr>
            <w:r>
              <w:rPr>
                <w:w w:val="105"/>
                <w:sz w:val="19"/>
              </w:rPr>
              <w:t>3, ÍTEM 4</w:t>
            </w:r>
          </w:p>
        </w:tc>
      </w:tr>
      <w:tr>
        <w:trPr>
          <w:trHeight w:val="2693" w:hRule="exact"/>
        </w:trPr>
        <w:tc>
          <w:tcPr>
            <w:tcW w:w="1524" w:type="dxa"/>
            <w:vMerge/>
            <w:shd w:val="clear" w:color="auto" w:fill="DEEAF6"/>
          </w:tcPr>
          <w:p>
            <w:pPr/>
          </w:p>
        </w:tc>
        <w:tc>
          <w:tcPr>
            <w:tcW w:w="2899" w:type="dxa"/>
            <w:vMerge/>
            <w:shd w:val="clear" w:color="auto" w:fill="DEEAF6"/>
          </w:tcPr>
          <w:p>
            <w:pPr/>
          </w:p>
        </w:tc>
        <w:tc>
          <w:tcPr>
            <w:tcW w:w="2136" w:type="dxa"/>
            <w:tcBorders>
              <w:left w:val="single" w:sz="40" w:space="0" w:color="DEEAF6"/>
            </w:tcBorders>
          </w:tcPr>
          <w:p>
            <w:pPr>
              <w:pStyle w:val="TableParagraph"/>
              <w:spacing w:line="242" w:lineRule="auto"/>
              <w:ind w:left="55" w:right="91"/>
              <w:rPr>
                <w:sz w:val="19"/>
              </w:rPr>
            </w:pPr>
            <w:r>
              <w:rPr>
                <w:w w:val="105"/>
                <w:sz w:val="19"/>
              </w:rPr>
              <w:t>ACTIVIDADES </w:t>
            </w:r>
            <w:r>
              <w:rPr>
                <w:sz w:val="19"/>
              </w:rPr>
              <w:t>AMBIENTALES:</w:t>
            </w:r>
          </w:p>
          <w:p>
            <w:pPr>
              <w:pStyle w:val="TableParagraph"/>
              <w:tabs>
                <w:tab w:pos="1081" w:val="left" w:leader="none"/>
                <w:tab w:pos="1325" w:val="left" w:leader="none"/>
                <w:tab w:pos="1656" w:val="left" w:leader="none"/>
                <w:tab w:pos="1887" w:val="left" w:leader="none"/>
              </w:tabs>
              <w:spacing w:line="247" w:lineRule="auto" w:before="5"/>
              <w:ind w:left="55" w:right="91"/>
              <w:rPr>
                <w:sz w:val="19"/>
              </w:rPr>
            </w:pPr>
            <w:r>
              <w:rPr>
                <w:w w:val="105"/>
                <w:sz w:val="19"/>
              </w:rPr>
              <w:t>Es el constructo de la competencia ambiental junto con motivos, </w:t>
            </w:r>
            <w:r>
              <w:rPr>
                <w:sz w:val="19"/>
              </w:rPr>
              <w:t>conocimientos</w:t>
              <w:tab/>
              <w:tab/>
              <w:tab/>
            </w:r>
            <w:r>
              <w:rPr>
                <w:w w:val="105"/>
                <w:sz w:val="19"/>
              </w:rPr>
              <w:t>y creencias</w:t>
              <w:tab/>
              <w:tab/>
              <w:tab/>
            </w:r>
            <w:r>
              <w:rPr>
                <w:sz w:val="19"/>
              </w:rPr>
              <w:t>que </w:t>
            </w:r>
            <w:r>
              <w:rPr>
                <w:w w:val="105"/>
                <w:sz w:val="19"/>
              </w:rPr>
              <w:t>predicen la conducta de</w:t>
              <w:tab/>
            </w:r>
            <w:r>
              <w:rPr>
                <w:spacing w:val="-1"/>
                <w:sz w:val="19"/>
              </w:rPr>
              <w:t>protección </w:t>
            </w:r>
            <w:r>
              <w:rPr>
                <w:w w:val="105"/>
                <w:sz w:val="19"/>
              </w:rPr>
              <w:t>ambiental.</w:t>
              <w:tab/>
              <w:tab/>
            </w:r>
            <w:r>
              <w:rPr>
                <w:spacing w:val="-1"/>
                <w:sz w:val="19"/>
              </w:rPr>
              <w:t>(Corral- </w:t>
            </w:r>
            <w:r>
              <w:rPr>
                <w:w w:val="105"/>
                <w:sz w:val="19"/>
              </w:rPr>
              <w:t>Verdugo,</w:t>
            </w:r>
            <w:r>
              <w:rPr>
                <w:spacing w:val="-34"/>
                <w:w w:val="105"/>
                <w:sz w:val="19"/>
              </w:rPr>
              <w:t> </w:t>
            </w:r>
            <w:r>
              <w:rPr>
                <w:w w:val="105"/>
                <w:sz w:val="19"/>
              </w:rPr>
              <w:t>2002)</w:t>
            </w:r>
          </w:p>
        </w:tc>
        <w:tc>
          <w:tcPr>
            <w:tcW w:w="2160" w:type="dxa"/>
          </w:tcPr>
          <w:p>
            <w:pPr>
              <w:pStyle w:val="TableParagraph"/>
              <w:spacing w:line="218" w:lineRule="exact"/>
              <w:ind w:left="100"/>
              <w:rPr>
                <w:sz w:val="19"/>
              </w:rPr>
            </w:pPr>
            <w:r>
              <w:rPr>
                <w:w w:val="105"/>
                <w:sz w:val="19"/>
              </w:rPr>
              <w:t>ÍTEM 8, ÍTEM 9, ÍTEM</w:t>
            </w:r>
          </w:p>
          <w:p>
            <w:pPr>
              <w:pStyle w:val="TableParagraph"/>
              <w:spacing w:before="2"/>
              <w:ind w:left="100" w:right="85"/>
              <w:rPr>
                <w:sz w:val="19"/>
              </w:rPr>
            </w:pPr>
            <w:r>
              <w:rPr>
                <w:w w:val="105"/>
                <w:sz w:val="19"/>
              </w:rPr>
              <w:t>13, ÍTEM 18</w:t>
            </w:r>
          </w:p>
        </w:tc>
      </w:tr>
      <w:tr>
        <w:trPr>
          <w:trHeight w:val="2254" w:hRule="exact"/>
        </w:trPr>
        <w:tc>
          <w:tcPr>
            <w:tcW w:w="1524" w:type="dxa"/>
            <w:vMerge/>
            <w:tcBorders>
              <w:bottom w:val="single" w:sz="2" w:space="0" w:color="9CC2E5"/>
            </w:tcBorders>
            <w:shd w:val="clear" w:color="auto" w:fill="DEEAF6"/>
          </w:tcPr>
          <w:p>
            <w:pPr/>
          </w:p>
        </w:tc>
        <w:tc>
          <w:tcPr>
            <w:tcW w:w="2899" w:type="dxa"/>
            <w:vMerge/>
            <w:tcBorders>
              <w:bottom w:val="single" w:sz="2" w:space="0" w:color="9CC2E5"/>
            </w:tcBorders>
            <w:shd w:val="clear" w:color="auto" w:fill="DEEAF6"/>
          </w:tcPr>
          <w:p>
            <w:pPr/>
          </w:p>
        </w:tc>
        <w:tc>
          <w:tcPr>
            <w:tcW w:w="2136" w:type="dxa"/>
            <w:tcBorders>
              <w:bottom w:val="single" w:sz="2" w:space="0" w:color="9CC2E5"/>
            </w:tcBorders>
            <w:shd w:val="clear" w:color="auto" w:fill="DEEAF6"/>
          </w:tcPr>
          <w:p>
            <w:pPr>
              <w:pStyle w:val="TableParagraph"/>
              <w:spacing w:line="247" w:lineRule="auto"/>
              <w:ind w:left="100" w:right="93"/>
              <w:jc w:val="both"/>
              <w:rPr>
                <w:sz w:val="19"/>
              </w:rPr>
            </w:pPr>
            <w:r>
              <w:rPr>
                <w:w w:val="105"/>
                <w:sz w:val="19"/>
              </w:rPr>
              <w:t>ESTRATEGIAS DE ACCION</w:t>
            </w:r>
          </w:p>
          <w:p>
            <w:pPr>
              <w:pStyle w:val="TableParagraph"/>
              <w:spacing w:line="247" w:lineRule="auto"/>
              <w:ind w:left="100" w:right="92"/>
              <w:jc w:val="both"/>
              <w:rPr>
                <w:sz w:val="19"/>
              </w:rPr>
            </w:pPr>
            <w:r>
              <w:rPr>
                <w:w w:val="105"/>
                <w:sz w:val="19"/>
              </w:rPr>
              <w:t>AMBIENTAL: Nivel</w:t>
            </w:r>
            <w:r>
              <w:rPr>
                <w:spacing w:val="-39"/>
                <w:w w:val="105"/>
                <w:sz w:val="19"/>
              </w:rPr>
              <w:t> </w:t>
            </w:r>
            <w:r>
              <w:rPr>
                <w:w w:val="105"/>
                <w:sz w:val="19"/>
              </w:rPr>
              <w:t>de información objetiva que </w:t>
            </w:r>
            <w:r>
              <w:rPr>
                <w:spacing w:val="-4"/>
                <w:w w:val="105"/>
                <w:sz w:val="19"/>
              </w:rPr>
              <w:t>se </w:t>
            </w:r>
            <w:r>
              <w:rPr>
                <w:w w:val="105"/>
                <w:sz w:val="19"/>
              </w:rPr>
              <w:t>tiene sobre el uso de los recursos naturales       y     </w:t>
            </w:r>
            <w:r>
              <w:rPr>
                <w:spacing w:val="30"/>
                <w:w w:val="105"/>
                <w:sz w:val="19"/>
              </w:rPr>
              <w:t> </w:t>
            </w:r>
            <w:r>
              <w:rPr>
                <w:w w:val="105"/>
                <w:sz w:val="19"/>
              </w:rPr>
              <w:t>las</w:t>
            </w:r>
          </w:p>
          <w:p>
            <w:pPr>
              <w:pStyle w:val="TableParagraph"/>
              <w:tabs>
                <w:tab w:pos="1640" w:val="left" w:leader="none"/>
              </w:tabs>
              <w:spacing w:line="247" w:lineRule="auto"/>
              <w:ind w:left="100" w:right="93"/>
              <w:jc w:val="both"/>
              <w:rPr>
                <w:sz w:val="19"/>
              </w:rPr>
            </w:pPr>
            <w:r>
              <w:rPr>
                <w:w w:val="105"/>
                <w:sz w:val="19"/>
              </w:rPr>
              <w:t>acciones</w:t>
              <w:tab/>
            </w:r>
            <w:r>
              <w:rPr>
                <w:spacing w:val="-1"/>
                <w:sz w:val="19"/>
              </w:rPr>
              <w:t>para </w:t>
            </w:r>
            <w:r>
              <w:rPr>
                <w:w w:val="105"/>
                <w:sz w:val="19"/>
              </w:rPr>
              <w:t>preservarlos. (Hines</w:t>
            </w:r>
            <w:r>
              <w:rPr>
                <w:spacing w:val="-17"/>
                <w:w w:val="105"/>
                <w:sz w:val="19"/>
              </w:rPr>
              <w:t> </w:t>
            </w:r>
            <w:r>
              <w:rPr>
                <w:w w:val="105"/>
                <w:sz w:val="19"/>
              </w:rPr>
              <w:t>y cols.,1986)</w:t>
            </w:r>
          </w:p>
        </w:tc>
        <w:tc>
          <w:tcPr>
            <w:tcW w:w="2160" w:type="dxa"/>
            <w:tcBorders>
              <w:bottom w:val="single" w:sz="2" w:space="0" w:color="9CC2E5"/>
            </w:tcBorders>
            <w:shd w:val="clear" w:color="auto" w:fill="DEEAF6"/>
          </w:tcPr>
          <w:p>
            <w:pPr>
              <w:pStyle w:val="TableParagraph"/>
              <w:spacing w:line="218" w:lineRule="exact"/>
              <w:ind w:left="100"/>
              <w:rPr>
                <w:sz w:val="19"/>
              </w:rPr>
            </w:pPr>
            <w:r>
              <w:rPr>
                <w:w w:val="105"/>
                <w:sz w:val="19"/>
              </w:rPr>
              <w:t>ÍTEM 6, ÍTEM 7, ÍTEM</w:t>
            </w:r>
          </w:p>
          <w:p>
            <w:pPr>
              <w:pStyle w:val="TableParagraph"/>
              <w:spacing w:before="7"/>
              <w:ind w:left="100" w:right="85"/>
              <w:rPr>
                <w:sz w:val="19"/>
              </w:rPr>
            </w:pPr>
            <w:r>
              <w:rPr>
                <w:w w:val="105"/>
                <w:sz w:val="19"/>
              </w:rPr>
              <w:t>16, ÍTEM 24</w:t>
            </w:r>
          </w:p>
        </w:tc>
      </w:tr>
    </w:tbl>
    <w:p>
      <w:pPr>
        <w:spacing w:after="0"/>
        <w:rPr>
          <w:sz w:val="19"/>
        </w:rPr>
        <w:sectPr>
          <w:pgSz w:w="11910" w:h="16840"/>
          <w:pgMar w:header="1066" w:footer="1715" w:top="1460" w:bottom="1900" w:left="1440" w:right="200"/>
        </w:sectPr>
      </w:pPr>
    </w:p>
    <w:p>
      <w:pPr>
        <w:pStyle w:val="BodyText"/>
        <w:rPr>
          <w:b/>
          <w:sz w:val="20"/>
        </w:rPr>
      </w:pPr>
    </w:p>
    <w:p>
      <w:pPr>
        <w:pStyle w:val="BodyText"/>
        <w:spacing w:before="8"/>
        <w:rPr>
          <w:b/>
          <w:sz w:val="24"/>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26"/>
        <w:gridCol w:w="2899"/>
        <w:gridCol w:w="2136"/>
        <w:gridCol w:w="1738"/>
        <w:gridCol w:w="422"/>
      </w:tblGrid>
      <w:tr>
        <w:trPr>
          <w:trHeight w:val="232" w:hRule="exact"/>
        </w:trPr>
        <w:tc>
          <w:tcPr>
            <w:tcW w:w="1526" w:type="dxa"/>
            <w:tcBorders>
              <w:top w:val="single" w:sz="4" w:space="0" w:color="9CC2E5"/>
              <w:left w:val="single" w:sz="4" w:space="0" w:color="9CC2E5"/>
              <w:right w:val="single" w:sz="4" w:space="0" w:color="9CC2E5"/>
            </w:tcBorders>
          </w:tcPr>
          <w:p>
            <w:pPr>
              <w:pStyle w:val="TableParagraph"/>
              <w:spacing w:line="218" w:lineRule="exact"/>
              <w:ind w:left="105"/>
              <w:rPr>
                <w:b/>
                <w:sz w:val="19"/>
              </w:rPr>
            </w:pPr>
            <w:r>
              <w:rPr>
                <w:b/>
                <w:w w:val="105"/>
                <w:sz w:val="19"/>
              </w:rPr>
              <w:t>FACTORES</w:t>
            </w:r>
          </w:p>
        </w:tc>
        <w:tc>
          <w:tcPr>
            <w:tcW w:w="2899" w:type="dxa"/>
            <w:tcBorders>
              <w:top w:val="single" w:sz="4" w:space="0" w:color="9CC2E5"/>
              <w:left w:val="single" w:sz="4" w:space="0" w:color="9CC2E5"/>
              <w:right w:val="single" w:sz="4" w:space="0" w:color="9CC2E5"/>
            </w:tcBorders>
          </w:tcPr>
          <w:p>
            <w:pPr>
              <w:pStyle w:val="TableParagraph"/>
              <w:tabs>
                <w:tab w:pos="1030" w:val="left" w:leader="none"/>
                <w:tab w:pos="1533" w:val="left" w:leader="none"/>
              </w:tabs>
              <w:spacing w:line="218" w:lineRule="exact"/>
              <w:ind w:left="100"/>
              <w:rPr>
                <w:sz w:val="19"/>
              </w:rPr>
            </w:pPr>
            <w:r>
              <w:rPr>
                <w:w w:val="105"/>
                <w:sz w:val="19"/>
              </w:rPr>
              <w:t>Definen</w:t>
              <w:tab/>
              <w:t>las</w:t>
              <w:tab/>
              <w:t>características</w:t>
            </w:r>
          </w:p>
        </w:tc>
        <w:tc>
          <w:tcPr>
            <w:tcW w:w="2136" w:type="dxa"/>
            <w:tcBorders>
              <w:top w:val="single" w:sz="4" w:space="0" w:color="9CC2E5"/>
              <w:left w:val="single" w:sz="4" w:space="0" w:color="9CC2E5"/>
              <w:right w:val="single" w:sz="4" w:space="0" w:color="9CC2E5"/>
            </w:tcBorders>
          </w:tcPr>
          <w:p>
            <w:pPr>
              <w:pStyle w:val="TableParagraph"/>
              <w:spacing w:line="218" w:lineRule="exact"/>
              <w:ind w:left="100"/>
              <w:rPr>
                <w:sz w:val="19"/>
              </w:rPr>
            </w:pPr>
            <w:r>
              <w:rPr>
                <w:w w:val="105"/>
                <w:sz w:val="19"/>
              </w:rPr>
              <w:t>ACTITUDES: Son los</w:t>
            </w:r>
          </w:p>
        </w:tc>
        <w:tc>
          <w:tcPr>
            <w:tcW w:w="1738" w:type="dxa"/>
            <w:tcBorders>
              <w:top w:val="single" w:sz="4" w:space="0" w:color="9CC2E5"/>
              <w:left w:val="single" w:sz="4" w:space="0" w:color="9CC2E5"/>
            </w:tcBorders>
          </w:tcPr>
          <w:p>
            <w:pPr>
              <w:pStyle w:val="TableParagraph"/>
              <w:spacing w:line="218" w:lineRule="exact"/>
              <w:ind w:left="100" w:right="-6"/>
              <w:rPr>
                <w:sz w:val="19"/>
              </w:rPr>
            </w:pPr>
            <w:r>
              <w:rPr>
                <w:w w:val="105"/>
                <w:sz w:val="19"/>
              </w:rPr>
              <w:t>ÍTEM   5,   ÍTEM</w:t>
            </w:r>
          </w:p>
        </w:tc>
        <w:tc>
          <w:tcPr>
            <w:tcW w:w="422" w:type="dxa"/>
            <w:tcBorders>
              <w:top w:val="single" w:sz="4" w:space="0" w:color="9CC2E5"/>
              <w:right w:val="single" w:sz="4" w:space="0" w:color="9CC2E5"/>
            </w:tcBorders>
          </w:tcPr>
          <w:p>
            <w:pPr>
              <w:pStyle w:val="TableParagraph"/>
              <w:spacing w:line="218" w:lineRule="exact"/>
              <w:ind w:left="28" w:right="70"/>
              <w:jc w:val="center"/>
              <w:rPr>
                <w:sz w:val="19"/>
              </w:rPr>
            </w:pPr>
            <w:r>
              <w:rPr>
                <w:w w:val="105"/>
                <w:sz w:val="19"/>
              </w:rPr>
              <w:t>10,</w:t>
            </w:r>
          </w:p>
        </w:tc>
      </w:tr>
      <w:tr>
        <w:trPr>
          <w:trHeight w:val="223" w:hRule="exact"/>
        </w:trPr>
        <w:tc>
          <w:tcPr>
            <w:tcW w:w="1526" w:type="dxa"/>
            <w:tcBorders>
              <w:left w:val="single" w:sz="4" w:space="0" w:color="9CC2E5"/>
              <w:right w:val="single" w:sz="4" w:space="0" w:color="9CC2E5"/>
            </w:tcBorders>
          </w:tcPr>
          <w:p>
            <w:pPr>
              <w:pStyle w:val="TableParagraph"/>
              <w:spacing w:line="212" w:lineRule="exact"/>
              <w:ind w:left="105"/>
              <w:rPr>
                <w:b/>
                <w:sz w:val="19"/>
              </w:rPr>
            </w:pPr>
            <w:r>
              <w:rPr>
                <w:b/>
                <w:w w:val="105"/>
                <w:sz w:val="19"/>
              </w:rPr>
              <w:t>PSICOSOCIA-</w:t>
            </w:r>
          </w:p>
        </w:tc>
        <w:tc>
          <w:tcPr>
            <w:tcW w:w="2899" w:type="dxa"/>
            <w:tcBorders>
              <w:left w:val="single" w:sz="4" w:space="0" w:color="9CC2E5"/>
              <w:right w:val="single" w:sz="4" w:space="0" w:color="9CC2E5"/>
            </w:tcBorders>
          </w:tcPr>
          <w:p>
            <w:pPr>
              <w:pStyle w:val="TableParagraph"/>
              <w:tabs>
                <w:tab w:pos="1323" w:val="left" w:leader="none"/>
                <w:tab w:pos="1760" w:val="left" w:leader="none"/>
              </w:tabs>
              <w:spacing w:line="212" w:lineRule="exact"/>
              <w:ind w:left="100"/>
              <w:rPr>
                <w:sz w:val="19"/>
              </w:rPr>
            </w:pPr>
            <w:r>
              <w:rPr>
                <w:w w:val="105"/>
                <w:sz w:val="19"/>
              </w:rPr>
              <w:t>enfocadas</w:t>
              <w:tab/>
              <w:t>a</w:t>
              <w:tab/>
              <w:t>actividades,</w:t>
            </w:r>
          </w:p>
        </w:tc>
        <w:tc>
          <w:tcPr>
            <w:tcW w:w="2136" w:type="dxa"/>
            <w:tcBorders>
              <w:left w:val="single" w:sz="4" w:space="0" w:color="9CC2E5"/>
              <w:right w:val="single" w:sz="4" w:space="0" w:color="9CC2E5"/>
            </w:tcBorders>
          </w:tcPr>
          <w:p>
            <w:pPr>
              <w:pStyle w:val="TableParagraph"/>
              <w:spacing w:line="212" w:lineRule="exact"/>
              <w:ind w:left="100"/>
              <w:rPr>
                <w:sz w:val="19"/>
              </w:rPr>
            </w:pPr>
            <w:r>
              <w:rPr>
                <w:w w:val="105"/>
                <w:sz w:val="19"/>
              </w:rPr>
              <w:t>componentes</w:t>
            </w:r>
          </w:p>
        </w:tc>
        <w:tc>
          <w:tcPr>
            <w:tcW w:w="1738" w:type="dxa"/>
            <w:tcBorders>
              <w:left w:val="single" w:sz="4" w:space="0" w:color="9CC2E5"/>
            </w:tcBorders>
          </w:tcPr>
          <w:p>
            <w:pPr>
              <w:pStyle w:val="TableParagraph"/>
              <w:spacing w:line="212" w:lineRule="exact"/>
              <w:ind w:left="100" w:right="-6"/>
              <w:rPr>
                <w:sz w:val="19"/>
              </w:rPr>
            </w:pPr>
            <w:r>
              <w:rPr>
                <w:w w:val="105"/>
                <w:sz w:val="19"/>
              </w:rPr>
              <w:t>ÍTEM 11, ÍTEM 12</w:t>
            </w: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Style w:val="TableParagraph"/>
              <w:spacing w:line="214" w:lineRule="exact"/>
              <w:ind w:left="105"/>
              <w:rPr>
                <w:b/>
                <w:sz w:val="19"/>
              </w:rPr>
            </w:pPr>
            <w:r>
              <w:rPr>
                <w:b/>
                <w:w w:val="105"/>
                <w:sz w:val="19"/>
              </w:rPr>
              <w:t>LES</w:t>
            </w:r>
          </w:p>
        </w:tc>
        <w:tc>
          <w:tcPr>
            <w:tcW w:w="2899" w:type="dxa"/>
            <w:tcBorders>
              <w:left w:val="single" w:sz="4" w:space="0" w:color="9CC2E5"/>
              <w:right w:val="single" w:sz="4" w:space="0" w:color="9CC2E5"/>
            </w:tcBorders>
          </w:tcPr>
          <w:p>
            <w:pPr>
              <w:pStyle w:val="TableParagraph"/>
              <w:spacing w:line="214" w:lineRule="exact"/>
              <w:ind w:left="100"/>
              <w:rPr>
                <w:sz w:val="19"/>
              </w:rPr>
            </w:pPr>
            <w:r>
              <w:rPr>
                <w:w w:val="105"/>
                <w:sz w:val="19"/>
              </w:rPr>
              <w:t>intereses,   estilos  de   vida  y</w:t>
            </w:r>
          </w:p>
        </w:tc>
        <w:tc>
          <w:tcPr>
            <w:tcW w:w="2136" w:type="dxa"/>
            <w:tcBorders>
              <w:left w:val="single" w:sz="4" w:space="0" w:color="9CC2E5"/>
              <w:right w:val="single" w:sz="4" w:space="0" w:color="9CC2E5"/>
            </w:tcBorders>
          </w:tcPr>
          <w:p>
            <w:pPr>
              <w:pStyle w:val="TableParagraph"/>
              <w:spacing w:line="214" w:lineRule="exact"/>
              <w:ind w:left="100"/>
              <w:rPr>
                <w:sz w:val="19"/>
              </w:rPr>
            </w:pPr>
            <w:r>
              <w:rPr>
                <w:w w:val="105"/>
                <w:sz w:val="19"/>
              </w:rPr>
              <w:t>culturales, simbólicos</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Style w:val="TableParagraph"/>
              <w:spacing w:line="212" w:lineRule="exact"/>
              <w:ind w:left="100"/>
              <w:rPr>
                <w:sz w:val="19"/>
              </w:rPr>
            </w:pPr>
            <w:r>
              <w:rPr>
                <w:w w:val="105"/>
                <w:sz w:val="19"/>
              </w:rPr>
              <w:t>opiniones,   que   mediante  la</w:t>
            </w:r>
          </w:p>
        </w:tc>
        <w:tc>
          <w:tcPr>
            <w:tcW w:w="2136" w:type="dxa"/>
            <w:tcBorders>
              <w:left w:val="single" w:sz="4" w:space="0" w:color="9CC2E5"/>
              <w:right w:val="single" w:sz="4" w:space="0" w:color="9CC2E5"/>
            </w:tcBorders>
          </w:tcPr>
          <w:p>
            <w:pPr>
              <w:pStyle w:val="TableParagraph"/>
              <w:tabs>
                <w:tab w:pos="537" w:val="left" w:leader="none"/>
                <w:tab w:pos="1098" w:val="left" w:leader="none"/>
              </w:tabs>
              <w:spacing w:line="212" w:lineRule="exact"/>
              <w:ind w:left="100"/>
              <w:rPr>
                <w:sz w:val="19"/>
              </w:rPr>
            </w:pPr>
            <w:r>
              <w:rPr>
                <w:w w:val="105"/>
                <w:sz w:val="19"/>
              </w:rPr>
              <w:t>y</w:t>
              <w:tab/>
              <w:t>de</w:t>
              <w:tab/>
              <w:t>evaluación</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Style w:val="TableParagraph"/>
              <w:spacing w:line="214" w:lineRule="exact"/>
              <w:ind w:left="100"/>
              <w:rPr>
                <w:sz w:val="19"/>
              </w:rPr>
            </w:pPr>
            <w:r>
              <w:rPr>
                <w:w w:val="105"/>
                <w:sz w:val="19"/>
              </w:rPr>
              <w:t>personalidad,   los   valores  y</w:t>
            </w:r>
          </w:p>
        </w:tc>
        <w:tc>
          <w:tcPr>
            <w:tcW w:w="2136" w:type="dxa"/>
            <w:tcBorders>
              <w:left w:val="single" w:sz="4" w:space="0" w:color="9CC2E5"/>
              <w:right w:val="single" w:sz="4" w:space="0" w:color="9CC2E5"/>
            </w:tcBorders>
          </w:tcPr>
          <w:p>
            <w:pPr>
              <w:pStyle w:val="TableParagraph"/>
              <w:tabs>
                <w:tab w:pos="968" w:val="left" w:leader="none"/>
                <w:tab w:pos="1294" w:val="left" w:leader="none"/>
              </w:tabs>
              <w:spacing w:line="214" w:lineRule="exact"/>
              <w:ind w:left="100"/>
              <w:rPr>
                <w:sz w:val="19"/>
              </w:rPr>
            </w:pPr>
            <w:r>
              <w:rPr>
                <w:w w:val="105"/>
                <w:sz w:val="19"/>
              </w:rPr>
              <w:t>positiva</w:t>
              <w:tab/>
              <w:t>o</w:t>
              <w:tab/>
              <w:t>negativa</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Style w:val="TableParagraph"/>
              <w:tabs>
                <w:tab w:pos="1294" w:val="left" w:leader="none"/>
                <w:tab w:pos="1971" w:val="left" w:leader="none"/>
              </w:tabs>
              <w:spacing w:line="212" w:lineRule="exact"/>
              <w:ind w:left="100"/>
              <w:rPr>
                <w:sz w:val="19"/>
              </w:rPr>
            </w:pPr>
            <w:r>
              <w:rPr>
                <w:w w:val="105"/>
                <w:sz w:val="19"/>
              </w:rPr>
              <w:t>actitudes</w:t>
              <w:tab/>
              <w:t>del</w:t>
              <w:tab/>
              <w:t>individuo,</w:t>
            </w:r>
          </w:p>
        </w:tc>
        <w:tc>
          <w:tcPr>
            <w:tcW w:w="2136" w:type="dxa"/>
            <w:tcBorders>
              <w:left w:val="single" w:sz="4" w:space="0" w:color="9CC2E5"/>
              <w:right w:val="single" w:sz="4" w:space="0" w:color="9CC2E5"/>
            </w:tcBorders>
          </w:tcPr>
          <w:p>
            <w:pPr>
              <w:pStyle w:val="TableParagraph"/>
              <w:tabs>
                <w:tab w:pos="776" w:val="left" w:leader="none"/>
                <w:tab w:pos="1875" w:val="left" w:leader="none"/>
              </w:tabs>
              <w:spacing w:line="212" w:lineRule="exact"/>
              <w:ind w:left="100"/>
              <w:rPr>
                <w:sz w:val="19"/>
              </w:rPr>
            </w:pPr>
            <w:r>
              <w:rPr>
                <w:w w:val="105"/>
                <w:sz w:val="19"/>
              </w:rPr>
              <w:t>con</w:t>
              <w:tab/>
              <w:t>respecto</w:t>
              <w:tab/>
              <w:t>al</w:t>
            </w:r>
          </w:p>
        </w:tc>
        <w:tc>
          <w:tcPr>
            <w:tcW w:w="1738" w:type="dxa"/>
            <w:tcBorders>
              <w:left w:val="single" w:sz="4" w:space="0" w:color="9CC2E5"/>
            </w:tcBorders>
          </w:tcPr>
          <w:p>
            <w:pPr/>
          </w:p>
        </w:tc>
        <w:tc>
          <w:tcPr>
            <w:tcW w:w="422" w:type="dxa"/>
            <w:tcBorders>
              <w:right w:val="single" w:sz="4" w:space="0" w:color="9CC2E5"/>
            </w:tcBorders>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Style w:val="TableParagraph"/>
              <w:tabs>
                <w:tab w:pos="1405" w:val="left" w:leader="none"/>
                <w:tab w:pos="2632" w:val="left" w:leader="none"/>
              </w:tabs>
              <w:spacing w:line="214" w:lineRule="exact"/>
              <w:ind w:left="100"/>
              <w:rPr>
                <w:sz w:val="19"/>
              </w:rPr>
            </w:pPr>
            <w:r>
              <w:rPr>
                <w:w w:val="105"/>
                <w:sz w:val="19"/>
              </w:rPr>
              <w:t>permiten</w:t>
              <w:tab/>
              <w:t>analizar</w:t>
              <w:tab/>
            </w:r>
            <w:r>
              <w:rPr>
                <w:spacing w:val="2"/>
                <w:w w:val="105"/>
                <w:sz w:val="19"/>
              </w:rPr>
              <w:t>el</w:t>
            </w:r>
          </w:p>
        </w:tc>
        <w:tc>
          <w:tcPr>
            <w:tcW w:w="2136" w:type="dxa"/>
            <w:tcBorders>
              <w:left w:val="single" w:sz="4" w:space="0" w:color="9CC2E5"/>
              <w:right w:val="single" w:sz="4" w:space="0" w:color="9CC2E5"/>
            </w:tcBorders>
          </w:tcPr>
          <w:p>
            <w:pPr>
              <w:pStyle w:val="TableParagraph"/>
              <w:tabs>
                <w:tab w:pos="1702" w:val="left" w:leader="none"/>
              </w:tabs>
              <w:spacing w:line="214" w:lineRule="exact"/>
              <w:ind w:left="100"/>
              <w:rPr>
                <w:sz w:val="19"/>
              </w:rPr>
            </w:pPr>
            <w:r>
              <w:rPr>
                <w:w w:val="105"/>
                <w:sz w:val="19"/>
              </w:rPr>
              <w:t>ambiente,</w:t>
              <w:tab/>
              <w:t>que</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Style w:val="TableParagraph"/>
              <w:spacing w:line="214" w:lineRule="exact"/>
              <w:ind w:left="100"/>
              <w:rPr>
                <w:sz w:val="19"/>
              </w:rPr>
            </w:pPr>
            <w:r>
              <w:rPr>
                <w:w w:val="105"/>
                <w:sz w:val="19"/>
              </w:rPr>
              <w:t>comportamiento   del   mismo.</w:t>
            </w:r>
          </w:p>
        </w:tc>
        <w:tc>
          <w:tcPr>
            <w:tcW w:w="2136" w:type="dxa"/>
            <w:tcBorders>
              <w:left w:val="single" w:sz="4" w:space="0" w:color="9CC2E5"/>
              <w:right w:val="single" w:sz="4" w:space="0" w:color="9CC2E5"/>
            </w:tcBorders>
          </w:tcPr>
          <w:p>
            <w:pPr>
              <w:pStyle w:val="TableParagraph"/>
              <w:tabs>
                <w:tab w:pos="1779" w:val="left" w:leader="none"/>
              </w:tabs>
              <w:spacing w:line="214" w:lineRule="exact"/>
              <w:ind w:left="100"/>
              <w:rPr>
                <w:sz w:val="19"/>
              </w:rPr>
            </w:pPr>
            <w:r>
              <w:rPr>
                <w:w w:val="105"/>
                <w:sz w:val="19"/>
              </w:rPr>
              <w:t>sustentan</w:t>
              <w:tab/>
              <w:t>los</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Style w:val="TableParagraph"/>
              <w:spacing w:line="212" w:lineRule="exact"/>
              <w:ind w:left="100"/>
              <w:rPr>
                <w:sz w:val="19"/>
              </w:rPr>
            </w:pPr>
            <w:r>
              <w:rPr>
                <w:w w:val="105"/>
                <w:sz w:val="19"/>
              </w:rPr>
              <w:t>(Fraj y Martínez, 2012)</w:t>
            </w:r>
          </w:p>
        </w:tc>
        <w:tc>
          <w:tcPr>
            <w:tcW w:w="2136" w:type="dxa"/>
            <w:tcBorders>
              <w:left w:val="single" w:sz="4" w:space="0" w:color="9CC2E5"/>
              <w:right w:val="single" w:sz="4" w:space="0" w:color="9CC2E5"/>
            </w:tcBorders>
          </w:tcPr>
          <w:p>
            <w:pPr>
              <w:pStyle w:val="TableParagraph"/>
              <w:tabs>
                <w:tab w:pos="1812" w:val="left" w:leader="none"/>
              </w:tabs>
              <w:spacing w:line="212" w:lineRule="exact"/>
              <w:ind w:left="100"/>
              <w:rPr>
                <w:sz w:val="19"/>
              </w:rPr>
            </w:pPr>
            <w:r>
              <w:rPr>
                <w:w w:val="105"/>
                <w:sz w:val="19"/>
              </w:rPr>
              <w:t>patrones</w:t>
              <w:tab/>
              <w:t>de</w:t>
            </w:r>
          </w:p>
        </w:tc>
        <w:tc>
          <w:tcPr>
            <w:tcW w:w="1738" w:type="dxa"/>
            <w:tcBorders>
              <w:left w:val="single" w:sz="4" w:space="0" w:color="9CC2E5"/>
            </w:tcBorders>
          </w:tcPr>
          <w:p>
            <w:pPr/>
          </w:p>
        </w:tc>
        <w:tc>
          <w:tcPr>
            <w:tcW w:w="422" w:type="dxa"/>
            <w:tcBorders>
              <w:right w:val="single" w:sz="4" w:space="0" w:color="9CC2E5"/>
            </w:tcBorders>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1251" w:val="left" w:leader="none"/>
              </w:tabs>
              <w:spacing w:line="214" w:lineRule="exact"/>
              <w:ind w:left="100"/>
              <w:rPr>
                <w:sz w:val="19"/>
              </w:rPr>
            </w:pPr>
            <w:r>
              <w:rPr>
                <w:w w:val="105"/>
                <w:sz w:val="19"/>
              </w:rPr>
              <w:t>interacción</w:t>
              <w:tab/>
              <w:t>sociedad</w:t>
            </w:r>
          </w:p>
        </w:tc>
        <w:tc>
          <w:tcPr>
            <w:tcW w:w="1738" w:type="dxa"/>
            <w:tcBorders>
              <w:left w:val="single" w:sz="4" w:space="0" w:color="9CC2E5"/>
            </w:tcBorders>
          </w:tcPr>
          <w:p>
            <w:pPr/>
          </w:p>
        </w:tc>
        <w:tc>
          <w:tcPr>
            <w:tcW w:w="422" w:type="dxa"/>
            <w:tcBorders>
              <w:right w:val="single" w:sz="4" w:space="0" w:color="9CC2E5"/>
            </w:tcBorders>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614" w:val="left" w:leader="none"/>
                <w:tab w:pos="1933" w:val="left" w:leader="none"/>
              </w:tabs>
              <w:spacing w:line="214" w:lineRule="exact"/>
              <w:ind w:left="100"/>
              <w:rPr>
                <w:sz w:val="19"/>
              </w:rPr>
            </w:pPr>
            <w:r>
              <w:rPr>
                <w:w w:val="105"/>
                <w:sz w:val="19"/>
              </w:rPr>
              <w:t>–</w:t>
              <w:tab/>
              <w:t>naturaleza</w:t>
              <w:tab/>
              <w:t>y</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spacing w:line="214" w:lineRule="exact"/>
              <w:ind w:left="100"/>
              <w:rPr>
                <w:sz w:val="19"/>
              </w:rPr>
            </w:pPr>
            <w:r>
              <w:rPr>
                <w:w w:val="105"/>
                <w:sz w:val="19"/>
              </w:rPr>
              <w:t>orientan  los  usos de</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1228" w:val="left" w:leader="none"/>
              </w:tabs>
              <w:spacing w:line="212" w:lineRule="exact"/>
              <w:ind w:left="100"/>
              <w:rPr>
                <w:sz w:val="19"/>
              </w:rPr>
            </w:pPr>
            <w:r>
              <w:rPr>
                <w:w w:val="105"/>
                <w:sz w:val="19"/>
              </w:rPr>
              <w:t>los</w:t>
              <w:tab/>
              <w:t>recursos.</w:t>
            </w:r>
          </w:p>
        </w:tc>
        <w:tc>
          <w:tcPr>
            <w:tcW w:w="1738" w:type="dxa"/>
            <w:tcBorders>
              <w:left w:val="single" w:sz="4" w:space="0" w:color="9CC2E5"/>
            </w:tcBorders>
          </w:tcPr>
          <w:p>
            <w:pPr/>
          </w:p>
        </w:tc>
        <w:tc>
          <w:tcPr>
            <w:tcW w:w="422" w:type="dxa"/>
            <w:tcBorders>
              <w:right w:val="single" w:sz="4" w:space="0" w:color="9CC2E5"/>
            </w:tcBorders>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bottom w:val="single" w:sz="4" w:space="0" w:color="9CC2E5"/>
              <w:right w:val="single" w:sz="4" w:space="0" w:color="9CC2E5"/>
            </w:tcBorders>
          </w:tcPr>
          <w:p>
            <w:pPr>
              <w:pStyle w:val="TableParagraph"/>
              <w:spacing w:line="214" w:lineRule="exact"/>
              <w:ind w:left="100"/>
              <w:rPr>
                <w:sz w:val="19"/>
              </w:rPr>
            </w:pPr>
            <w:r>
              <w:rPr>
                <w:w w:val="105"/>
                <w:sz w:val="19"/>
              </w:rPr>
              <w:t>(Rodríguez, 2011)</w:t>
            </w:r>
          </w:p>
        </w:tc>
        <w:tc>
          <w:tcPr>
            <w:tcW w:w="1738" w:type="dxa"/>
            <w:tcBorders>
              <w:left w:val="single" w:sz="4" w:space="0" w:color="9CC2E5"/>
              <w:bottom w:val="single" w:sz="4" w:space="0" w:color="9CC2E5"/>
            </w:tcBorders>
          </w:tcPr>
          <w:p>
            <w:pPr/>
          </w:p>
        </w:tc>
        <w:tc>
          <w:tcPr>
            <w:tcW w:w="422" w:type="dxa"/>
            <w:tcBorders>
              <w:bottom w:val="single" w:sz="4" w:space="0" w:color="9CC2E5"/>
              <w:right w:val="single" w:sz="4" w:space="0" w:color="9CC2E5"/>
            </w:tcBorders>
          </w:tcPr>
          <w:p>
            <w:pPr/>
          </w:p>
        </w:tc>
      </w:tr>
      <w:tr>
        <w:trPr>
          <w:trHeight w:val="232"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top w:val="single" w:sz="4" w:space="0" w:color="9CC2E5"/>
              <w:left w:val="single" w:sz="4" w:space="0" w:color="9CC2E5"/>
              <w:right w:val="single" w:sz="4" w:space="0" w:color="9CC2E5"/>
            </w:tcBorders>
            <w:shd w:val="clear" w:color="auto" w:fill="DEEAF6"/>
          </w:tcPr>
          <w:p>
            <w:pPr>
              <w:pStyle w:val="TableParagraph"/>
              <w:tabs>
                <w:tab w:pos="1755" w:val="left" w:leader="none"/>
              </w:tabs>
              <w:spacing w:line="218" w:lineRule="exact"/>
              <w:ind w:left="100"/>
              <w:rPr>
                <w:sz w:val="19"/>
              </w:rPr>
            </w:pPr>
            <w:r>
              <w:rPr>
                <w:w w:val="105"/>
                <w:sz w:val="19"/>
              </w:rPr>
              <w:t>LOCUS</w:t>
              <w:tab/>
              <w:t>DE</w:t>
            </w:r>
          </w:p>
        </w:tc>
        <w:tc>
          <w:tcPr>
            <w:tcW w:w="1738" w:type="dxa"/>
            <w:tcBorders>
              <w:top w:val="single" w:sz="4" w:space="0" w:color="9CC2E5"/>
              <w:left w:val="single" w:sz="4" w:space="0" w:color="9CC2E5"/>
            </w:tcBorders>
            <w:shd w:val="clear" w:color="auto" w:fill="DEEAF6"/>
          </w:tcPr>
          <w:p>
            <w:pPr>
              <w:pStyle w:val="TableParagraph"/>
              <w:spacing w:line="218" w:lineRule="exact"/>
              <w:ind w:left="100" w:right="-6"/>
              <w:rPr>
                <w:sz w:val="19"/>
              </w:rPr>
            </w:pPr>
            <w:r>
              <w:rPr>
                <w:w w:val="105"/>
                <w:sz w:val="19"/>
              </w:rPr>
              <w:t>ÍTEM   14,  ÍTEM</w:t>
            </w:r>
          </w:p>
        </w:tc>
        <w:tc>
          <w:tcPr>
            <w:tcW w:w="422" w:type="dxa"/>
            <w:tcBorders>
              <w:top w:val="single" w:sz="4" w:space="0" w:color="9CC2E5"/>
              <w:right w:val="single" w:sz="4" w:space="0" w:color="9CC2E5"/>
            </w:tcBorders>
            <w:shd w:val="clear" w:color="auto" w:fill="DEEAF6"/>
          </w:tcPr>
          <w:p>
            <w:pPr>
              <w:pStyle w:val="TableParagraph"/>
              <w:spacing w:line="218" w:lineRule="exact"/>
              <w:ind w:left="28" w:right="70"/>
              <w:jc w:val="center"/>
              <w:rPr>
                <w:sz w:val="19"/>
              </w:rPr>
            </w:pPr>
            <w:r>
              <w:rPr>
                <w:w w:val="105"/>
                <w:sz w:val="19"/>
              </w:rPr>
              <w:t>15,</w:t>
            </w:r>
          </w:p>
        </w:tc>
      </w:tr>
      <w:tr>
        <w:trPr>
          <w:trHeight w:val="221"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shd w:val="clear" w:color="auto" w:fill="DEEAF6"/>
          </w:tcPr>
          <w:p>
            <w:pPr>
              <w:pStyle w:val="TableParagraph"/>
              <w:spacing w:line="212" w:lineRule="exact"/>
              <w:ind w:left="100"/>
              <w:rPr>
                <w:sz w:val="19"/>
              </w:rPr>
            </w:pPr>
            <w:r>
              <w:rPr>
                <w:w w:val="105"/>
                <w:sz w:val="19"/>
              </w:rPr>
              <w:t>CONTROL</w:t>
            </w:r>
          </w:p>
        </w:tc>
        <w:tc>
          <w:tcPr>
            <w:tcW w:w="1738" w:type="dxa"/>
            <w:tcBorders>
              <w:left w:val="single" w:sz="4" w:space="0" w:color="9CC2E5"/>
            </w:tcBorders>
            <w:shd w:val="clear" w:color="auto" w:fill="DEEAF6"/>
          </w:tcPr>
          <w:p>
            <w:pPr>
              <w:pStyle w:val="TableParagraph"/>
              <w:spacing w:line="212" w:lineRule="exact"/>
              <w:ind w:left="100" w:right="-6"/>
              <w:rPr>
                <w:sz w:val="19"/>
              </w:rPr>
            </w:pPr>
            <w:r>
              <w:rPr>
                <w:w w:val="105"/>
                <w:sz w:val="19"/>
              </w:rPr>
              <w:t>ÍTEM 17, ÍTEM 20</w:t>
            </w:r>
          </w:p>
        </w:tc>
        <w:tc>
          <w:tcPr>
            <w:tcW w:w="422" w:type="dxa"/>
            <w:tcBorders>
              <w:right w:val="single" w:sz="4" w:space="0" w:color="9CC2E5"/>
            </w:tcBorders>
            <w:shd w:val="clear" w:color="auto" w:fill="DEEAF6"/>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shd w:val="clear" w:color="auto" w:fill="DEEAF6"/>
          </w:tcPr>
          <w:p>
            <w:pPr>
              <w:pStyle w:val="TableParagraph"/>
              <w:spacing w:line="212" w:lineRule="exact"/>
              <w:ind w:left="100"/>
              <w:rPr>
                <w:sz w:val="19"/>
              </w:rPr>
            </w:pPr>
            <w:r>
              <w:rPr>
                <w:w w:val="105"/>
                <w:sz w:val="19"/>
              </w:rPr>
              <w:t>(Conciencia):   Es   el</w:t>
            </w:r>
          </w:p>
        </w:tc>
        <w:tc>
          <w:tcPr>
            <w:tcW w:w="1738" w:type="dxa"/>
            <w:tcBorders>
              <w:left w:val="single" w:sz="4" w:space="0" w:color="9CC2E5"/>
            </w:tcBorders>
            <w:shd w:val="clear" w:color="auto" w:fill="DEEAF6"/>
          </w:tcPr>
          <w:p>
            <w:pPr/>
          </w:p>
        </w:tc>
        <w:tc>
          <w:tcPr>
            <w:tcW w:w="422" w:type="dxa"/>
            <w:tcBorders>
              <w:right w:val="single" w:sz="4" w:space="0" w:color="9CC2E5"/>
            </w:tcBorders>
            <w:shd w:val="clear" w:color="auto" w:fill="DEEAF6"/>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shd w:val="clear" w:color="auto" w:fill="DEEAF6"/>
          </w:tcPr>
          <w:p>
            <w:pPr>
              <w:pStyle w:val="TableParagraph"/>
              <w:spacing w:line="214" w:lineRule="exact"/>
              <w:ind w:left="100"/>
              <w:rPr>
                <w:sz w:val="19"/>
              </w:rPr>
            </w:pPr>
            <w:r>
              <w:rPr>
                <w:w w:val="105"/>
                <w:sz w:val="19"/>
              </w:rPr>
              <w:t>grado  de expectativa</w:t>
            </w:r>
          </w:p>
        </w:tc>
        <w:tc>
          <w:tcPr>
            <w:tcW w:w="1738" w:type="dxa"/>
            <w:tcBorders>
              <w:left w:val="single" w:sz="4" w:space="0" w:color="9CC2E5"/>
            </w:tcBorders>
            <w:shd w:val="clear" w:color="auto" w:fill="DEEAF6"/>
          </w:tcPr>
          <w:p>
            <w:pPr/>
          </w:p>
        </w:tc>
        <w:tc>
          <w:tcPr>
            <w:tcW w:w="422" w:type="dxa"/>
            <w:tcBorders>
              <w:right w:val="single" w:sz="4" w:space="0" w:color="9CC2E5"/>
            </w:tcBorders>
            <w:shd w:val="clear" w:color="auto" w:fill="DEEAF6"/>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shd w:val="clear" w:color="auto" w:fill="DEEAF6"/>
          </w:tcPr>
          <w:p>
            <w:pPr>
              <w:pStyle w:val="TableParagraph"/>
              <w:spacing w:line="214" w:lineRule="exact"/>
              <w:ind w:left="100"/>
              <w:rPr>
                <w:sz w:val="19"/>
              </w:rPr>
            </w:pPr>
            <w:r>
              <w:rPr>
                <w:w w:val="105"/>
                <w:sz w:val="19"/>
              </w:rPr>
              <w:t>de   una   persona de</w:t>
            </w:r>
          </w:p>
        </w:tc>
        <w:tc>
          <w:tcPr>
            <w:tcW w:w="1738" w:type="dxa"/>
            <w:tcBorders>
              <w:left w:val="single" w:sz="4" w:space="0" w:color="9CC2E5"/>
            </w:tcBorders>
            <w:shd w:val="clear" w:color="auto" w:fill="DEEAF6"/>
          </w:tcPr>
          <w:p>
            <w:pPr/>
          </w:p>
        </w:tc>
        <w:tc>
          <w:tcPr>
            <w:tcW w:w="422" w:type="dxa"/>
            <w:tcBorders>
              <w:right w:val="single" w:sz="4" w:space="0" w:color="9CC2E5"/>
            </w:tcBorders>
            <w:shd w:val="clear" w:color="auto" w:fill="DEEAF6"/>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shd w:val="clear" w:color="auto" w:fill="DEEAF6"/>
          </w:tcPr>
          <w:p>
            <w:pPr>
              <w:pStyle w:val="TableParagraph"/>
              <w:spacing w:line="212" w:lineRule="exact"/>
              <w:ind w:left="100"/>
              <w:rPr>
                <w:sz w:val="19"/>
              </w:rPr>
            </w:pPr>
            <w:r>
              <w:rPr>
                <w:w w:val="105"/>
                <w:sz w:val="19"/>
              </w:rPr>
              <w:t>reducir el consumo de</w:t>
            </w:r>
          </w:p>
        </w:tc>
        <w:tc>
          <w:tcPr>
            <w:tcW w:w="1738" w:type="dxa"/>
            <w:tcBorders>
              <w:left w:val="single" w:sz="4" w:space="0" w:color="9CC2E5"/>
            </w:tcBorders>
            <w:shd w:val="clear" w:color="auto" w:fill="DEEAF6"/>
          </w:tcPr>
          <w:p>
            <w:pPr/>
          </w:p>
        </w:tc>
        <w:tc>
          <w:tcPr>
            <w:tcW w:w="422" w:type="dxa"/>
            <w:tcBorders>
              <w:right w:val="single" w:sz="4" w:space="0" w:color="9CC2E5"/>
            </w:tcBorders>
            <w:shd w:val="clear" w:color="auto" w:fill="DEEAF6"/>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shd w:val="clear" w:color="auto" w:fill="DEEAF6"/>
          </w:tcPr>
          <w:p>
            <w:pPr>
              <w:pStyle w:val="TableParagraph"/>
              <w:tabs>
                <w:tab w:pos="1136" w:val="left" w:leader="none"/>
                <w:tab w:pos="1812" w:val="left" w:leader="none"/>
              </w:tabs>
              <w:spacing w:line="214" w:lineRule="exact"/>
              <w:ind w:left="100"/>
              <w:rPr>
                <w:sz w:val="19"/>
              </w:rPr>
            </w:pPr>
            <w:r>
              <w:rPr>
                <w:w w:val="105"/>
                <w:sz w:val="19"/>
              </w:rPr>
              <w:t>residuos</w:t>
              <w:tab/>
              <w:t>está</w:t>
              <w:tab/>
              <w:t>en</w:t>
            </w:r>
          </w:p>
        </w:tc>
        <w:tc>
          <w:tcPr>
            <w:tcW w:w="1738" w:type="dxa"/>
            <w:tcBorders>
              <w:left w:val="single" w:sz="4" w:space="0" w:color="9CC2E5"/>
            </w:tcBorders>
            <w:shd w:val="clear" w:color="auto" w:fill="DEEAF6"/>
          </w:tcPr>
          <w:p>
            <w:pPr/>
          </w:p>
        </w:tc>
        <w:tc>
          <w:tcPr>
            <w:tcW w:w="422" w:type="dxa"/>
            <w:tcBorders>
              <w:right w:val="single" w:sz="4" w:space="0" w:color="9CC2E5"/>
            </w:tcBorders>
            <w:shd w:val="clear" w:color="auto" w:fill="DEEAF6"/>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shd w:val="clear" w:color="auto" w:fill="DEEAF6"/>
          </w:tcPr>
          <w:p>
            <w:pPr>
              <w:pStyle w:val="TableParagraph"/>
              <w:tabs>
                <w:tab w:pos="1121" w:val="left" w:leader="none"/>
                <w:tab w:pos="1726" w:val="left" w:leader="none"/>
              </w:tabs>
              <w:spacing w:line="214" w:lineRule="exact"/>
              <w:ind w:left="100"/>
              <w:rPr>
                <w:sz w:val="19"/>
              </w:rPr>
            </w:pPr>
            <w:r>
              <w:rPr>
                <w:w w:val="105"/>
                <w:sz w:val="19"/>
              </w:rPr>
              <w:t>función</w:t>
              <w:tab/>
              <w:t>de</w:t>
              <w:tab/>
              <w:t>sus</w:t>
            </w:r>
          </w:p>
        </w:tc>
        <w:tc>
          <w:tcPr>
            <w:tcW w:w="1738" w:type="dxa"/>
            <w:tcBorders>
              <w:left w:val="single" w:sz="4" w:space="0" w:color="9CC2E5"/>
            </w:tcBorders>
            <w:shd w:val="clear" w:color="auto" w:fill="DEEAF6"/>
          </w:tcPr>
          <w:p>
            <w:pPr/>
          </w:p>
        </w:tc>
        <w:tc>
          <w:tcPr>
            <w:tcW w:w="422" w:type="dxa"/>
            <w:tcBorders>
              <w:right w:val="single" w:sz="4" w:space="0" w:color="9CC2E5"/>
            </w:tcBorders>
            <w:shd w:val="clear" w:color="auto" w:fill="DEEAF6"/>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shd w:val="clear" w:color="auto" w:fill="DEEAF6"/>
          </w:tcPr>
          <w:p>
            <w:pPr>
              <w:pStyle w:val="TableParagraph"/>
              <w:tabs>
                <w:tab w:pos="1203" w:val="left" w:leader="none"/>
              </w:tabs>
              <w:spacing w:line="214" w:lineRule="exact"/>
              <w:ind w:left="100"/>
              <w:rPr>
                <w:sz w:val="19"/>
              </w:rPr>
            </w:pPr>
            <w:r>
              <w:rPr>
                <w:w w:val="105"/>
                <w:sz w:val="19"/>
              </w:rPr>
              <w:t>propias</w:t>
              <w:tab/>
              <w:t>acciones.</w:t>
            </w:r>
          </w:p>
        </w:tc>
        <w:tc>
          <w:tcPr>
            <w:tcW w:w="1738" w:type="dxa"/>
            <w:tcBorders>
              <w:left w:val="single" w:sz="4" w:space="0" w:color="9CC2E5"/>
            </w:tcBorders>
            <w:shd w:val="clear" w:color="auto" w:fill="DEEAF6"/>
          </w:tcPr>
          <w:p>
            <w:pPr/>
          </w:p>
        </w:tc>
        <w:tc>
          <w:tcPr>
            <w:tcW w:w="422" w:type="dxa"/>
            <w:tcBorders>
              <w:right w:val="single" w:sz="4" w:space="0" w:color="9CC2E5"/>
            </w:tcBorders>
            <w:shd w:val="clear" w:color="auto" w:fill="DEEAF6"/>
          </w:tcPr>
          <w:p>
            <w:pPr/>
          </w:p>
        </w:tc>
      </w:tr>
      <w:tr>
        <w:trPr>
          <w:trHeight w:val="224"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bottom w:val="single" w:sz="4" w:space="0" w:color="9CC2E5"/>
              <w:right w:val="single" w:sz="4" w:space="0" w:color="9CC2E5"/>
            </w:tcBorders>
            <w:shd w:val="clear" w:color="auto" w:fill="DEEAF6"/>
          </w:tcPr>
          <w:p>
            <w:pPr>
              <w:pStyle w:val="TableParagraph"/>
              <w:spacing w:line="212" w:lineRule="exact"/>
              <w:ind w:left="100"/>
              <w:rPr>
                <w:sz w:val="19"/>
              </w:rPr>
            </w:pPr>
            <w:r>
              <w:rPr>
                <w:w w:val="105"/>
                <w:sz w:val="19"/>
              </w:rPr>
              <w:t>(Rootter, 1990)</w:t>
            </w:r>
          </w:p>
        </w:tc>
        <w:tc>
          <w:tcPr>
            <w:tcW w:w="1738" w:type="dxa"/>
            <w:tcBorders>
              <w:left w:val="single" w:sz="4" w:space="0" w:color="9CC2E5"/>
              <w:bottom w:val="single" w:sz="4" w:space="0" w:color="9CC2E5"/>
            </w:tcBorders>
            <w:shd w:val="clear" w:color="auto" w:fill="DEEAF6"/>
          </w:tcPr>
          <w:p>
            <w:pPr/>
          </w:p>
        </w:tc>
        <w:tc>
          <w:tcPr>
            <w:tcW w:w="422" w:type="dxa"/>
            <w:tcBorders>
              <w:bottom w:val="single" w:sz="4" w:space="0" w:color="9CC2E5"/>
              <w:right w:val="single" w:sz="4" w:space="0" w:color="9CC2E5"/>
            </w:tcBorders>
            <w:shd w:val="clear" w:color="auto" w:fill="DEEAF6"/>
          </w:tcPr>
          <w:p>
            <w:pPr/>
          </w:p>
        </w:tc>
      </w:tr>
      <w:tr>
        <w:trPr>
          <w:trHeight w:val="234"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top w:val="single" w:sz="4" w:space="0" w:color="9CC2E5"/>
              <w:left w:val="single" w:sz="4" w:space="0" w:color="9CC2E5"/>
              <w:right w:val="single" w:sz="4" w:space="0" w:color="9CC2E5"/>
            </w:tcBorders>
          </w:tcPr>
          <w:p>
            <w:pPr>
              <w:pStyle w:val="TableParagraph"/>
              <w:spacing w:line="218" w:lineRule="exact"/>
              <w:ind w:left="100"/>
              <w:rPr>
                <w:sz w:val="19"/>
              </w:rPr>
            </w:pPr>
            <w:r>
              <w:rPr>
                <w:w w:val="105"/>
                <w:sz w:val="19"/>
              </w:rPr>
              <w:t>RESPONSABILIDAD</w:t>
            </w:r>
          </w:p>
        </w:tc>
        <w:tc>
          <w:tcPr>
            <w:tcW w:w="1738" w:type="dxa"/>
            <w:tcBorders>
              <w:top w:val="single" w:sz="4" w:space="0" w:color="9CC2E5"/>
              <w:left w:val="single" w:sz="4" w:space="0" w:color="9CC2E5"/>
            </w:tcBorders>
          </w:tcPr>
          <w:p>
            <w:pPr>
              <w:pStyle w:val="TableParagraph"/>
              <w:spacing w:line="218" w:lineRule="exact"/>
              <w:ind w:left="100" w:right="-6"/>
              <w:rPr>
                <w:sz w:val="19"/>
              </w:rPr>
            </w:pPr>
            <w:r>
              <w:rPr>
                <w:w w:val="105"/>
                <w:sz w:val="19"/>
              </w:rPr>
              <w:t>ÍTEM   19,  ÍTEM</w:t>
            </w:r>
          </w:p>
        </w:tc>
        <w:tc>
          <w:tcPr>
            <w:tcW w:w="422" w:type="dxa"/>
            <w:tcBorders>
              <w:top w:val="single" w:sz="4" w:space="0" w:color="9CC2E5"/>
              <w:right w:val="single" w:sz="4" w:space="0" w:color="9CC2E5"/>
            </w:tcBorders>
          </w:tcPr>
          <w:p>
            <w:pPr>
              <w:pStyle w:val="TableParagraph"/>
              <w:spacing w:line="218" w:lineRule="exact"/>
              <w:ind w:left="28" w:right="70"/>
              <w:jc w:val="center"/>
              <w:rPr>
                <w:sz w:val="19"/>
              </w:rPr>
            </w:pPr>
            <w:r>
              <w:rPr>
                <w:w w:val="105"/>
                <w:sz w:val="19"/>
              </w:rPr>
              <w:t>21,</w:t>
            </w: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1572" w:val="left" w:leader="none"/>
              </w:tabs>
              <w:spacing w:line="214" w:lineRule="exact"/>
              <w:ind w:left="100"/>
              <w:rPr>
                <w:sz w:val="19"/>
              </w:rPr>
            </w:pPr>
            <w:r>
              <w:rPr>
                <w:w w:val="105"/>
                <w:sz w:val="19"/>
              </w:rPr>
              <w:t>AMBIENTAL:</w:t>
              <w:tab/>
              <w:t>Es</w:t>
            </w:r>
            <w:r>
              <w:rPr>
                <w:spacing w:val="8"/>
                <w:w w:val="105"/>
                <w:sz w:val="19"/>
              </w:rPr>
              <w:t> </w:t>
            </w:r>
            <w:r>
              <w:rPr>
                <w:w w:val="105"/>
                <w:sz w:val="19"/>
              </w:rPr>
              <w:t>la</w:t>
            </w:r>
          </w:p>
        </w:tc>
        <w:tc>
          <w:tcPr>
            <w:tcW w:w="1738" w:type="dxa"/>
            <w:tcBorders>
              <w:left w:val="single" w:sz="4" w:space="0" w:color="9CC2E5"/>
            </w:tcBorders>
          </w:tcPr>
          <w:p>
            <w:pPr>
              <w:pStyle w:val="TableParagraph"/>
              <w:spacing w:line="214" w:lineRule="exact"/>
              <w:ind w:left="100" w:right="-6"/>
              <w:rPr>
                <w:sz w:val="19"/>
              </w:rPr>
            </w:pPr>
            <w:r>
              <w:rPr>
                <w:w w:val="105"/>
                <w:sz w:val="19"/>
              </w:rPr>
              <w:t>ÍTEM 22, ÍTEM 23</w:t>
            </w: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spacing w:line="212" w:lineRule="exact"/>
              <w:ind w:left="100"/>
              <w:rPr>
                <w:sz w:val="19"/>
              </w:rPr>
            </w:pPr>
            <w:r>
              <w:rPr>
                <w:w w:val="105"/>
                <w:sz w:val="19"/>
              </w:rPr>
              <w:t>valoración  positiva  o</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1213" w:val="left" w:leader="none"/>
                <w:tab w:pos="1874" w:val="left" w:leader="none"/>
              </w:tabs>
              <w:spacing w:line="214" w:lineRule="exact"/>
              <w:ind w:left="100"/>
              <w:rPr>
                <w:sz w:val="19"/>
              </w:rPr>
            </w:pPr>
            <w:r>
              <w:rPr>
                <w:w w:val="105"/>
                <w:sz w:val="19"/>
              </w:rPr>
              <w:t>negativa</w:t>
              <w:tab/>
              <w:t>por</w:t>
              <w:tab/>
              <w:t>el</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spacing w:line="212" w:lineRule="exact"/>
              <w:ind w:left="100"/>
              <w:rPr>
                <w:sz w:val="19"/>
              </w:rPr>
            </w:pPr>
            <w:r>
              <w:rPr>
                <w:w w:val="105"/>
                <w:sz w:val="19"/>
              </w:rPr>
              <w:t>impacto ecológico de</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728" w:val="left" w:leader="none"/>
                <w:tab w:pos="1803" w:val="left" w:leader="none"/>
              </w:tabs>
              <w:spacing w:line="214" w:lineRule="exact"/>
              <w:ind w:left="100"/>
              <w:rPr>
                <w:sz w:val="19"/>
              </w:rPr>
            </w:pPr>
            <w:r>
              <w:rPr>
                <w:w w:val="105"/>
                <w:sz w:val="19"/>
              </w:rPr>
              <w:t>una</w:t>
              <w:tab/>
              <w:t>decisión.</w:t>
              <w:tab/>
              <w:t>Es</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spacing w:line="212" w:lineRule="exact"/>
              <w:ind w:left="100"/>
              <w:rPr>
                <w:sz w:val="19"/>
              </w:rPr>
            </w:pPr>
            <w:r>
              <w:rPr>
                <w:w w:val="105"/>
                <w:sz w:val="19"/>
              </w:rPr>
              <w:t>decir,   por   el   daño</w:t>
            </w:r>
          </w:p>
        </w:tc>
        <w:tc>
          <w:tcPr>
            <w:tcW w:w="1738" w:type="dxa"/>
            <w:tcBorders>
              <w:left w:val="single" w:sz="4" w:space="0" w:color="9CC2E5"/>
            </w:tcBorders>
          </w:tcPr>
          <w:p>
            <w:pPr/>
          </w:p>
        </w:tc>
        <w:tc>
          <w:tcPr>
            <w:tcW w:w="422" w:type="dxa"/>
            <w:tcBorders>
              <w:right w:val="single" w:sz="4" w:space="0" w:color="9CC2E5"/>
            </w:tcBorders>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1299" w:val="left" w:leader="none"/>
                <w:tab w:pos="1875" w:val="left" w:leader="none"/>
              </w:tabs>
              <w:spacing w:line="214" w:lineRule="exact"/>
              <w:ind w:left="100"/>
              <w:rPr>
                <w:sz w:val="19"/>
              </w:rPr>
            </w:pPr>
            <w:r>
              <w:rPr>
                <w:w w:val="105"/>
                <w:sz w:val="19"/>
              </w:rPr>
              <w:t>causado</w:t>
              <w:tab/>
              <w:t>a</w:t>
              <w:tab/>
              <w:t>la</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1304" w:val="left" w:leader="none"/>
                <w:tab w:pos="1827" w:val="left" w:leader="none"/>
              </w:tabs>
              <w:spacing w:line="214" w:lineRule="exact"/>
              <w:ind w:left="100"/>
              <w:rPr>
                <w:sz w:val="19"/>
              </w:rPr>
            </w:pPr>
            <w:r>
              <w:rPr>
                <w:w w:val="105"/>
                <w:sz w:val="19"/>
              </w:rPr>
              <w:t>naturaleza</w:t>
              <w:tab/>
              <w:t>en</w:t>
              <w:tab/>
            </w:r>
            <w:r>
              <w:rPr>
                <w:spacing w:val="-4"/>
                <w:w w:val="105"/>
                <w:sz w:val="19"/>
              </w:rPr>
              <w:t>su</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1218" w:val="left" w:leader="none"/>
                <w:tab w:pos="1875" w:val="left" w:leader="none"/>
              </w:tabs>
              <w:spacing w:line="212" w:lineRule="exact"/>
              <w:ind w:left="100"/>
              <w:rPr>
                <w:sz w:val="19"/>
              </w:rPr>
            </w:pPr>
            <w:r>
              <w:rPr>
                <w:w w:val="105"/>
                <w:sz w:val="19"/>
              </w:rPr>
              <w:t>conjunto</w:t>
              <w:tab/>
              <w:t>por</w:t>
              <w:tab/>
              <w:t>la</w:t>
            </w:r>
          </w:p>
        </w:tc>
        <w:tc>
          <w:tcPr>
            <w:tcW w:w="1738" w:type="dxa"/>
            <w:tcBorders>
              <w:left w:val="single" w:sz="4" w:space="0" w:color="9CC2E5"/>
            </w:tcBorders>
          </w:tcPr>
          <w:p>
            <w:pPr/>
          </w:p>
        </w:tc>
        <w:tc>
          <w:tcPr>
            <w:tcW w:w="422" w:type="dxa"/>
            <w:tcBorders>
              <w:right w:val="single" w:sz="4" w:space="0" w:color="9CC2E5"/>
            </w:tcBorders>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spacing w:line="214" w:lineRule="exact"/>
              <w:ind w:left="100"/>
              <w:rPr>
                <w:sz w:val="19"/>
              </w:rPr>
            </w:pPr>
            <w:r>
              <w:rPr>
                <w:w w:val="105"/>
                <w:sz w:val="19"/>
              </w:rPr>
              <w:t>acciones del hombre,</w:t>
            </w:r>
          </w:p>
        </w:tc>
        <w:tc>
          <w:tcPr>
            <w:tcW w:w="1738" w:type="dxa"/>
            <w:tcBorders>
              <w:left w:val="single" w:sz="4" w:space="0" w:color="9CC2E5"/>
            </w:tcBorders>
          </w:tcPr>
          <w:p>
            <w:pPr/>
          </w:p>
        </w:tc>
        <w:tc>
          <w:tcPr>
            <w:tcW w:w="422" w:type="dxa"/>
            <w:tcBorders>
              <w:right w:val="single" w:sz="4" w:space="0" w:color="9CC2E5"/>
            </w:tcBorders>
          </w:tcPr>
          <w:p>
            <w:pPr/>
          </w:p>
        </w:tc>
      </w:tr>
      <w:tr>
        <w:trPr>
          <w:trHeight w:val="226"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spacing w:line="214" w:lineRule="exact"/>
              <w:ind w:left="100"/>
              <w:rPr>
                <w:sz w:val="19"/>
              </w:rPr>
            </w:pPr>
            <w:r>
              <w:rPr>
                <w:w w:val="105"/>
                <w:sz w:val="19"/>
              </w:rPr>
              <w:t>dada   su  disposición</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tabs>
                <w:tab w:pos="819" w:val="left" w:leader="none"/>
                <w:tab w:pos="1874" w:val="left" w:leader="none"/>
              </w:tabs>
              <w:spacing w:line="214" w:lineRule="exact"/>
              <w:ind w:left="100"/>
              <w:rPr>
                <w:sz w:val="19"/>
              </w:rPr>
            </w:pPr>
            <w:r>
              <w:rPr>
                <w:w w:val="105"/>
                <w:sz w:val="19"/>
              </w:rPr>
              <w:t>para</w:t>
              <w:tab/>
              <w:t>proteger</w:t>
              <w:tab/>
              <w:t>el</w:t>
            </w:r>
          </w:p>
        </w:tc>
        <w:tc>
          <w:tcPr>
            <w:tcW w:w="1738" w:type="dxa"/>
            <w:tcBorders>
              <w:left w:val="single" w:sz="4" w:space="0" w:color="9CC2E5"/>
            </w:tcBorders>
          </w:tcPr>
          <w:p>
            <w:pPr/>
          </w:p>
        </w:tc>
        <w:tc>
          <w:tcPr>
            <w:tcW w:w="422" w:type="dxa"/>
            <w:tcBorders>
              <w:right w:val="single" w:sz="4" w:space="0" w:color="9CC2E5"/>
            </w:tcBorders>
          </w:tcPr>
          <w:p>
            <w:pPr/>
          </w:p>
        </w:tc>
      </w:tr>
      <w:tr>
        <w:trPr>
          <w:trHeight w:val="223" w:hRule="exact"/>
        </w:trPr>
        <w:tc>
          <w:tcPr>
            <w:tcW w:w="1526" w:type="dxa"/>
            <w:tcBorders>
              <w:left w:val="single" w:sz="4" w:space="0" w:color="9CC2E5"/>
              <w:right w:val="single" w:sz="4" w:space="0" w:color="9CC2E5"/>
            </w:tcBorders>
          </w:tcPr>
          <w:p>
            <w:pPr/>
          </w:p>
        </w:tc>
        <w:tc>
          <w:tcPr>
            <w:tcW w:w="2899" w:type="dxa"/>
            <w:tcBorders>
              <w:left w:val="single" w:sz="4" w:space="0" w:color="9CC2E5"/>
              <w:right w:val="single" w:sz="4" w:space="0" w:color="9CC2E5"/>
            </w:tcBorders>
          </w:tcPr>
          <w:p>
            <w:pPr/>
          </w:p>
        </w:tc>
        <w:tc>
          <w:tcPr>
            <w:tcW w:w="2136" w:type="dxa"/>
            <w:tcBorders>
              <w:left w:val="single" w:sz="4" w:space="0" w:color="9CC2E5"/>
              <w:right w:val="single" w:sz="4" w:space="0" w:color="9CC2E5"/>
            </w:tcBorders>
          </w:tcPr>
          <w:p>
            <w:pPr>
              <w:pStyle w:val="TableParagraph"/>
              <w:spacing w:line="212" w:lineRule="exact"/>
              <w:ind w:left="100"/>
              <w:rPr>
                <w:sz w:val="19"/>
              </w:rPr>
            </w:pPr>
            <w:r>
              <w:rPr>
                <w:w w:val="105"/>
                <w:sz w:val="19"/>
              </w:rPr>
              <w:t>ambiente.   (Hines  et</w:t>
            </w:r>
          </w:p>
        </w:tc>
        <w:tc>
          <w:tcPr>
            <w:tcW w:w="1738" w:type="dxa"/>
            <w:tcBorders>
              <w:left w:val="single" w:sz="4" w:space="0" w:color="9CC2E5"/>
            </w:tcBorders>
          </w:tcPr>
          <w:p>
            <w:pPr/>
          </w:p>
        </w:tc>
        <w:tc>
          <w:tcPr>
            <w:tcW w:w="422" w:type="dxa"/>
            <w:tcBorders>
              <w:right w:val="single" w:sz="4" w:space="0" w:color="9CC2E5"/>
            </w:tcBorders>
          </w:tcPr>
          <w:p>
            <w:pPr/>
          </w:p>
        </w:tc>
      </w:tr>
      <w:tr>
        <w:trPr>
          <w:trHeight w:val="226" w:hRule="exact"/>
        </w:trPr>
        <w:tc>
          <w:tcPr>
            <w:tcW w:w="1526" w:type="dxa"/>
            <w:tcBorders>
              <w:left w:val="single" w:sz="4" w:space="0" w:color="9CC2E5"/>
              <w:bottom w:val="single" w:sz="4" w:space="0" w:color="9CC2E5"/>
              <w:right w:val="single" w:sz="4" w:space="0" w:color="9CC2E5"/>
            </w:tcBorders>
          </w:tcPr>
          <w:p>
            <w:pPr/>
          </w:p>
        </w:tc>
        <w:tc>
          <w:tcPr>
            <w:tcW w:w="2899" w:type="dxa"/>
            <w:tcBorders>
              <w:left w:val="single" w:sz="4" w:space="0" w:color="9CC2E5"/>
              <w:bottom w:val="single" w:sz="4" w:space="0" w:color="9CC2E5"/>
              <w:right w:val="single" w:sz="4" w:space="0" w:color="9CC2E5"/>
            </w:tcBorders>
          </w:tcPr>
          <w:p>
            <w:pPr/>
          </w:p>
        </w:tc>
        <w:tc>
          <w:tcPr>
            <w:tcW w:w="2136" w:type="dxa"/>
            <w:tcBorders>
              <w:left w:val="single" w:sz="4" w:space="0" w:color="9CC2E5"/>
              <w:bottom w:val="single" w:sz="4" w:space="0" w:color="9CC2E5"/>
              <w:right w:val="single" w:sz="4" w:space="0" w:color="9CC2E5"/>
            </w:tcBorders>
          </w:tcPr>
          <w:p>
            <w:pPr>
              <w:pStyle w:val="TableParagraph"/>
              <w:spacing w:line="214" w:lineRule="exact"/>
              <w:ind w:left="100"/>
              <w:rPr>
                <w:sz w:val="19"/>
              </w:rPr>
            </w:pPr>
            <w:r>
              <w:rPr>
                <w:w w:val="105"/>
                <w:sz w:val="19"/>
              </w:rPr>
              <w:t>al.,1986)</w:t>
            </w:r>
          </w:p>
        </w:tc>
        <w:tc>
          <w:tcPr>
            <w:tcW w:w="1738" w:type="dxa"/>
            <w:tcBorders>
              <w:left w:val="single" w:sz="4" w:space="0" w:color="9CC2E5"/>
              <w:bottom w:val="single" w:sz="4" w:space="0" w:color="9CC2E5"/>
            </w:tcBorders>
          </w:tcPr>
          <w:p>
            <w:pPr/>
          </w:p>
        </w:tc>
        <w:tc>
          <w:tcPr>
            <w:tcW w:w="422" w:type="dxa"/>
            <w:tcBorders>
              <w:bottom w:val="single" w:sz="4" w:space="0" w:color="9CC2E5"/>
              <w:right w:val="single" w:sz="4" w:space="0" w:color="9CC2E5"/>
            </w:tcBorders>
          </w:tcPr>
          <w:p>
            <w:pPr/>
          </w:p>
        </w:tc>
      </w:tr>
    </w:tbl>
    <w:p>
      <w:pPr>
        <w:pStyle w:val="BodyText"/>
        <w:rPr>
          <w:b/>
          <w:sz w:val="20"/>
        </w:rPr>
      </w:pPr>
    </w:p>
    <w:p>
      <w:pPr>
        <w:pStyle w:val="BodyText"/>
        <w:spacing w:before="3"/>
        <w:rPr>
          <w:b/>
          <w:sz w:val="18"/>
        </w:rPr>
      </w:pPr>
    </w:p>
    <w:p>
      <w:pPr>
        <w:pStyle w:val="BodyText"/>
        <w:spacing w:line="364" w:lineRule="auto" w:before="74"/>
        <w:ind w:left="215" w:right="899"/>
        <w:jc w:val="both"/>
      </w:pPr>
      <w:r>
        <w:rPr/>
        <w:t>Tras este análisis, el cuestionario para los visitantes se construyó con ítems de </w:t>
      </w:r>
      <w:r>
        <w:rPr>
          <w:spacing w:val="-3"/>
        </w:rPr>
        <w:t>tres </w:t>
      </w:r>
      <w:r>
        <w:rPr/>
        <w:t>variables (factores sociodemográficos, factores cognitivos y factores psicosociales) (Anexo x); dicho instrumento se integró por </w:t>
      </w:r>
      <w:r>
        <w:rPr>
          <w:spacing w:val="4"/>
        </w:rPr>
        <w:t>24 </w:t>
      </w:r>
      <w:r>
        <w:rPr/>
        <w:t>reactivos en escala tipo Likert donde (1) es Totalmente en desacuerdo y </w:t>
      </w:r>
      <w:r>
        <w:rPr>
          <w:spacing w:val="-3"/>
        </w:rPr>
        <w:t>(5) </w:t>
      </w:r>
      <w:r>
        <w:rPr/>
        <w:t>es Totalmente de </w:t>
      </w:r>
      <w:r>
        <w:rPr>
          <w:spacing w:val="17"/>
        </w:rPr>
        <w:t> </w:t>
      </w:r>
      <w:r>
        <w:rPr/>
        <w:t>acuerdo.</w:t>
      </w:r>
    </w:p>
    <w:p>
      <w:pPr>
        <w:spacing w:after="0" w:line="364" w:lineRule="auto"/>
        <w:jc w:val="both"/>
        <w:sectPr>
          <w:pgSz w:w="11910" w:h="16840"/>
          <w:pgMar w:header="1066" w:footer="1715" w:top="1460" w:bottom="1900" w:left="1440" w:right="200"/>
        </w:sectPr>
      </w:pPr>
    </w:p>
    <w:p>
      <w:pPr>
        <w:pStyle w:val="BodyText"/>
        <w:rPr>
          <w:sz w:val="20"/>
        </w:rPr>
      </w:pPr>
    </w:p>
    <w:p>
      <w:pPr>
        <w:pStyle w:val="BodyText"/>
        <w:spacing w:before="10"/>
        <w:rPr>
          <w:sz w:val="17"/>
        </w:rPr>
      </w:pPr>
    </w:p>
    <w:p>
      <w:pPr>
        <w:pStyle w:val="Heading2"/>
        <w:numPr>
          <w:ilvl w:val="1"/>
          <w:numId w:val="26"/>
        </w:numPr>
        <w:tabs>
          <w:tab w:pos="817" w:val="left" w:leader="none"/>
        </w:tabs>
        <w:spacing w:line="240" w:lineRule="auto" w:before="74" w:after="0"/>
        <w:ind w:left="816" w:right="0" w:hanging="700"/>
        <w:jc w:val="both"/>
      </w:pPr>
      <w:bookmarkStart w:name="_TOC_250013" w:id="22"/>
      <w:r>
        <w:rPr/>
        <w:t>Confiabilidad del</w:t>
      </w:r>
      <w:r>
        <w:rPr>
          <w:spacing w:val="33"/>
        </w:rPr>
        <w:t> </w:t>
      </w:r>
      <w:bookmarkEnd w:id="22"/>
      <w:r>
        <w:rPr/>
        <w:t>instrumento</w:t>
      </w:r>
    </w:p>
    <w:p>
      <w:pPr>
        <w:pStyle w:val="BodyText"/>
        <w:rPr>
          <w:b/>
          <w:sz w:val="22"/>
        </w:rPr>
      </w:pPr>
    </w:p>
    <w:p>
      <w:pPr>
        <w:pStyle w:val="BodyText"/>
        <w:spacing w:line="364" w:lineRule="auto" w:before="1"/>
        <w:ind w:left="116" w:right="896"/>
        <w:jc w:val="both"/>
      </w:pPr>
      <w:r>
        <w:rPr/>
        <w:t>El cuestionario fue sometido a la prueba de confiabilidad de Alfa de  Cronbach,  revelando en la mayoría de las dimensiones valores satisfactorios, tal como se muestra en </w:t>
      </w:r>
      <w:r>
        <w:rPr>
          <w:spacing w:val="-5"/>
        </w:rPr>
        <w:t>la </w:t>
      </w:r>
      <w:r>
        <w:rPr/>
        <w:t>tabla</w:t>
      </w:r>
      <w:r>
        <w:rPr>
          <w:spacing w:val="23"/>
        </w:rPr>
        <w:t> </w:t>
      </w:r>
      <w:r>
        <w:rPr/>
        <w:t>5.</w:t>
      </w:r>
    </w:p>
    <w:p>
      <w:pPr>
        <w:pStyle w:val="BodyText"/>
        <w:spacing w:before="125"/>
        <w:ind w:left="2516" w:right="989"/>
      </w:pPr>
      <w:r>
        <w:rPr/>
        <w:t>Tabla No. 7. Confiabilidad del instrumento</w:t>
      </w:r>
    </w:p>
    <w:p>
      <w:pPr>
        <w:pStyle w:val="BodyText"/>
        <w:spacing w:before="5"/>
        <w:rPr>
          <w:sz w:val="22"/>
        </w:rPr>
      </w:pPr>
    </w:p>
    <w:tbl>
      <w:tblPr>
        <w:tblW w:w="0" w:type="auto"/>
        <w:jc w:val="left"/>
        <w:tblInd w:w="7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77"/>
        <w:gridCol w:w="3170"/>
        <w:gridCol w:w="2347"/>
      </w:tblGrid>
      <w:tr>
        <w:trPr>
          <w:trHeight w:val="408" w:hRule="exact"/>
        </w:trPr>
        <w:tc>
          <w:tcPr>
            <w:tcW w:w="2177" w:type="dxa"/>
            <w:vMerge w:val="restart"/>
            <w:tcBorders>
              <w:right w:val="single" w:sz="6" w:space="0" w:color="000000"/>
            </w:tcBorders>
            <w:shd w:val="clear" w:color="auto" w:fill="F2F2F2"/>
          </w:tcPr>
          <w:p>
            <w:pPr>
              <w:pStyle w:val="TableParagraph"/>
              <w:spacing w:line="260" w:lineRule="exact"/>
              <w:ind w:left="95" w:right="1022"/>
              <w:rPr>
                <w:sz w:val="23"/>
              </w:rPr>
            </w:pPr>
            <w:r>
              <w:rPr>
                <w:sz w:val="23"/>
              </w:rPr>
              <w:t>Variable</w:t>
            </w:r>
          </w:p>
        </w:tc>
        <w:tc>
          <w:tcPr>
            <w:tcW w:w="3170" w:type="dxa"/>
            <w:vMerge w:val="restart"/>
            <w:tcBorders>
              <w:left w:val="single" w:sz="6" w:space="0" w:color="000000"/>
            </w:tcBorders>
            <w:shd w:val="clear" w:color="auto" w:fill="F2F2F2"/>
          </w:tcPr>
          <w:p>
            <w:pPr>
              <w:pStyle w:val="TableParagraph"/>
              <w:spacing w:line="260" w:lineRule="exact"/>
              <w:ind w:left="100" w:right="89"/>
              <w:rPr>
                <w:sz w:val="23"/>
              </w:rPr>
            </w:pPr>
            <w:r>
              <w:rPr>
                <w:sz w:val="23"/>
              </w:rPr>
              <w:t>Dimensión</w:t>
            </w:r>
          </w:p>
        </w:tc>
        <w:tc>
          <w:tcPr>
            <w:tcW w:w="2347" w:type="dxa"/>
            <w:shd w:val="clear" w:color="auto" w:fill="F2F2F2"/>
          </w:tcPr>
          <w:p>
            <w:pPr>
              <w:pStyle w:val="TableParagraph"/>
              <w:spacing w:line="260" w:lineRule="exact"/>
              <w:ind w:left="100"/>
              <w:rPr>
                <w:sz w:val="23"/>
              </w:rPr>
            </w:pPr>
            <w:r>
              <w:rPr>
                <w:sz w:val="23"/>
              </w:rPr>
              <w:t>Alfa de Cronbach</w:t>
            </w:r>
          </w:p>
        </w:tc>
      </w:tr>
      <w:tr>
        <w:trPr>
          <w:trHeight w:val="403" w:hRule="exact"/>
        </w:trPr>
        <w:tc>
          <w:tcPr>
            <w:tcW w:w="2177" w:type="dxa"/>
            <w:vMerge/>
            <w:tcBorders>
              <w:right w:val="single" w:sz="6" w:space="0" w:color="000000"/>
            </w:tcBorders>
            <w:shd w:val="clear" w:color="auto" w:fill="F2F2F2"/>
          </w:tcPr>
          <w:p>
            <w:pPr/>
          </w:p>
        </w:tc>
        <w:tc>
          <w:tcPr>
            <w:tcW w:w="3170" w:type="dxa"/>
            <w:vMerge/>
            <w:tcBorders>
              <w:left w:val="single" w:sz="6" w:space="0" w:color="000000"/>
            </w:tcBorders>
            <w:shd w:val="clear" w:color="auto" w:fill="F2F2F2"/>
          </w:tcPr>
          <w:p>
            <w:pPr/>
          </w:p>
        </w:tc>
        <w:tc>
          <w:tcPr>
            <w:tcW w:w="2347" w:type="dxa"/>
            <w:shd w:val="clear" w:color="auto" w:fill="F2F2F2"/>
          </w:tcPr>
          <w:p>
            <w:pPr>
              <w:pStyle w:val="TableParagraph"/>
              <w:spacing w:line="260" w:lineRule="exact"/>
              <w:ind w:left="100"/>
              <w:rPr>
                <w:sz w:val="23"/>
              </w:rPr>
            </w:pPr>
            <w:r>
              <w:rPr>
                <w:sz w:val="23"/>
              </w:rPr>
              <w:t>Turistas (n=321)</w:t>
            </w:r>
          </w:p>
        </w:tc>
      </w:tr>
      <w:tr>
        <w:trPr>
          <w:trHeight w:val="403" w:hRule="exact"/>
        </w:trPr>
        <w:tc>
          <w:tcPr>
            <w:tcW w:w="2177" w:type="dxa"/>
            <w:vMerge w:val="restart"/>
            <w:tcBorders>
              <w:right w:val="single" w:sz="6" w:space="0" w:color="000000"/>
            </w:tcBorders>
          </w:tcPr>
          <w:p>
            <w:pPr>
              <w:pStyle w:val="TableParagraph"/>
              <w:spacing w:line="247" w:lineRule="auto"/>
              <w:ind w:left="95" w:right="1022"/>
              <w:rPr>
                <w:sz w:val="23"/>
              </w:rPr>
            </w:pPr>
            <w:r>
              <w:rPr>
                <w:sz w:val="23"/>
              </w:rPr>
              <w:t>Factores cognitivos</w:t>
            </w:r>
          </w:p>
        </w:tc>
        <w:tc>
          <w:tcPr>
            <w:tcW w:w="3170" w:type="dxa"/>
            <w:tcBorders>
              <w:left w:val="single" w:sz="6" w:space="0" w:color="000000"/>
            </w:tcBorders>
          </w:tcPr>
          <w:p>
            <w:pPr>
              <w:pStyle w:val="TableParagraph"/>
              <w:spacing w:line="255" w:lineRule="exact"/>
              <w:ind w:left="100" w:right="89"/>
              <w:rPr>
                <w:sz w:val="23"/>
              </w:rPr>
            </w:pPr>
            <w:r>
              <w:rPr>
                <w:sz w:val="23"/>
              </w:rPr>
              <w:t>Conocimiento</w:t>
            </w:r>
          </w:p>
        </w:tc>
        <w:tc>
          <w:tcPr>
            <w:tcW w:w="2347" w:type="dxa"/>
          </w:tcPr>
          <w:p>
            <w:pPr>
              <w:pStyle w:val="TableParagraph"/>
              <w:spacing w:line="255" w:lineRule="exact"/>
              <w:ind w:left="100"/>
              <w:rPr>
                <w:sz w:val="23"/>
              </w:rPr>
            </w:pPr>
            <w:r>
              <w:rPr>
                <w:sz w:val="23"/>
              </w:rPr>
              <w:t>.691</w:t>
            </w:r>
          </w:p>
        </w:tc>
      </w:tr>
      <w:tr>
        <w:trPr>
          <w:trHeight w:val="408" w:hRule="exact"/>
        </w:trPr>
        <w:tc>
          <w:tcPr>
            <w:tcW w:w="2177" w:type="dxa"/>
            <w:vMerge/>
            <w:tcBorders>
              <w:right w:val="single" w:sz="6" w:space="0" w:color="000000"/>
            </w:tcBorders>
          </w:tcPr>
          <w:p>
            <w:pPr/>
          </w:p>
        </w:tc>
        <w:tc>
          <w:tcPr>
            <w:tcW w:w="3170" w:type="dxa"/>
            <w:tcBorders>
              <w:left w:val="single" w:sz="6" w:space="0" w:color="000000"/>
            </w:tcBorders>
          </w:tcPr>
          <w:p>
            <w:pPr>
              <w:pStyle w:val="TableParagraph"/>
              <w:spacing w:line="260" w:lineRule="exact"/>
              <w:ind w:left="100" w:right="89"/>
              <w:rPr>
                <w:sz w:val="23"/>
              </w:rPr>
            </w:pPr>
            <w:r>
              <w:rPr>
                <w:sz w:val="23"/>
              </w:rPr>
              <w:t>Actividades ambientales</w:t>
            </w:r>
          </w:p>
        </w:tc>
        <w:tc>
          <w:tcPr>
            <w:tcW w:w="2347" w:type="dxa"/>
          </w:tcPr>
          <w:p>
            <w:pPr>
              <w:pStyle w:val="TableParagraph"/>
              <w:spacing w:line="260" w:lineRule="exact"/>
              <w:ind w:left="100"/>
              <w:rPr>
                <w:sz w:val="23"/>
              </w:rPr>
            </w:pPr>
            <w:r>
              <w:rPr>
                <w:sz w:val="23"/>
              </w:rPr>
              <w:t>.725</w:t>
            </w:r>
          </w:p>
        </w:tc>
      </w:tr>
      <w:tr>
        <w:trPr>
          <w:trHeight w:val="672" w:hRule="exact"/>
        </w:trPr>
        <w:tc>
          <w:tcPr>
            <w:tcW w:w="2177" w:type="dxa"/>
            <w:vMerge/>
            <w:tcBorders>
              <w:right w:val="single" w:sz="6" w:space="0" w:color="000000"/>
            </w:tcBorders>
          </w:tcPr>
          <w:p>
            <w:pPr/>
          </w:p>
        </w:tc>
        <w:tc>
          <w:tcPr>
            <w:tcW w:w="3170" w:type="dxa"/>
            <w:tcBorders>
              <w:left w:val="single" w:sz="6" w:space="0" w:color="000000"/>
            </w:tcBorders>
          </w:tcPr>
          <w:p>
            <w:pPr>
              <w:pStyle w:val="TableParagraph"/>
              <w:tabs>
                <w:tab w:pos="1703" w:val="left" w:leader="none"/>
                <w:tab w:pos="2390" w:val="left" w:leader="none"/>
              </w:tabs>
              <w:spacing w:line="264" w:lineRule="exact"/>
              <w:ind w:left="100" w:right="89"/>
              <w:rPr>
                <w:sz w:val="23"/>
              </w:rPr>
            </w:pPr>
            <w:r>
              <w:rPr>
                <w:sz w:val="23"/>
              </w:rPr>
              <w:t>Estrategias</w:t>
              <w:tab/>
              <w:t>de</w:t>
              <w:tab/>
            </w:r>
            <w:r>
              <w:rPr>
                <w:spacing w:val="-1"/>
                <w:sz w:val="23"/>
              </w:rPr>
              <w:t>acción </w:t>
            </w:r>
            <w:r>
              <w:rPr>
                <w:sz w:val="23"/>
              </w:rPr>
              <w:t>ambiental</w:t>
            </w:r>
          </w:p>
        </w:tc>
        <w:tc>
          <w:tcPr>
            <w:tcW w:w="2347" w:type="dxa"/>
          </w:tcPr>
          <w:p>
            <w:pPr>
              <w:pStyle w:val="TableParagraph"/>
              <w:spacing w:line="260" w:lineRule="exact"/>
              <w:ind w:left="100"/>
              <w:rPr>
                <w:sz w:val="23"/>
              </w:rPr>
            </w:pPr>
            <w:r>
              <w:rPr>
                <w:sz w:val="23"/>
              </w:rPr>
              <w:t>.889</w:t>
            </w:r>
          </w:p>
        </w:tc>
      </w:tr>
      <w:tr>
        <w:trPr>
          <w:trHeight w:val="403" w:hRule="exact"/>
        </w:trPr>
        <w:tc>
          <w:tcPr>
            <w:tcW w:w="2177" w:type="dxa"/>
            <w:vMerge w:val="restart"/>
            <w:tcBorders>
              <w:right w:val="single" w:sz="6" w:space="0" w:color="000000"/>
            </w:tcBorders>
          </w:tcPr>
          <w:p>
            <w:pPr>
              <w:pStyle w:val="TableParagraph"/>
              <w:spacing w:line="264" w:lineRule="exact"/>
              <w:ind w:left="95"/>
              <w:rPr>
                <w:sz w:val="23"/>
              </w:rPr>
            </w:pPr>
            <w:r>
              <w:rPr>
                <w:sz w:val="23"/>
              </w:rPr>
              <w:t>Factores Psicosociales</w:t>
            </w:r>
          </w:p>
        </w:tc>
        <w:tc>
          <w:tcPr>
            <w:tcW w:w="3170" w:type="dxa"/>
            <w:tcBorders>
              <w:left w:val="single" w:sz="6" w:space="0" w:color="000000"/>
            </w:tcBorders>
          </w:tcPr>
          <w:p>
            <w:pPr>
              <w:pStyle w:val="TableParagraph"/>
              <w:spacing w:line="260" w:lineRule="exact"/>
              <w:ind w:left="100" w:right="89"/>
              <w:rPr>
                <w:sz w:val="23"/>
              </w:rPr>
            </w:pPr>
            <w:r>
              <w:rPr>
                <w:sz w:val="23"/>
              </w:rPr>
              <w:t>Actitudes</w:t>
            </w:r>
          </w:p>
        </w:tc>
        <w:tc>
          <w:tcPr>
            <w:tcW w:w="2347" w:type="dxa"/>
          </w:tcPr>
          <w:p>
            <w:pPr>
              <w:pStyle w:val="TableParagraph"/>
              <w:spacing w:line="260" w:lineRule="exact"/>
              <w:ind w:left="100"/>
              <w:rPr>
                <w:sz w:val="23"/>
              </w:rPr>
            </w:pPr>
            <w:r>
              <w:rPr>
                <w:sz w:val="23"/>
              </w:rPr>
              <w:t>.786</w:t>
            </w:r>
          </w:p>
        </w:tc>
      </w:tr>
      <w:tr>
        <w:trPr>
          <w:trHeight w:val="406" w:hRule="exact"/>
        </w:trPr>
        <w:tc>
          <w:tcPr>
            <w:tcW w:w="2177" w:type="dxa"/>
            <w:vMerge/>
            <w:tcBorders>
              <w:right w:val="single" w:sz="6" w:space="0" w:color="000000"/>
            </w:tcBorders>
          </w:tcPr>
          <w:p>
            <w:pPr/>
          </w:p>
        </w:tc>
        <w:tc>
          <w:tcPr>
            <w:tcW w:w="3170" w:type="dxa"/>
            <w:tcBorders>
              <w:left w:val="single" w:sz="6" w:space="0" w:color="000000"/>
              <w:bottom w:val="single" w:sz="6" w:space="0" w:color="000000"/>
            </w:tcBorders>
          </w:tcPr>
          <w:p>
            <w:pPr>
              <w:pStyle w:val="TableParagraph"/>
              <w:ind w:left="100" w:right="89"/>
              <w:rPr>
                <w:sz w:val="23"/>
              </w:rPr>
            </w:pPr>
            <w:r>
              <w:rPr>
                <w:sz w:val="23"/>
              </w:rPr>
              <w:t>Conciencia</w:t>
            </w:r>
          </w:p>
        </w:tc>
        <w:tc>
          <w:tcPr>
            <w:tcW w:w="2347" w:type="dxa"/>
            <w:tcBorders>
              <w:bottom w:val="single" w:sz="6" w:space="0" w:color="000000"/>
            </w:tcBorders>
          </w:tcPr>
          <w:p>
            <w:pPr>
              <w:pStyle w:val="TableParagraph"/>
              <w:ind w:left="100"/>
              <w:rPr>
                <w:sz w:val="23"/>
              </w:rPr>
            </w:pPr>
            <w:r>
              <w:rPr>
                <w:sz w:val="23"/>
              </w:rPr>
              <w:t>.781</w:t>
            </w:r>
          </w:p>
        </w:tc>
      </w:tr>
      <w:tr>
        <w:trPr>
          <w:trHeight w:val="406" w:hRule="exact"/>
        </w:trPr>
        <w:tc>
          <w:tcPr>
            <w:tcW w:w="2177" w:type="dxa"/>
            <w:vMerge/>
            <w:tcBorders>
              <w:right w:val="single" w:sz="6" w:space="0" w:color="000000"/>
            </w:tcBorders>
          </w:tcPr>
          <w:p>
            <w:pPr/>
          </w:p>
        </w:tc>
        <w:tc>
          <w:tcPr>
            <w:tcW w:w="3170" w:type="dxa"/>
            <w:tcBorders>
              <w:top w:val="single" w:sz="6" w:space="0" w:color="000000"/>
              <w:left w:val="single" w:sz="6" w:space="0" w:color="000000"/>
            </w:tcBorders>
          </w:tcPr>
          <w:p>
            <w:pPr>
              <w:pStyle w:val="TableParagraph"/>
              <w:spacing w:line="260" w:lineRule="exact"/>
              <w:ind w:left="100" w:right="89"/>
              <w:rPr>
                <w:sz w:val="23"/>
              </w:rPr>
            </w:pPr>
            <w:r>
              <w:rPr>
                <w:sz w:val="23"/>
              </w:rPr>
              <w:t>Responsabilidad ambiental</w:t>
            </w:r>
          </w:p>
        </w:tc>
        <w:tc>
          <w:tcPr>
            <w:tcW w:w="2347" w:type="dxa"/>
            <w:tcBorders>
              <w:top w:val="single" w:sz="6" w:space="0" w:color="000000"/>
            </w:tcBorders>
          </w:tcPr>
          <w:p>
            <w:pPr>
              <w:pStyle w:val="TableParagraph"/>
              <w:spacing w:line="260" w:lineRule="exact"/>
              <w:ind w:left="100"/>
              <w:rPr>
                <w:sz w:val="23"/>
              </w:rPr>
            </w:pPr>
            <w:r>
              <w:rPr>
                <w:sz w:val="23"/>
              </w:rPr>
              <w:t>.719</w:t>
            </w:r>
          </w:p>
        </w:tc>
      </w:tr>
    </w:tbl>
    <w:p>
      <w:pPr>
        <w:pStyle w:val="BodyText"/>
        <w:spacing w:line="260" w:lineRule="exact"/>
        <w:ind w:left="802" w:right="989"/>
      </w:pPr>
      <w:r>
        <w:rPr/>
        <w:t>Fuente: elaboración propia</w:t>
      </w:r>
    </w:p>
    <w:p>
      <w:pPr>
        <w:pStyle w:val="BodyText"/>
        <w:rPr>
          <w:sz w:val="22"/>
        </w:rPr>
      </w:pPr>
    </w:p>
    <w:p>
      <w:pPr>
        <w:pStyle w:val="BodyText"/>
        <w:spacing w:line="364" w:lineRule="auto" w:before="1"/>
        <w:ind w:left="116" w:right="894"/>
        <w:jc w:val="both"/>
      </w:pPr>
      <w:r>
        <w:rPr/>
        <w:t>Además, derivado de este análisis </w:t>
      </w:r>
      <w:r>
        <w:rPr>
          <w:spacing w:val="3"/>
        </w:rPr>
        <w:t>se </w:t>
      </w:r>
      <w:r>
        <w:rPr/>
        <w:t>eliminaron los ítems 15 y 22 correspondientes al uso </w:t>
      </w:r>
      <w:r>
        <w:rPr>
          <w:spacing w:val="-3"/>
        </w:rPr>
        <w:t>de </w:t>
      </w:r>
      <w:r>
        <w:rPr/>
        <w:t>transporte ecológico y de calentadores solares puesto que se identificó que son medios y tecnologías que aún no son de uso habitual en </w:t>
      </w:r>
      <w:r>
        <w:rPr>
          <w:spacing w:val="-5"/>
        </w:rPr>
        <w:t>la </w:t>
      </w:r>
      <w:r>
        <w:rPr/>
        <w:t>población. Además se realizaron cambios en </w:t>
      </w:r>
      <w:r>
        <w:rPr>
          <w:spacing w:val="-5"/>
        </w:rPr>
        <w:t>la </w:t>
      </w:r>
      <w:r>
        <w:rPr/>
        <w:t>redacción y se ajustaron mejor los significados de las  preguntas. También se sometió a </w:t>
      </w:r>
      <w:r>
        <w:rPr>
          <w:spacing w:val="-3"/>
        </w:rPr>
        <w:t>dos </w:t>
      </w:r>
      <w:r>
        <w:rPr/>
        <w:t>pruebas piloto aplicadas a 100 visitantes en el  lugar de estudio (Parque Nacional Desierto de los </w:t>
      </w:r>
      <w:r>
        <w:rPr>
          <w:spacing w:val="7"/>
        </w:rPr>
        <w:t> </w:t>
      </w:r>
      <w:r>
        <w:rPr/>
        <w:t>Leones).</w:t>
      </w:r>
    </w:p>
    <w:p>
      <w:pPr>
        <w:pStyle w:val="Heading2"/>
        <w:spacing w:before="130"/>
        <w:ind w:right="989"/>
        <w:jc w:val="left"/>
      </w:pPr>
      <w:bookmarkStart w:name="_TOC_250012" w:id="23"/>
      <w:r>
        <w:rPr/>
        <w:t>4.5.1 </w:t>
      </w:r>
      <w:r>
        <w:rPr>
          <w:spacing w:val="55"/>
        </w:rPr>
        <w:t> </w:t>
      </w:r>
      <w:bookmarkEnd w:id="23"/>
      <w:r>
        <w:rPr/>
        <w:t>Validez</w:t>
      </w:r>
    </w:p>
    <w:p>
      <w:pPr>
        <w:pStyle w:val="BodyText"/>
        <w:rPr>
          <w:b/>
          <w:sz w:val="22"/>
        </w:rPr>
      </w:pPr>
    </w:p>
    <w:p>
      <w:pPr>
        <w:pStyle w:val="BodyText"/>
        <w:spacing w:line="364" w:lineRule="auto" w:before="1"/>
        <w:ind w:left="115" w:right="897"/>
        <w:jc w:val="both"/>
      </w:pPr>
      <w:r>
        <w:rPr/>
        <w:t>Para comprobar </w:t>
      </w:r>
      <w:r>
        <w:rPr>
          <w:spacing w:val="-5"/>
        </w:rPr>
        <w:t>la </w:t>
      </w:r>
      <w:r>
        <w:rPr/>
        <w:t>validez del contenido, se realizó un Análisis Factorial, </w:t>
      </w:r>
      <w:r>
        <w:rPr>
          <w:spacing w:val="-4"/>
        </w:rPr>
        <w:t>ya </w:t>
      </w:r>
      <w:r>
        <w:rPr/>
        <w:t>que este </w:t>
      </w:r>
      <w:r>
        <w:rPr>
          <w:spacing w:val="-3"/>
        </w:rPr>
        <w:t>es </w:t>
      </w:r>
      <w:r>
        <w:rPr/>
        <w:t>una técnica de reducción de la dimensionalidad  de los  datos. Cuyo propósito principal de dicha prueba estadística consiste </w:t>
      </w:r>
      <w:r>
        <w:rPr>
          <w:spacing w:val="-3"/>
        </w:rPr>
        <w:t>en </w:t>
      </w:r>
      <w:r>
        <w:rPr/>
        <w:t>buscar el número mínimo de dimensiones capaces de explicar </w:t>
      </w:r>
      <w:r>
        <w:rPr>
          <w:spacing w:val="4"/>
        </w:rPr>
        <w:t>al </w:t>
      </w:r>
      <w:r>
        <w:rPr/>
        <w:t>máximo la información contenida en los </w:t>
      </w:r>
      <w:r>
        <w:rPr>
          <w:spacing w:val="5"/>
        </w:rPr>
        <w:t> </w:t>
      </w:r>
      <w:r>
        <w:rPr/>
        <w:t>datos.</w:t>
      </w:r>
    </w:p>
    <w:p>
      <w:pPr>
        <w:pStyle w:val="BodyText"/>
        <w:spacing w:line="364" w:lineRule="auto" w:before="120"/>
        <w:ind w:left="116" w:right="898"/>
        <w:jc w:val="both"/>
      </w:pPr>
      <w:r>
        <w:rPr/>
        <w:t>Es decir, que el análisis factorial permitió identificar que el instrumento  refleja  un  dominio específico en el contenido de </w:t>
      </w:r>
      <w:r>
        <w:rPr>
          <w:spacing w:val="-5"/>
        </w:rPr>
        <w:t>lo </w:t>
      </w:r>
      <w:r>
        <w:rPr>
          <w:spacing w:val="2"/>
        </w:rPr>
        <w:t>que </w:t>
      </w:r>
      <w:r>
        <w:rPr>
          <w:spacing w:val="3"/>
        </w:rPr>
        <w:t>se </w:t>
      </w:r>
      <w:r>
        <w:rPr/>
        <w:t>pretende </w:t>
      </w:r>
      <w:r>
        <w:rPr>
          <w:spacing w:val="-3"/>
        </w:rPr>
        <w:t>medir, </w:t>
      </w:r>
      <w:r>
        <w:rPr/>
        <w:t>además de explicar cómo  las  mediciones de las variables  identificadas  se correlacionan  entre sí. El</w:t>
      </w:r>
      <w:r>
        <w:rPr>
          <w:spacing w:val="39"/>
        </w:rPr>
        <w:t> </w:t>
      </w:r>
      <w:r>
        <w:rPr/>
        <w:t>efecto</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116" w:right="989"/>
      </w:pPr>
      <w:r>
        <w:rPr/>
        <w:t>de dicho análisis dio como resultado la determinación de 6 dimensiones de estudio en   las que se agrupo </w:t>
      </w:r>
      <w:r>
        <w:rPr>
          <w:spacing w:val="-5"/>
        </w:rPr>
        <w:t>la </w:t>
      </w:r>
      <w:r>
        <w:rPr/>
        <w:t>información de los datos </w:t>
      </w:r>
      <w:r>
        <w:rPr>
          <w:spacing w:val="14"/>
        </w:rPr>
        <w:t> </w:t>
      </w:r>
      <w:r>
        <w:rPr/>
        <w:t>recabados.</w:t>
      </w:r>
    </w:p>
    <w:p>
      <w:pPr>
        <w:pStyle w:val="BodyText"/>
        <w:spacing w:before="123"/>
        <w:ind w:right="784"/>
        <w:jc w:val="center"/>
      </w:pPr>
      <w:r>
        <w:rPr/>
        <w:t>Tabla No. 8.</w:t>
      </w:r>
    </w:p>
    <w:p>
      <w:pPr>
        <w:pStyle w:val="BodyText"/>
        <w:spacing w:before="2"/>
      </w:pPr>
    </w:p>
    <w:p>
      <w:pPr>
        <w:spacing w:before="0" w:after="46"/>
        <w:ind w:left="0" w:right="776" w:firstLine="0"/>
        <w:jc w:val="center"/>
        <w:rPr>
          <w:b/>
          <w:sz w:val="12"/>
        </w:rPr>
      </w:pPr>
      <w:r>
        <w:rPr>
          <w:b/>
          <w:w w:val="105"/>
          <w:sz w:val="19"/>
        </w:rPr>
        <w:t>Matriz de componentes rotados</w:t>
      </w:r>
      <w:r>
        <w:rPr>
          <w:b/>
          <w:w w:val="105"/>
          <w:position w:val="10"/>
          <w:sz w:val="12"/>
        </w:rPr>
        <w:t>a</w:t>
      </w:r>
    </w:p>
    <w:tbl>
      <w:tblPr>
        <w:tblW w:w="0" w:type="auto"/>
        <w:jc w:val="left"/>
        <w:tblInd w:w="7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14"/>
        <w:gridCol w:w="1291"/>
        <w:gridCol w:w="1205"/>
        <w:gridCol w:w="1003"/>
        <w:gridCol w:w="412"/>
        <w:gridCol w:w="390"/>
        <w:gridCol w:w="1205"/>
        <w:gridCol w:w="1205"/>
      </w:tblGrid>
      <w:tr>
        <w:trPr>
          <w:trHeight w:val="317" w:hRule="exact"/>
        </w:trPr>
        <w:tc>
          <w:tcPr>
            <w:tcW w:w="1114" w:type="dxa"/>
            <w:vMerge w:val="restart"/>
          </w:tcPr>
          <w:p>
            <w:pPr/>
          </w:p>
        </w:tc>
        <w:tc>
          <w:tcPr>
            <w:tcW w:w="6710" w:type="dxa"/>
            <w:gridSpan w:val="7"/>
          </w:tcPr>
          <w:p>
            <w:pPr>
              <w:pStyle w:val="TableParagraph"/>
              <w:spacing w:before="71"/>
              <w:ind w:left="62"/>
              <w:rPr>
                <w:sz w:val="19"/>
              </w:rPr>
            </w:pPr>
            <w:r>
              <w:rPr>
                <w:w w:val="105"/>
                <w:sz w:val="19"/>
              </w:rPr>
              <w:t>Componente</w:t>
            </w:r>
          </w:p>
        </w:tc>
      </w:tr>
      <w:tr>
        <w:trPr>
          <w:trHeight w:val="317" w:hRule="exact"/>
        </w:trPr>
        <w:tc>
          <w:tcPr>
            <w:tcW w:w="1114" w:type="dxa"/>
            <w:vMerge/>
            <w:tcBorders>
              <w:bottom w:val="single" w:sz="4" w:space="0" w:color="000000"/>
            </w:tcBorders>
          </w:tcPr>
          <w:p>
            <w:pPr/>
          </w:p>
        </w:tc>
        <w:tc>
          <w:tcPr>
            <w:tcW w:w="1291" w:type="dxa"/>
          </w:tcPr>
          <w:p>
            <w:pPr>
              <w:pStyle w:val="TableParagraph"/>
              <w:spacing w:before="71"/>
              <w:ind w:left="62"/>
              <w:rPr>
                <w:sz w:val="19"/>
              </w:rPr>
            </w:pPr>
            <w:r>
              <w:rPr>
                <w:w w:val="103"/>
                <w:sz w:val="19"/>
              </w:rPr>
              <w:t>1</w:t>
            </w:r>
          </w:p>
        </w:tc>
        <w:tc>
          <w:tcPr>
            <w:tcW w:w="1205" w:type="dxa"/>
          </w:tcPr>
          <w:p>
            <w:pPr>
              <w:pStyle w:val="TableParagraph"/>
              <w:spacing w:before="71"/>
              <w:ind w:left="62"/>
              <w:rPr>
                <w:sz w:val="19"/>
              </w:rPr>
            </w:pPr>
            <w:r>
              <w:rPr>
                <w:w w:val="103"/>
                <w:sz w:val="19"/>
              </w:rPr>
              <w:t>2</w:t>
            </w:r>
          </w:p>
        </w:tc>
        <w:tc>
          <w:tcPr>
            <w:tcW w:w="1003" w:type="dxa"/>
          </w:tcPr>
          <w:p>
            <w:pPr>
              <w:pStyle w:val="TableParagraph"/>
              <w:spacing w:before="71"/>
              <w:ind w:left="62"/>
              <w:rPr>
                <w:sz w:val="19"/>
              </w:rPr>
            </w:pPr>
            <w:r>
              <w:rPr>
                <w:w w:val="103"/>
                <w:sz w:val="19"/>
              </w:rPr>
              <w:t>3</w:t>
            </w:r>
          </w:p>
        </w:tc>
        <w:tc>
          <w:tcPr>
            <w:tcW w:w="802" w:type="dxa"/>
            <w:gridSpan w:val="2"/>
          </w:tcPr>
          <w:p>
            <w:pPr>
              <w:pStyle w:val="TableParagraph"/>
              <w:spacing w:before="71"/>
              <w:ind w:left="62"/>
              <w:rPr>
                <w:sz w:val="19"/>
              </w:rPr>
            </w:pPr>
            <w:r>
              <w:rPr>
                <w:w w:val="103"/>
                <w:sz w:val="19"/>
              </w:rPr>
              <w:t>4</w:t>
            </w:r>
          </w:p>
        </w:tc>
        <w:tc>
          <w:tcPr>
            <w:tcW w:w="1205" w:type="dxa"/>
          </w:tcPr>
          <w:p>
            <w:pPr>
              <w:pStyle w:val="TableParagraph"/>
              <w:spacing w:before="71"/>
              <w:ind w:left="57"/>
              <w:rPr>
                <w:sz w:val="19"/>
              </w:rPr>
            </w:pPr>
            <w:r>
              <w:rPr>
                <w:w w:val="103"/>
                <w:sz w:val="19"/>
              </w:rPr>
              <w:t>5</w:t>
            </w:r>
          </w:p>
        </w:tc>
        <w:tc>
          <w:tcPr>
            <w:tcW w:w="1205" w:type="dxa"/>
          </w:tcPr>
          <w:p>
            <w:pPr>
              <w:pStyle w:val="TableParagraph"/>
              <w:spacing w:before="71"/>
              <w:ind w:left="62"/>
              <w:rPr>
                <w:sz w:val="19"/>
              </w:rPr>
            </w:pPr>
            <w:r>
              <w:rPr>
                <w:w w:val="103"/>
                <w:sz w:val="19"/>
              </w:rPr>
              <w:t>6</w:t>
            </w:r>
          </w:p>
        </w:tc>
      </w:tr>
      <w:tr>
        <w:trPr>
          <w:trHeight w:val="302" w:hRule="exact"/>
        </w:trPr>
        <w:tc>
          <w:tcPr>
            <w:tcW w:w="1114" w:type="dxa"/>
            <w:tcBorders>
              <w:top w:val="single" w:sz="4" w:space="0" w:color="000000"/>
              <w:bottom w:val="single" w:sz="4" w:space="0" w:color="000000"/>
            </w:tcBorders>
          </w:tcPr>
          <w:p>
            <w:pPr>
              <w:pStyle w:val="TableParagraph"/>
              <w:spacing w:before="4"/>
              <w:ind w:left="57"/>
              <w:rPr>
                <w:sz w:val="19"/>
              </w:rPr>
            </w:pPr>
            <w:r>
              <w:rPr>
                <w:w w:val="105"/>
                <w:sz w:val="19"/>
              </w:rPr>
              <w:t>Item_1</w:t>
            </w:r>
          </w:p>
        </w:tc>
        <w:tc>
          <w:tcPr>
            <w:tcW w:w="1291" w:type="dxa"/>
            <w:tcBorders>
              <w:bottom w:val="single" w:sz="4" w:space="0" w:color="000000"/>
              <w:right w:val="single" w:sz="4" w:space="0" w:color="000000"/>
            </w:tcBorders>
          </w:tcPr>
          <w:p>
            <w:pPr>
              <w:pStyle w:val="TableParagraph"/>
              <w:spacing w:line="218" w:lineRule="exact"/>
              <w:ind w:left="62"/>
              <w:rPr>
                <w:sz w:val="19"/>
              </w:rPr>
            </w:pPr>
            <w:r>
              <w:rPr>
                <w:w w:val="105"/>
                <w:sz w:val="19"/>
              </w:rPr>
              <w:t>.093</w:t>
            </w:r>
          </w:p>
        </w:tc>
        <w:tc>
          <w:tcPr>
            <w:tcW w:w="1205" w:type="dxa"/>
            <w:tcBorders>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-.030</w:t>
            </w:r>
          </w:p>
        </w:tc>
        <w:tc>
          <w:tcPr>
            <w:tcW w:w="1003" w:type="dxa"/>
            <w:tcBorders>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.963</w:t>
            </w:r>
          </w:p>
        </w:tc>
        <w:tc>
          <w:tcPr>
            <w:tcW w:w="802" w:type="dxa"/>
            <w:gridSpan w:val="2"/>
            <w:tcBorders>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.098</w:t>
            </w:r>
          </w:p>
        </w:tc>
        <w:tc>
          <w:tcPr>
            <w:tcW w:w="1205" w:type="dxa"/>
            <w:tcBorders>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.033</w:t>
            </w:r>
          </w:p>
        </w:tc>
        <w:tc>
          <w:tcPr>
            <w:tcW w:w="1205" w:type="dxa"/>
            <w:tcBorders>
              <w:left w:val="single" w:sz="4" w:space="0" w:color="000000"/>
              <w:bottom w:val="single" w:sz="4" w:space="0" w:color="000000"/>
            </w:tcBorders>
          </w:tcPr>
          <w:p>
            <w:pPr>
              <w:pStyle w:val="TableParagraph"/>
              <w:spacing w:line="218" w:lineRule="exact"/>
              <w:ind w:left="67"/>
              <w:rPr>
                <w:sz w:val="19"/>
              </w:rPr>
            </w:pPr>
            <w:r>
              <w:rPr>
                <w:w w:val="105"/>
                <w:sz w:val="19"/>
              </w:rPr>
              <w:t>.002</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Item_2</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-.336</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.090</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.833</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.156</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.181</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.142</w:t>
            </w:r>
          </w:p>
        </w:tc>
      </w:tr>
      <w:tr>
        <w:trPr>
          <w:trHeight w:val="293"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Item_3</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.034</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.551</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.163</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-.128</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.374</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-.090</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Item_4</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-.123</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.214</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.170</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-.154</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.889</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-.052</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Item_5</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.633</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-.032</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-.350</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.278</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-.462</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.316</w:t>
            </w:r>
          </w:p>
        </w:tc>
      </w:tr>
      <w:tr>
        <w:trPr>
          <w:trHeight w:val="293"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Item_6</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-.003</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.850</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.018</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-.133</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.225</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.008</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Item_7</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.122</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.869</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.037</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-.215</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-.155</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.239</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Item_8</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.263</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.153</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.651</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.120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.418</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-.275</w:t>
            </w:r>
          </w:p>
        </w:tc>
      </w:tr>
      <w:tr>
        <w:trPr>
          <w:trHeight w:val="293"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Item_9</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.724</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.113</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.466</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.189</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.024</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.019</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Item_10</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.877</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.042</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-.067</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.041</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-.095</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.354</w:t>
            </w:r>
          </w:p>
        </w:tc>
      </w:tr>
      <w:tr>
        <w:trPr>
          <w:trHeight w:val="295" w:hRule="exact"/>
        </w:trPr>
        <w:tc>
          <w:tcPr>
            <w:tcW w:w="1114" w:type="dxa"/>
            <w:tcBorders>
              <w:top w:val="single" w:sz="4" w:space="0" w:color="000000"/>
              <w:bottom w:val="single" w:sz="2" w:space="0" w:color="000000"/>
            </w:tcBorders>
          </w:tcPr>
          <w:p>
            <w:pPr>
              <w:pStyle w:val="TableParagraph"/>
              <w:spacing w:line="218" w:lineRule="exact"/>
              <w:ind w:left="57"/>
              <w:rPr>
                <w:sz w:val="19"/>
              </w:rPr>
            </w:pPr>
            <w:r>
              <w:rPr>
                <w:w w:val="105"/>
                <w:sz w:val="19"/>
              </w:rPr>
              <w:t>Item_11</w:t>
            </w:r>
          </w:p>
        </w:tc>
        <w:tc>
          <w:tcPr>
            <w:tcW w:w="1291" w:type="dxa"/>
            <w:tcBorders>
              <w:top w:val="single" w:sz="4" w:space="0" w:color="000000"/>
              <w:bottom w:val="single" w:sz="2" w:space="0" w:color="000000"/>
              <w:right w:val="single" w:sz="4" w:space="0" w:color="000000"/>
            </w:tcBorders>
          </w:tcPr>
          <w:p>
            <w:pPr>
              <w:pStyle w:val="TableParagraph"/>
              <w:spacing w:line="218" w:lineRule="exact"/>
              <w:ind w:left="62"/>
              <w:rPr>
                <w:sz w:val="19"/>
              </w:rPr>
            </w:pPr>
            <w:r>
              <w:rPr>
                <w:w w:val="105"/>
                <w:sz w:val="19"/>
              </w:rPr>
              <w:t>.259</w:t>
            </w:r>
          </w:p>
        </w:tc>
        <w:tc>
          <w:tcPr>
            <w:tcW w:w="1205" w:type="dxa"/>
            <w:tcBorders>
              <w:top w:val="single" w:sz="4" w:space="0" w:color="000000"/>
              <w:left w:val="single" w:sz="4" w:space="0" w:color="000000"/>
              <w:bottom w:val="single" w:sz="2" w:space="0" w:color="000000"/>
              <w:right w:val="single" w:sz="4" w:space="0" w:color="000000"/>
            </w:tcBorders>
          </w:tcPr>
          <w:p>
            <w:pPr>
              <w:pStyle w:val="TableParagraph"/>
              <w:spacing w:line="218" w:lineRule="exact"/>
              <w:ind w:left="67"/>
              <w:rPr>
                <w:sz w:val="19"/>
              </w:rPr>
            </w:pPr>
            <w:r>
              <w:rPr>
                <w:w w:val="105"/>
                <w:sz w:val="19"/>
              </w:rPr>
              <w:t>.008</w:t>
            </w:r>
          </w:p>
        </w:tc>
        <w:tc>
          <w:tcPr>
            <w:tcW w:w="1003" w:type="dxa"/>
            <w:tcBorders>
              <w:top w:val="single" w:sz="4" w:space="0" w:color="000000"/>
              <w:left w:val="single" w:sz="4" w:space="0" w:color="000000"/>
              <w:bottom w:val="single" w:sz="2" w:space="0" w:color="000000"/>
              <w:right w:val="single" w:sz="4" w:space="0" w:color="000000"/>
            </w:tcBorders>
          </w:tcPr>
          <w:p>
            <w:pPr>
              <w:pStyle w:val="TableParagraph"/>
              <w:spacing w:line="218" w:lineRule="exact"/>
              <w:ind w:left="67"/>
              <w:rPr>
                <w:sz w:val="19"/>
              </w:rPr>
            </w:pPr>
            <w:r>
              <w:rPr>
                <w:w w:val="105"/>
                <w:sz w:val="19"/>
              </w:rPr>
              <w:t>-.066</w:t>
            </w:r>
          </w:p>
        </w:tc>
        <w:tc>
          <w:tcPr>
            <w:tcW w:w="802" w:type="dxa"/>
            <w:gridSpan w:val="2"/>
            <w:tcBorders>
              <w:top w:val="single" w:sz="4" w:space="0" w:color="000000"/>
              <w:left w:val="single" w:sz="4" w:space="0" w:color="000000"/>
              <w:bottom w:val="single" w:sz="2" w:space="0" w:color="000000"/>
              <w:right w:val="single" w:sz="4" w:space="0" w:color="000000"/>
            </w:tcBorders>
          </w:tcPr>
          <w:p>
            <w:pPr>
              <w:pStyle w:val="TableParagraph"/>
              <w:spacing w:line="218" w:lineRule="exact"/>
              <w:ind w:left="67"/>
              <w:rPr>
                <w:sz w:val="19"/>
              </w:rPr>
            </w:pPr>
            <w:r>
              <w:rPr>
                <w:w w:val="105"/>
                <w:sz w:val="19"/>
              </w:rPr>
              <w:t>-.096</w:t>
            </w:r>
          </w:p>
        </w:tc>
        <w:tc>
          <w:tcPr>
            <w:tcW w:w="1205" w:type="dxa"/>
            <w:tcBorders>
              <w:top w:val="single" w:sz="4" w:space="0" w:color="000000"/>
              <w:left w:val="single" w:sz="4" w:space="0" w:color="000000"/>
              <w:bottom w:val="single" w:sz="2" w:space="0" w:color="000000"/>
              <w:right w:val="single" w:sz="4" w:space="0" w:color="000000"/>
            </w:tcBorders>
          </w:tcPr>
          <w:p>
            <w:pPr>
              <w:pStyle w:val="TableParagraph"/>
              <w:spacing w:line="218" w:lineRule="exact"/>
              <w:ind w:left="62"/>
              <w:rPr>
                <w:sz w:val="19"/>
              </w:rPr>
            </w:pPr>
            <w:r>
              <w:rPr>
                <w:w w:val="105"/>
                <w:sz w:val="19"/>
              </w:rPr>
              <w:t>-.078</w:t>
            </w:r>
          </w:p>
        </w:tc>
        <w:tc>
          <w:tcPr>
            <w:tcW w:w="1205" w:type="dxa"/>
            <w:tcBorders>
              <w:top w:val="single" w:sz="4" w:space="0" w:color="000000"/>
              <w:left w:val="single" w:sz="4" w:space="0" w:color="000000"/>
              <w:bottom w:val="single" w:sz="2" w:space="0" w:color="000000"/>
            </w:tcBorders>
          </w:tcPr>
          <w:p>
            <w:pPr>
              <w:pStyle w:val="TableParagraph"/>
              <w:spacing w:line="218" w:lineRule="exact"/>
              <w:ind w:left="67"/>
              <w:rPr>
                <w:sz w:val="19"/>
              </w:rPr>
            </w:pPr>
            <w:r>
              <w:rPr>
                <w:w w:val="105"/>
                <w:sz w:val="19"/>
              </w:rPr>
              <w:t>.829</w:t>
            </w:r>
          </w:p>
        </w:tc>
      </w:tr>
      <w:tr>
        <w:trPr>
          <w:trHeight w:val="295" w:hRule="exact"/>
        </w:trPr>
        <w:tc>
          <w:tcPr>
            <w:tcW w:w="1114" w:type="dxa"/>
            <w:tcBorders>
              <w:top w:val="single" w:sz="2" w:space="0" w:color="000000"/>
              <w:bottom w:val="single" w:sz="4" w:space="0" w:color="000000"/>
            </w:tcBorders>
          </w:tcPr>
          <w:p>
            <w:pPr>
              <w:pStyle w:val="TableParagraph"/>
              <w:spacing w:line="218" w:lineRule="exact"/>
              <w:ind w:left="57"/>
              <w:rPr>
                <w:sz w:val="19"/>
              </w:rPr>
            </w:pPr>
            <w:r>
              <w:rPr>
                <w:w w:val="105"/>
                <w:sz w:val="19"/>
              </w:rPr>
              <w:t>Item_12</w:t>
            </w:r>
          </w:p>
        </w:tc>
        <w:tc>
          <w:tcPr>
            <w:tcW w:w="1291" w:type="dxa"/>
            <w:tcBorders>
              <w:top w:val="single" w:sz="2" w:space="0" w:color="000000"/>
              <w:bottom w:val="single" w:sz="4" w:space="0" w:color="000000"/>
              <w:right w:val="single" w:sz="4" w:space="0" w:color="000000"/>
            </w:tcBorders>
          </w:tcPr>
          <w:p>
            <w:pPr>
              <w:pStyle w:val="TableParagraph"/>
              <w:spacing w:line="218" w:lineRule="exact"/>
              <w:ind w:left="62"/>
              <w:rPr>
                <w:sz w:val="19"/>
              </w:rPr>
            </w:pPr>
            <w:r>
              <w:rPr>
                <w:w w:val="105"/>
                <w:sz w:val="19"/>
              </w:rPr>
              <w:t>.734</w:t>
            </w:r>
          </w:p>
        </w:tc>
        <w:tc>
          <w:tcPr>
            <w:tcW w:w="1205" w:type="dxa"/>
            <w:tcBorders>
              <w:top w:val="single" w:sz="2"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-.139</w:t>
            </w:r>
          </w:p>
        </w:tc>
        <w:tc>
          <w:tcPr>
            <w:tcW w:w="1003" w:type="dxa"/>
            <w:tcBorders>
              <w:top w:val="single" w:sz="2"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-.064</w:t>
            </w:r>
          </w:p>
        </w:tc>
        <w:tc>
          <w:tcPr>
            <w:tcW w:w="802" w:type="dxa"/>
            <w:gridSpan w:val="2"/>
            <w:tcBorders>
              <w:top w:val="single" w:sz="2"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-.283</w:t>
            </w:r>
          </w:p>
        </w:tc>
        <w:tc>
          <w:tcPr>
            <w:tcW w:w="1205" w:type="dxa"/>
            <w:tcBorders>
              <w:top w:val="single" w:sz="2"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-.058</w:t>
            </w:r>
          </w:p>
        </w:tc>
        <w:tc>
          <w:tcPr>
            <w:tcW w:w="1205" w:type="dxa"/>
            <w:tcBorders>
              <w:top w:val="single" w:sz="2" w:space="0" w:color="000000"/>
              <w:left w:val="single" w:sz="4" w:space="0" w:color="000000"/>
              <w:bottom w:val="single" w:sz="4" w:space="0" w:color="000000"/>
            </w:tcBorders>
          </w:tcPr>
          <w:p>
            <w:pPr>
              <w:pStyle w:val="TableParagraph"/>
              <w:spacing w:line="218" w:lineRule="exact"/>
              <w:ind w:left="67"/>
              <w:rPr>
                <w:sz w:val="19"/>
              </w:rPr>
            </w:pPr>
            <w:r>
              <w:rPr>
                <w:w w:val="105"/>
                <w:sz w:val="19"/>
              </w:rPr>
              <w:t>-.091</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Item_13</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.603</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.529</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.328</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-.037</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-.228</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.114</w:t>
            </w:r>
          </w:p>
        </w:tc>
      </w:tr>
      <w:tr>
        <w:trPr>
          <w:trHeight w:val="293"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Item_14</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.083</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-.307</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.101</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.845</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-.219</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.110</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Item_15</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.456</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-.015</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.649</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-.245</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.193</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-.171</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Item_16</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-.164</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.824</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.111</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-.068</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.221</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-.351</w:t>
            </w:r>
          </w:p>
        </w:tc>
      </w:tr>
      <w:tr>
        <w:trPr>
          <w:trHeight w:val="293"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Item_17</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-.316</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-.012</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-.207</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.707</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-.042</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-.300</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Item_18</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.455</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.156</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.139</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.182</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.514</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.483</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Item_19</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.674</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-.306</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.143</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-.018</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.245</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.334</w:t>
            </w:r>
          </w:p>
        </w:tc>
      </w:tr>
      <w:tr>
        <w:trPr>
          <w:trHeight w:val="293"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Item_20</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.130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-.256</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.194</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.856</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.093</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.017</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Item_21</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.498</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.208</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.582</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-.169</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-.370</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.053</w:t>
            </w:r>
          </w:p>
        </w:tc>
      </w:tr>
      <w:tr>
        <w:trPr>
          <w:trHeight w:val="298"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Item_22</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.134</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.420</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.084</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.057</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.202</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.074</w:t>
            </w:r>
          </w:p>
        </w:tc>
      </w:tr>
      <w:tr>
        <w:trPr>
          <w:trHeight w:val="293" w:hRule="exact"/>
        </w:trPr>
        <w:tc>
          <w:tcPr>
            <w:tcW w:w="1114" w:type="dxa"/>
            <w:tcBorders>
              <w:top w:val="single" w:sz="4" w:space="0" w:color="000000"/>
              <w:bottom w:val="single" w:sz="4" w:space="0" w:color="000000"/>
            </w:tcBorders>
          </w:tcPr>
          <w:p>
            <w:pPr>
              <w:pStyle w:val="TableParagraph"/>
              <w:spacing w:line="218" w:lineRule="exact"/>
              <w:ind w:left="57"/>
              <w:rPr>
                <w:sz w:val="19"/>
              </w:rPr>
            </w:pPr>
            <w:r>
              <w:rPr>
                <w:w w:val="105"/>
                <w:sz w:val="19"/>
              </w:rPr>
              <w:t>Item_23</w:t>
            </w:r>
          </w:p>
        </w:tc>
        <w:tc>
          <w:tcPr>
            <w:tcW w:w="1291" w:type="dxa"/>
            <w:tcBorders>
              <w:top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.668</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-.466</w:t>
            </w:r>
          </w:p>
        </w:tc>
        <w:tc>
          <w:tcPr>
            <w:tcW w:w="1003"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.301</w:t>
            </w:r>
          </w:p>
        </w:tc>
        <w:tc>
          <w:tcPr>
            <w:tcW w:w="802" w:type="dxa"/>
            <w:gridSpan w:val="2"/>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7"/>
              <w:rPr>
                <w:sz w:val="19"/>
              </w:rPr>
            </w:pPr>
            <w:r>
              <w:rPr>
                <w:w w:val="105"/>
                <w:sz w:val="19"/>
              </w:rPr>
              <w:t>.029</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line="218" w:lineRule="exact"/>
              <w:ind w:left="62"/>
              <w:rPr>
                <w:sz w:val="19"/>
              </w:rPr>
            </w:pPr>
            <w:r>
              <w:rPr>
                <w:w w:val="105"/>
                <w:sz w:val="19"/>
              </w:rPr>
              <w:t>.224</w:t>
            </w:r>
          </w:p>
        </w:tc>
        <w:tc>
          <w:tcPr>
            <w:tcW w:w="1205" w:type="dxa"/>
            <w:tcBorders>
              <w:top w:val="single" w:sz="4" w:space="0" w:color="000000"/>
              <w:left w:val="single" w:sz="4" w:space="0" w:color="000000"/>
              <w:bottom w:val="single" w:sz="4" w:space="0" w:color="000000"/>
            </w:tcBorders>
          </w:tcPr>
          <w:p>
            <w:pPr>
              <w:pStyle w:val="TableParagraph"/>
              <w:spacing w:line="218" w:lineRule="exact"/>
              <w:ind w:left="67"/>
              <w:rPr>
                <w:sz w:val="19"/>
              </w:rPr>
            </w:pPr>
            <w:r>
              <w:rPr>
                <w:w w:val="105"/>
                <w:sz w:val="19"/>
              </w:rPr>
              <w:t>.305</w:t>
            </w:r>
          </w:p>
        </w:tc>
      </w:tr>
      <w:tr>
        <w:trPr>
          <w:trHeight w:val="314" w:hRule="exact"/>
        </w:trPr>
        <w:tc>
          <w:tcPr>
            <w:tcW w:w="1114" w:type="dxa"/>
            <w:tcBorders>
              <w:top w:val="single" w:sz="4" w:space="0" w:color="000000"/>
              <w:bottom w:val="single" w:sz="6" w:space="0" w:color="000000"/>
            </w:tcBorders>
          </w:tcPr>
          <w:p>
            <w:pPr>
              <w:pStyle w:val="TableParagraph"/>
              <w:spacing w:line="218" w:lineRule="exact"/>
              <w:ind w:left="57"/>
              <w:rPr>
                <w:sz w:val="19"/>
              </w:rPr>
            </w:pPr>
            <w:r>
              <w:rPr>
                <w:w w:val="105"/>
                <w:sz w:val="19"/>
              </w:rPr>
              <w:t>Item_24</w:t>
            </w:r>
          </w:p>
        </w:tc>
        <w:tc>
          <w:tcPr>
            <w:tcW w:w="1291" w:type="dxa"/>
            <w:tcBorders>
              <w:top w:val="single" w:sz="4" w:space="0" w:color="000000"/>
              <w:bottom w:val="single" w:sz="6" w:space="0" w:color="000000"/>
              <w:right w:val="single" w:sz="4" w:space="0" w:color="000000"/>
            </w:tcBorders>
          </w:tcPr>
          <w:p>
            <w:pPr>
              <w:pStyle w:val="TableParagraph"/>
              <w:spacing w:line="218" w:lineRule="exact"/>
              <w:ind w:left="62"/>
              <w:rPr>
                <w:sz w:val="19"/>
              </w:rPr>
            </w:pPr>
            <w:r>
              <w:rPr>
                <w:w w:val="105"/>
                <w:sz w:val="19"/>
              </w:rPr>
              <w:t>-.081</w:t>
            </w:r>
          </w:p>
        </w:tc>
        <w:tc>
          <w:tcPr>
            <w:tcW w:w="1205" w:type="dxa"/>
            <w:tcBorders>
              <w:top w:val="single" w:sz="4" w:space="0" w:color="000000"/>
              <w:left w:val="single" w:sz="4" w:space="0" w:color="000000"/>
              <w:bottom w:val="single" w:sz="6" w:space="0" w:color="000000"/>
              <w:right w:val="single" w:sz="4" w:space="0" w:color="000000"/>
            </w:tcBorders>
          </w:tcPr>
          <w:p>
            <w:pPr>
              <w:pStyle w:val="TableParagraph"/>
              <w:spacing w:line="218" w:lineRule="exact"/>
              <w:ind w:left="67"/>
              <w:rPr>
                <w:sz w:val="19"/>
              </w:rPr>
            </w:pPr>
            <w:r>
              <w:rPr>
                <w:w w:val="105"/>
                <w:sz w:val="19"/>
              </w:rPr>
              <w:t>.843</w:t>
            </w:r>
          </w:p>
        </w:tc>
        <w:tc>
          <w:tcPr>
            <w:tcW w:w="1003" w:type="dxa"/>
            <w:tcBorders>
              <w:top w:val="single" w:sz="4" w:space="0" w:color="000000"/>
              <w:left w:val="single" w:sz="4" w:space="0" w:color="000000"/>
              <w:bottom w:val="single" w:sz="6" w:space="0" w:color="000000"/>
              <w:right w:val="single" w:sz="4" w:space="0" w:color="000000"/>
            </w:tcBorders>
          </w:tcPr>
          <w:p>
            <w:pPr>
              <w:pStyle w:val="TableParagraph"/>
              <w:spacing w:line="218" w:lineRule="exact"/>
              <w:ind w:left="67"/>
              <w:rPr>
                <w:sz w:val="19"/>
              </w:rPr>
            </w:pPr>
            <w:r>
              <w:rPr>
                <w:w w:val="105"/>
                <w:sz w:val="19"/>
              </w:rPr>
              <w:t>.002</w:t>
            </w:r>
          </w:p>
        </w:tc>
        <w:tc>
          <w:tcPr>
            <w:tcW w:w="802" w:type="dxa"/>
            <w:gridSpan w:val="2"/>
            <w:tcBorders>
              <w:top w:val="single" w:sz="4" w:space="0" w:color="000000"/>
              <w:left w:val="single" w:sz="4" w:space="0" w:color="000000"/>
              <w:bottom w:val="single" w:sz="6" w:space="0" w:color="000000"/>
              <w:right w:val="single" w:sz="4" w:space="0" w:color="000000"/>
            </w:tcBorders>
          </w:tcPr>
          <w:p>
            <w:pPr>
              <w:pStyle w:val="TableParagraph"/>
              <w:spacing w:line="218" w:lineRule="exact"/>
              <w:ind w:left="67"/>
              <w:rPr>
                <w:sz w:val="19"/>
              </w:rPr>
            </w:pPr>
            <w:r>
              <w:rPr>
                <w:w w:val="105"/>
                <w:sz w:val="19"/>
              </w:rPr>
              <w:t>-.144</w:t>
            </w:r>
          </w:p>
        </w:tc>
        <w:tc>
          <w:tcPr>
            <w:tcW w:w="1205" w:type="dxa"/>
            <w:tcBorders>
              <w:top w:val="single" w:sz="4" w:space="0" w:color="000000"/>
              <w:left w:val="single" w:sz="4" w:space="0" w:color="000000"/>
              <w:bottom w:val="single" w:sz="6" w:space="0" w:color="000000"/>
              <w:right w:val="single" w:sz="4" w:space="0" w:color="000000"/>
            </w:tcBorders>
          </w:tcPr>
          <w:p>
            <w:pPr>
              <w:pStyle w:val="TableParagraph"/>
              <w:spacing w:line="218" w:lineRule="exact"/>
              <w:ind w:left="62"/>
              <w:rPr>
                <w:sz w:val="19"/>
              </w:rPr>
            </w:pPr>
            <w:r>
              <w:rPr>
                <w:w w:val="105"/>
                <w:sz w:val="19"/>
              </w:rPr>
              <w:t>.071</w:t>
            </w:r>
          </w:p>
        </w:tc>
        <w:tc>
          <w:tcPr>
            <w:tcW w:w="1205" w:type="dxa"/>
            <w:tcBorders>
              <w:top w:val="single" w:sz="4" w:space="0" w:color="000000"/>
              <w:left w:val="single" w:sz="4" w:space="0" w:color="000000"/>
              <w:bottom w:val="single" w:sz="6" w:space="0" w:color="000000"/>
            </w:tcBorders>
          </w:tcPr>
          <w:p>
            <w:pPr>
              <w:pStyle w:val="TableParagraph"/>
              <w:spacing w:line="218" w:lineRule="exact"/>
              <w:ind w:left="67"/>
              <w:rPr>
                <w:sz w:val="19"/>
              </w:rPr>
            </w:pPr>
            <w:r>
              <w:rPr>
                <w:w w:val="105"/>
                <w:sz w:val="19"/>
              </w:rPr>
              <w:t>.031</w:t>
            </w:r>
          </w:p>
        </w:tc>
      </w:tr>
      <w:tr>
        <w:trPr>
          <w:trHeight w:val="468" w:hRule="exact"/>
        </w:trPr>
        <w:tc>
          <w:tcPr>
            <w:tcW w:w="5024" w:type="dxa"/>
            <w:gridSpan w:val="5"/>
            <w:tcBorders>
              <w:top w:val="single" w:sz="6" w:space="0" w:color="000000"/>
              <w:right w:val="nil"/>
            </w:tcBorders>
          </w:tcPr>
          <w:p>
            <w:pPr>
              <w:pStyle w:val="TableParagraph"/>
              <w:tabs>
                <w:tab w:pos="1184" w:val="left" w:leader="none"/>
                <w:tab w:pos="1870" w:val="left" w:leader="none"/>
                <w:tab w:pos="3285" w:val="left" w:leader="none"/>
                <w:tab w:pos="4422" w:val="left" w:leader="none"/>
              </w:tabs>
              <w:spacing w:line="247" w:lineRule="auto"/>
              <w:ind w:left="110" w:right="101" w:hanging="53"/>
              <w:rPr>
                <w:sz w:val="19"/>
              </w:rPr>
            </w:pPr>
            <w:r>
              <w:rPr>
                <w:w w:val="105"/>
                <w:sz w:val="19"/>
              </w:rPr>
              <w:t>Método</w:t>
              <w:tab/>
              <w:t>de</w:t>
              <w:tab/>
              <w:t>extracción:</w:t>
              <w:tab/>
              <w:t>Análisis</w:t>
              <w:tab/>
            </w:r>
            <w:r>
              <w:rPr>
                <w:spacing w:val="2"/>
                <w:w w:val="105"/>
                <w:sz w:val="19"/>
              </w:rPr>
              <w:t>de </w:t>
            </w:r>
            <w:r>
              <w:rPr>
                <w:w w:val="105"/>
                <w:sz w:val="19"/>
              </w:rPr>
              <w:t>Método</w:t>
            </w:r>
            <w:r>
              <w:rPr>
                <w:spacing w:val="-25"/>
                <w:w w:val="105"/>
                <w:sz w:val="19"/>
              </w:rPr>
              <w:t> </w:t>
            </w:r>
            <w:r>
              <w:rPr>
                <w:w w:val="105"/>
                <w:sz w:val="19"/>
              </w:rPr>
              <w:t>de</w:t>
            </w:r>
            <w:r>
              <w:rPr>
                <w:spacing w:val="-19"/>
                <w:w w:val="105"/>
                <w:sz w:val="19"/>
              </w:rPr>
              <w:t> </w:t>
            </w:r>
            <w:r>
              <w:rPr>
                <w:w w:val="105"/>
                <w:sz w:val="19"/>
              </w:rPr>
              <w:t>rotación:</w:t>
            </w:r>
            <w:r>
              <w:rPr>
                <w:spacing w:val="-27"/>
                <w:w w:val="105"/>
                <w:sz w:val="19"/>
              </w:rPr>
              <w:t> </w:t>
            </w:r>
            <w:r>
              <w:rPr>
                <w:w w:val="105"/>
                <w:sz w:val="19"/>
              </w:rPr>
              <w:t>Normalización</w:t>
            </w:r>
            <w:r>
              <w:rPr>
                <w:spacing w:val="-22"/>
                <w:w w:val="105"/>
                <w:sz w:val="19"/>
              </w:rPr>
              <w:t> </w:t>
            </w:r>
            <w:r>
              <w:rPr>
                <w:w w:val="105"/>
                <w:sz w:val="19"/>
              </w:rPr>
              <w:t>Varimax</w:t>
            </w:r>
            <w:r>
              <w:rPr>
                <w:spacing w:val="-33"/>
                <w:w w:val="105"/>
                <w:sz w:val="19"/>
              </w:rPr>
              <w:t> </w:t>
            </w:r>
            <w:r>
              <w:rPr>
                <w:w w:val="105"/>
                <w:sz w:val="19"/>
              </w:rPr>
              <w:t>con</w:t>
            </w:r>
            <w:r>
              <w:rPr>
                <w:spacing w:val="-22"/>
                <w:w w:val="105"/>
                <w:sz w:val="19"/>
              </w:rPr>
              <w:t> </w:t>
            </w:r>
            <w:r>
              <w:rPr>
                <w:w w:val="105"/>
                <w:sz w:val="19"/>
              </w:rPr>
              <w:t>Kaiser.</w:t>
            </w:r>
          </w:p>
        </w:tc>
        <w:tc>
          <w:tcPr>
            <w:tcW w:w="1595" w:type="dxa"/>
            <w:gridSpan w:val="2"/>
            <w:tcBorders>
              <w:top w:val="single" w:sz="6" w:space="0" w:color="000000"/>
              <w:left w:val="nil"/>
              <w:right w:val="nil"/>
            </w:tcBorders>
          </w:tcPr>
          <w:p>
            <w:pPr>
              <w:pStyle w:val="TableParagraph"/>
              <w:spacing w:line="218" w:lineRule="exact"/>
              <w:ind w:left="103"/>
              <w:rPr>
                <w:sz w:val="19"/>
              </w:rPr>
            </w:pPr>
            <w:r>
              <w:rPr>
                <w:w w:val="105"/>
                <w:sz w:val="19"/>
              </w:rPr>
              <w:t>componentes</w:t>
            </w:r>
          </w:p>
        </w:tc>
        <w:tc>
          <w:tcPr>
            <w:tcW w:w="1205" w:type="dxa"/>
            <w:tcBorders>
              <w:top w:val="single" w:sz="6" w:space="0" w:color="000000"/>
              <w:left w:val="nil"/>
            </w:tcBorders>
          </w:tcPr>
          <w:p>
            <w:pPr>
              <w:pStyle w:val="TableParagraph"/>
              <w:spacing w:line="218" w:lineRule="exact"/>
              <w:ind w:left="148"/>
              <w:rPr>
                <w:sz w:val="19"/>
              </w:rPr>
            </w:pPr>
            <w:r>
              <w:rPr>
                <w:w w:val="105"/>
                <w:sz w:val="19"/>
              </w:rPr>
              <w:t>principales.</w:t>
            </w:r>
          </w:p>
        </w:tc>
      </w:tr>
      <w:tr>
        <w:trPr>
          <w:trHeight w:val="322" w:hRule="exact"/>
        </w:trPr>
        <w:tc>
          <w:tcPr>
            <w:tcW w:w="7824" w:type="dxa"/>
            <w:gridSpan w:val="8"/>
          </w:tcPr>
          <w:p>
            <w:pPr>
              <w:pStyle w:val="TableParagraph"/>
              <w:spacing w:line="218" w:lineRule="exact"/>
              <w:ind w:left="57"/>
              <w:rPr>
                <w:sz w:val="19"/>
              </w:rPr>
            </w:pPr>
            <w:r>
              <w:rPr>
                <w:w w:val="105"/>
                <w:sz w:val="19"/>
              </w:rPr>
              <w:t>a. La rotación ha convergido en 12 iteraciones.</w:t>
            </w:r>
          </w:p>
        </w:tc>
      </w:tr>
    </w:tbl>
    <w:p>
      <w:pPr>
        <w:pStyle w:val="BodyText"/>
        <w:rPr>
          <w:b/>
          <w:sz w:val="20"/>
        </w:rPr>
      </w:pPr>
    </w:p>
    <w:p>
      <w:pPr>
        <w:pStyle w:val="BodyText"/>
        <w:spacing w:before="3"/>
        <w:rPr>
          <w:b/>
          <w:sz w:val="18"/>
        </w:rPr>
      </w:pPr>
    </w:p>
    <w:p>
      <w:pPr>
        <w:pStyle w:val="Heading2"/>
        <w:numPr>
          <w:ilvl w:val="1"/>
          <w:numId w:val="26"/>
        </w:numPr>
        <w:tabs>
          <w:tab w:pos="817" w:val="left" w:leader="none"/>
        </w:tabs>
        <w:spacing w:line="240" w:lineRule="auto" w:before="74" w:after="0"/>
        <w:ind w:left="816" w:right="0" w:hanging="700"/>
        <w:jc w:val="both"/>
      </w:pPr>
      <w:bookmarkStart w:name="_TOC_250011" w:id="24"/>
      <w:r>
        <w:rPr/>
        <w:t>Procesamiento de</w:t>
      </w:r>
      <w:r>
        <w:rPr>
          <w:spacing w:val="31"/>
        </w:rPr>
        <w:t> </w:t>
      </w:r>
      <w:bookmarkEnd w:id="24"/>
      <w:r>
        <w:rPr/>
        <w:t>datos</w:t>
      </w:r>
    </w:p>
    <w:p>
      <w:pPr>
        <w:pStyle w:val="BodyText"/>
        <w:rPr>
          <w:b/>
          <w:sz w:val="22"/>
        </w:rPr>
      </w:pPr>
    </w:p>
    <w:p>
      <w:pPr>
        <w:pStyle w:val="BodyText"/>
        <w:spacing w:line="364" w:lineRule="auto" w:before="1"/>
        <w:ind w:left="116" w:right="896"/>
        <w:jc w:val="both"/>
      </w:pPr>
      <w:r>
        <w:rPr/>
        <w:t>El proceso de análisis de los datos cuantitativos se realizó a través del programa estadístico </w:t>
      </w:r>
      <w:r>
        <w:rPr>
          <w:spacing w:val="-3"/>
        </w:rPr>
        <w:t>PASW </w:t>
      </w:r>
      <w:r>
        <w:rPr/>
        <w:t>Statistics (SPSS) versión 20. Las pruebas estadísticas  realizadas  a los reactivos cuantitativos fueron: frecuencias, media, desviación  estándar,  correlaciones.</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8"/>
        <w:jc w:val="both"/>
      </w:pPr>
      <w:r>
        <w:rPr/>
        <w:t>Las distribuciones de frecuencias fueron utilizadas para </w:t>
      </w:r>
      <w:r>
        <w:rPr>
          <w:spacing w:val="-5"/>
        </w:rPr>
        <w:t>la </w:t>
      </w:r>
      <w:r>
        <w:rPr/>
        <w:t>descripción de los </w:t>
      </w:r>
      <w:r>
        <w:rPr>
          <w:spacing w:val="-3"/>
        </w:rPr>
        <w:t>datos </w:t>
      </w:r>
      <w:r>
        <w:rPr/>
        <w:t>de cada una de las variables y se complementaron con los porcentajes por reactivo. La media otorgó una interpretación descriptiva  del promedio de  las  percepciones acerca del comportamiento proambiental (CPA) por cada una de las variables, también se obtuvieron como medida de variabilidad la desviación estándar.  Para  analizar  la  relación entre las variables y considerando que el nivel de medición es intervalar,  se utilizó el coeficiente de correlación Pearson. Los niveles de significancia fueron de .05  </w:t>
      </w:r>
      <w:r>
        <w:rPr>
          <w:spacing w:val="48"/>
        </w:rPr>
        <w:t> </w:t>
      </w:r>
      <w:r>
        <w:rPr/>
        <w:t>y</w:t>
      </w:r>
    </w:p>
    <w:p>
      <w:pPr>
        <w:pStyle w:val="BodyText"/>
        <w:ind w:left="116"/>
        <w:jc w:val="both"/>
      </w:pPr>
      <w:r>
        <w:rPr/>
        <w:t>.01 (Kerlinger y Lee, 2002).</w:t>
      </w:r>
    </w:p>
    <w:p>
      <w:pPr>
        <w:pStyle w:val="BodyText"/>
        <w:spacing w:before="10"/>
        <w:rPr>
          <w:sz w:val="22"/>
        </w:rPr>
      </w:pPr>
    </w:p>
    <w:p>
      <w:pPr>
        <w:pStyle w:val="BodyText"/>
        <w:spacing w:line="364" w:lineRule="auto"/>
        <w:ind w:left="116" w:right="896"/>
        <w:jc w:val="both"/>
      </w:pPr>
      <w:r>
        <w:rPr/>
        <w:t>Ademas se utilizó la técnica de regresión múltiple bajo el supuesto de que existe una relación entre varias variables independientes y otra variable dependiente. En este caso se analizan cinco variables predictoras o explicativas, como son; conocimiento de temas ambientales, actividades ambientales, estrategias de acción ambiental, conciencia y responsabilidad ambiental, mientras que la dependiente es Actitudes  ambientales.</w:t>
      </w:r>
    </w:p>
    <w:p>
      <w:pPr>
        <w:pStyle w:val="Heading2"/>
        <w:numPr>
          <w:ilvl w:val="1"/>
          <w:numId w:val="26"/>
        </w:numPr>
        <w:tabs>
          <w:tab w:pos="817" w:val="left" w:leader="none"/>
        </w:tabs>
        <w:spacing w:line="240" w:lineRule="auto" w:before="120" w:after="0"/>
        <w:ind w:left="816" w:right="0" w:hanging="700"/>
        <w:jc w:val="both"/>
      </w:pPr>
      <w:r>
        <w:rPr/>
        <w:t>Correlaciones</w:t>
      </w:r>
    </w:p>
    <w:p>
      <w:pPr>
        <w:pStyle w:val="BodyText"/>
        <w:rPr>
          <w:b/>
          <w:sz w:val="22"/>
        </w:rPr>
      </w:pPr>
    </w:p>
    <w:p>
      <w:pPr>
        <w:pStyle w:val="BodyText"/>
        <w:spacing w:line="364" w:lineRule="auto" w:before="1"/>
        <w:ind w:left="115" w:right="896"/>
        <w:jc w:val="both"/>
      </w:pPr>
      <w:r>
        <w:rPr/>
        <w:t>Correlación de Pearson La correlación es un método estadístico que permite determinar </w:t>
      </w:r>
      <w:r>
        <w:rPr>
          <w:spacing w:val="-5"/>
        </w:rPr>
        <w:t>la </w:t>
      </w:r>
      <w:r>
        <w:rPr/>
        <w:t>presencia o ausencia de asociación entre </w:t>
      </w:r>
      <w:r>
        <w:rPr>
          <w:spacing w:val="-3"/>
        </w:rPr>
        <w:t>dos </w:t>
      </w:r>
      <w:r>
        <w:rPr/>
        <w:t>variables objeto de investigación. Kerlinger (2002) explica que la correlación </w:t>
      </w:r>
      <w:r>
        <w:rPr>
          <w:spacing w:val="3"/>
        </w:rPr>
        <w:t>se </w:t>
      </w:r>
      <w:r>
        <w:rPr/>
        <w:t>describe por medio  de  índices  estadísticos denominados coeficientes de correlación, que pueden sugerir </w:t>
      </w:r>
      <w:r>
        <w:rPr>
          <w:spacing w:val="3"/>
        </w:rPr>
        <w:t>si </w:t>
      </w:r>
      <w:r>
        <w:rPr/>
        <w:t>un cambio en una variable se asocia </w:t>
      </w:r>
      <w:r>
        <w:rPr>
          <w:spacing w:val="2"/>
        </w:rPr>
        <w:t>con </w:t>
      </w:r>
      <w:r>
        <w:rPr/>
        <w:t>a un cambio en otra variable. Al analizar la correlación de una</w:t>
      </w:r>
      <w:r>
        <w:rPr>
          <w:spacing w:val="18"/>
        </w:rPr>
        <w:t> </w:t>
      </w:r>
      <w:r>
        <w:rPr/>
        <w:t>serie</w:t>
      </w:r>
      <w:r>
        <w:rPr>
          <w:spacing w:val="24"/>
        </w:rPr>
        <w:t> </w:t>
      </w:r>
      <w:r>
        <w:rPr/>
        <w:t>de</w:t>
      </w:r>
      <w:r>
        <w:rPr>
          <w:spacing w:val="24"/>
        </w:rPr>
        <w:t> </w:t>
      </w:r>
      <w:r>
        <w:rPr/>
        <w:t>datos,</w:t>
      </w:r>
      <w:r>
        <w:rPr>
          <w:spacing w:val="26"/>
        </w:rPr>
        <w:t> </w:t>
      </w:r>
      <w:r>
        <w:rPr/>
        <w:t>el</w:t>
      </w:r>
      <w:r>
        <w:rPr>
          <w:spacing w:val="14"/>
        </w:rPr>
        <w:t> </w:t>
      </w:r>
      <w:r>
        <w:rPr/>
        <w:t>resultado</w:t>
      </w:r>
      <w:r>
        <w:rPr>
          <w:spacing w:val="23"/>
        </w:rPr>
        <w:t> </w:t>
      </w:r>
      <w:r>
        <w:rPr/>
        <w:t>arrojado</w:t>
      </w:r>
      <w:r>
        <w:rPr>
          <w:spacing w:val="24"/>
        </w:rPr>
        <w:t> </w:t>
      </w:r>
      <w:r>
        <w:rPr/>
        <w:t>por</w:t>
      </w:r>
      <w:r>
        <w:rPr>
          <w:spacing w:val="25"/>
        </w:rPr>
        <w:t> </w:t>
      </w:r>
      <w:r>
        <w:rPr/>
        <w:t>un</w:t>
      </w:r>
      <w:r>
        <w:rPr>
          <w:spacing w:val="13"/>
        </w:rPr>
        <w:t> </w:t>
      </w:r>
      <w:r>
        <w:rPr/>
        <w:t>coeficiente</w:t>
      </w:r>
      <w:r>
        <w:rPr>
          <w:spacing w:val="24"/>
        </w:rPr>
        <w:t> </w:t>
      </w:r>
      <w:r>
        <w:rPr/>
        <w:t>de</w:t>
      </w:r>
      <w:r>
        <w:rPr>
          <w:spacing w:val="18"/>
        </w:rPr>
        <w:t> </w:t>
      </w:r>
      <w:r>
        <w:rPr/>
        <w:t>correlación</w:t>
      </w:r>
      <w:r>
        <w:rPr>
          <w:spacing w:val="24"/>
        </w:rPr>
        <w:t> </w:t>
      </w:r>
      <w:r>
        <w:rPr/>
        <w:t>fluctúa</w:t>
      </w:r>
      <w:r>
        <w:rPr>
          <w:spacing w:val="18"/>
        </w:rPr>
        <w:t> </w:t>
      </w:r>
      <w:r>
        <w:rPr/>
        <w:t>entre</w:t>
      </w:r>
    </w:p>
    <w:p>
      <w:pPr>
        <w:pStyle w:val="BodyText"/>
        <w:spacing w:line="364" w:lineRule="auto" w:before="10"/>
        <w:ind w:left="115" w:right="898"/>
        <w:jc w:val="both"/>
      </w:pPr>
      <w:r>
        <w:rPr/>
        <w:t>–1.00 y +1.00. </w:t>
      </w:r>
      <w:r>
        <w:rPr>
          <w:spacing w:val="-3"/>
        </w:rPr>
        <w:t>Una </w:t>
      </w:r>
      <w:r>
        <w:rPr/>
        <w:t>puntuación de –1.00 sugiere una correlación negativa perfecta, </w:t>
      </w:r>
      <w:r>
        <w:rPr>
          <w:spacing w:val="-3"/>
        </w:rPr>
        <w:t>una </w:t>
      </w:r>
      <w:r>
        <w:rPr/>
        <w:t>puntuación de 0.00 sugiere la ausencia de asociación entre las variables y una  puntuación de +1.00 sugiere una correlación positiva </w:t>
      </w:r>
      <w:r>
        <w:rPr>
          <w:spacing w:val="10"/>
        </w:rPr>
        <w:t> </w:t>
      </w:r>
      <w:r>
        <w:rPr/>
        <w:t>perfecta.</w:t>
      </w:r>
    </w:p>
    <w:p>
      <w:pPr>
        <w:pStyle w:val="BodyText"/>
        <w:spacing w:line="364" w:lineRule="auto" w:before="120"/>
        <w:ind w:left="115" w:right="900"/>
        <w:jc w:val="both"/>
      </w:pPr>
      <w:r>
        <w:rPr/>
        <w:t>En </w:t>
      </w:r>
      <w:r>
        <w:rPr>
          <w:spacing w:val="-5"/>
        </w:rPr>
        <w:t>la </w:t>
      </w:r>
      <w:r>
        <w:rPr/>
        <w:t>tabla No. 7. Se muestra las correlaciones obtenidas en donde </w:t>
      </w:r>
      <w:r>
        <w:rPr>
          <w:spacing w:val="-4"/>
        </w:rPr>
        <w:t>las </w:t>
      </w:r>
      <w:r>
        <w:rPr/>
        <w:t>principales que  se detectaron</w:t>
      </w:r>
      <w:r>
        <w:rPr>
          <w:spacing w:val="22"/>
        </w:rPr>
        <w:t> </w:t>
      </w:r>
      <w:r>
        <w:rPr/>
        <w:t>son:</w:t>
      </w:r>
    </w:p>
    <w:p>
      <w:pPr>
        <w:pStyle w:val="ListParagraph"/>
        <w:numPr>
          <w:ilvl w:val="0"/>
          <w:numId w:val="29"/>
        </w:numPr>
        <w:tabs>
          <w:tab w:pos="816" w:val="left" w:leader="none"/>
          <w:tab w:pos="817" w:val="left" w:leader="none"/>
        </w:tabs>
        <w:spacing w:line="352" w:lineRule="auto" w:before="124" w:after="0"/>
        <w:ind w:left="816" w:right="901" w:hanging="350"/>
        <w:jc w:val="left"/>
        <w:rPr>
          <w:sz w:val="23"/>
        </w:rPr>
      </w:pPr>
      <w:r>
        <w:rPr>
          <w:sz w:val="23"/>
        </w:rPr>
        <w:t>A mayor conocimiento sobre temas ambientales, mayor será la actitud ambiental de los</w:t>
      </w:r>
      <w:r>
        <w:rPr>
          <w:spacing w:val="22"/>
          <w:sz w:val="23"/>
        </w:rPr>
        <w:t> </w:t>
      </w:r>
      <w:r>
        <w:rPr>
          <w:sz w:val="23"/>
        </w:rPr>
        <w:t>visitantes.</w:t>
      </w:r>
    </w:p>
    <w:p>
      <w:pPr>
        <w:pStyle w:val="ListParagraph"/>
        <w:numPr>
          <w:ilvl w:val="0"/>
          <w:numId w:val="29"/>
        </w:numPr>
        <w:tabs>
          <w:tab w:pos="816" w:val="left" w:leader="none"/>
          <w:tab w:pos="817" w:val="left" w:leader="none"/>
        </w:tabs>
        <w:spacing w:line="240" w:lineRule="auto" w:before="21" w:after="0"/>
        <w:ind w:left="816" w:right="0" w:hanging="350"/>
        <w:jc w:val="left"/>
        <w:rPr>
          <w:sz w:val="23"/>
        </w:rPr>
      </w:pPr>
      <w:r>
        <w:rPr>
          <w:sz w:val="23"/>
        </w:rPr>
        <w:t>A mayor actitud ambiental de los visitantes, </w:t>
      </w:r>
      <w:r>
        <w:rPr>
          <w:spacing w:val="-3"/>
          <w:sz w:val="23"/>
        </w:rPr>
        <w:t>mayor </w:t>
      </w:r>
      <w:r>
        <w:rPr>
          <w:sz w:val="23"/>
        </w:rPr>
        <w:t>responsabilidad </w:t>
      </w:r>
      <w:r>
        <w:rPr>
          <w:spacing w:val="35"/>
          <w:sz w:val="23"/>
        </w:rPr>
        <w:t> </w:t>
      </w:r>
      <w:r>
        <w:rPr>
          <w:sz w:val="23"/>
        </w:rPr>
        <w:t>ambiental.</w:t>
      </w:r>
    </w:p>
    <w:p>
      <w:pPr>
        <w:pStyle w:val="ListParagraph"/>
        <w:numPr>
          <w:ilvl w:val="0"/>
          <w:numId w:val="29"/>
        </w:numPr>
        <w:tabs>
          <w:tab w:pos="816" w:val="left" w:leader="none"/>
          <w:tab w:pos="817" w:val="left" w:leader="none"/>
        </w:tabs>
        <w:spacing w:line="357" w:lineRule="auto" w:before="136" w:after="0"/>
        <w:ind w:left="816" w:right="902" w:hanging="350"/>
        <w:jc w:val="left"/>
        <w:rPr>
          <w:sz w:val="23"/>
        </w:rPr>
      </w:pPr>
      <w:r>
        <w:rPr>
          <w:sz w:val="23"/>
        </w:rPr>
        <w:t>Entre más responsabilidad ambiental tengan los visitantes, </w:t>
      </w:r>
      <w:r>
        <w:rPr>
          <w:spacing w:val="-2"/>
          <w:sz w:val="23"/>
        </w:rPr>
        <w:t>mayores </w:t>
      </w:r>
      <w:r>
        <w:rPr>
          <w:sz w:val="23"/>
        </w:rPr>
        <w:t>serán las actividades </w:t>
      </w:r>
      <w:r>
        <w:rPr>
          <w:spacing w:val="-3"/>
          <w:sz w:val="23"/>
        </w:rPr>
        <w:t>que </w:t>
      </w:r>
      <w:r>
        <w:rPr>
          <w:sz w:val="23"/>
        </w:rPr>
        <w:t>realicen a favor del</w:t>
      </w:r>
      <w:r>
        <w:rPr>
          <w:spacing w:val="59"/>
          <w:sz w:val="23"/>
        </w:rPr>
        <w:t> </w:t>
      </w:r>
      <w:r>
        <w:rPr>
          <w:sz w:val="23"/>
        </w:rPr>
        <w:t>ambiente.</w:t>
      </w:r>
    </w:p>
    <w:p>
      <w:pPr>
        <w:spacing w:after="0" w:line="357" w:lineRule="auto"/>
        <w:jc w:val="left"/>
        <w:rPr>
          <w:sz w:val="23"/>
        </w:rPr>
        <w:sectPr>
          <w:pgSz w:w="11910" w:h="16840"/>
          <w:pgMar w:header="1066" w:footer="1715" w:top="1460" w:bottom="1900" w:left="1540" w:right="200"/>
        </w:sectPr>
      </w:pPr>
    </w:p>
    <w:p>
      <w:pPr>
        <w:pStyle w:val="BodyText"/>
        <w:rPr>
          <w:sz w:val="20"/>
        </w:rPr>
      </w:pPr>
    </w:p>
    <w:p>
      <w:pPr>
        <w:pStyle w:val="BodyText"/>
        <w:spacing w:before="10"/>
        <w:rPr>
          <w:sz w:val="17"/>
        </w:rPr>
      </w:pPr>
    </w:p>
    <w:p>
      <w:pPr>
        <w:pStyle w:val="Heading2"/>
        <w:ind w:left="3139" w:right="512"/>
        <w:jc w:val="left"/>
      </w:pPr>
      <w:r>
        <w:rPr/>
        <w:t>Tabla No. 9. Correlación de</w:t>
      </w:r>
      <w:r>
        <w:rPr>
          <w:spacing w:val="50"/>
        </w:rPr>
        <w:t> </w:t>
      </w:r>
      <w:r>
        <w:rPr/>
        <w:t>Pearson</w:t>
      </w:r>
    </w:p>
    <w:p>
      <w:pPr>
        <w:pStyle w:val="BodyText"/>
        <w:spacing w:before="5"/>
        <w:rPr>
          <w:b/>
          <w:sz w:val="22"/>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9"/>
        <w:gridCol w:w="1354"/>
        <w:gridCol w:w="1229"/>
        <w:gridCol w:w="1142"/>
        <w:gridCol w:w="1229"/>
        <w:gridCol w:w="1241"/>
        <w:gridCol w:w="1584"/>
      </w:tblGrid>
      <w:tr>
        <w:trPr>
          <w:trHeight w:val="849" w:hRule="exact"/>
        </w:trPr>
        <w:tc>
          <w:tcPr>
            <w:tcW w:w="1589" w:type="dxa"/>
            <w:shd w:val="clear" w:color="auto" w:fill="ACB9CA"/>
          </w:tcPr>
          <w:p>
            <w:pPr>
              <w:pStyle w:val="TableParagraph"/>
              <w:spacing w:before="5"/>
              <w:rPr>
                <w:b/>
                <w:sz w:val="17"/>
              </w:rPr>
            </w:pPr>
          </w:p>
          <w:p>
            <w:pPr>
              <w:pStyle w:val="TableParagraph"/>
              <w:ind w:left="105" w:right="101"/>
              <w:rPr>
                <w:b/>
                <w:sz w:val="17"/>
              </w:rPr>
            </w:pPr>
            <w:r>
              <w:rPr>
                <w:b/>
                <w:w w:val="105"/>
                <w:sz w:val="17"/>
              </w:rPr>
              <w:t>VARIABLES</w:t>
            </w:r>
          </w:p>
        </w:tc>
        <w:tc>
          <w:tcPr>
            <w:tcW w:w="1354" w:type="dxa"/>
            <w:tcBorders>
              <w:bottom w:val="single" w:sz="17" w:space="0" w:color="DBDBDB"/>
            </w:tcBorders>
            <w:shd w:val="clear" w:color="auto" w:fill="ACB9CA"/>
          </w:tcPr>
          <w:p>
            <w:pPr>
              <w:pStyle w:val="TableParagraph"/>
              <w:spacing w:line="247" w:lineRule="auto"/>
              <w:ind w:left="105" w:right="69"/>
              <w:rPr>
                <w:b/>
                <w:sz w:val="17"/>
              </w:rPr>
            </w:pPr>
            <w:r>
              <w:rPr>
                <w:b/>
                <w:w w:val="105"/>
                <w:sz w:val="17"/>
              </w:rPr>
              <w:t>Conocimient o de Temas Ambientales</w:t>
            </w:r>
          </w:p>
        </w:tc>
        <w:tc>
          <w:tcPr>
            <w:tcW w:w="1229" w:type="dxa"/>
            <w:tcBorders>
              <w:bottom w:val="single" w:sz="17" w:space="0" w:color="DBDBDB"/>
            </w:tcBorders>
            <w:shd w:val="clear" w:color="auto" w:fill="ACB9CA"/>
          </w:tcPr>
          <w:p>
            <w:pPr>
              <w:pStyle w:val="TableParagraph"/>
              <w:spacing w:line="247" w:lineRule="auto"/>
              <w:ind w:left="105" w:right="125"/>
              <w:jc w:val="both"/>
              <w:rPr>
                <w:b/>
                <w:sz w:val="17"/>
              </w:rPr>
            </w:pPr>
            <w:r>
              <w:rPr>
                <w:b/>
                <w:sz w:val="17"/>
              </w:rPr>
              <w:t>Actividades </w:t>
            </w:r>
            <w:r>
              <w:rPr>
                <w:b/>
                <w:w w:val="105"/>
                <w:sz w:val="17"/>
              </w:rPr>
              <w:t>Ambientale s</w:t>
            </w:r>
          </w:p>
        </w:tc>
        <w:tc>
          <w:tcPr>
            <w:tcW w:w="1142" w:type="dxa"/>
            <w:tcBorders>
              <w:bottom w:val="single" w:sz="17" w:space="0" w:color="DBDBDB"/>
            </w:tcBorders>
            <w:shd w:val="clear" w:color="auto" w:fill="ACB9CA"/>
          </w:tcPr>
          <w:p>
            <w:pPr>
              <w:pStyle w:val="TableParagraph"/>
              <w:tabs>
                <w:tab w:pos="824" w:val="left" w:leader="none"/>
              </w:tabs>
              <w:spacing w:line="247" w:lineRule="auto"/>
              <w:ind w:left="105" w:right="101"/>
              <w:rPr>
                <w:b/>
                <w:sz w:val="17"/>
              </w:rPr>
            </w:pPr>
            <w:r>
              <w:rPr>
                <w:b/>
                <w:w w:val="105"/>
                <w:sz w:val="17"/>
              </w:rPr>
              <w:t>Estrategia s</w:t>
              <w:tab/>
            </w:r>
            <w:r>
              <w:rPr>
                <w:b/>
                <w:spacing w:val="-1"/>
                <w:w w:val="105"/>
                <w:sz w:val="17"/>
              </w:rPr>
              <w:t>de</w:t>
            </w:r>
          </w:p>
          <w:p>
            <w:pPr>
              <w:pStyle w:val="TableParagraph"/>
              <w:ind w:left="105" w:right="101"/>
              <w:rPr>
                <w:b/>
                <w:sz w:val="17"/>
              </w:rPr>
            </w:pPr>
            <w:r>
              <w:rPr>
                <w:b/>
                <w:w w:val="105"/>
                <w:sz w:val="17"/>
              </w:rPr>
              <w:t>Acción </w:t>
            </w:r>
            <w:r>
              <w:rPr>
                <w:b/>
                <w:sz w:val="17"/>
              </w:rPr>
              <w:t>Ambiental</w:t>
            </w:r>
          </w:p>
        </w:tc>
        <w:tc>
          <w:tcPr>
            <w:tcW w:w="1229" w:type="dxa"/>
            <w:tcBorders>
              <w:bottom w:val="single" w:sz="17" w:space="0" w:color="FF0000"/>
            </w:tcBorders>
            <w:shd w:val="clear" w:color="auto" w:fill="ACB9CA"/>
          </w:tcPr>
          <w:p>
            <w:pPr>
              <w:pStyle w:val="TableParagraph"/>
              <w:spacing w:line="247" w:lineRule="auto"/>
              <w:ind w:left="95" w:right="82"/>
              <w:rPr>
                <w:b/>
                <w:sz w:val="17"/>
              </w:rPr>
            </w:pPr>
            <w:r>
              <w:rPr>
                <w:b/>
                <w:w w:val="105"/>
                <w:sz w:val="17"/>
              </w:rPr>
              <w:t>Actitudes Ambientale s</w:t>
            </w:r>
          </w:p>
        </w:tc>
        <w:tc>
          <w:tcPr>
            <w:tcW w:w="1241" w:type="dxa"/>
            <w:tcBorders>
              <w:bottom w:val="single" w:sz="17" w:space="0" w:color="DBDBDB"/>
            </w:tcBorders>
            <w:shd w:val="clear" w:color="auto" w:fill="ACB9CA"/>
          </w:tcPr>
          <w:p>
            <w:pPr>
              <w:pStyle w:val="TableParagraph"/>
              <w:tabs>
                <w:tab w:pos="930" w:val="left" w:leader="none"/>
              </w:tabs>
              <w:spacing w:line="247" w:lineRule="auto"/>
              <w:ind w:left="100" w:right="94"/>
              <w:rPr>
                <w:b/>
                <w:sz w:val="17"/>
              </w:rPr>
            </w:pPr>
            <w:r>
              <w:rPr>
                <w:b/>
                <w:w w:val="105"/>
                <w:sz w:val="17"/>
              </w:rPr>
              <w:t>Locus</w:t>
              <w:tab/>
            </w:r>
            <w:r>
              <w:rPr>
                <w:b/>
                <w:spacing w:val="-1"/>
                <w:sz w:val="17"/>
              </w:rPr>
              <w:t>de </w:t>
            </w:r>
            <w:r>
              <w:rPr>
                <w:b/>
                <w:w w:val="105"/>
                <w:sz w:val="17"/>
              </w:rPr>
              <w:t>Control (Conciencia</w:t>
            </w:r>
          </w:p>
          <w:p>
            <w:pPr>
              <w:pStyle w:val="TableParagraph"/>
              <w:spacing w:line="191" w:lineRule="exact"/>
              <w:ind w:left="100"/>
              <w:rPr>
                <w:b/>
                <w:sz w:val="17"/>
              </w:rPr>
            </w:pPr>
            <w:r>
              <w:rPr>
                <w:b/>
                <w:w w:val="104"/>
                <w:sz w:val="17"/>
              </w:rPr>
              <w:t>)</w:t>
            </w:r>
          </w:p>
        </w:tc>
        <w:tc>
          <w:tcPr>
            <w:tcW w:w="1584" w:type="dxa"/>
            <w:tcBorders>
              <w:bottom w:val="single" w:sz="17" w:space="0" w:color="DBDBDB"/>
            </w:tcBorders>
            <w:shd w:val="clear" w:color="auto" w:fill="ACB9CA"/>
          </w:tcPr>
          <w:p>
            <w:pPr>
              <w:pStyle w:val="TableParagraph"/>
              <w:spacing w:line="247" w:lineRule="auto"/>
              <w:ind w:left="103" w:right="63"/>
              <w:rPr>
                <w:b/>
                <w:sz w:val="17"/>
              </w:rPr>
            </w:pPr>
            <w:r>
              <w:rPr>
                <w:b/>
                <w:w w:val="105"/>
                <w:sz w:val="17"/>
              </w:rPr>
              <w:t>Responsabilida d Ambiental</w:t>
            </w:r>
          </w:p>
        </w:tc>
      </w:tr>
      <w:tr>
        <w:trPr>
          <w:trHeight w:val="670" w:hRule="exact"/>
        </w:trPr>
        <w:tc>
          <w:tcPr>
            <w:tcW w:w="1589" w:type="dxa"/>
            <w:shd w:val="clear" w:color="auto" w:fill="ACB9CA"/>
          </w:tcPr>
          <w:p>
            <w:pPr>
              <w:pStyle w:val="TableParagraph"/>
              <w:tabs>
                <w:tab w:pos="921" w:val="left" w:leader="none"/>
              </w:tabs>
              <w:spacing w:line="244" w:lineRule="auto" w:before="42"/>
              <w:ind w:left="105" w:right="101"/>
              <w:rPr>
                <w:b/>
                <w:sz w:val="17"/>
              </w:rPr>
            </w:pPr>
            <w:r>
              <w:rPr>
                <w:b/>
                <w:w w:val="105"/>
                <w:sz w:val="17"/>
              </w:rPr>
              <w:t>Conocimiento de</w:t>
              <w:tab/>
            </w:r>
            <w:r>
              <w:rPr>
                <w:b/>
                <w:spacing w:val="-2"/>
                <w:w w:val="105"/>
                <w:sz w:val="17"/>
              </w:rPr>
              <w:t>Temas</w:t>
            </w:r>
            <w:r>
              <w:rPr>
                <w:b/>
                <w:w w:val="104"/>
                <w:sz w:val="17"/>
              </w:rPr>
              <w:t> </w:t>
            </w:r>
            <w:r>
              <w:rPr>
                <w:b/>
                <w:spacing w:val="-3"/>
                <w:w w:val="105"/>
                <w:sz w:val="17"/>
              </w:rPr>
              <w:t>Ambientales</w:t>
            </w:r>
          </w:p>
        </w:tc>
        <w:tc>
          <w:tcPr>
            <w:tcW w:w="1354" w:type="dxa"/>
            <w:tcBorders>
              <w:bottom w:val="single" w:sz="17" w:space="0" w:color="EDEDED"/>
            </w:tcBorders>
            <w:shd w:val="clear" w:color="auto" w:fill="DBDBDB"/>
          </w:tcPr>
          <w:p>
            <w:pPr>
              <w:pStyle w:val="TableParagraph"/>
              <w:spacing w:before="47"/>
              <w:ind w:left="105"/>
              <w:rPr>
                <w:sz w:val="17"/>
              </w:rPr>
            </w:pPr>
            <w:r>
              <w:rPr>
                <w:w w:val="104"/>
                <w:sz w:val="17"/>
              </w:rPr>
              <w:t>1</w:t>
            </w:r>
          </w:p>
        </w:tc>
        <w:tc>
          <w:tcPr>
            <w:tcW w:w="1229" w:type="dxa"/>
            <w:tcBorders>
              <w:bottom w:val="single" w:sz="17" w:space="0" w:color="EDEDED"/>
            </w:tcBorders>
            <w:shd w:val="clear" w:color="auto" w:fill="DBDBDB"/>
          </w:tcPr>
          <w:p>
            <w:pPr>
              <w:pStyle w:val="TableParagraph"/>
              <w:spacing w:before="47"/>
              <w:ind w:left="105" w:right="82"/>
              <w:rPr>
                <w:sz w:val="17"/>
              </w:rPr>
            </w:pPr>
            <w:r>
              <w:rPr>
                <w:w w:val="105"/>
                <w:sz w:val="17"/>
              </w:rPr>
              <w:t>.373**</w:t>
            </w:r>
          </w:p>
        </w:tc>
        <w:tc>
          <w:tcPr>
            <w:tcW w:w="1142" w:type="dxa"/>
            <w:tcBorders>
              <w:bottom w:val="single" w:sz="17" w:space="0" w:color="EDEDED"/>
              <w:right w:val="single" w:sz="17" w:space="0" w:color="FF0000"/>
            </w:tcBorders>
            <w:shd w:val="clear" w:color="auto" w:fill="DBDBDB"/>
          </w:tcPr>
          <w:p>
            <w:pPr>
              <w:pStyle w:val="TableParagraph"/>
              <w:spacing w:before="47"/>
              <w:ind w:left="105"/>
              <w:rPr>
                <w:sz w:val="17"/>
              </w:rPr>
            </w:pPr>
            <w:r>
              <w:rPr>
                <w:w w:val="105"/>
                <w:sz w:val="17"/>
              </w:rPr>
              <w:t>.332**</w:t>
            </w:r>
          </w:p>
        </w:tc>
        <w:tc>
          <w:tcPr>
            <w:tcW w:w="1229" w:type="dxa"/>
            <w:tcBorders>
              <w:top w:val="single" w:sz="17" w:space="0" w:color="FF0000"/>
              <w:left w:val="single" w:sz="17" w:space="0" w:color="FF0000"/>
              <w:bottom w:val="single" w:sz="17" w:space="0" w:color="FF0000"/>
              <w:right w:val="single" w:sz="17" w:space="0" w:color="FF0000"/>
            </w:tcBorders>
            <w:shd w:val="clear" w:color="auto" w:fill="DBDBDB"/>
          </w:tcPr>
          <w:p>
            <w:pPr>
              <w:pStyle w:val="TableParagraph"/>
              <w:spacing w:before="30"/>
              <w:ind w:left="79"/>
              <w:rPr>
                <w:sz w:val="17"/>
              </w:rPr>
            </w:pPr>
            <w:r>
              <w:rPr>
                <w:w w:val="105"/>
                <w:sz w:val="17"/>
              </w:rPr>
              <w:t>.495**</w:t>
            </w:r>
          </w:p>
        </w:tc>
        <w:tc>
          <w:tcPr>
            <w:tcW w:w="1241" w:type="dxa"/>
            <w:tcBorders>
              <w:left w:val="single" w:sz="17" w:space="0" w:color="FF0000"/>
              <w:bottom w:val="single" w:sz="17" w:space="0" w:color="EDEDED"/>
            </w:tcBorders>
            <w:shd w:val="clear" w:color="auto" w:fill="DBDBDB"/>
          </w:tcPr>
          <w:p>
            <w:pPr>
              <w:pStyle w:val="TableParagraph"/>
              <w:spacing w:before="47"/>
              <w:ind w:left="83"/>
              <w:rPr>
                <w:sz w:val="17"/>
              </w:rPr>
            </w:pPr>
            <w:r>
              <w:rPr>
                <w:w w:val="105"/>
                <w:sz w:val="17"/>
              </w:rPr>
              <w:t>.172**</w:t>
            </w:r>
          </w:p>
        </w:tc>
        <w:tc>
          <w:tcPr>
            <w:tcW w:w="1584" w:type="dxa"/>
            <w:tcBorders>
              <w:bottom w:val="single" w:sz="17" w:space="0" w:color="FF0000"/>
            </w:tcBorders>
            <w:shd w:val="clear" w:color="auto" w:fill="DBDBDB"/>
          </w:tcPr>
          <w:p>
            <w:pPr>
              <w:pStyle w:val="TableParagraph"/>
              <w:spacing w:before="47"/>
              <w:ind w:left="103" w:right="63"/>
              <w:rPr>
                <w:sz w:val="17"/>
              </w:rPr>
            </w:pPr>
            <w:r>
              <w:rPr>
                <w:w w:val="105"/>
                <w:sz w:val="17"/>
              </w:rPr>
              <w:t>.130**</w:t>
            </w:r>
          </w:p>
        </w:tc>
      </w:tr>
      <w:tr>
        <w:trPr>
          <w:trHeight w:val="614" w:hRule="exact"/>
        </w:trPr>
        <w:tc>
          <w:tcPr>
            <w:tcW w:w="1589" w:type="dxa"/>
            <w:shd w:val="clear" w:color="auto" w:fill="ACB9CA"/>
          </w:tcPr>
          <w:p>
            <w:pPr>
              <w:pStyle w:val="TableParagraph"/>
              <w:spacing w:line="247" w:lineRule="auto" w:before="16"/>
              <w:ind w:left="105" w:right="101"/>
              <w:rPr>
                <w:b/>
                <w:sz w:val="17"/>
              </w:rPr>
            </w:pPr>
            <w:r>
              <w:rPr>
                <w:b/>
                <w:w w:val="105"/>
                <w:sz w:val="17"/>
              </w:rPr>
              <w:t>Actividades Ambientales</w:t>
            </w:r>
          </w:p>
        </w:tc>
        <w:tc>
          <w:tcPr>
            <w:tcW w:w="1354" w:type="dxa"/>
            <w:tcBorders>
              <w:bottom w:val="single" w:sz="15" w:space="0" w:color="DBDBDB"/>
            </w:tcBorders>
            <w:shd w:val="clear" w:color="auto" w:fill="EDEDED"/>
          </w:tcPr>
          <w:p>
            <w:pPr/>
          </w:p>
        </w:tc>
        <w:tc>
          <w:tcPr>
            <w:tcW w:w="1229" w:type="dxa"/>
            <w:tcBorders>
              <w:bottom w:val="single" w:sz="15" w:space="0" w:color="DBDBDB"/>
            </w:tcBorders>
            <w:shd w:val="clear" w:color="auto" w:fill="EDEDED"/>
          </w:tcPr>
          <w:p>
            <w:pPr>
              <w:pStyle w:val="TableParagraph"/>
              <w:spacing w:before="20"/>
              <w:ind w:left="105"/>
              <w:rPr>
                <w:sz w:val="17"/>
              </w:rPr>
            </w:pPr>
            <w:r>
              <w:rPr>
                <w:w w:val="104"/>
                <w:sz w:val="17"/>
              </w:rPr>
              <w:t>1</w:t>
            </w:r>
          </w:p>
        </w:tc>
        <w:tc>
          <w:tcPr>
            <w:tcW w:w="1142" w:type="dxa"/>
            <w:tcBorders>
              <w:bottom w:val="single" w:sz="15" w:space="0" w:color="DBDBDB"/>
            </w:tcBorders>
            <w:shd w:val="clear" w:color="auto" w:fill="EDEDED"/>
          </w:tcPr>
          <w:p>
            <w:pPr>
              <w:pStyle w:val="TableParagraph"/>
              <w:spacing w:before="20"/>
              <w:ind w:left="105" w:right="101"/>
              <w:rPr>
                <w:sz w:val="17"/>
              </w:rPr>
            </w:pPr>
            <w:r>
              <w:rPr>
                <w:w w:val="105"/>
                <w:sz w:val="17"/>
              </w:rPr>
              <w:t>0.063</w:t>
            </w:r>
          </w:p>
        </w:tc>
        <w:tc>
          <w:tcPr>
            <w:tcW w:w="1229" w:type="dxa"/>
            <w:tcBorders>
              <w:top w:val="single" w:sz="17" w:space="0" w:color="FF0000"/>
              <w:bottom w:val="single" w:sz="15" w:space="0" w:color="DBDBDB"/>
            </w:tcBorders>
            <w:shd w:val="clear" w:color="auto" w:fill="EDEDED"/>
          </w:tcPr>
          <w:p>
            <w:pPr>
              <w:pStyle w:val="TableParagraph"/>
              <w:spacing w:before="4"/>
              <w:ind w:left="95" w:right="82"/>
              <w:rPr>
                <w:sz w:val="17"/>
              </w:rPr>
            </w:pPr>
            <w:r>
              <w:rPr>
                <w:w w:val="105"/>
                <w:sz w:val="17"/>
              </w:rPr>
              <w:t>.358**</w:t>
            </w:r>
          </w:p>
        </w:tc>
        <w:tc>
          <w:tcPr>
            <w:tcW w:w="1241" w:type="dxa"/>
            <w:tcBorders>
              <w:bottom w:val="single" w:sz="15" w:space="0" w:color="DBDBDB"/>
              <w:right w:val="single" w:sz="17" w:space="0" w:color="FF0000"/>
            </w:tcBorders>
            <w:shd w:val="clear" w:color="auto" w:fill="EDEDED"/>
          </w:tcPr>
          <w:p>
            <w:pPr>
              <w:pStyle w:val="TableParagraph"/>
              <w:spacing w:before="20"/>
              <w:ind w:left="100"/>
              <w:rPr>
                <w:sz w:val="17"/>
              </w:rPr>
            </w:pPr>
            <w:r>
              <w:rPr>
                <w:w w:val="105"/>
                <w:sz w:val="17"/>
              </w:rPr>
              <w:t>.135**</w:t>
            </w:r>
          </w:p>
        </w:tc>
        <w:tc>
          <w:tcPr>
            <w:tcW w:w="1584" w:type="dxa"/>
            <w:tcBorders>
              <w:top w:val="single" w:sz="17" w:space="0" w:color="FF0000"/>
              <w:left w:val="single" w:sz="17" w:space="0" w:color="FF0000"/>
              <w:bottom w:val="single" w:sz="15" w:space="0" w:color="FF0000"/>
              <w:right w:val="single" w:sz="17" w:space="0" w:color="FF0000"/>
            </w:tcBorders>
            <w:shd w:val="clear" w:color="auto" w:fill="EDEDED"/>
          </w:tcPr>
          <w:p>
            <w:pPr>
              <w:pStyle w:val="TableParagraph"/>
              <w:spacing w:before="4"/>
              <w:ind w:left="86"/>
              <w:rPr>
                <w:sz w:val="17"/>
              </w:rPr>
            </w:pPr>
            <w:r>
              <w:rPr>
                <w:w w:val="105"/>
                <w:sz w:val="17"/>
              </w:rPr>
              <w:t>.586**</w:t>
            </w:r>
          </w:p>
        </w:tc>
      </w:tr>
      <w:tr>
        <w:trPr>
          <w:trHeight w:val="631" w:hRule="exact"/>
        </w:trPr>
        <w:tc>
          <w:tcPr>
            <w:tcW w:w="1589" w:type="dxa"/>
            <w:tcBorders>
              <w:bottom w:val="single" w:sz="4" w:space="0" w:color="FFFFFF"/>
            </w:tcBorders>
            <w:shd w:val="clear" w:color="auto" w:fill="ACB9CA"/>
          </w:tcPr>
          <w:p>
            <w:pPr>
              <w:pStyle w:val="TableParagraph"/>
              <w:tabs>
                <w:tab w:pos="1270" w:val="left" w:leader="none"/>
              </w:tabs>
              <w:spacing w:line="244" w:lineRule="auto" w:before="21"/>
              <w:ind w:left="105" w:right="102"/>
              <w:rPr>
                <w:b/>
                <w:sz w:val="17"/>
              </w:rPr>
            </w:pPr>
            <w:r>
              <w:rPr>
                <w:b/>
                <w:w w:val="105"/>
                <w:sz w:val="17"/>
              </w:rPr>
              <w:t>Estrategias</w:t>
              <w:tab/>
            </w:r>
            <w:r>
              <w:rPr>
                <w:b/>
                <w:spacing w:val="-1"/>
                <w:sz w:val="17"/>
              </w:rPr>
              <w:t>de </w:t>
            </w:r>
            <w:r>
              <w:rPr>
                <w:b/>
                <w:w w:val="105"/>
                <w:sz w:val="17"/>
              </w:rPr>
              <w:t>Acción Ambiental</w:t>
            </w:r>
          </w:p>
        </w:tc>
        <w:tc>
          <w:tcPr>
            <w:tcW w:w="1354" w:type="dxa"/>
            <w:tcBorders>
              <w:bottom w:val="single" w:sz="4" w:space="0" w:color="FFFFFF"/>
            </w:tcBorders>
            <w:shd w:val="clear" w:color="auto" w:fill="DBDBDB"/>
          </w:tcPr>
          <w:p>
            <w:pPr/>
          </w:p>
        </w:tc>
        <w:tc>
          <w:tcPr>
            <w:tcW w:w="1229" w:type="dxa"/>
            <w:tcBorders>
              <w:bottom w:val="single" w:sz="4" w:space="0" w:color="FFFFFF"/>
            </w:tcBorders>
            <w:shd w:val="clear" w:color="auto" w:fill="DBDBDB"/>
          </w:tcPr>
          <w:p>
            <w:pPr/>
          </w:p>
        </w:tc>
        <w:tc>
          <w:tcPr>
            <w:tcW w:w="1142" w:type="dxa"/>
            <w:tcBorders>
              <w:bottom w:val="single" w:sz="4" w:space="0" w:color="FFFFFF"/>
            </w:tcBorders>
            <w:shd w:val="clear" w:color="auto" w:fill="DBDBDB"/>
          </w:tcPr>
          <w:p>
            <w:pPr>
              <w:pStyle w:val="TableParagraph"/>
              <w:spacing w:before="25"/>
              <w:ind w:left="105"/>
              <w:rPr>
                <w:sz w:val="17"/>
              </w:rPr>
            </w:pPr>
            <w:r>
              <w:rPr>
                <w:w w:val="104"/>
                <w:sz w:val="17"/>
              </w:rPr>
              <w:t>1</w:t>
            </w:r>
          </w:p>
        </w:tc>
        <w:tc>
          <w:tcPr>
            <w:tcW w:w="1229" w:type="dxa"/>
            <w:tcBorders>
              <w:bottom w:val="single" w:sz="4" w:space="0" w:color="FFFFFF"/>
            </w:tcBorders>
            <w:shd w:val="clear" w:color="auto" w:fill="DBDBDB"/>
          </w:tcPr>
          <w:p>
            <w:pPr>
              <w:pStyle w:val="TableParagraph"/>
              <w:spacing w:before="25"/>
              <w:ind w:left="95" w:right="82"/>
              <w:rPr>
                <w:sz w:val="17"/>
              </w:rPr>
            </w:pPr>
            <w:r>
              <w:rPr>
                <w:w w:val="105"/>
                <w:sz w:val="17"/>
              </w:rPr>
              <w:t>.314**</w:t>
            </w:r>
          </w:p>
        </w:tc>
        <w:tc>
          <w:tcPr>
            <w:tcW w:w="1241" w:type="dxa"/>
            <w:tcBorders>
              <w:bottom w:val="single" w:sz="4" w:space="0" w:color="FFFFFF"/>
            </w:tcBorders>
            <w:shd w:val="clear" w:color="auto" w:fill="DBDBDB"/>
          </w:tcPr>
          <w:p>
            <w:pPr>
              <w:pStyle w:val="TableParagraph"/>
              <w:spacing w:before="25"/>
              <w:ind w:left="100"/>
              <w:rPr>
                <w:sz w:val="17"/>
              </w:rPr>
            </w:pPr>
            <w:r>
              <w:rPr>
                <w:w w:val="105"/>
                <w:sz w:val="17"/>
              </w:rPr>
              <w:t>.360**</w:t>
            </w:r>
          </w:p>
        </w:tc>
        <w:tc>
          <w:tcPr>
            <w:tcW w:w="1584" w:type="dxa"/>
            <w:tcBorders>
              <w:top w:val="single" w:sz="15" w:space="0" w:color="FF0000"/>
              <w:bottom w:val="single" w:sz="4" w:space="0" w:color="FFFFFF"/>
            </w:tcBorders>
            <w:shd w:val="clear" w:color="auto" w:fill="DBDBDB"/>
          </w:tcPr>
          <w:p>
            <w:pPr>
              <w:pStyle w:val="TableParagraph"/>
              <w:spacing w:before="11"/>
              <w:ind w:left="103" w:right="63"/>
              <w:rPr>
                <w:sz w:val="17"/>
              </w:rPr>
            </w:pPr>
            <w:r>
              <w:rPr>
                <w:w w:val="105"/>
                <w:sz w:val="17"/>
              </w:rPr>
              <w:t>0.042</w:t>
            </w:r>
          </w:p>
        </w:tc>
      </w:tr>
      <w:tr>
        <w:trPr>
          <w:trHeight w:val="631" w:hRule="exact"/>
        </w:trPr>
        <w:tc>
          <w:tcPr>
            <w:tcW w:w="1589" w:type="dxa"/>
            <w:tcBorders>
              <w:top w:val="single" w:sz="4" w:space="0" w:color="FFFFFF"/>
              <w:bottom w:val="single" w:sz="2" w:space="0" w:color="000000"/>
            </w:tcBorders>
            <w:shd w:val="clear" w:color="auto" w:fill="ACB9CA"/>
          </w:tcPr>
          <w:p>
            <w:pPr>
              <w:pStyle w:val="TableParagraph"/>
              <w:spacing w:line="247" w:lineRule="auto" w:before="32"/>
              <w:ind w:left="105" w:right="101"/>
              <w:rPr>
                <w:b/>
                <w:sz w:val="17"/>
              </w:rPr>
            </w:pPr>
            <w:r>
              <w:rPr>
                <w:b/>
                <w:w w:val="105"/>
                <w:sz w:val="17"/>
              </w:rPr>
              <w:t>Actitudes Ambientales</w:t>
            </w:r>
          </w:p>
        </w:tc>
        <w:tc>
          <w:tcPr>
            <w:tcW w:w="1354" w:type="dxa"/>
            <w:tcBorders>
              <w:top w:val="single" w:sz="4" w:space="0" w:color="FFFFFF"/>
              <w:bottom w:val="single" w:sz="15" w:space="0" w:color="DBDBDB"/>
            </w:tcBorders>
            <w:shd w:val="clear" w:color="auto" w:fill="EDEDED"/>
          </w:tcPr>
          <w:p>
            <w:pPr/>
          </w:p>
        </w:tc>
        <w:tc>
          <w:tcPr>
            <w:tcW w:w="1229" w:type="dxa"/>
            <w:tcBorders>
              <w:top w:val="single" w:sz="4" w:space="0" w:color="FFFFFF"/>
              <w:bottom w:val="single" w:sz="15" w:space="0" w:color="DBDBDB"/>
            </w:tcBorders>
            <w:shd w:val="clear" w:color="auto" w:fill="EDEDED"/>
          </w:tcPr>
          <w:p>
            <w:pPr/>
          </w:p>
        </w:tc>
        <w:tc>
          <w:tcPr>
            <w:tcW w:w="1142" w:type="dxa"/>
            <w:tcBorders>
              <w:top w:val="single" w:sz="4" w:space="0" w:color="FFFFFF"/>
              <w:bottom w:val="single" w:sz="15" w:space="0" w:color="DBDBDB"/>
            </w:tcBorders>
            <w:shd w:val="clear" w:color="auto" w:fill="EDEDED"/>
          </w:tcPr>
          <w:p>
            <w:pPr/>
          </w:p>
        </w:tc>
        <w:tc>
          <w:tcPr>
            <w:tcW w:w="1229" w:type="dxa"/>
            <w:tcBorders>
              <w:top w:val="single" w:sz="4" w:space="0" w:color="FFFFFF"/>
              <w:bottom w:val="single" w:sz="15" w:space="0" w:color="DBDBDB"/>
            </w:tcBorders>
            <w:shd w:val="clear" w:color="auto" w:fill="EDEDED"/>
          </w:tcPr>
          <w:p>
            <w:pPr>
              <w:pStyle w:val="TableParagraph"/>
              <w:spacing w:before="37"/>
              <w:ind w:left="95"/>
              <w:rPr>
                <w:sz w:val="17"/>
              </w:rPr>
            </w:pPr>
            <w:r>
              <w:rPr>
                <w:w w:val="104"/>
                <w:sz w:val="17"/>
              </w:rPr>
              <w:t>1</w:t>
            </w:r>
          </w:p>
        </w:tc>
        <w:tc>
          <w:tcPr>
            <w:tcW w:w="1241" w:type="dxa"/>
            <w:tcBorders>
              <w:top w:val="single" w:sz="4" w:space="0" w:color="FFFFFF"/>
              <w:bottom w:val="single" w:sz="15" w:space="0" w:color="DBDBDB"/>
              <w:right w:val="single" w:sz="17" w:space="0" w:color="FF0000"/>
            </w:tcBorders>
            <w:shd w:val="clear" w:color="auto" w:fill="EDEDED"/>
          </w:tcPr>
          <w:p>
            <w:pPr>
              <w:pStyle w:val="TableParagraph"/>
              <w:spacing w:before="37"/>
              <w:ind w:left="100"/>
              <w:rPr>
                <w:sz w:val="17"/>
              </w:rPr>
            </w:pPr>
            <w:r>
              <w:rPr>
                <w:w w:val="105"/>
                <w:sz w:val="17"/>
              </w:rPr>
              <w:t>.312**</w:t>
            </w:r>
          </w:p>
        </w:tc>
        <w:tc>
          <w:tcPr>
            <w:tcW w:w="1584" w:type="dxa"/>
            <w:tcBorders>
              <w:top w:val="single" w:sz="4" w:space="0" w:color="FFFFFF"/>
              <w:left w:val="single" w:sz="17" w:space="0" w:color="FF0000"/>
              <w:bottom w:val="single" w:sz="15" w:space="0" w:color="FF0000"/>
              <w:right w:val="single" w:sz="17" w:space="0" w:color="FF0000"/>
            </w:tcBorders>
            <w:shd w:val="clear" w:color="auto" w:fill="EDEDED"/>
          </w:tcPr>
          <w:p>
            <w:pPr>
              <w:pStyle w:val="TableParagraph"/>
              <w:spacing w:before="37"/>
              <w:ind w:left="86"/>
              <w:rPr>
                <w:sz w:val="17"/>
              </w:rPr>
            </w:pPr>
            <w:r>
              <w:rPr>
                <w:w w:val="105"/>
                <w:sz w:val="17"/>
              </w:rPr>
              <w:t>.773**</w:t>
            </w:r>
          </w:p>
        </w:tc>
      </w:tr>
      <w:tr>
        <w:trPr>
          <w:trHeight w:val="430" w:hRule="exact"/>
        </w:trPr>
        <w:tc>
          <w:tcPr>
            <w:tcW w:w="1589" w:type="dxa"/>
            <w:tcBorders>
              <w:top w:val="single" w:sz="2" w:space="0" w:color="000000"/>
            </w:tcBorders>
            <w:shd w:val="clear" w:color="auto" w:fill="ACB9CA"/>
          </w:tcPr>
          <w:p>
            <w:pPr>
              <w:pStyle w:val="TableParagraph"/>
              <w:tabs>
                <w:tab w:pos="1271" w:val="left" w:leader="none"/>
              </w:tabs>
              <w:spacing w:line="247" w:lineRule="auto" w:before="18"/>
              <w:ind w:left="105" w:right="101"/>
              <w:rPr>
                <w:b/>
                <w:sz w:val="17"/>
              </w:rPr>
            </w:pPr>
            <w:r>
              <w:rPr>
                <w:b/>
                <w:w w:val="105"/>
                <w:sz w:val="17"/>
              </w:rPr>
              <w:t>Locus</w:t>
              <w:tab/>
            </w:r>
            <w:r>
              <w:rPr>
                <w:b/>
                <w:spacing w:val="-1"/>
                <w:sz w:val="17"/>
              </w:rPr>
              <w:t>de </w:t>
            </w:r>
            <w:r>
              <w:rPr>
                <w:b/>
                <w:w w:val="105"/>
                <w:sz w:val="17"/>
              </w:rPr>
              <w:t>Control</w:t>
            </w:r>
          </w:p>
        </w:tc>
        <w:tc>
          <w:tcPr>
            <w:tcW w:w="1354" w:type="dxa"/>
            <w:tcBorders>
              <w:top w:val="single" w:sz="2" w:space="0" w:color="000000"/>
            </w:tcBorders>
            <w:shd w:val="clear" w:color="auto" w:fill="DBDBDB"/>
          </w:tcPr>
          <w:p>
            <w:pPr/>
          </w:p>
        </w:tc>
        <w:tc>
          <w:tcPr>
            <w:tcW w:w="1229" w:type="dxa"/>
            <w:tcBorders>
              <w:top w:val="single" w:sz="2" w:space="0" w:color="000000"/>
            </w:tcBorders>
            <w:shd w:val="clear" w:color="auto" w:fill="DBDBDB"/>
          </w:tcPr>
          <w:p>
            <w:pPr/>
          </w:p>
        </w:tc>
        <w:tc>
          <w:tcPr>
            <w:tcW w:w="1142" w:type="dxa"/>
            <w:tcBorders>
              <w:top w:val="single" w:sz="2" w:space="0" w:color="000000"/>
            </w:tcBorders>
            <w:shd w:val="clear" w:color="auto" w:fill="DBDBDB"/>
          </w:tcPr>
          <w:p>
            <w:pPr/>
          </w:p>
        </w:tc>
        <w:tc>
          <w:tcPr>
            <w:tcW w:w="1229" w:type="dxa"/>
            <w:tcBorders>
              <w:top w:val="single" w:sz="2" w:space="0" w:color="000000"/>
            </w:tcBorders>
            <w:shd w:val="clear" w:color="auto" w:fill="DBDBDB"/>
          </w:tcPr>
          <w:p>
            <w:pPr/>
          </w:p>
        </w:tc>
        <w:tc>
          <w:tcPr>
            <w:tcW w:w="1241" w:type="dxa"/>
            <w:tcBorders>
              <w:top w:val="single" w:sz="2" w:space="0" w:color="000000"/>
            </w:tcBorders>
            <w:shd w:val="clear" w:color="auto" w:fill="DBDBDB"/>
          </w:tcPr>
          <w:p>
            <w:pPr>
              <w:pStyle w:val="TableParagraph"/>
              <w:spacing w:before="23"/>
              <w:ind w:left="100"/>
              <w:rPr>
                <w:sz w:val="17"/>
              </w:rPr>
            </w:pPr>
            <w:r>
              <w:rPr>
                <w:w w:val="104"/>
                <w:sz w:val="17"/>
              </w:rPr>
              <w:t>1</w:t>
            </w:r>
          </w:p>
        </w:tc>
        <w:tc>
          <w:tcPr>
            <w:tcW w:w="1584" w:type="dxa"/>
            <w:tcBorders>
              <w:top w:val="single" w:sz="15" w:space="0" w:color="FF0000"/>
            </w:tcBorders>
            <w:shd w:val="clear" w:color="auto" w:fill="DBDBDB"/>
          </w:tcPr>
          <w:p>
            <w:pPr>
              <w:pStyle w:val="TableParagraph"/>
              <w:spacing w:before="6"/>
              <w:ind w:left="103" w:right="63"/>
              <w:rPr>
                <w:sz w:val="17"/>
              </w:rPr>
            </w:pPr>
            <w:r>
              <w:rPr>
                <w:w w:val="105"/>
                <w:sz w:val="17"/>
              </w:rPr>
              <w:t>.261**</w:t>
            </w:r>
          </w:p>
        </w:tc>
      </w:tr>
      <w:tr>
        <w:trPr>
          <w:trHeight w:val="564" w:hRule="exact"/>
        </w:trPr>
        <w:tc>
          <w:tcPr>
            <w:tcW w:w="1589" w:type="dxa"/>
            <w:shd w:val="clear" w:color="auto" w:fill="ACB9CA"/>
          </w:tcPr>
          <w:p>
            <w:pPr>
              <w:pStyle w:val="TableParagraph"/>
              <w:spacing w:line="247" w:lineRule="auto"/>
              <w:ind w:left="105" w:right="101"/>
              <w:rPr>
                <w:b/>
                <w:sz w:val="17"/>
              </w:rPr>
            </w:pPr>
            <w:r>
              <w:rPr>
                <w:b/>
                <w:w w:val="105"/>
                <w:sz w:val="17"/>
              </w:rPr>
              <w:t>Responsabilida d Ambiental</w:t>
            </w:r>
          </w:p>
        </w:tc>
        <w:tc>
          <w:tcPr>
            <w:tcW w:w="1354" w:type="dxa"/>
            <w:shd w:val="clear" w:color="auto" w:fill="EDEDED"/>
          </w:tcPr>
          <w:p>
            <w:pPr/>
          </w:p>
        </w:tc>
        <w:tc>
          <w:tcPr>
            <w:tcW w:w="1229" w:type="dxa"/>
            <w:shd w:val="clear" w:color="auto" w:fill="EDEDED"/>
          </w:tcPr>
          <w:p>
            <w:pPr/>
          </w:p>
        </w:tc>
        <w:tc>
          <w:tcPr>
            <w:tcW w:w="1142" w:type="dxa"/>
            <w:shd w:val="clear" w:color="auto" w:fill="EDEDED"/>
          </w:tcPr>
          <w:p>
            <w:pPr/>
          </w:p>
        </w:tc>
        <w:tc>
          <w:tcPr>
            <w:tcW w:w="1229" w:type="dxa"/>
            <w:shd w:val="clear" w:color="auto" w:fill="EDEDED"/>
          </w:tcPr>
          <w:p>
            <w:pPr/>
          </w:p>
        </w:tc>
        <w:tc>
          <w:tcPr>
            <w:tcW w:w="1241" w:type="dxa"/>
            <w:shd w:val="clear" w:color="auto" w:fill="EDEDED"/>
          </w:tcPr>
          <w:p>
            <w:pPr/>
          </w:p>
        </w:tc>
        <w:tc>
          <w:tcPr>
            <w:tcW w:w="1584" w:type="dxa"/>
            <w:shd w:val="clear" w:color="auto" w:fill="EDEDED"/>
          </w:tcPr>
          <w:p>
            <w:pPr>
              <w:pStyle w:val="TableParagraph"/>
              <w:spacing w:before="3"/>
              <w:ind w:left="103"/>
              <w:rPr>
                <w:sz w:val="17"/>
              </w:rPr>
            </w:pPr>
            <w:r>
              <w:rPr>
                <w:w w:val="104"/>
                <w:sz w:val="17"/>
              </w:rPr>
              <w:t>1</w:t>
            </w:r>
          </w:p>
        </w:tc>
      </w:tr>
    </w:tbl>
    <w:p>
      <w:pPr>
        <w:pStyle w:val="BodyText"/>
        <w:spacing w:line="257" w:lineRule="exact"/>
        <w:ind w:left="215"/>
        <w:jc w:val="both"/>
      </w:pPr>
      <w:r>
        <w:rPr/>
        <w:t>** </w:t>
      </w:r>
      <w:r>
        <w:rPr>
          <w:spacing w:val="-3"/>
        </w:rPr>
        <w:t>La </w:t>
      </w:r>
      <w:r>
        <w:rPr/>
        <w:t>correlación es significativa al nivel. 0.01</w:t>
      </w:r>
      <w:r>
        <w:rPr>
          <w:spacing w:val="60"/>
        </w:rPr>
        <w:t> </w:t>
      </w:r>
      <w:r>
        <w:rPr/>
        <w:t>(bilateral)</w:t>
      </w:r>
    </w:p>
    <w:p>
      <w:pPr>
        <w:pStyle w:val="BodyText"/>
        <w:spacing w:before="5"/>
        <w:rPr>
          <w:sz w:val="22"/>
        </w:rPr>
      </w:pPr>
    </w:p>
    <w:p>
      <w:pPr>
        <w:pStyle w:val="BodyText"/>
        <w:spacing w:line="364" w:lineRule="auto"/>
        <w:ind w:left="216" w:right="897"/>
        <w:jc w:val="both"/>
      </w:pPr>
      <w:r>
        <w:rPr/>
        <w:t>En </w:t>
      </w:r>
      <w:r>
        <w:rPr>
          <w:spacing w:val="-5"/>
        </w:rPr>
        <w:t>la </w:t>
      </w:r>
      <w:r>
        <w:rPr/>
        <w:t>tabla de arriba se puede identificar claramente que todas las variables tienen una correlación satisfactoria en mayor o menor medida. Existe una relación positiva considerable entre la actitud y la responsabilidad ambiental, lo que permite deducir que son </w:t>
      </w:r>
      <w:r>
        <w:rPr>
          <w:spacing w:val="-4"/>
        </w:rPr>
        <w:t>dos</w:t>
      </w:r>
      <w:r>
        <w:rPr>
          <w:spacing w:val="55"/>
        </w:rPr>
        <w:t> </w:t>
      </w:r>
      <w:r>
        <w:rPr/>
        <w:t>variables que están fuertemente relacionadas entre sí con un .773**, a  diferencia de las variables de estrategias de acción ambiental y Actividades ambientales cuya relación es muy baja con un .063**, lo que Indica </w:t>
      </w:r>
      <w:r>
        <w:rPr>
          <w:spacing w:val="-3"/>
        </w:rPr>
        <w:t>que </w:t>
      </w:r>
      <w:r>
        <w:rPr/>
        <w:t>los visitantes tienen conocimiento sobre las acciones  </w:t>
      </w:r>
      <w:r>
        <w:rPr>
          <w:spacing w:val="-3"/>
        </w:rPr>
        <w:t>que </w:t>
      </w:r>
      <w:r>
        <w:rPr/>
        <w:t>se deben hacer para cuidar el ambiente, pero </w:t>
      </w:r>
      <w:r>
        <w:rPr>
          <w:spacing w:val="-3"/>
        </w:rPr>
        <w:t>no   </w:t>
      </w:r>
      <w:r>
        <w:rPr>
          <w:spacing w:val="-5"/>
        </w:rPr>
        <w:t>lo </w:t>
      </w:r>
      <w:r>
        <w:rPr/>
        <w:t>llevan a la practica </w:t>
      </w:r>
      <w:r>
        <w:rPr>
          <w:spacing w:val="-3"/>
        </w:rPr>
        <w:t>en </w:t>
      </w:r>
      <w:r>
        <w:rPr/>
        <w:t>alguna actividad ambiental en </w:t>
      </w:r>
      <w:r>
        <w:rPr>
          <w:spacing w:val="36"/>
        </w:rPr>
        <w:t> </w:t>
      </w:r>
      <w:r>
        <w:rPr/>
        <w:t>concreto.</w:t>
      </w:r>
    </w:p>
    <w:p>
      <w:pPr>
        <w:pStyle w:val="BodyText"/>
        <w:rPr>
          <w:sz w:val="22"/>
        </w:rPr>
      </w:pPr>
    </w:p>
    <w:p>
      <w:pPr>
        <w:pStyle w:val="BodyText"/>
        <w:rPr>
          <w:sz w:val="22"/>
        </w:rPr>
      </w:pPr>
    </w:p>
    <w:p>
      <w:pPr>
        <w:pStyle w:val="Heading2"/>
        <w:numPr>
          <w:ilvl w:val="1"/>
          <w:numId w:val="26"/>
        </w:numPr>
        <w:tabs>
          <w:tab w:pos="917" w:val="left" w:leader="none"/>
        </w:tabs>
        <w:spacing w:line="240" w:lineRule="auto" w:before="142" w:after="0"/>
        <w:ind w:left="916" w:right="0" w:hanging="700"/>
        <w:jc w:val="both"/>
      </w:pPr>
      <w:bookmarkStart w:name="_TOC_250010" w:id="25"/>
      <w:r>
        <w:rPr/>
        <w:t>Regresión</w:t>
      </w:r>
      <w:r>
        <w:rPr>
          <w:spacing w:val="21"/>
        </w:rPr>
        <w:t> </w:t>
      </w:r>
      <w:bookmarkEnd w:id="25"/>
      <w:r>
        <w:rPr/>
        <w:t>Lineal</w:t>
      </w:r>
    </w:p>
    <w:p>
      <w:pPr>
        <w:pStyle w:val="BodyText"/>
        <w:rPr>
          <w:b/>
          <w:sz w:val="22"/>
        </w:rPr>
      </w:pPr>
    </w:p>
    <w:p>
      <w:pPr>
        <w:pStyle w:val="BodyText"/>
        <w:spacing w:line="364" w:lineRule="auto" w:before="1"/>
        <w:ind w:left="216" w:right="902"/>
        <w:jc w:val="both"/>
      </w:pPr>
      <w:r>
        <w:rPr/>
        <w:t>A fin de conocer las relaciones existentes entre las variables, se realizó un análisis de regresión lineal múltiple en pasos sucesivos utilizando como predictores las distintas variables generadas con las puntuaciones de los factores extraídos por el análisis factorial, las diferentes escalas y como variable dependiente, la actitud  ambiental.</w:t>
      </w:r>
    </w:p>
    <w:p>
      <w:pPr>
        <w:pStyle w:val="BodyText"/>
        <w:spacing w:line="364" w:lineRule="auto" w:before="120"/>
        <w:ind w:left="216" w:right="902"/>
        <w:jc w:val="both"/>
      </w:pPr>
      <w:r>
        <w:rPr/>
        <w:t>La regresión lineal es un modelo estadístico para estimar el efecto  de  una variable  sobre otra. Está asociado con el coeficiente de correlación de Pearson. Brinda la oportunidad  de  predecir  las  puntuaciones de una variable a  partir de las</w:t>
      </w:r>
      <w:r>
        <w:rPr>
          <w:spacing w:val="44"/>
        </w:rPr>
        <w:t> </w:t>
      </w:r>
      <w:r>
        <w:rPr/>
        <w:t>puntuaciones</w:t>
      </w:r>
    </w:p>
    <w:p>
      <w:pPr>
        <w:spacing w:after="0" w:line="364" w:lineRule="auto"/>
        <w:jc w:val="both"/>
        <w:sectPr>
          <w:pgSz w:w="11910" w:h="16840"/>
          <w:pgMar w:header="1066" w:footer="1715" w:top="1460" w:bottom="1900" w:left="1440" w:right="200"/>
        </w:sectPr>
      </w:pPr>
    </w:p>
    <w:p>
      <w:pPr>
        <w:pStyle w:val="BodyText"/>
        <w:rPr>
          <w:sz w:val="20"/>
        </w:rPr>
      </w:pPr>
    </w:p>
    <w:p>
      <w:pPr>
        <w:pStyle w:val="BodyText"/>
        <w:spacing w:before="10"/>
        <w:rPr>
          <w:sz w:val="17"/>
        </w:rPr>
      </w:pPr>
    </w:p>
    <w:p>
      <w:pPr>
        <w:pStyle w:val="BodyText"/>
        <w:spacing w:line="362" w:lineRule="auto" w:before="74"/>
        <w:ind w:left="115" w:right="989"/>
      </w:pPr>
      <w:r>
        <w:rPr/>
        <w:t>de la otra variable. Entre mayor </w:t>
      </w:r>
      <w:r>
        <w:rPr>
          <w:spacing w:val="2"/>
        </w:rPr>
        <w:t>sea </w:t>
      </w:r>
      <w:r>
        <w:rPr/>
        <w:t>la correlación entre las variables (covariación),  mayor capacidad de predicción  (Hernández,</w:t>
      </w:r>
      <w:r>
        <w:rPr>
          <w:spacing w:val="58"/>
        </w:rPr>
        <w:t> </w:t>
      </w:r>
      <w:r>
        <w:rPr/>
        <w:t>2014).</w:t>
      </w:r>
    </w:p>
    <w:p>
      <w:pPr>
        <w:pStyle w:val="BodyText"/>
        <w:spacing w:before="123"/>
        <w:ind w:left="116"/>
        <w:rPr>
          <w:i/>
        </w:rPr>
      </w:pPr>
      <w:r>
        <w:rPr/>
        <w:t>Así pues para construir el modelo de regresión, se utilizó la técnica de    </w:t>
      </w:r>
      <w:r>
        <w:rPr>
          <w:i/>
        </w:rPr>
        <w:t>pasos sucesivos</w:t>
      </w:r>
    </w:p>
    <w:p>
      <w:pPr>
        <w:pStyle w:val="BodyText"/>
        <w:spacing w:before="138"/>
        <w:ind w:left="116"/>
      </w:pPr>
      <w:r>
        <w:rPr/>
        <w:t>el  cual  mediante  la  elaboración  sucesiva  de  ecuaciones,  permitió  obtener  el   mejor</w:t>
      </w:r>
    </w:p>
    <w:p>
      <w:pPr>
        <w:spacing w:after="0"/>
        <w:sectPr>
          <w:footerReference w:type="default" r:id="rId45"/>
          <w:pgSz w:w="11910" w:h="16840"/>
          <w:pgMar w:footer="1715" w:header="1066" w:top="1460" w:bottom="1900" w:left="1540" w:right="200"/>
          <w:pgNumType w:start="90"/>
        </w:sectPr>
      </w:pPr>
    </w:p>
    <w:p>
      <w:pPr>
        <w:pStyle w:val="BodyText"/>
        <w:spacing w:before="108"/>
        <w:ind w:left="116"/>
        <w:rPr>
          <w:b/>
          <w:sz w:val="15"/>
        </w:rPr>
      </w:pPr>
      <w:r>
        <w:rPr/>
        <w:pict>
          <v:shape style="position:absolute;margin-left:243.600006pt;margin-top:13.128366pt;width:5.6pt;height:7.75pt;mso-position-horizontal-relative:page;mso-position-vertical-relative:paragraph;z-index:-243496" type="#_x0000_t202" filled="false" stroked="false">
            <v:textbox inset="0,0,0,0">
              <w:txbxContent>
                <w:p>
                  <w:pPr>
                    <w:spacing w:line="154" w:lineRule="exact" w:before="0"/>
                    <w:ind w:left="0" w:right="0" w:firstLine="0"/>
                    <w:jc w:val="left"/>
                    <w:rPr>
                      <w:b/>
                      <w:sz w:val="15"/>
                    </w:rPr>
                  </w:pPr>
                  <w:r>
                    <w:rPr>
                      <w:b/>
                      <w:w w:val="102"/>
                      <w:sz w:val="15"/>
                    </w:rPr>
                    <w:t>C</w:t>
                  </w:r>
                </w:p>
              </w:txbxContent>
            </v:textbox>
            <w10:wrap type="none"/>
          </v:shape>
        </w:pict>
      </w:r>
      <w:r>
        <w:rPr/>
        <w:t>modelo de regresión con un </w:t>
      </w:r>
      <w:r>
        <w:rPr>
          <w:b/>
        </w:rPr>
        <w:t>R</w:t>
      </w:r>
      <w:r>
        <w:rPr>
          <w:b/>
          <w:position w:val="11"/>
          <w:sz w:val="15"/>
        </w:rPr>
        <w:t>2</w:t>
      </w:r>
    </w:p>
    <w:p>
      <w:pPr>
        <w:pStyle w:val="BodyText"/>
        <w:spacing w:before="143"/>
        <w:ind w:left="-37"/>
      </w:pPr>
      <w:r>
        <w:rPr/>
        <w:br w:type="column"/>
      </w:r>
      <w:r>
        <w:rPr>
          <w:b/>
        </w:rPr>
        <w:t>: </w:t>
      </w:r>
      <w:r>
        <w:rPr>
          <w:b/>
          <w:spacing w:val="-3"/>
        </w:rPr>
        <w:t>83% </w:t>
      </w:r>
      <w:r>
        <w:rPr/>
        <w:t>de aceptación como lo indica la tabla No.</w:t>
      </w:r>
      <w:r>
        <w:rPr>
          <w:spacing w:val="63"/>
        </w:rPr>
        <w:t> </w:t>
      </w:r>
      <w:r>
        <w:rPr/>
        <w:t>8.</w:t>
      </w:r>
    </w:p>
    <w:p>
      <w:pPr>
        <w:spacing w:after="0"/>
        <w:sectPr>
          <w:type w:val="continuous"/>
          <w:pgSz w:w="11910" w:h="16840"/>
          <w:pgMar w:top="1000" w:bottom="280" w:left="1540" w:right="200"/>
          <w:cols w:num="2" w:equalWidth="0">
            <w:col w:w="3444" w:space="40"/>
            <w:col w:w="6686"/>
          </w:cols>
        </w:sectPr>
      </w:pPr>
    </w:p>
    <w:p>
      <w:pPr>
        <w:pStyle w:val="BodyText"/>
        <w:rPr>
          <w:sz w:val="20"/>
        </w:rPr>
      </w:pPr>
    </w:p>
    <w:p>
      <w:pPr>
        <w:pStyle w:val="BodyText"/>
        <w:rPr>
          <w:sz w:val="20"/>
        </w:rPr>
      </w:pPr>
    </w:p>
    <w:p>
      <w:pPr>
        <w:pStyle w:val="BodyText"/>
        <w:spacing w:before="8"/>
        <w:rPr>
          <w:sz w:val="20"/>
        </w:rPr>
      </w:pPr>
    </w:p>
    <w:p>
      <w:pPr>
        <w:pStyle w:val="Heading2"/>
        <w:ind w:left="2732" w:right="989"/>
        <w:jc w:val="left"/>
      </w:pPr>
      <w:r>
        <w:rPr/>
        <w:t>Tabla No.  </w:t>
      </w:r>
      <w:r>
        <w:rPr>
          <w:spacing w:val="-3"/>
        </w:rPr>
        <w:t>10. </w:t>
      </w:r>
      <w:r>
        <w:rPr/>
        <w:t>Resumen del</w:t>
      </w:r>
      <w:r>
        <w:rPr>
          <w:spacing w:val="54"/>
        </w:rPr>
        <w:t> </w:t>
      </w:r>
      <w:r>
        <w:rPr/>
        <w:t>modelo</w:t>
      </w:r>
    </w:p>
    <w:p>
      <w:pPr>
        <w:pStyle w:val="BodyText"/>
        <w:spacing w:before="2"/>
        <w:rPr>
          <w:b/>
          <w:sz w:val="11"/>
        </w:rPr>
      </w:pPr>
    </w:p>
    <w:tbl>
      <w:tblPr>
        <w:tblW w:w="0" w:type="auto"/>
        <w:jc w:val="left"/>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8"/>
        <w:gridCol w:w="554"/>
        <w:gridCol w:w="1102"/>
        <w:gridCol w:w="1099"/>
        <w:gridCol w:w="1243"/>
        <w:gridCol w:w="1104"/>
        <w:gridCol w:w="965"/>
        <w:gridCol w:w="442"/>
        <w:gridCol w:w="518"/>
        <w:gridCol w:w="1070"/>
      </w:tblGrid>
      <w:tr>
        <w:trPr>
          <w:trHeight w:val="216" w:hRule="exact"/>
        </w:trPr>
        <w:tc>
          <w:tcPr>
            <w:tcW w:w="1008" w:type="dxa"/>
            <w:vMerge w:val="restart"/>
          </w:tcPr>
          <w:p>
            <w:pPr>
              <w:pStyle w:val="TableParagraph"/>
              <w:spacing w:before="3"/>
              <w:ind w:left="211"/>
              <w:rPr>
                <w:sz w:val="17"/>
              </w:rPr>
            </w:pPr>
            <w:r>
              <w:rPr>
                <w:w w:val="105"/>
                <w:sz w:val="17"/>
              </w:rPr>
              <w:t>Modelo</w:t>
            </w:r>
          </w:p>
        </w:tc>
        <w:tc>
          <w:tcPr>
            <w:tcW w:w="554" w:type="dxa"/>
            <w:vMerge w:val="restart"/>
            <w:tcBorders>
              <w:right w:val="single" w:sz="2" w:space="0" w:color="000000"/>
            </w:tcBorders>
          </w:tcPr>
          <w:p>
            <w:pPr>
              <w:pStyle w:val="TableParagraph"/>
              <w:spacing w:before="3"/>
              <w:ind w:left="3"/>
              <w:jc w:val="center"/>
              <w:rPr>
                <w:sz w:val="17"/>
              </w:rPr>
            </w:pPr>
            <w:r>
              <w:rPr>
                <w:w w:val="104"/>
                <w:sz w:val="17"/>
              </w:rPr>
              <w:t>R</w:t>
            </w:r>
          </w:p>
        </w:tc>
        <w:tc>
          <w:tcPr>
            <w:tcW w:w="1102" w:type="dxa"/>
            <w:vMerge w:val="restart"/>
            <w:tcBorders>
              <w:left w:val="single" w:sz="2" w:space="0" w:color="000000"/>
            </w:tcBorders>
          </w:tcPr>
          <w:p>
            <w:pPr>
              <w:pStyle w:val="TableParagraph"/>
              <w:spacing w:before="3"/>
              <w:ind w:left="100"/>
              <w:rPr>
                <w:sz w:val="17"/>
              </w:rPr>
            </w:pPr>
            <w:r>
              <w:rPr>
                <w:w w:val="105"/>
                <w:sz w:val="17"/>
              </w:rPr>
              <w:t>R cuadrado</w:t>
            </w:r>
          </w:p>
        </w:tc>
        <w:tc>
          <w:tcPr>
            <w:tcW w:w="1099" w:type="dxa"/>
            <w:vMerge w:val="restart"/>
          </w:tcPr>
          <w:p>
            <w:pPr>
              <w:pStyle w:val="TableParagraph"/>
              <w:spacing w:line="247" w:lineRule="auto" w:before="3"/>
              <w:ind w:left="182" w:hanging="92"/>
              <w:rPr>
                <w:sz w:val="17"/>
              </w:rPr>
            </w:pPr>
            <w:r>
              <w:rPr>
                <w:w w:val="105"/>
                <w:sz w:val="17"/>
              </w:rPr>
              <w:t>R cuadrado corregida</w:t>
            </w:r>
          </w:p>
        </w:tc>
        <w:tc>
          <w:tcPr>
            <w:tcW w:w="1243" w:type="dxa"/>
            <w:vMerge w:val="restart"/>
          </w:tcPr>
          <w:p>
            <w:pPr>
              <w:pStyle w:val="TableParagraph"/>
              <w:spacing w:line="247" w:lineRule="auto" w:before="3"/>
              <w:ind w:left="201" w:right="16" w:hanging="135"/>
              <w:rPr>
                <w:sz w:val="17"/>
              </w:rPr>
            </w:pPr>
            <w:r>
              <w:rPr>
                <w:w w:val="105"/>
                <w:sz w:val="17"/>
              </w:rPr>
              <w:t>Error típ. de la estimación</w:t>
            </w:r>
          </w:p>
        </w:tc>
        <w:tc>
          <w:tcPr>
            <w:tcW w:w="4099" w:type="dxa"/>
            <w:gridSpan w:val="5"/>
          </w:tcPr>
          <w:p>
            <w:pPr>
              <w:pStyle w:val="TableParagraph"/>
              <w:spacing w:before="3"/>
              <w:ind w:left="1147"/>
              <w:rPr>
                <w:sz w:val="17"/>
              </w:rPr>
            </w:pPr>
            <w:r>
              <w:rPr>
                <w:w w:val="105"/>
                <w:sz w:val="17"/>
              </w:rPr>
              <w:t>Estadísticos de cambio</w:t>
            </w:r>
          </w:p>
        </w:tc>
      </w:tr>
      <w:tr>
        <w:trPr>
          <w:trHeight w:val="370" w:hRule="exact"/>
        </w:trPr>
        <w:tc>
          <w:tcPr>
            <w:tcW w:w="1008" w:type="dxa"/>
            <w:vMerge/>
          </w:tcPr>
          <w:p>
            <w:pPr/>
          </w:p>
        </w:tc>
        <w:tc>
          <w:tcPr>
            <w:tcW w:w="554" w:type="dxa"/>
            <w:vMerge/>
            <w:tcBorders>
              <w:right w:val="single" w:sz="2" w:space="0" w:color="000000"/>
            </w:tcBorders>
          </w:tcPr>
          <w:p>
            <w:pPr/>
          </w:p>
        </w:tc>
        <w:tc>
          <w:tcPr>
            <w:tcW w:w="1102" w:type="dxa"/>
            <w:vMerge/>
            <w:tcBorders>
              <w:left w:val="single" w:sz="2" w:space="0" w:color="000000"/>
            </w:tcBorders>
          </w:tcPr>
          <w:p>
            <w:pPr/>
          </w:p>
        </w:tc>
        <w:tc>
          <w:tcPr>
            <w:tcW w:w="1099" w:type="dxa"/>
            <w:vMerge/>
          </w:tcPr>
          <w:p>
            <w:pPr/>
          </w:p>
        </w:tc>
        <w:tc>
          <w:tcPr>
            <w:tcW w:w="1243" w:type="dxa"/>
            <w:vMerge/>
          </w:tcPr>
          <w:p>
            <w:pPr/>
          </w:p>
        </w:tc>
        <w:tc>
          <w:tcPr>
            <w:tcW w:w="1104" w:type="dxa"/>
          </w:tcPr>
          <w:p>
            <w:pPr>
              <w:pStyle w:val="TableParagraph"/>
              <w:spacing w:line="247" w:lineRule="auto" w:before="8"/>
              <w:ind w:left="225" w:hanging="130"/>
              <w:rPr>
                <w:sz w:val="15"/>
              </w:rPr>
            </w:pPr>
            <w:r>
              <w:rPr>
                <w:w w:val="105"/>
                <w:sz w:val="15"/>
              </w:rPr>
              <w:t>Cambio en R cuadrado</w:t>
            </w:r>
          </w:p>
        </w:tc>
        <w:tc>
          <w:tcPr>
            <w:tcW w:w="965" w:type="dxa"/>
          </w:tcPr>
          <w:p>
            <w:pPr>
              <w:pStyle w:val="TableParagraph"/>
              <w:spacing w:line="247" w:lineRule="auto" w:before="8"/>
              <w:ind w:left="431" w:right="13" w:hanging="327"/>
              <w:rPr>
                <w:sz w:val="15"/>
              </w:rPr>
            </w:pPr>
            <w:r>
              <w:rPr>
                <w:w w:val="105"/>
                <w:sz w:val="15"/>
              </w:rPr>
              <w:t>Cambio en F</w:t>
            </w:r>
          </w:p>
        </w:tc>
        <w:tc>
          <w:tcPr>
            <w:tcW w:w="442" w:type="dxa"/>
          </w:tcPr>
          <w:p>
            <w:pPr>
              <w:pStyle w:val="TableParagraph"/>
              <w:spacing w:before="8"/>
              <w:ind w:left="92" w:right="89"/>
              <w:jc w:val="center"/>
              <w:rPr>
                <w:sz w:val="15"/>
              </w:rPr>
            </w:pPr>
            <w:r>
              <w:rPr>
                <w:w w:val="105"/>
                <w:sz w:val="15"/>
              </w:rPr>
              <w:t>gl1</w:t>
            </w:r>
          </w:p>
        </w:tc>
        <w:tc>
          <w:tcPr>
            <w:tcW w:w="518" w:type="dxa"/>
          </w:tcPr>
          <w:p>
            <w:pPr>
              <w:pStyle w:val="TableParagraph"/>
              <w:spacing w:before="8"/>
              <w:ind w:left="82" w:right="82"/>
              <w:jc w:val="center"/>
              <w:rPr>
                <w:sz w:val="15"/>
              </w:rPr>
            </w:pPr>
            <w:r>
              <w:rPr>
                <w:w w:val="105"/>
                <w:sz w:val="15"/>
              </w:rPr>
              <w:t>gl2</w:t>
            </w:r>
          </w:p>
        </w:tc>
        <w:tc>
          <w:tcPr>
            <w:tcW w:w="1070" w:type="dxa"/>
          </w:tcPr>
          <w:p>
            <w:pPr>
              <w:pStyle w:val="TableParagraph"/>
              <w:spacing w:line="247" w:lineRule="auto" w:before="8"/>
              <w:ind w:left="374" w:hanging="264"/>
              <w:rPr>
                <w:sz w:val="15"/>
              </w:rPr>
            </w:pPr>
            <w:r>
              <w:rPr>
                <w:w w:val="105"/>
                <w:sz w:val="15"/>
              </w:rPr>
              <w:t>Sig. Cambio en F</w:t>
            </w:r>
          </w:p>
        </w:tc>
      </w:tr>
      <w:tr>
        <w:trPr>
          <w:trHeight w:val="312" w:hRule="exact"/>
        </w:trPr>
        <w:tc>
          <w:tcPr>
            <w:tcW w:w="1008" w:type="dxa"/>
          </w:tcPr>
          <w:p>
            <w:pPr>
              <w:pStyle w:val="TableParagraph"/>
              <w:spacing w:before="51"/>
              <w:ind w:left="62"/>
              <w:rPr>
                <w:sz w:val="17"/>
              </w:rPr>
            </w:pPr>
            <w:r>
              <w:rPr>
                <w:w w:val="104"/>
                <w:sz w:val="17"/>
              </w:rPr>
              <w:t>1</w:t>
            </w:r>
          </w:p>
        </w:tc>
        <w:tc>
          <w:tcPr>
            <w:tcW w:w="554" w:type="dxa"/>
            <w:tcBorders>
              <w:right w:val="single" w:sz="2" w:space="0" w:color="000000"/>
            </w:tcBorders>
          </w:tcPr>
          <w:p>
            <w:pPr>
              <w:pStyle w:val="TableParagraph"/>
              <w:spacing w:before="18"/>
              <w:ind w:right="62"/>
              <w:jc w:val="right"/>
              <w:rPr>
                <w:sz w:val="11"/>
              </w:rPr>
            </w:pPr>
            <w:r>
              <w:rPr>
                <w:w w:val="105"/>
                <w:sz w:val="17"/>
              </w:rPr>
              <w:t>.773</w:t>
            </w:r>
            <w:r>
              <w:rPr>
                <w:w w:val="105"/>
                <w:position w:val="9"/>
                <w:sz w:val="11"/>
              </w:rPr>
              <w:t>a</w:t>
            </w:r>
          </w:p>
        </w:tc>
        <w:tc>
          <w:tcPr>
            <w:tcW w:w="1102" w:type="dxa"/>
            <w:tcBorders>
              <w:left w:val="single" w:sz="2" w:space="0" w:color="000000"/>
            </w:tcBorders>
          </w:tcPr>
          <w:p>
            <w:pPr>
              <w:pStyle w:val="TableParagraph"/>
              <w:spacing w:before="51"/>
              <w:ind w:right="369"/>
              <w:jc w:val="right"/>
              <w:rPr>
                <w:sz w:val="17"/>
              </w:rPr>
            </w:pPr>
            <w:r>
              <w:rPr>
                <w:w w:val="105"/>
                <w:sz w:val="17"/>
              </w:rPr>
              <w:t>.598</w:t>
            </w:r>
          </w:p>
        </w:tc>
        <w:tc>
          <w:tcPr>
            <w:tcW w:w="1099" w:type="dxa"/>
          </w:tcPr>
          <w:p>
            <w:pPr>
              <w:pStyle w:val="TableParagraph"/>
              <w:spacing w:before="51"/>
              <w:ind w:left="352" w:right="350"/>
              <w:jc w:val="center"/>
              <w:rPr>
                <w:sz w:val="17"/>
              </w:rPr>
            </w:pPr>
            <w:r>
              <w:rPr>
                <w:w w:val="105"/>
                <w:sz w:val="17"/>
              </w:rPr>
              <w:t>.597</w:t>
            </w:r>
          </w:p>
        </w:tc>
        <w:tc>
          <w:tcPr>
            <w:tcW w:w="1243" w:type="dxa"/>
          </w:tcPr>
          <w:p>
            <w:pPr>
              <w:pStyle w:val="TableParagraph"/>
              <w:spacing w:before="51"/>
              <w:ind w:left="274" w:right="274"/>
              <w:jc w:val="center"/>
              <w:rPr>
                <w:sz w:val="17"/>
              </w:rPr>
            </w:pPr>
            <w:r>
              <w:rPr>
                <w:w w:val="105"/>
                <w:sz w:val="17"/>
              </w:rPr>
              <w:t>1.91090</w:t>
            </w:r>
          </w:p>
        </w:tc>
        <w:tc>
          <w:tcPr>
            <w:tcW w:w="1104" w:type="dxa"/>
          </w:tcPr>
          <w:p>
            <w:pPr>
              <w:pStyle w:val="TableParagraph"/>
              <w:spacing w:before="51"/>
              <w:ind w:left="354" w:right="352"/>
              <w:jc w:val="center"/>
              <w:rPr>
                <w:sz w:val="17"/>
              </w:rPr>
            </w:pPr>
            <w:r>
              <w:rPr>
                <w:w w:val="105"/>
                <w:sz w:val="17"/>
              </w:rPr>
              <w:t>.598</w:t>
            </w:r>
          </w:p>
        </w:tc>
        <w:tc>
          <w:tcPr>
            <w:tcW w:w="965" w:type="dxa"/>
          </w:tcPr>
          <w:p>
            <w:pPr>
              <w:pStyle w:val="TableParagraph"/>
              <w:spacing w:before="51"/>
              <w:ind w:left="138" w:right="131"/>
              <w:jc w:val="center"/>
              <w:rPr>
                <w:sz w:val="17"/>
              </w:rPr>
            </w:pPr>
            <w:r>
              <w:rPr>
                <w:w w:val="105"/>
                <w:sz w:val="17"/>
              </w:rPr>
              <w:t>621.610</w:t>
            </w:r>
          </w:p>
        </w:tc>
        <w:tc>
          <w:tcPr>
            <w:tcW w:w="442" w:type="dxa"/>
          </w:tcPr>
          <w:p>
            <w:pPr>
              <w:pStyle w:val="TableParagraph"/>
              <w:spacing w:before="51"/>
              <w:ind w:left="2"/>
              <w:jc w:val="center"/>
              <w:rPr>
                <w:sz w:val="17"/>
              </w:rPr>
            </w:pPr>
            <w:r>
              <w:rPr>
                <w:w w:val="104"/>
                <w:sz w:val="17"/>
              </w:rPr>
              <w:t>1</w:t>
            </w:r>
          </w:p>
        </w:tc>
        <w:tc>
          <w:tcPr>
            <w:tcW w:w="518" w:type="dxa"/>
          </w:tcPr>
          <w:p>
            <w:pPr>
              <w:pStyle w:val="TableParagraph"/>
              <w:spacing w:before="51"/>
              <w:ind w:left="89" w:right="82"/>
              <w:jc w:val="center"/>
              <w:rPr>
                <w:sz w:val="17"/>
              </w:rPr>
            </w:pPr>
            <w:r>
              <w:rPr>
                <w:w w:val="105"/>
                <w:sz w:val="17"/>
              </w:rPr>
              <w:t>418</w:t>
            </w:r>
          </w:p>
        </w:tc>
        <w:tc>
          <w:tcPr>
            <w:tcW w:w="1070" w:type="dxa"/>
          </w:tcPr>
          <w:p>
            <w:pPr>
              <w:pStyle w:val="TableParagraph"/>
              <w:spacing w:before="51"/>
              <w:ind w:left="340" w:right="333"/>
              <w:jc w:val="center"/>
              <w:rPr>
                <w:sz w:val="17"/>
              </w:rPr>
            </w:pPr>
            <w:r>
              <w:rPr>
                <w:w w:val="105"/>
                <w:sz w:val="17"/>
              </w:rPr>
              <w:t>.000</w:t>
            </w:r>
          </w:p>
        </w:tc>
      </w:tr>
      <w:tr>
        <w:trPr>
          <w:trHeight w:val="288" w:hRule="exact"/>
        </w:trPr>
        <w:tc>
          <w:tcPr>
            <w:tcW w:w="1008" w:type="dxa"/>
          </w:tcPr>
          <w:p>
            <w:pPr>
              <w:pStyle w:val="TableParagraph"/>
              <w:spacing w:before="42"/>
              <w:ind w:left="62"/>
              <w:rPr>
                <w:sz w:val="17"/>
              </w:rPr>
            </w:pPr>
            <w:r>
              <w:rPr>
                <w:w w:val="104"/>
                <w:sz w:val="17"/>
              </w:rPr>
              <w:t>2</w:t>
            </w:r>
          </w:p>
        </w:tc>
        <w:tc>
          <w:tcPr>
            <w:tcW w:w="554" w:type="dxa"/>
            <w:tcBorders>
              <w:right w:val="single" w:sz="2" w:space="0" w:color="000000"/>
            </w:tcBorders>
          </w:tcPr>
          <w:p>
            <w:pPr>
              <w:pStyle w:val="TableParagraph"/>
              <w:spacing w:before="8"/>
              <w:ind w:right="62"/>
              <w:jc w:val="right"/>
              <w:rPr>
                <w:sz w:val="11"/>
              </w:rPr>
            </w:pPr>
            <w:r>
              <w:rPr>
                <w:w w:val="105"/>
                <w:sz w:val="17"/>
              </w:rPr>
              <w:t>.870</w:t>
            </w:r>
            <w:r>
              <w:rPr>
                <w:w w:val="105"/>
                <w:position w:val="9"/>
                <w:sz w:val="11"/>
              </w:rPr>
              <w:t>b</w:t>
            </w:r>
          </w:p>
        </w:tc>
        <w:tc>
          <w:tcPr>
            <w:tcW w:w="1102" w:type="dxa"/>
            <w:tcBorders>
              <w:left w:val="single" w:sz="2" w:space="0" w:color="000000"/>
            </w:tcBorders>
          </w:tcPr>
          <w:p>
            <w:pPr>
              <w:pStyle w:val="TableParagraph"/>
              <w:spacing w:before="42"/>
              <w:ind w:right="369"/>
              <w:jc w:val="right"/>
              <w:rPr>
                <w:sz w:val="17"/>
              </w:rPr>
            </w:pPr>
            <w:r>
              <w:rPr>
                <w:w w:val="105"/>
                <w:sz w:val="17"/>
              </w:rPr>
              <w:t>.756</w:t>
            </w:r>
          </w:p>
        </w:tc>
        <w:tc>
          <w:tcPr>
            <w:tcW w:w="1099" w:type="dxa"/>
          </w:tcPr>
          <w:p>
            <w:pPr>
              <w:pStyle w:val="TableParagraph"/>
              <w:spacing w:before="42"/>
              <w:ind w:left="352" w:right="350"/>
              <w:jc w:val="center"/>
              <w:rPr>
                <w:sz w:val="17"/>
              </w:rPr>
            </w:pPr>
            <w:r>
              <w:rPr>
                <w:w w:val="105"/>
                <w:sz w:val="17"/>
              </w:rPr>
              <w:t>.755</w:t>
            </w:r>
          </w:p>
        </w:tc>
        <w:tc>
          <w:tcPr>
            <w:tcW w:w="1243" w:type="dxa"/>
          </w:tcPr>
          <w:p>
            <w:pPr>
              <w:pStyle w:val="TableParagraph"/>
              <w:spacing w:before="42"/>
              <w:ind w:left="274" w:right="274"/>
              <w:jc w:val="center"/>
              <w:rPr>
                <w:sz w:val="17"/>
              </w:rPr>
            </w:pPr>
            <w:r>
              <w:rPr>
                <w:w w:val="105"/>
                <w:sz w:val="17"/>
              </w:rPr>
              <w:t>1.48937</w:t>
            </w:r>
          </w:p>
        </w:tc>
        <w:tc>
          <w:tcPr>
            <w:tcW w:w="1104" w:type="dxa"/>
          </w:tcPr>
          <w:p>
            <w:pPr>
              <w:pStyle w:val="TableParagraph"/>
              <w:spacing w:before="42"/>
              <w:ind w:left="354" w:right="352"/>
              <w:jc w:val="center"/>
              <w:rPr>
                <w:sz w:val="17"/>
              </w:rPr>
            </w:pPr>
            <w:r>
              <w:rPr>
                <w:w w:val="105"/>
                <w:sz w:val="17"/>
              </w:rPr>
              <w:t>.158</w:t>
            </w:r>
          </w:p>
        </w:tc>
        <w:tc>
          <w:tcPr>
            <w:tcW w:w="965" w:type="dxa"/>
          </w:tcPr>
          <w:p>
            <w:pPr>
              <w:pStyle w:val="TableParagraph"/>
              <w:spacing w:before="42"/>
              <w:ind w:left="138" w:right="131"/>
              <w:jc w:val="center"/>
              <w:rPr>
                <w:sz w:val="17"/>
              </w:rPr>
            </w:pPr>
            <w:r>
              <w:rPr>
                <w:w w:val="105"/>
                <w:sz w:val="17"/>
              </w:rPr>
              <w:t>271.092</w:t>
            </w:r>
          </w:p>
        </w:tc>
        <w:tc>
          <w:tcPr>
            <w:tcW w:w="442" w:type="dxa"/>
          </w:tcPr>
          <w:p>
            <w:pPr>
              <w:pStyle w:val="TableParagraph"/>
              <w:spacing w:before="42"/>
              <w:ind w:left="2"/>
              <w:jc w:val="center"/>
              <w:rPr>
                <w:sz w:val="17"/>
              </w:rPr>
            </w:pPr>
            <w:r>
              <w:rPr>
                <w:w w:val="104"/>
                <w:sz w:val="17"/>
              </w:rPr>
              <w:t>1</w:t>
            </w:r>
          </w:p>
        </w:tc>
        <w:tc>
          <w:tcPr>
            <w:tcW w:w="518" w:type="dxa"/>
          </w:tcPr>
          <w:p>
            <w:pPr>
              <w:pStyle w:val="TableParagraph"/>
              <w:spacing w:before="42"/>
              <w:ind w:left="89" w:right="82"/>
              <w:jc w:val="center"/>
              <w:rPr>
                <w:sz w:val="17"/>
              </w:rPr>
            </w:pPr>
            <w:r>
              <w:rPr>
                <w:w w:val="105"/>
                <w:sz w:val="17"/>
              </w:rPr>
              <w:t>417</w:t>
            </w:r>
          </w:p>
        </w:tc>
        <w:tc>
          <w:tcPr>
            <w:tcW w:w="1070" w:type="dxa"/>
          </w:tcPr>
          <w:p>
            <w:pPr>
              <w:pStyle w:val="TableParagraph"/>
              <w:spacing w:before="42"/>
              <w:ind w:left="340" w:right="333"/>
              <w:jc w:val="center"/>
              <w:rPr>
                <w:sz w:val="17"/>
              </w:rPr>
            </w:pPr>
            <w:r>
              <w:rPr>
                <w:w w:val="105"/>
                <w:sz w:val="17"/>
              </w:rPr>
              <w:t>.000</w:t>
            </w:r>
          </w:p>
        </w:tc>
      </w:tr>
      <w:tr>
        <w:trPr>
          <w:trHeight w:val="293" w:hRule="exact"/>
        </w:trPr>
        <w:tc>
          <w:tcPr>
            <w:tcW w:w="1008" w:type="dxa"/>
          </w:tcPr>
          <w:p>
            <w:pPr>
              <w:pStyle w:val="TableParagraph"/>
              <w:spacing w:before="47"/>
              <w:ind w:left="62"/>
              <w:rPr>
                <w:sz w:val="17"/>
              </w:rPr>
            </w:pPr>
            <w:r>
              <w:rPr>
                <w:w w:val="104"/>
                <w:sz w:val="17"/>
              </w:rPr>
              <w:t>3</w:t>
            </w:r>
          </w:p>
        </w:tc>
        <w:tc>
          <w:tcPr>
            <w:tcW w:w="554" w:type="dxa"/>
            <w:tcBorders>
              <w:right w:val="single" w:sz="2" w:space="0" w:color="000000"/>
            </w:tcBorders>
          </w:tcPr>
          <w:p>
            <w:pPr>
              <w:pStyle w:val="TableParagraph"/>
              <w:spacing w:before="13"/>
              <w:ind w:right="64"/>
              <w:jc w:val="right"/>
              <w:rPr>
                <w:sz w:val="11"/>
              </w:rPr>
            </w:pPr>
            <w:r>
              <w:rPr>
                <w:w w:val="105"/>
                <w:sz w:val="17"/>
              </w:rPr>
              <w:t>.898</w:t>
            </w:r>
            <w:r>
              <w:rPr>
                <w:w w:val="105"/>
                <w:position w:val="9"/>
                <w:sz w:val="11"/>
              </w:rPr>
              <w:t>c</w:t>
            </w:r>
          </w:p>
        </w:tc>
        <w:tc>
          <w:tcPr>
            <w:tcW w:w="1102" w:type="dxa"/>
            <w:tcBorders>
              <w:left w:val="single" w:sz="2" w:space="0" w:color="000000"/>
            </w:tcBorders>
          </w:tcPr>
          <w:p>
            <w:pPr>
              <w:pStyle w:val="TableParagraph"/>
              <w:spacing w:before="47"/>
              <w:ind w:right="369"/>
              <w:jc w:val="right"/>
              <w:rPr>
                <w:sz w:val="17"/>
              </w:rPr>
            </w:pPr>
            <w:r>
              <w:rPr>
                <w:w w:val="105"/>
                <w:sz w:val="17"/>
              </w:rPr>
              <w:t>.807</w:t>
            </w:r>
          </w:p>
        </w:tc>
        <w:tc>
          <w:tcPr>
            <w:tcW w:w="1099" w:type="dxa"/>
          </w:tcPr>
          <w:p>
            <w:pPr>
              <w:pStyle w:val="TableParagraph"/>
              <w:spacing w:before="47"/>
              <w:ind w:left="352" w:right="350"/>
              <w:jc w:val="center"/>
              <w:rPr>
                <w:sz w:val="17"/>
              </w:rPr>
            </w:pPr>
            <w:r>
              <w:rPr>
                <w:w w:val="105"/>
                <w:sz w:val="17"/>
              </w:rPr>
              <w:t>.805</w:t>
            </w:r>
          </w:p>
        </w:tc>
        <w:tc>
          <w:tcPr>
            <w:tcW w:w="1243" w:type="dxa"/>
          </w:tcPr>
          <w:p>
            <w:pPr>
              <w:pStyle w:val="TableParagraph"/>
              <w:spacing w:before="47"/>
              <w:ind w:left="274" w:right="274"/>
              <w:jc w:val="center"/>
              <w:rPr>
                <w:sz w:val="17"/>
              </w:rPr>
            </w:pPr>
            <w:r>
              <w:rPr>
                <w:w w:val="105"/>
                <w:sz w:val="17"/>
              </w:rPr>
              <w:t>1.32814</w:t>
            </w:r>
          </w:p>
        </w:tc>
        <w:tc>
          <w:tcPr>
            <w:tcW w:w="1104" w:type="dxa"/>
          </w:tcPr>
          <w:p>
            <w:pPr>
              <w:pStyle w:val="TableParagraph"/>
              <w:spacing w:before="47"/>
              <w:ind w:left="354" w:right="352"/>
              <w:jc w:val="center"/>
              <w:rPr>
                <w:sz w:val="17"/>
              </w:rPr>
            </w:pPr>
            <w:r>
              <w:rPr>
                <w:w w:val="105"/>
                <w:sz w:val="17"/>
              </w:rPr>
              <w:t>.050</w:t>
            </w:r>
          </w:p>
        </w:tc>
        <w:tc>
          <w:tcPr>
            <w:tcW w:w="965" w:type="dxa"/>
          </w:tcPr>
          <w:p>
            <w:pPr>
              <w:pStyle w:val="TableParagraph"/>
              <w:spacing w:before="47"/>
              <w:ind w:left="138" w:right="131"/>
              <w:jc w:val="center"/>
              <w:rPr>
                <w:sz w:val="17"/>
              </w:rPr>
            </w:pPr>
            <w:r>
              <w:rPr>
                <w:w w:val="105"/>
                <w:sz w:val="17"/>
              </w:rPr>
              <w:t>108.389</w:t>
            </w:r>
          </w:p>
        </w:tc>
        <w:tc>
          <w:tcPr>
            <w:tcW w:w="442" w:type="dxa"/>
          </w:tcPr>
          <w:p>
            <w:pPr>
              <w:pStyle w:val="TableParagraph"/>
              <w:spacing w:before="47"/>
              <w:ind w:left="2"/>
              <w:jc w:val="center"/>
              <w:rPr>
                <w:sz w:val="17"/>
              </w:rPr>
            </w:pPr>
            <w:r>
              <w:rPr>
                <w:w w:val="104"/>
                <w:sz w:val="17"/>
              </w:rPr>
              <w:t>1</w:t>
            </w:r>
          </w:p>
        </w:tc>
        <w:tc>
          <w:tcPr>
            <w:tcW w:w="518" w:type="dxa"/>
          </w:tcPr>
          <w:p>
            <w:pPr>
              <w:pStyle w:val="TableParagraph"/>
              <w:spacing w:before="47"/>
              <w:ind w:left="89" w:right="82"/>
              <w:jc w:val="center"/>
              <w:rPr>
                <w:sz w:val="17"/>
              </w:rPr>
            </w:pPr>
            <w:r>
              <w:rPr>
                <w:w w:val="105"/>
                <w:sz w:val="17"/>
              </w:rPr>
              <w:t>416</w:t>
            </w:r>
          </w:p>
        </w:tc>
        <w:tc>
          <w:tcPr>
            <w:tcW w:w="1070" w:type="dxa"/>
          </w:tcPr>
          <w:p>
            <w:pPr>
              <w:pStyle w:val="TableParagraph"/>
              <w:spacing w:before="47"/>
              <w:ind w:left="340" w:right="333"/>
              <w:jc w:val="center"/>
              <w:rPr>
                <w:sz w:val="17"/>
              </w:rPr>
            </w:pPr>
            <w:r>
              <w:rPr>
                <w:w w:val="105"/>
                <w:sz w:val="17"/>
              </w:rPr>
              <w:t>.000</w:t>
            </w:r>
          </w:p>
        </w:tc>
      </w:tr>
      <w:tr>
        <w:trPr>
          <w:trHeight w:val="298" w:hRule="exact"/>
        </w:trPr>
        <w:tc>
          <w:tcPr>
            <w:tcW w:w="1008" w:type="dxa"/>
          </w:tcPr>
          <w:p>
            <w:pPr>
              <w:pStyle w:val="TableParagraph"/>
              <w:spacing w:before="47"/>
              <w:ind w:left="62"/>
              <w:rPr>
                <w:sz w:val="17"/>
              </w:rPr>
            </w:pPr>
            <w:r>
              <w:rPr>
                <w:w w:val="104"/>
                <w:sz w:val="17"/>
              </w:rPr>
              <w:t>4</w:t>
            </w:r>
          </w:p>
        </w:tc>
        <w:tc>
          <w:tcPr>
            <w:tcW w:w="554" w:type="dxa"/>
            <w:tcBorders>
              <w:right w:val="single" w:sz="2" w:space="0" w:color="000000"/>
            </w:tcBorders>
          </w:tcPr>
          <w:p>
            <w:pPr>
              <w:pStyle w:val="TableParagraph"/>
              <w:spacing w:before="13"/>
              <w:ind w:right="62"/>
              <w:jc w:val="right"/>
              <w:rPr>
                <w:sz w:val="11"/>
              </w:rPr>
            </w:pPr>
            <w:r>
              <w:rPr>
                <w:w w:val="105"/>
                <w:sz w:val="17"/>
              </w:rPr>
              <w:t>.915</w:t>
            </w:r>
            <w:r>
              <w:rPr>
                <w:w w:val="105"/>
                <w:position w:val="9"/>
                <w:sz w:val="11"/>
              </w:rPr>
              <w:t>d</w:t>
            </w:r>
          </w:p>
        </w:tc>
        <w:tc>
          <w:tcPr>
            <w:tcW w:w="1102" w:type="dxa"/>
            <w:tcBorders>
              <w:left w:val="single" w:sz="2" w:space="0" w:color="000000"/>
            </w:tcBorders>
          </w:tcPr>
          <w:p>
            <w:pPr>
              <w:pStyle w:val="TableParagraph"/>
              <w:spacing w:before="47"/>
              <w:ind w:right="369"/>
              <w:jc w:val="right"/>
              <w:rPr>
                <w:sz w:val="17"/>
              </w:rPr>
            </w:pPr>
            <w:r>
              <w:rPr>
                <w:w w:val="105"/>
                <w:sz w:val="17"/>
              </w:rPr>
              <w:t>.837</w:t>
            </w:r>
          </w:p>
        </w:tc>
        <w:tc>
          <w:tcPr>
            <w:tcW w:w="1099" w:type="dxa"/>
          </w:tcPr>
          <w:p>
            <w:pPr>
              <w:pStyle w:val="TableParagraph"/>
              <w:spacing w:before="47"/>
              <w:ind w:left="352" w:right="350"/>
              <w:jc w:val="center"/>
              <w:rPr>
                <w:sz w:val="17"/>
              </w:rPr>
            </w:pPr>
            <w:r>
              <w:rPr>
                <w:w w:val="105"/>
                <w:sz w:val="17"/>
              </w:rPr>
              <w:t>.835</w:t>
            </w:r>
          </w:p>
        </w:tc>
        <w:tc>
          <w:tcPr>
            <w:tcW w:w="1243" w:type="dxa"/>
          </w:tcPr>
          <w:p>
            <w:pPr>
              <w:pStyle w:val="TableParagraph"/>
              <w:spacing w:before="47"/>
              <w:ind w:left="274" w:right="274"/>
              <w:jc w:val="center"/>
              <w:rPr>
                <w:sz w:val="17"/>
              </w:rPr>
            </w:pPr>
            <w:r>
              <w:rPr>
                <w:w w:val="105"/>
                <w:sz w:val="17"/>
              </w:rPr>
              <w:t>1.22188</w:t>
            </w:r>
          </w:p>
        </w:tc>
        <w:tc>
          <w:tcPr>
            <w:tcW w:w="1104" w:type="dxa"/>
          </w:tcPr>
          <w:p>
            <w:pPr>
              <w:pStyle w:val="TableParagraph"/>
              <w:spacing w:before="47"/>
              <w:ind w:left="354" w:right="352"/>
              <w:jc w:val="center"/>
              <w:rPr>
                <w:sz w:val="17"/>
              </w:rPr>
            </w:pPr>
            <w:r>
              <w:rPr>
                <w:w w:val="105"/>
                <w:sz w:val="17"/>
              </w:rPr>
              <w:t>.030</w:t>
            </w:r>
          </w:p>
        </w:tc>
        <w:tc>
          <w:tcPr>
            <w:tcW w:w="965" w:type="dxa"/>
          </w:tcPr>
          <w:p>
            <w:pPr>
              <w:pStyle w:val="TableParagraph"/>
              <w:spacing w:before="47"/>
              <w:ind w:left="131" w:right="131"/>
              <w:jc w:val="center"/>
              <w:rPr>
                <w:sz w:val="17"/>
              </w:rPr>
            </w:pPr>
            <w:r>
              <w:rPr>
                <w:w w:val="105"/>
                <w:sz w:val="17"/>
              </w:rPr>
              <w:t>76.503</w:t>
            </w:r>
          </w:p>
        </w:tc>
        <w:tc>
          <w:tcPr>
            <w:tcW w:w="442" w:type="dxa"/>
          </w:tcPr>
          <w:p>
            <w:pPr>
              <w:pStyle w:val="TableParagraph"/>
              <w:spacing w:before="47"/>
              <w:ind w:left="2"/>
              <w:jc w:val="center"/>
              <w:rPr>
                <w:sz w:val="17"/>
              </w:rPr>
            </w:pPr>
            <w:r>
              <w:rPr>
                <w:w w:val="104"/>
                <w:sz w:val="17"/>
              </w:rPr>
              <w:t>1</w:t>
            </w:r>
          </w:p>
        </w:tc>
        <w:tc>
          <w:tcPr>
            <w:tcW w:w="518" w:type="dxa"/>
          </w:tcPr>
          <w:p>
            <w:pPr>
              <w:pStyle w:val="TableParagraph"/>
              <w:spacing w:before="47"/>
              <w:ind w:left="89" w:right="82"/>
              <w:jc w:val="center"/>
              <w:rPr>
                <w:sz w:val="17"/>
              </w:rPr>
            </w:pPr>
            <w:r>
              <w:rPr>
                <w:w w:val="105"/>
                <w:sz w:val="17"/>
              </w:rPr>
              <w:t>415</w:t>
            </w:r>
          </w:p>
        </w:tc>
        <w:tc>
          <w:tcPr>
            <w:tcW w:w="1070" w:type="dxa"/>
          </w:tcPr>
          <w:p>
            <w:pPr>
              <w:pStyle w:val="TableParagraph"/>
              <w:spacing w:before="47"/>
              <w:ind w:left="340" w:right="333"/>
              <w:jc w:val="center"/>
              <w:rPr>
                <w:sz w:val="17"/>
              </w:rPr>
            </w:pPr>
            <w:r>
              <w:rPr>
                <w:w w:val="105"/>
                <w:sz w:val="17"/>
              </w:rPr>
              <w:t>.000</w:t>
            </w:r>
          </w:p>
        </w:tc>
      </w:tr>
      <w:tr>
        <w:trPr>
          <w:trHeight w:val="293" w:hRule="exact"/>
        </w:trPr>
        <w:tc>
          <w:tcPr>
            <w:tcW w:w="1008" w:type="dxa"/>
          </w:tcPr>
          <w:p>
            <w:pPr>
              <w:pStyle w:val="TableParagraph"/>
              <w:spacing w:before="42"/>
              <w:ind w:left="62"/>
              <w:rPr>
                <w:sz w:val="17"/>
              </w:rPr>
            </w:pPr>
            <w:r>
              <w:rPr>
                <w:w w:val="104"/>
                <w:sz w:val="17"/>
              </w:rPr>
              <w:t>5</w:t>
            </w:r>
          </w:p>
        </w:tc>
        <w:tc>
          <w:tcPr>
            <w:tcW w:w="554" w:type="dxa"/>
            <w:tcBorders>
              <w:right w:val="single" w:sz="2" w:space="0" w:color="000000"/>
            </w:tcBorders>
          </w:tcPr>
          <w:p>
            <w:pPr>
              <w:pStyle w:val="TableParagraph"/>
              <w:spacing w:before="8"/>
              <w:ind w:right="62"/>
              <w:jc w:val="right"/>
              <w:rPr>
                <w:sz w:val="11"/>
              </w:rPr>
            </w:pPr>
            <w:r>
              <w:rPr>
                <w:w w:val="105"/>
                <w:sz w:val="17"/>
              </w:rPr>
              <w:t>.917</w:t>
            </w:r>
            <w:r>
              <w:rPr>
                <w:w w:val="105"/>
                <w:position w:val="9"/>
                <w:sz w:val="11"/>
              </w:rPr>
              <w:t>e</w:t>
            </w:r>
          </w:p>
        </w:tc>
        <w:tc>
          <w:tcPr>
            <w:tcW w:w="1102" w:type="dxa"/>
            <w:tcBorders>
              <w:left w:val="single" w:sz="2" w:space="0" w:color="000000"/>
            </w:tcBorders>
          </w:tcPr>
          <w:p>
            <w:pPr>
              <w:pStyle w:val="TableParagraph"/>
              <w:spacing w:before="37"/>
              <w:ind w:right="369"/>
              <w:jc w:val="right"/>
              <w:rPr>
                <w:b/>
                <w:sz w:val="17"/>
              </w:rPr>
            </w:pPr>
            <w:r>
              <w:rPr>
                <w:b/>
                <w:w w:val="105"/>
                <w:sz w:val="17"/>
              </w:rPr>
              <w:t>.840</w:t>
            </w:r>
          </w:p>
        </w:tc>
        <w:tc>
          <w:tcPr>
            <w:tcW w:w="1099" w:type="dxa"/>
          </w:tcPr>
          <w:p>
            <w:pPr>
              <w:pStyle w:val="TableParagraph"/>
              <w:spacing w:before="37"/>
              <w:ind w:left="352" w:right="350"/>
              <w:jc w:val="center"/>
              <w:rPr>
                <w:b/>
                <w:sz w:val="17"/>
              </w:rPr>
            </w:pPr>
            <w:r>
              <w:rPr>
                <w:b/>
                <w:w w:val="105"/>
                <w:sz w:val="17"/>
              </w:rPr>
              <w:t>.838</w:t>
            </w:r>
          </w:p>
        </w:tc>
        <w:tc>
          <w:tcPr>
            <w:tcW w:w="1243" w:type="dxa"/>
          </w:tcPr>
          <w:p>
            <w:pPr>
              <w:pStyle w:val="TableParagraph"/>
              <w:spacing w:before="42"/>
              <w:ind w:left="274" w:right="274"/>
              <w:jc w:val="center"/>
              <w:rPr>
                <w:sz w:val="17"/>
              </w:rPr>
            </w:pPr>
            <w:r>
              <w:rPr>
                <w:w w:val="105"/>
                <w:sz w:val="17"/>
              </w:rPr>
              <w:t>1.21063</w:t>
            </w:r>
          </w:p>
        </w:tc>
        <w:tc>
          <w:tcPr>
            <w:tcW w:w="1104" w:type="dxa"/>
          </w:tcPr>
          <w:p>
            <w:pPr>
              <w:pStyle w:val="TableParagraph"/>
              <w:spacing w:before="42"/>
              <w:ind w:left="354" w:right="352"/>
              <w:jc w:val="center"/>
              <w:rPr>
                <w:sz w:val="17"/>
              </w:rPr>
            </w:pPr>
            <w:r>
              <w:rPr>
                <w:w w:val="105"/>
                <w:sz w:val="17"/>
              </w:rPr>
              <w:t>.003</w:t>
            </w:r>
          </w:p>
        </w:tc>
        <w:tc>
          <w:tcPr>
            <w:tcW w:w="965" w:type="dxa"/>
          </w:tcPr>
          <w:p>
            <w:pPr>
              <w:pStyle w:val="TableParagraph"/>
              <w:spacing w:before="42"/>
              <w:ind w:left="133" w:right="131"/>
              <w:jc w:val="center"/>
              <w:rPr>
                <w:sz w:val="17"/>
              </w:rPr>
            </w:pPr>
            <w:r>
              <w:rPr>
                <w:w w:val="105"/>
                <w:sz w:val="17"/>
              </w:rPr>
              <w:t>8.751</w:t>
            </w:r>
          </w:p>
        </w:tc>
        <w:tc>
          <w:tcPr>
            <w:tcW w:w="442" w:type="dxa"/>
          </w:tcPr>
          <w:p>
            <w:pPr>
              <w:pStyle w:val="TableParagraph"/>
              <w:spacing w:before="42"/>
              <w:ind w:left="2"/>
              <w:jc w:val="center"/>
              <w:rPr>
                <w:sz w:val="17"/>
              </w:rPr>
            </w:pPr>
            <w:r>
              <w:rPr>
                <w:w w:val="104"/>
                <w:sz w:val="17"/>
              </w:rPr>
              <w:t>1</w:t>
            </w:r>
          </w:p>
        </w:tc>
        <w:tc>
          <w:tcPr>
            <w:tcW w:w="518" w:type="dxa"/>
          </w:tcPr>
          <w:p>
            <w:pPr>
              <w:pStyle w:val="TableParagraph"/>
              <w:spacing w:before="42"/>
              <w:ind w:left="89" w:right="82"/>
              <w:jc w:val="center"/>
              <w:rPr>
                <w:sz w:val="17"/>
              </w:rPr>
            </w:pPr>
            <w:r>
              <w:rPr>
                <w:w w:val="105"/>
                <w:sz w:val="17"/>
              </w:rPr>
              <w:t>414</w:t>
            </w:r>
          </w:p>
        </w:tc>
        <w:tc>
          <w:tcPr>
            <w:tcW w:w="1070" w:type="dxa"/>
          </w:tcPr>
          <w:p>
            <w:pPr>
              <w:pStyle w:val="TableParagraph"/>
              <w:spacing w:before="42"/>
              <w:ind w:left="340" w:right="333"/>
              <w:jc w:val="center"/>
              <w:rPr>
                <w:sz w:val="17"/>
              </w:rPr>
            </w:pPr>
            <w:r>
              <w:rPr>
                <w:w w:val="105"/>
                <w:sz w:val="17"/>
              </w:rPr>
              <w:t>.003</w:t>
            </w:r>
          </w:p>
        </w:tc>
      </w:tr>
      <w:tr>
        <w:trPr>
          <w:trHeight w:val="307" w:hRule="exact"/>
        </w:trPr>
        <w:tc>
          <w:tcPr>
            <w:tcW w:w="9106" w:type="dxa"/>
            <w:gridSpan w:val="10"/>
          </w:tcPr>
          <w:p>
            <w:pPr>
              <w:pStyle w:val="TableParagraph"/>
              <w:spacing w:before="3"/>
              <w:ind w:left="62"/>
              <w:rPr>
                <w:sz w:val="17"/>
              </w:rPr>
            </w:pPr>
            <w:r>
              <w:rPr>
                <w:w w:val="105"/>
                <w:sz w:val="17"/>
              </w:rPr>
              <w:t>a. Variables predictoras: (Constante), responsabilidad ambiental</w:t>
            </w:r>
          </w:p>
        </w:tc>
      </w:tr>
      <w:tr>
        <w:trPr>
          <w:trHeight w:val="290" w:hRule="exact"/>
        </w:trPr>
        <w:tc>
          <w:tcPr>
            <w:tcW w:w="9106" w:type="dxa"/>
            <w:gridSpan w:val="10"/>
            <w:tcBorders>
              <w:bottom w:val="single" w:sz="2" w:space="0" w:color="000000"/>
            </w:tcBorders>
          </w:tcPr>
          <w:p>
            <w:pPr>
              <w:pStyle w:val="TableParagraph"/>
              <w:spacing w:before="3"/>
              <w:ind w:left="62"/>
              <w:rPr>
                <w:sz w:val="17"/>
              </w:rPr>
            </w:pPr>
            <w:r>
              <w:rPr>
                <w:w w:val="105"/>
                <w:sz w:val="17"/>
              </w:rPr>
              <w:t>b. Variables predictoras: (Constante), responsabilidad ambiental, conocimiento ambiental</w:t>
            </w:r>
          </w:p>
        </w:tc>
      </w:tr>
      <w:tr>
        <w:trPr>
          <w:trHeight w:val="295" w:hRule="exact"/>
        </w:trPr>
        <w:tc>
          <w:tcPr>
            <w:tcW w:w="9106" w:type="dxa"/>
            <w:gridSpan w:val="10"/>
            <w:tcBorders>
              <w:top w:val="single" w:sz="2" w:space="0" w:color="000000"/>
            </w:tcBorders>
          </w:tcPr>
          <w:p>
            <w:pPr>
              <w:pStyle w:val="TableParagraph"/>
              <w:spacing w:before="8"/>
              <w:ind w:left="62"/>
              <w:rPr>
                <w:sz w:val="17"/>
              </w:rPr>
            </w:pPr>
            <w:r>
              <w:rPr>
                <w:w w:val="105"/>
                <w:sz w:val="17"/>
              </w:rPr>
              <w:t>c. Variables predictoras: (Constante), responsabilidad ambiental, conocimiento ambiental, estrategias</w:t>
            </w:r>
          </w:p>
        </w:tc>
      </w:tr>
      <w:tr>
        <w:trPr>
          <w:trHeight w:val="293" w:hRule="exact"/>
        </w:trPr>
        <w:tc>
          <w:tcPr>
            <w:tcW w:w="9106" w:type="dxa"/>
            <w:gridSpan w:val="10"/>
          </w:tcPr>
          <w:p>
            <w:pPr>
              <w:pStyle w:val="TableParagraph"/>
              <w:spacing w:before="3"/>
              <w:ind w:left="62"/>
              <w:rPr>
                <w:sz w:val="17"/>
              </w:rPr>
            </w:pPr>
            <w:r>
              <w:rPr>
                <w:w w:val="105"/>
                <w:sz w:val="17"/>
              </w:rPr>
              <w:t>d. Variables predictoras: (Constante), responsabilidad ambiental, conocimiento ambiental, estrategias, conciencia</w:t>
            </w:r>
          </w:p>
        </w:tc>
      </w:tr>
      <w:tr>
        <w:trPr>
          <w:trHeight w:val="413" w:hRule="exact"/>
        </w:trPr>
        <w:tc>
          <w:tcPr>
            <w:tcW w:w="9106" w:type="dxa"/>
            <w:gridSpan w:val="10"/>
          </w:tcPr>
          <w:p>
            <w:pPr>
              <w:pStyle w:val="TableParagraph"/>
              <w:spacing w:line="247" w:lineRule="auto" w:before="3"/>
              <w:ind w:left="62"/>
              <w:rPr>
                <w:sz w:val="17"/>
              </w:rPr>
            </w:pPr>
            <w:r>
              <w:rPr>
                <w:w w:val="105"/>
                <w:sz w:val="17"/>
              </w:rPr>
              <w:t>e. Variables predictoras: (Constante), responsabilidad ambiental, conocimientos ambientales, estrategias, </w:t>
            </w:r>
            <w:r>
              <w:rPr>
                <w:sz w:val="17"/>
              </w:rPr>
              <w:t>conciencia, actividades</w:t>
            </w:r>
          </w:p>
        </w:tc>
      </w:tr>
    </w:tbl>
    <w:p>
      <w:pPr>
        <w:spacing w:after="0" w:line="247" w:lineRule="auto"/>
        <w:rPr>
          <w:sz w:val="17"/>
        </w:rPr>
        <w:sectPr>
          <w:type w:val="continuous"/>
          <w:pgSz w:w="11910" w:h="16840"/>
          <w:pgMar w:top="1000" w:bottom="280" w:left="1540" w:right="200"/>
        </w:sectPr>
      </w:pPr>
    </w:p>
    <w:p>
      <w:pPr>
        <w:pStyle w:val="BodyText"/>
        <w:rPr>
          <w:b/>
          <w:sz w:val="20"/>
        </w:rPr>
      </w:pPr>
    </w:p>
    <w:p>
      <w:pPr>
        <w:pStyle w:val="BodyText"/>
        <w:spacing w:before="10"/>
        <w:rPr>
          <w:b/>
          <w:sz w:val="17"/>
        </w:rPr>
      </w:pPr>
    </w:p>
    <w:p>
      <w:pPr>
        <w:spacing w:line="362" w:lineRule="auto" w:before="74"/>
        <w:ind w:left="581" w:right="1371" w:firstLine="0"/>
        <w:jc w:val="center"/>
        <w:rPr>
          <w:b/>
          <w:sz w:val="23"/>
        </w:rPr>
      </w:pPr>
      <w:r>
        <w:rPr>
          <w:b/>
          <w:sz w:val="23"/>
        </w:rPr>
        <w:t>CAPITULO 5. COMPORTAMIENTO PROAMBIENTAL DEL VISITANTE EN EL PARQUE NACIONAL DESIERTO DE LOS LEONES,  MÉXICO.</w:t>
      </w:r>
    </w:p>
    <w:p>
      <w:pPr>
        <w:pStyle w:val="Heading2"/>
        <w:spacing w:before="123"/>
        <w:ind w:left="116"/>
      </w:pPr>
      <w:bookmarkStart w:name="_TOC_250009" w:id="26"/>
      <w:bookmarkEnd w:id="26"/>
      <w:r>
        <w:rPr/>
        <w:t>5.1 RESULTADOS</w:t>
      </w:r>
    </w:p>
    <w:p>
      <w:pPr>
        <w:pStyle w:val="Heading2"/>
        <w:spacing w:before="138"/>
        <w:ind w:left="115"/>
      </w:pPr>
      <w:bookmarkStart w:name="_TOC_250008" w:id="27"/>
      <w:bookmarkEnd w:id="27"/>
      <w:r>
        <w:rPr/>
        <w:t>5.1.1   Características de la muestra.</w:t>
      </w:r>
    </w:p>
    <w:p>
      <w:pPr>
        <w:pStyle w:val="BodyText"/>
        <w:spacing w:line="364" w:lineRule="auto" w:before="143"/>
        <w:ind w:left="116" w:right="899"/>
        <w:jc w:val="both"/>
      </w:pPr>
      <w:r>
        <w:rPr/>
        <w:t>La muestra de los visitantes </w:t>
      </w:r>
      <w:r>
        <w:rPr>
          <w:spacing w:val="3"/>
        </w:rPr>
        <w:t>se </w:t>
      </w:r>
      <w:r>
        <w:rPr/>
        <w:t>integró por 80.23% de mexicanos y 19.76% de extranjeros. De ellos 49.2% son de sexo masculino y 50.7% de sexo femenino. En  cuanto a la ocupación, se puede observar que el mayor porcentaje lo representan empleados (28.33%), seguido por profesionistas (27.61%), estudiantes (22.85%),  </w:t>
      </w:r>
      <w:r>
        <w:rPr>
          <w:spacing w:val="58"/>
        </w:rPr>
        <w:t> </w:t>
      </w:r>
      <w:r>
        <w:rPr/>
        <w:t>amas</w:t>
      </w:r>
    </w:p>
    <w:p>
      <w:pPr>
        <w:pStyle w:val="BodyText"/>
        <w:spacing w:before="10"/>
        <w:ind w:left="116"/>
        <w:jc w:val="both"/>
      </w:pPr>
      <w:r>
        <w:rPr/>
        <w:t>de casa (16.42%) y pensionados (4.76).</w:t>
      </w:r>
    </w:p>
    <w:p>
      <w:pPr>
        <w:pStyle w:val="BodyText"/>
        <w:spacing w:before="5"/>
        <w:rPr>
          <w:sz w:val="22"/>
        </w:rPr>
      </w:pPr>
    </w:p>
    <w:p>
      <w:pPr>
        <w:spacing w:before="0" w:after="28"/>
        <w:ind w:left="0" w:right="784" w:firstLine="0"/>
        <w:jc w:val="center"/>
        <w:rPr>
          <w:sz w:val="21"/>
        </w:rPr>
      </w:pPr>
      <w:r>
        <w:rPr>
          <w:sz w:val="21"/>
        </w:rPr>
        <w:t>Tabla No.11. Características de la muestra de turistas por sexo, nacionalidad y   ocupación</w:t>
      </w:r>
    </w:p>
    <w:tbl>
      <w:tblPr>
        <w:tblW w:w="0" w:type="auto"/>
        <w:jc w:val="left"/>
        <w:tblInd w:w="2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5"/>
        <w:gridCol w:w="1181"/>
        <w:gridCol w:w="754"/>
        <w:gridCol w:w="1133"/>
        <w:gridCol w:w="1493"/>
        <w:gridCol w:w="1363"/>
        <w:gridCol w:w="1493"/>
      </w:tblGrid>
      <w:tr>
        <w:trPr>
          <w:trHeight w:val="254" w:hRule="exact"/>
        </w:trPr>
        <w:tc>
          <w:tcPr>
            <w:tcW w:w="4502" w:type="dxa"/>
            <w:gridSpan w:val="4"/>
            <w:vMerge w:val="restart"/>
            <w:shd w:val="clear" w:color="auto" w:fill="70AD47"/>
          </w:tcPr>
          <w:p>
            <w:pPr>
              <w:pStyle w:val="TableParagraph"/>
              <w:spacing w:before="147"/>
              <w:ind w:left="1770" w:right="1770"/>
              <w:jc w:val="center"/>
              <w:rPr>
                <w:b/>
                <w:sz w:val="17"/>
              </w:rPr>
            </w:pPr>
            <w:r>
              <w:rPr>
                <w:b/>
                <w:w w:val="105"/>
                <w:sz w:val="17"/>
              </w:rPr>
              <w:t>Ocupación</w:t>
            </w:r>
          </w:p>
        </w:tc>
        <w:tc>
          <w:tcPr>
            <w:tcW w:w="2856" w:type="dxa"/>
            <w:gridSpan w:val="2"/>
            <w:tcBorders>
              <w:bottom w:val="single" w:sz="14" w:space="0" w:color="C5E0B3"/>
            </w:tcBorders>
            <w:shd w:val="clear" w:color="auto" w:fill="70AD47"/>
          </w:tcPr>
          <w:p>
            <w:pPr>
              <w:pStyle w:val="TableParagraph"/>
              <w:spacing w:before="12"/>
              <w:ind w:left="105"/>
              <w:rPr>
                <w:b/>
                <w:sz w:val="17"/>
              </w:rPr>
            </w:pPr>
            <w:r>
              <w:rPr>
                <w:b/>
                <w:w w:val="105"/>
                <w:sz w:val="17"/>
              </w:rPr>
              <w:t>Nacionalidad</w:t>
            </w:r>
          </w:p>
        </w:tc>
        <w:tc>
          <w:tcPr>
            <w:tcW w:w="1493" w:type="dxa"/>
            <w:vMerge w:val="restart"/>
            <w:shd w:val="clear" w:color="auto" w:fill="70AD47"/>
          </w:tcPr>
          <w:p>
            <w:pPr>
              <w:pStyle w:val="TableParagraph"/>
              <w:spacing w:before="147"/>
              <w:ind w:left="100"/>
              <w:rPr>
                <w:b/>
                <w:sz w:val="17"/>
              </w:rPr>
            </w:pPr>
            <w:r>
              <w:rPr>
                <w:b/>
                <w:w w:val="105"/>
                <w:sz w:val="17"/>
              </w:rPr>
              <w:t>Total</w:t>
            </w:r>
          </w:p>
        </w:tc>
      </w:tr>
      <w:tr>
        <w:trPr>
          <w:trHeight w:val="272" w:hRule="exact"/>
        </w:trPr>
        <w:tc>
          <w:tcPr>
            <w:tcW w:w="4502" w:type="dxa"/>
            <w:gridSpan w:val="4"/>
            <w:vMerge/>
            <w:tcBorders>
              <w:bottom w:val="single" w:sz="14" w:space="0" w:color="E2EFD9"/>
            </w:tcBorders>
            <w:shd w:val="clear" w:color="auto" w:fill="70AD47"/>
          </w:tcPr>
          <w:p>
            <w:pPr/>
          </w:p>
        </w:tc>
        <w:tc>
          <w:tcPr>
            <w:tcW w:w="1493" w:type="dxa"/>
            <w:tcBorders>
              <w:top w:val="single" w:sz="14" w:space="0" w:color="70AD47"/>
              <w:left w:val="single" w:sz="40" w:space="0" w:color="70AD47"/>
              <w:bottom w:val="single" w:sz="18" w:space="0" w:color="E2EFD9"/>
              <w:right w:val="single" w:sz="4" w:space="0" w:color="000000"/>
            </w:tcBorders>
            <w:shd w:val="clear" w:color="auto" w:fill="C5E0B3"/>
          </w:tcPr>
          <w:p>
            <w:pPr>
              <w:pStyle w:val="TableParagraph"/>
              <w:spacing w:before="25"/>
              <w:ind w:left="55"/>
              <w:rPr>
                <w:sz w:val="17"/>
              </w:rPr>
            </w:pPr>
            <w:r>
              <w:rPr>
                <w:w w:val="105"/>
                <w:sz w:val="17"/>
              </w:rPr>
              <w:t>Mexicano</w:t>
            </w:r>
          </w:p>
        </w:tc>
        <w:tc>
          <w:tcPr>
            <w:tcW w:w="1363" w:type="dxa"/>
            <w:tcBorders>
              <w:top w:val="single" w:sz="14" w:space="0" w:color="70AD47"/>
              <w:left w:val="single" w:sz="4" w:space="0" w:color="000000"/>
              <w:bottom w:val="single" w:sz="18" w:space="0" w:color="E2EFD9"/>
              <w:right w:val="single" w:sz="40" w:space="0" w:color="70AD47"/>
            </w:tcBorders>
            <w:shd w:val="clear" w:color="auto" w:fill="C5E0B3"/>
          </w:tcPr>
          <w:p>
            <w:pPr>
              <w:pStyle w:val="TableParagraph"/>
              <w:spacing w:before="25"/>
              <w:ind w:left="105"/>
              <w:rPr>
                <w:sz w:val="17"/>
              </w:rPr>
            </w:pPr>
            <w:r>
              <w:rPr>
                <w:w w:val="105"/>
                <w:sz w:val="17"/>
              </w:rPr>
              <w:t>Extranjero</w:t>
            </w:r>
          </w:p>
        </w:tc>
        <w:tc>
          <w:tcPr>
            <w:tcW w:w="1493" w:type="dxa"/>
            <w:vMerge/>
            <w:tcBorders>
              <w:bottom w:val="single" w:sz="18" w:space="0" w:color="E2EFD9"/>
            </w:tcBorders>
            <w:shd w:val="clear" w:color="auto" w:fill="70AD47"/>
          </w:tcPr>
          <w:p>
            <w:pPr/>
          </w:p>
        </w:tc>
      </w:tr>
      <w:tr>
        <w:trPr>
          <w:trHeight w:val="259" w:hRule="exact"/>
        </w:trPr>
        <w:tc>
          <w:tcPr>
            <w:tcW w:w="1435" w:type="dxa"/>
            <w:vMerge w:val="restart"/>
            <w:tcBorders>
              <w:top w:val="single" w:sz="4" w:space="0" w:color="000000"/>
              <w:right w:val="single" w:sz="4" w:space="0" w:color="000000"/>
            </w:tcBorders>
            <w:shd w:val="clear" w:color="auto" w:fill="70AD47"/>
          </w:tcPr>
          <w:p>
            <w:pPr>
              <w:pStyle w:val="TableParagraph"/>
              <w:rPr>
                <w:sz w:val="18"/>
              </w:rPr>
            </w:pPr>
          </w:p>
          <w:p>
            <w:pPr>
              <w:pStyle w:val="TableParagraph"/>
              <w:rPr>
                <w:sz w:val="18"/>
              </w:rPr>
            </w:pPr>
          </w:p>
          <w:p>
            <w:pPr>
              <w:pStyle w:val="TableParagraph"/>
              <w:spacing w:before="9"/>
              <w:rPr>
                <w:sz w:val="25"/>
              </w:rPr>
            </w:pPr>
          </w:p>
          <w:p>
            <w:pPr>
              <w:pStyle w:val="TableParagraph"/>
              <w:spacing w:before="1"/>
              <w:ind w:left="100"/>
              <w:rPr>
                <w:b/>
                <w:sz w:val="17"/>
              </w:rPr>
            </w:pPr>
            <w:r>
              <w:rPr>
                <w:b/>
                <w:w w:val="105"/>
                <w:sz w:val="17"/>
              </w:rPr>
              <w:t>Empleado</w:t>
            </w:r>
          </w:p>
        </w:tc>
        <w:tc>
          <w:tcPr>
            <w:tcW w:w="1181" w:type="dxa"/>
            <w:vMerge w:val="restart"/>
            <w:tcBorders>
              <w:top w:val="single" w:sz="4" w:space="0" w:color="000000"/>
              <w:left w:val="single" w:sz="4" w:space="0" w:color="000000"/>
              <w:right w:val="single" w:sz="4" w:space="0" w:color="000000"/>
            </w:tcBorders>
            <w:shd w:val="clear" w:color="auto" w:fill="E2EFD9"/>
          </w:tcPr>
          <w:p>
            <w:pPr>
              <w:pStyle w:val="TableParagraph"/>
              <w:rPr>
                <w:sz w:val="18"/>
              </w:rPr>
            </w:pPr>
          </w:p>
          <w:p>
            <w:pPr>
              <w:pStyle w:val="TableParagraph"/>
              <w:rPr>
                <w:sz w:val="20"/>
              </w:rPr>
            </w:pPr>
          </w:p>
          <w:p>
            <w:pPr>
              <w:pStyle w:val="TableParagraph"/>
              <w:ind w:left="100"/>
              <w:rPr>
                <w:b/>
                <w:sz w:val="17"/>
              </w:rPr>
            </w:pPr>
            <w:r>
              <w:rPr>
                <w:b/>
                <w:w w:val="105"/>
                <w:sz w:val="17"/>
              </w:rPr>
              <w:t>Sexo</w:t>
            </w:r>
          </w:p>
        </w:tc>
        <w:tc>
          <w:tcPr>
            <w:tcW w:w="754" w:type="dxa"/>
            <w:vMerge w:val="restart"/>
            <w:tcBorders>
              <w:top w:val="single" w:sz="4" w:space="0" w:color="000000"/>
              <w:left w:val="single" w:sz="4" w:space="0" w:color="000000"/>
              <w:right w:val="single" w:sz="4" w:space="0" w:color="000000"/>
            </w:tcBorders>
            <w:shd w:val="clear" w:color="auto" w:fill="E2EFD9"/>
          </w:tcPr>
          <w:p>
            <w:pPr>
              <w:pStyle w:val="TableParagraph"/>
              <w:spacing w:before="7"/>
              <w:rPr>
                <w:sz w:val="14"/>
              </w:rPr>
            </w:pPr>
          </w:p>
          <w:p>
            <w:pPr>
              <w:pStyle w:val="TableParagraph"/>
              <w:spacing w:before="1"/>
              <w:ind w:left="96"/>
              <w:rPr>
                <w:sz w:val="17"/>
              </w:rPr>
            </w:pPr>
            <w:r>
              <w:rPr>
                <w:w w:val="105"/>
                <w:sz w:val="17"/>
              </w:rPr>
              <w:t>Masc</w:t>
            </w:r>
          </w:p>
        </w:tc>
        <w:tc>
          <w:tcPr>
            <w:tcW w:w="113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34"/>
              <w:ind w:left="105"/>
              <w:rPr>
                <w:sz w:val="17"/>
              </w:rPr>
            </w:pPr>
            <w:r>
              <w:rPr>
                <w:w w:val="105"/>
                <w:sz w:val="17"/>
              </w:rPr>
              <w:t>Cantidad</w:t>
            </w:r>
          </w:p>
        </w:tc>
        <w:tc>
          <w:tcPr>
            <w:tcW w:w="1493" w:type="dxa"/>
            <w:tcBorders>
              <w:top w:val="single" w:sz="11" w:space="0" w:color="C5E0B3"/>
              <w:left w:val="single" w:sz="4" w:space="0" w:color="000000"/>
              <w:bottom w:val="single" w:sz="4" w:space="0" w:color="000000"/>
              <w:right w:val="single" w:sz="4" w:space="0" w:color="000000"/>
            </w:tcBorders>
            <w:shd w:val="clear" w:color="auto" w:fill="E2EFD9"/>
          </w:tcPr>
          <w:p>
            <w:pPr>
              <w:pStyle w:val="TableParagraph"/>
              <w:spacing w:before="25"/>
              <w:ind w:left="100"/>
              <w:rPr>
                <w:sz w:val="17"/>
              </w:rPr>
            </w:pPr>
            <w:r>
              <w:rPr>
                <w:w w:val="105"/>
                <w:sz w:val="17"/>
              </w:rPr>
              <w:t>53</w:t>
            </w:r>
          </w:p>
        </w:tc>
        <w:tc>
          <w:tcPr>
            <w:tcW w:w="1363" w:type="dxa"/>
            <w:tcBorders>
              <w:top w:val="single" w:sz="11" w:space="0" w:color="C5E0B3"/>
              <w:left w:val="single" w:sz="4" w:space="0" w:color="000000"/>
              <w:bottom w:val="single" w:sz="4" w:space="0" w:color="000000"/>
              <w:right w:val="single" w:sz="4" w:space="0" w:color="000000"/>
            </w:tcBorders>
            <w:shd w:val="clear" w:color="auto" w:fill="E2EFD9"/>
          </w:tcPr>
          <w:p>
            <w:pPr>
              <w:pStyle w:val="TableParagraph"/>
              <w:spacing w:before="25"/>
              <w:ind w:left="105"/>
              <w:rPr>
                <w:sz w:val="17"/>
              </w:rPr>
            </w:pPr>
            <w:r>
              <w:rPr>
                <w:w w:val="104"/>
                <w:sz w:val="17"/>
              </w:rPr>
              <w:t>8</w:t>
            </w:r>
          </w:p>
        </w:tc>
        <w:tc>
          <w:tcPr>
            <w:tcW w:w="149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34"/>
              <w:ind w:left="95"/>
              <w:rPr>
                <w:sz w:val="17"/>
              </w:rPr>
            </w:pPr>
            <w:r>
              <w:rPr>
                <w:w w:val="105"/>
                <w:sz w:val="17"/>
              </w:rPr>
              <w:t>61</w:t>
            </w:r>
          </w:p>
        </w:tc>
      </w:tr>
      <w:tr>
        <w:trPr>
          <w:trHeight w:val="286" w:hRule="exact"/>
        </w:trPr>
        <w:tc>
          <w:tcPr>
            <w:tcW w:w="1435" w:type="dxa"/>
            <w:vMerge/>
            <w:tcBorders>
              <w:right w:val="single" w:sz="4" w:space="0" w:color="000000"/>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8" w:space="0" w:color="E2EFD9"/>
              <w:left w:val="single" w:sz="4" w:space="0" w:color="000000"/>
              <w:bottom w:val="single" w:sz="14" w:space="0" w:color="E2EFD9"/>
              <w:right w:val="single" w:sz="4" w:space="0" w:color="000000"/>
            </w:tcBorders>
            <w:shd w:val="clear" w:color="auto" w:fill="C5E0B3"/>
          </w:tcPr>
          <w:p>
            <w:pPr>
              <w:pStyle w:val="TableParagraph"/>
              <w:spacing w:before="32"/>
              <w:ind w:left="105"/>
              <w:rPr>
                <w:sz w:val="17"/>
              </w:rPr>
            </w:pPr>
            <w:r>
              <w:rPr>
                <w:w w:val="105"/>
                <w:sz w:val="17"/>
              </w:rPr>
              <w:t>% Total</w:t>
            </w:r>
          </w:p>
        </w:tc>
        <w:tc>
          <w:tcPr>
            <w:tcW w:w="1493" w:type="dxa"/>
            <w:tcBorders>
              <w:top w:val="single" w:sz="18" w:space="0" w:color="E2EFD9"/>
              <w:left w:val="single" w:sz="4" w:space="0" w:color="000000"/>
              <w:bottom w:val="single" w:sz="14" w:space="0" w:color="E2EFD9"/>
              <w:right w:val="single" w:sz="4" w:space="0" w:color="000000"/>
            </w:tcBorders>
            <w:shd w:val="clear" w:color="auto" w:fill="C5E0B3"/>
          </w:tcPr>
          <w:p>
            <w:pPr>
              <w:pStyle w:val="TableParagraph"/>
              <w:spacing w:before="32"/>
              <w:ind w:left="100"/>
              <w:rPr>
                <w:sz w:val="17"/>
              </w:rPr>
            </w:pPr>
            <w:r>
              <w:rPr>
                <w:w w:val="105"/>
                <w:sz w:val="17"/>
              </w:rPr>
              <w:t>12.61%</w:t>
            </w:r>
          </w:p>
        </w:tc>
        <w:tc>
          <w:tcPr>
            <w:tcW w:w="1363" w:type="dxa"/>
            <w:tcBorders>
              <w:top w:val="single" w:sz="18" w:space="0" w:color="E2EFD9"/>
              <w:left w:val="single" w:sz="4" w:space="0" w:color="000000"/>
              <w:bottom w:val="single" w:sz="14" w:space="0" w:color="E2EFD9"/>
              <w:right w:val="single" w:sz="4" w:space="0" w:color="000000"/>
            </w:tcBorders>
            <w:shd w:val="clear" w:color="auto" w:fill="C5E0B3"/>
          </w:tcPr>
          <w:p>
            <w:pPr>
              <w:pStyle w:val="TableParagraph"/>
              <w:spacing w:before="32"/>
              <w:ind w:left="105"/>
              <w:rPr>
                <w:sz w:val="17"/>
              </w:rPr>
            </w:pPr>
            <w:r>
              <w:rPr>
                <w:w w:val="105"/>
                <w:sz w:val="17"/>
              </w:rPr>
              <w:t>2%</w:t>
            </w:r>
          </w:p>
        </w:tc>
        <w:tc>
          <w:tcPr>
            <w:tcW w:w="1493" w:type="dxa"/>
            <w:tcBorders>
              <w:top w:val="single" w:sz="18" w:space="0" w:color="E2EFD9"/>
              <w:left w:val="single" w:sz="4" w:space="0" w:color="000000"/>
              <w:bottom w:val="single" w:sz="14" w:space="0" w:color="E2EFD9"/>
              <w:right w:val="single" w:sz="4" w:space="0" w:color="000000"/>
            </w:tcBorders>
            <w:shd w:val="clear" w:color="auto" w:fill="C5E0B3"/>
          </w:tcPr>
          <w:p>
            <w:pPr>
              <w:pStyle w:val="TableParagraph"/>
              <w:spacing w:before="27"/>
              <w:ind w:left="95"/>
              <w:rPr>
                <w:b/>
                <w:sz w:val="17"/>
              </w:rPr>
            </w:pPr>
            <w:r>
              <w:rPr>
                <w:b/>
                <w:w w:val="105"/>
                <w:sz w:val="17"/>
              </w:rPr>
              <w:t>14.50%</w:t>
            </w:r>
          </w:p>
        </w:tc>
      </w:tr>
      <w:tr>
        <w:trPr>
          <w:trHeight w:val="257" w:hRule="exact"/>
        </w:trPr>
        <w:tc>
          <w:tcPr>
            <w:tcW w:w="1435" w:type="dxa"/>
            <w:vMerge/>
            <w:tcBorders>
              <w:right w:val="single" w:sz="4" w:space="0" w:color="000000"/>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val="restart"/>
            <w:tcBorders>
              <w:top w:val="single" w:sz="4" w:space="0" w:color="000000"/>
              <w:left w:val="single" w:sz="4" w:space="0" w:color="000000"/>
              <w:right w:val="single" w:sz="4" w:space="0" w:color="000000"/>
            </w:tcBorders>
            <w:shd w:val="clear" w:color="auto" w:fill="E2EFD9"/>
          </w:tcPr>
          <w:p>
            <w:pPr>
              <w:pStyle w:val="TableParagraph"/>
              <w:spacing w:before="10"/>
              <w:rPr>
                <w:sz w:val="14"/>
              </w:rPr>
            </w:pPr>
          </w:p>
          <w:p>
            <w:pPr>
              <w:pStyle w:val="TableParagraph"/>
              <w:ind w:left="96"/>
              <w:rPr>
                <w:sz w:val="17"/>
              </w:rPr>
            </w:pPr>
            <w:r>
              <w:rPr>
                <w:w w:val="105"/>
                <w:sz w:val="17"/>
              </w:rPr>
              <w:t>Fem</w:t>
            </w:r>
          </w:p>
        </w:tc>
        <w:tc>
          <w:tcPr>
            <w:tcW w:w="1133" w:type="dxa"/>
            <w:tcBorders>
              <w:top w:val="single" w:sz="14" w:space="0" w:color="C5E0B3"/>
              <w:left w:val="single" w:sz="4" w:space="0" w:color="000000"/>
              <w:bottom w:val="single" w:sz="2" w:space="0" w:color="000000"/>
              <w:right w:val="single" w:sz="4" w:space="0" w:color="000000"/>
            </w:tcBorders>
            <w:shd w:val="clear" w:color="auto" w:fill="E2EFD9"/>
          </w:tcPr>
          <w:p>
            <w:pPr>
              <w:pStyle w:val="TableParagraph"/>
              <w:spacing w:before="25"/>
              <w:ind w:left="105"/>
              <w:rPr>
                <w:sz w:val="17"/>
              </w:rPr>
            </w:pPr>
            <w:r>
              <w:rPr>
                <w:w w:val="105"/>
                <w:sz w:val="17"/>
              </w:rPr>
              <w:t>Cantidad</w:t>
            </w:r>
          </w:p>
        </w:tc>
        <w:tc>
          <w:tcPr>
            <w:tcW w:w="1493" w:type="dxa"/>
            <w:tcBorders>
              <w:top w:val="single" w:sz="14" w:space="0" w:color="C5E0B3"/>
              <w:left w:val="single" w:sz="4" w:space="0" w:color="000000"/>
              <w:bottom w:val="single" w:sz="2" w:space="0" w:color="000000"/>
              <w:right w:val="single" w:sz="4" w:space="0" w:color="000000"/>
            </w:tcBorders>
            <w:shd w:val="clear" w:color="auto" w:fill="E2EFD9"/>
          </w:tcPr>
          <w:p>
            <w:pPr>
              <w:pStyle w:val="TableParagraph"/>
              <w:spacing w:before="25"/>
              <w:ind w:left="100"/>
              <w:rPr>
                <w:sz w:val="17"/>
              </w:rPr>
            </w:pPr>
            <w:r>
              <w:rPr>
                <w:w w:val="105"/>
                <w:sz w:val="17"/>
              </w:rPr>
              <w:t>50</w:t>
            </w:r>
          </w:p>
        </w:tc>
        <w:tc>
          <w:tcPr>
            <w:tcW w:w="1363" w:type="dxa"/>
            <w:tcBorders>
              <w:top w:val="single" w:sz="14" w:space="0" w:color="C5E0B3"/>
              <w:left w:val="single" w:sz="4" w:space="0" w:color="000000"/>
              <w:bottom w:val="single" w:sz="2" w:space="0" w:color="000000"/>
              <w:right w:val="single" w:sz="4" w:space="0" w:color="000000"/>
            </w:tcBorders>
            <w:shd w:val="clear" w:color="auto" w:fill="E2EFD9"/>
          </w:tcPr>
          <w:p>
            <w:pPr>
              <w:pStyle w:val="TableParagraph"/>
              <w:spacing w:before="25"/>
              <w:ind w:left="105"/>
              <w:rPr>
                <w:sz w:val="17"/>
              </w:rPr>
            </w:pPr>
            <w:r>
              <w:rPr>
                <w:w w:val="104"/>
                <w:sz w:val="17"/>
              </w:rPr>
              <w:t>8</w:t>
            </w:r>
          </w:p>
        </w:tc>
        <w:tc>
          <w:tcPr>
            <w:tcW w:w="1493" w:type="dxa"/>
            <w:tcBorders>
              <w:top w:val="single" w:sz="14" w:space="0" w:color="C5E0B3"/>
              <w:left w:val="single" w:sz="4" w:space="0" w:color="000000"/>
              <w:bottom w:val="single" w:sz="2" w:space="0" w:color="000000"/>
              <w:right w:val="single" w:sz="4" w:space="0" w:color="000000"/>
            </w:tcBorders>
            <w:shd w:val="clear" w:color="auto" w:fill="E2EFD9"/>
          </w:tcPr>
          <w:p>
            <w:pPr>
              <w:pStyle w:val="TableParagraph"/>
              <w:spacing w:before="25"/>
              <w:ind w:left="95"/>
              <w:rPr>
                <w:sz w:val="17"/>
              </w:rPr>
            </w:pPr>
            <w:r>
              <w:rPr>
                <w:w w:val="105"/>
                <w:sz w:val="17"/>
              </w:rPr>
              <w:t>58</w:t>
            </w:r>
          </w:p>
        </w:tc>
      </w:tr>
      <w:tr>
        <w:trPr>
          <w:trHeight w:val="304" w:hRule="exact"/>
        </w:trPr>
        <w:tc>
          <w:tcPr>
            <w:tcW w:w="1435" w:type="dxa"/>
            <w:vMerge/>
            <w:tcBorders>
              <w:right w:val="single" w:sz="4" w:space="0" w:color="000000"/>
            </w:tcBorders>
            <w:shd w:val="clear" w:color="auto" w:fill="70AD47"/>
          </w:tcPr>
          <w:p>
            <w:pPr/>
          </w:p>
        </w:tc>
        <w:tc>
          <w:tcPr>
            <w:tcW w:w="1181" w:type="dxa"/>
            <w:vMerge/>
            <w:tcBorders>
              <w:left w:val="single" w:sz="4" w:space="0" w:color="000000"/>
              <w:bottom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3" w:space="0" w:color="E2EFD9"/>
              <w:left w:val="single" w:sz="4" w:space="0" w:color="000000"/>
              <w:bottom w:val="single" w:sz="15" w:space="0" w:color="E2EFD9"/>
              <w:right w:val="single" w:sz="4" w:space="0" w:color="000000"/>
            </w:tcBorders>
            <w:shd w:val="clear" w:color="auto" w:fill="C5E0B3"/>
          </w:tcPr>
          <w:p>
            <w:pPr>
              <w:pStyle w:val="TableParagraph"/>
              <w:spacing w:before="37"/>
              <w:ind w:left="105"/>
              <w:rPr>
                <w:sz w:val="17"/>
              </w:rPr>
            </w:pPr>
            <w:r>
              <w:rPr>
                <w:w w:val="105"/>
                <w:sz w:val="17"/>
              </w:rPr>
              <w:t>% Total</w:t>
            </w:r>
          </w:p>
        </w:tc>
        <w:tc>
          <w:tcPr>
            <w:tcW w:w="1493" w:type="dxa"/>
            <w:tcBorders>
              <w:top w:val="single" w:sz="13" w:space="0" w:color="E2EFD9"/>
              <w:left w:val="single" w:sz="4" w:space="0" w:color="000000"/>
              <w:bottom w:val="single" w:sz="15" w:space="0" w:color="E2EFD9"/>
              <w:right w:val="single" w:sz="4" w:space="0" w:color="000000"/>
            </w:tcBorders>
            <w:shd w:val="clear" w:color="auto" w:fill="C5E0B3"/>
          </w:tcPr>
          <w:p>
            <w:pPr>
              <w:pStyle w:val="TableParagraph"/>
              <w:spacing w:before="37"/>
              <w:ind w:left="100"/>
              <w:rPr>
                <w:sz w:val="17"/>
              </w:rPr>
            </w:pPr>
            <w:r>
              <w:rPr>
                <w:w w:val="105"/>
                <w:sz w:val="17"/>
              </w:rPr>
              <w:t>11.90%</w:t>
            </w:r>
          </w:p>
        </w:tc>
        <w:tc>
          <w:tcPr>
            <w:tcW w:w="1363" w:type="dxa"/>
            <w:tcBorders>
              <w:top w:val="single" w:sz="13" w:space="0" w:color="E2EFD9"/>
              <w:left w:val="single" w:sz="4" w:space="0" w:color="000000"/>
              <w:bottom w:val="single" w:sz="15" w:space="0" w:color="E2EFD9"/>
              <w:right w:val="single" w:sz="4" w:space="0" w:color="000000"/>
            </w:tcBorders>
            <w:shd w:val="clear" w:color="auto" w:fill="C5E0B3"/>
          </w:tcPr>
          <w:p>
            <w:pPr>
              <w:pStyle w:val="TableParagraph"/>
              <w:spacing w:before="37"/>
              <w:ind w:left="105"/>
              <w:rPr>
                <w:sz w:val="17"/>
              </w:rPr>
            </w:pPr>
            <w:r>
              <w:rPr>
                <w:w w:val="105"/>
                <w:sz w:val="17"/>
              </w:rPr>
              <w:t>1.90%</w:t>
            </w:r>
          </w:p>
        </w:tc>
        <w:tc>
          <w:tcPr>
            <w:tcW w:w="1493" w:type="dxa"/>
            <w:tcBorders>
              <w:top w:val="single" w:sz="13" w:space="0" w:color="E2EFD9"/>
              <w:left w:val="single" w:sz="4" w:space="0" w:color="000000"/>
              <w:bottom w:val="single" w:sz="15" w:space="0" w:color="E2EFD9"/>
              <w:right w:val="single" w:sz="4" w:space="0" w:color="000000"/>
            </w:tcBorders>
            <w:shd w:val="clear" w:color="auto" w:fill="C5E0B3"/>
          </w:tcPr>
          <w:p>
            <w:pPr>
              <w:pStyle w:val="TableParagraph"/>
              <w:spacing w:before="32"/>
              <w:ind w:left="95"/>
              <w:rPr>
                <w:b/>
                <w:sz w:val="17"/>
              </w:rPr>
            </w:pPr>
            <w:r>
              <w:rPr>
                <w:b/>
                <w:w w:val="105"/>
                <w:sz w:val="17"/>
              </w:rPr>
              <w:t>13.80%</w:t>
            </w:r>
          </w:p>
        </w:tc>
      </w:tr>
      <w:tr>
        <w:trPr>
          <w:trHeight w:val="257" w:hRule="exact"/>
        </w:trPr>
        <w:tc>
          <w:tcPr>
            <w:tcW w:w="1435" w:type="dxa"/>
            <w:vMerge/>
            <w:tcBorders>
              <w:right w:val="single" w:sz="4" w:space="0" w:color="000000"/>
            </w:tcBorders>
            <w:shd w:val="clear" w:color="auto" w:fill="70AD47"/>
          </w:tcPr>
          <w:p>
            <w:pPr/>
          </w:p>
        </w:tc>
        <w:tc>
          <w:tcPr>
            <w:tcW w:w="1934" w:type="dxa"/>
            <w:gridSpan w:val="2"/>
            <w:vMerge w:val="restart"/>
            <w:tcBorders>
              <w:top w:val="single" w:sz="4" w:space="0" w:color="000000"/>
              <w:left w:val="single" w:sz="4" w:space="0" w:color="000000"/>
              <w:right w:val="single" w:sz="4" w:space="0" w:color="000000"/>
            </w:tcBorders>
            <w:shd w:val="clear" w:color="auto" w:fill="E2EFD9"/>
          </w:tcPr>
          <w:p>
            <w:pPr>
              <w:pStyle w:val="TableParagraph"/>
              <w:spacing w:before="152"/>
              <w:ind w:left="100"/>
              <w:rPr>
                <w:sz w:val="17"/>
              </w:rPr>
            </w:pPr>
            <w:r>
              <w:rPr>
                <w:w w:val="105"/>
                <w:sz w:val="17"/>
              </w:rPr>
              <w:t>Total</w:t>
            </w:r>
          </w:p>
        </w:tc>
        <w:tc>
          <w:tcPr>
            <w:tcW w:w="1133" w:type="dxa"/>
            <w:tcBorders>
              <w:top w:val="single" w:sz="4" w:space="0" w:color="000000"/>
              <w:left w:val="single" w:sz="4" w:space="0" w:color="000000"/>
              <w:bottom w:val="single" w:sz="14" w:space="0" w:color="C5E0B3"/>
              <w:right w:val="single" w:sz="4" w:space="0" w:color="000000"/>
            </w:tcBorders>
            <w:shd w:val="clear" w:color="auto" w:fill="E2EFD9"/>
          </w:tcPr>
          <w:p>
            <w:pPr>
              <w:pStyle w:val="TableParagraph"/>
              <w:spacing w:before="18"/>
              <w:ind w:left="105"/>
              <w:rPr>
                <w:sz w:val="17"/>
              </w:rPr>
            </w:pPr>
            <w:r>
              <w:rPr>
                <w:w w:val="105"/>
                <w:sz w:val="17"/>
              </w:rPr>
              <w:t>Cantidad</w:t>
            </w:r>
          </w:p>
        </w:tc>
        <w:tc>
          <w:tcPr>
            <w:tcW w:w="1493" w:type="dxa"/>
            <w:tcBorders>
              <w:top w:val="single" w:sz="4" w:space="0" w:color="000000"/>
              <w:left w:val="single" w:sz="4" w:space="0" w:color="000000"/>
              <w:bottom w:val="single" w:sz="14" w:space="0" w:color="C5E0B3"/>
              <w:right w:val="single" w:sz="4" w:space="0" w:color="000000"/>
            </w:tcBorders>
            <w:shd w:val="clear" w:color="auto" w:fill="E2EFD9"/>
          </w:tcPr>
          <w:p>
            <w:pPr>
              <w:pStyle w:val="TableParagraph"/>
              <w:spacing w:before="18"/>
              <w:ind w:left="100"/>
              <w:rPr>
                <w:sz w:val="17"/>
              </w:rPr>
            </w:pPr>
            <w:r>
              <w:rPr>
                <w:w w:val="105"/>
                <w:sz w:val="17"/>
              </w:rPr>
              <w:t>103</w:t>
            </w:r>
          </w:p>
        </w:tc>
        <w:tc>
          <w:tcPr>
            <w:tcW w:w="1363" w:type="dxa"/>
            <w:tcBorders>
              <w:top w:val="single" w:sz="4" w:space="0" w:color="000000"/>
              <w:left w:val="single" w:sz="4" w:space="0" w:color="000000"/>
              <w:bottom w:val="single" w:sz="14" w:space="0" w:color="C5E0B3"/>
              <w:right w:val="single" w:sz="4" w:space="0" w:color="000000"/>
            </w:tcBorders>
            <w:shd w:val="clear" w:color="auto" w:fill="E2EFD9"/>
          </w:tcPr>
          <w:p>
            <w:pPr>
              <w:pStyle w:val="TableParagraph"/>
              <w:spacing w:before="18"/>
              <w:ind w:left="105"/>
              <w:rPr>
                <w:sz w:val="17"/>
              </w:rPr>
            </w:pPr>
            <w:r>
              <w:rPr>
                <w:w w:val="105"/>
                <w:sz w:val="17"/>
              </w:rPr>
              <w:t>16</w:t>
            </w:r>
          </w:p>
        </w:tc>
        <w:tc>
          <w:tcPr>
            <w:tcW w:w="1493" w:type="dxa"/>
            <w:tcBorders>
              <w:top w:val="single" w:sz="4" w:space="0" w:color="000000"/>
              <w:left w:val="single" w:sz="4" w:space="0" w:color="000000"/>
              <w:bottom w:val="single" w:sz="14" w:space="0" w:color="C5E0B3"/>
              <w:right w:val="single" w:sz="4" w:space="0" w:color="000000"/>
            </w:tcBorders>
            <w:shd w:val="clear" w:color="auto" w:fill="E2EFD9"/>
          </w:tcPr>
          <w:p>
            <w:pPr>
              <w:pStyle w:val="TableParagraph"/>
              <w:spacing w:before="18"/>
              <w:ind w:left="95"/>
              <w:rPr>
                <w:sz w:val="17"/>
              </w:rPr>
            </w:pPr>
            <w:r>
              <w:rPr>
                <w:w w:val="105"/>
                <w:sz w:val="17"/>
              </w:rPr>
              <w:t>119</w:t>
            </w:r>
          </w:p>
        </w:tc>
      </w:tr>
      <w:tr>
        <w:trPr>
          <w:trHeight w:val="274" w:hRule="exact"/>
        </w:trPr>
        <w:tc>
          <w:tcPr>
            <w:tcW w:w="1435" w:type="dxa"/>
            <w:vMerge/>
            <w:tcBorders>
              <w:bottom w:val="single" w:sz="4" w:space="0" w:color="000000"/>
              <w:right w:val="single" w:sz="4" w:space="0" w:color="000000"/>
            </w:tcBorders>
            <w:shd w:val="clear" w:color="auto" w:fill="70AD47"/>
          </w:tcPr>
          <w:p>
            <w:pPr/>
          </w:p>
        </w:tc>
        <w:tc>
          <w:tcPr>
            <w:tcW w:w="1934" w:type="dxa"/>
            <w:gridSpan w:val="2"/>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2" w:space="0" w:color="E2EFD9"/>
              <w:left w:val="single" w:sz="4" w:space="0" w:color="000000"/>
              <w:bottom w:val="single" w:sz="14" w:space="0" w:color="E2EFD9"/>
              <w:right w:val="single" w:sz="4" w:space="0" w:color="000000"/>
            </w:tcBorders>
            <w:shd w:val="clear" w:color="auto" w:fill="C5E0B3"/>
          </w:tcPr>
          <w:p>
            <w:pPr>
              <w:pStyle w:val="TableParagraph"/>
              <w:spacing w:before="24"/>
              <w:ind w:left="105"/>
              <w:rPr>
                <w:sz w:val="17"/>
              </w:rPr>
            </w:pPr>
            <w:r>
              <w:rPr>
                <w:w w:val="105"/>
                <w:sz w:val="17"/>
              </w:rPr>
              <w:t>% Total</w:t>
            </w:r>
          </w:p>
        </w:tc>
        <w:tc>
          <w:tcPr>
            <w:tcW w:w="1493" w:type="dxa"/>
            <w:tcBorders>
              <w:top w:val="single" w:sz="12" w:space="0" w:color="E2EFD9"/>
              <w:left w:val="single" w:sz="4" w:space="0" w:color="000000"/>
              <w:bottom w:val="single" w:sz="14" w:space="0" w:color="E2EFD9"/>
              <w:right w:val="single" w:sz="4" w:space="0" w:color="000000"/>
            </w:tcBorders>
            <w:shd w:val="clear" w:color="auto" w:fill="C5E0B3"/>
          </w:tcPr>
          <w:p>
            <w:pPr>
              <w:pStyle w:val="TableParagraph"/>
              <w:spacing w:before="24"/>
              <w:ind w:left="100"/>
              <w:rPr>
                <w:sz w:val="17"/>
              </w:rPr>
            </w:pPr>
            <w:r>
              <w:rPr>
                <w:w w:val="105"/>
                <w:sz w:val="17"/>
              </w:rPr>
              <w:t>24.52%</w:t>
            </w:r>
          </w:p>
        </w:tc>
        <w:tc>
          <w:tcPr>
            <w:tcW w:w="1363" w:type="dxa"/>
            <w:tcBorders>
              <w:top w:val="single" w:sz="12" w:space="0" w:color="E2EFD9"/>
              <w:left w:val="single" w:sz="4" w:space="0" w:color="000000"/>
              <w:bottom w:val="single" w:sz="14" w:space="0" w:color="E2EFD9"/>
              <w:right w:val="single" w:sz="4" w:space="0" w:color="000000"/>
            </w:tcBorders>
            <w:shd w:val="clear" w:color="auto" w:fill="C5E0B3"/>
          </w:tcPr>
          <w:p>
            <w:pPr>
              <w:pStyle w:val="TableParagraph"/>
              <w:spacing w:before="24"/>
              <w:ind w:left="105"/>
              <w:rPr>
                <w:sz w:val="17"/>
              </w:rPr>
            </w:pPr>
            <w:r>
              <w:rPr>
                <w:w w:val="105"/>
                <w:sz w:val="17"/>
              </w:rPr>
              <w:t>3.80%</w:t>
            </w:r>
          </w:p>
        </w:tc>
        <w:tc>
          <w:tcPr>
            <w:tcW w:w="1493" w:type="dxa"/>
            <w:tcBorders>
              <w:top w:val="single" w:sz="12" w:space="0" w:color="E2EFD9"/>
              <w:left w:val="single" w:sz="4" w:space="0" w:color="000000"/>
              <w:bottom w:val="single" w:sz="14" w:space="0" w:color="E2EFD9"/>
              <w:right w:val="single" w:sz="4" w:space="0" w:color="000000"/>
            </w:tcBorders>
            <w:shd w:val="clear" w:color="auto" w:fill="C5E0B3"/>
          </w:tcPr>
          <w:p>
            <w:pPr>
              <w:pStyle w:val="TableParagraph"/>
              <w:spacing w:before="20"/>
              <w:ind w:left="95"/>
              <w:rPr>
                <w:b/>
                <w:sz w:val="17"/>
              </w:rPr>
            </w:pPr>
            <w:r>
              <w:rPr>
                <w:b/>
                <w:w w:val="105"/>
                <w:sz w:val="17"/>
              </w:rPr>
              <w:t>28.33%</w:t>
            </w:r>
          </w:p>
        </w:tc>
      </w:tr>
      <w:tr>
        <w:trPr>
          <w:trHeight w:val="268" w:hRule="exact"/>
        </w:trPr>
        <w:tc>
          <w:tcPr>
            <w:tcW w:w="1435" w:type="dxa"/>
            <w:vMerge w:val="restart"/>
            <w:tcBorders>
              <w:top w:val="single" w:sz="4" w:space="0" w:color="000000"/>
              <w:right w:val="single" w:sz="40" w:space="0" w:color="E2EFD9"/>
            </w:tcBorders>
            <w:shd w:val="clear" w:color="auto" w:fill="70AD47"/>
          </w:tcPr>
          <w:p>
            <w:pPr>
              <w:pStyle w:val="TableParagraph"/>
              <w:rPr>
                <w:sz w:val="18"/>
              </w:rPr>
            </w:pPr>
          </w:p>
          <w:p>
            <w:pPr>
              <w:pStyle w:val="TableParagraph"/>
              <w:rPr>
                <w:sz w:val="18"/>
              </w:rPr>
            </w:pPr>
          </w:p>
          <w:p>
            <w:pPr>
              <w:pStyle w:val="TableParagraph"/>
              <w:spacing w:before="10"/>
              <w:rPr>
                <w:sz w:val="25"/>
              </w:rPr>
            </w:pPr>
          </w:p>
          <w:p>
            <w:pPr>
              <w:pStyle w:val="TableParagraph"/>
              <w:ind w:left="100"/>
              <w:rPr>
                <w:b/>
                <w:sz w:val="17"/>
              </w:rPr>
            </w:pPr>
            <w:r>
              <w:rPr>
                <w:b/>
                <w:w w:val="105"/>
                <w:sz w:val="17"/>
              </w:rPr>
              <w:t>Profesionista</w:t>
            </w:r>
          </w:p>
        </w:tc>
        <w:tc>
          <w:tcPr>
            <w:tcW w:w="1181" w:type="dxa"/>
            <w:vMerge w:val="restart"/>
            <w:tcBorders>
              <w:top w:val="single" w:sz="4" w:space="0" w:color="000000"/>
              <w:left w:val="single" w:sz="4" w:space="0" w:color="000000"/>
              <w:right w:val="single" w:sz="4" w:space="0" w:color="000000"/>
            </w:tcBorders>
            <w:shd w:val="clear" w:color="auto" w:fill="E2EFD9"/>
          </w:tcPr>
          <w:p>
            <w:pPr>
              <w:pStyle w:val="TableParagraph"/>
              <w:rPr>
                <w:sz w:val="18"/>
              </w:rPr>
            </w:pPr>
          </w:p>
          <w:p>
            <w:pPr>
              <w:pStyle w:val="TableParagraph"/>
              <w:spacing w:before="7"/>
              <w:rPr>
                <w:sz w:val="19"/>
              </w:rPr>
            </w:pPr>
          </w:p>
          <w:p>
            <w:pPr>
              <w:pStyle w:val="TableParagraph"/>
              <w:ind w:left="100"/>
              <w:rPr>
                <w:b/>
                <w:sz w:val="17"/>
              </w:rPr>
            </w:pPr>
            <w:r>
              <w:rPr>
                <w:b/>
                <w:w w:val="105"/>
                <w:sz w:val="17"/>
              </w:rPr>
              <w:t>Sexo</w:t>
            </w:r>
          </w:p>
        </w:tc>
        <w:tc>
          <w:tcPr>
            <w:tcW w:w="754" w:type="dxa"/>
            <w:vMerge w:val="restart"/>
            <w:tcBorders>
              <w:top w:val="single" w:sz="4" w:space="0" w:color="000000"/>
              <w:left w:val="single" w:sz="4" w:space="0" w:color="000000"/>
              <w:right w:val="single" w:sz="4" w:space="0" w:color="000000"/>
            </w:tcBorders>
            <w:shd w:val="clear" w:color="auto" w:fill="E2EFD9"/>
          </w:tcPr>
          <w:p>
            <w:pPr>
              <w:pStyle w:val="TableParagraph"/>
              <w:spacing w:before="8"/>
              <w:rPr>
                <w:sz w:val="14"/>
              </w:rPr>
            </w:pPr>
          </w:p>
          <w:p>
            <w:pPr>
              <w:pStyle w:val="TableParagraph"/>
              <w:ind w:left="96"/>
              <w:rPr>
                <w:sz w:val="17"/>
              </w:rPr>
            </w:pPr>
            <w:r>
              <w:rPr>
                <w:w w:val="105"/>
                <w:sz w:val="17"/>
              </w:rPr>
              <w:t>Masc</w:t>
            </w:r>
          </w:p>
        </w:tc>
        <w:tc>
          <w:tcPr>
            <w:tcW w:w="1133" w:type="dxa"/>
            <w:tcBorders>
              <w:top w:val="single" w:sz="15" w:space="0" w:color="C5E0B3"/>
              <w:left w:val="single" w:sz="4" w:space="0" w:color="000000"/>
              <w:bottom w:val="single" w:sz="15" w:space="0" w:color="C5E0B3"/>
              <w:right w:val="single" w:sz="4" w:space="0" w:color="000000"/>
            </w:tcBorders>
            <w:shd w:val="clear" w:color="auto" w:fill="E2EFD9"/>
          </w:tcPr>
          <w:p>
            <w:pPr>
              <w:pStyle w:val="TableParagraph"/>
              <w:spacing w:before="20"/>
              <w:ind w:left="105"/>
              <w:rPr>
                <w:sz w:val="17"/>
              </w:rPr>
            </w:pPr>
            <w:r>
              <w:rPr>
                <w:w w:val="105"/>
                <w:sz w:val="17"/>
              </w:rPr>
              <w:t>Cantidad</w:t>
            </w:r>
          </w:p>
        </w:tc>
        <w:tc>
          <w:tcPr>
            <w:tcW w:w="1493" w:type="dxa"/>
            <w:tcBorders>
              <w:top w:val="single" w:sz="15" w:space="0" w:color="C5E0B3"/>
              <w:left w:val="single" w:sz="4" w:space="0" w:color="000000"/>
              <w:bottom w:val="single" w:sz="15" w:space="0" w:color="C5E0B3"/>
              <w:right w:val="single" w:sz="4" w:space="0" w:color="000000"/>
            </w:tcBorders>
            <w:shd w:val="clear" w:color="auto" w:fill="E2EFD9"/>
          </w:tcPr>
          <w:p>
            <w:pPr>
              <w:pStyle w:val="TableParagraph"/>
              <w:spacing w:before="20"/>
              <w:ind w:left="100"/>
              <w:rPr>
                <w:sz w:val="17"/>
              </w:rPr>
            </w:pPr>
            <w:r>
              <w:rPr>
                <w:w w:val="105"/>
                <w:sz w:val="17"/>
              </w:rPr>
              <w:t>54</w:t>
            </w:r>
          </w:p>
        </w:tc>
        <w:tc>
          <w:tcPr>
            <w:tcW w:w="1363" w:type="dxa"/>
            <w:tcBorders>
              <w:top w:val="single" w:sz="15" w:space="0" w:color="C5E0B3"/>
              <w:left w:val="single" w:sz="4" w:space="0" w:color="000000"/>
              <w:bottom w:val="single" w:sz="15" w:space="0" w:color="C5E0B3"/>
              <w:right w:val="single" w:sz="4" w:space="0" w:color="000000"/>
            </w:tcBorders>
            <w:shd w:val="clear" w:color="auto" w:fill="E2EFD9"/>
          </w:tcPr>
          <w:p>
            <w:pPr>
              <w:pStyle w:val="TableParagraph"/>
              <w:spacing w:before="20"/>
              <w:ind w:left="105"/>
              <w:rPr>
                <w:sz w:val="17"/>
              </w:rPr>
            </w:pPr>
            <w:r>
              <w:rPr>
                <w:w w:val="105"/>
                <w:sz w:val="17"/>
              </w:rPr>
              <w:t>10</w:t>
            </w:r>
          </w:p>
        </w:tc>
        <w:tc>
          <w:tcPr>
            <w:tcW w:w="1493" w:type="dxa"/>
            <w:tcBorders>
              <w:top w:val="single" w:sz="15" w:space="0" w:color="C5E0B3"/>
              <w:left w:val="single" w:sz="4" w:space="0" w:color="000000"/>
              <w:bottom w:val="single" w:sz="15" w:space="0" w:color="C5E0B3"/>
              <w:right w:val="single" w:sz="4" w:space="0" w:color="000000"/>
            </w:tcBorders>
            <w:shd w:val="clear" w:color="auto" w:fill="E2EFD9"/>
          </w:tcPr>
          <w:p>
            <w:pPr>
              <w:pStyle w:val="TableParagraph"/>
              <w:spacing w:before="20"/>
              <w:ind w:left="95"/>
              <w:rPr>
                <w:sz w:val="17"/>
              </w:rPr>
            </w:pPr>
            <w:r>
              <w:rPr>
                <w:w w:val="105"/>
                <w:sz w:val="17"/>
              </w:rPr>
              <w:t>64</w:t>
            </w:r>
          </w:p>
        </w:tc>
      </w:tr>
      <w:tr>
        <w:trPr>
          <w:trHeight w:val="294" w:hRule="exact"/>
        </w:trPr>
        <w:tc>
          <w:tcPr>
            <w:tcW w:w="1435" w:type="dxa"/>
            <w:vMerge/>
            <w:tcBorders>
              <w:right w:val="single" w:sz="40" w:space="0" w:color="E2EFD9"/>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8" w:space="0" w:color="E2EFD9"/>
              <w:left w:val="single" w:sz="4" w:space="0" w:color="000000"/>
              <w:bottom w:val="single" w:sz="18" w:space="0" w:color="E2EFD9"/>
              <w:right w:val="single" w:sz="4" w:space="0" w:color="000000"/>
            </w:tcBorders>
            <w:shd w:val="clear" w:color="auto" w:fill="C5E0B3"/>
          </w:tcPr>
          <w:p>
            <w:pPr>
              <w:pStyle w:val="TableParagraph"/>
              <w:spacing w:before="18"/>
              <w:ind w:left="105"/>
              <w:rPr>
                <w:sz w:val="17"/>
              </w:rPr>
            </w:pPr>
            <w:r>
              <w:rPr>
                <w:w w:val="105"/>
                <w:sz w:val="17"/>
              </w:rPr>
              <w:t>% Total</w:t>
            </w:r>
          </w:p>
        </w:tc>
        <w:tc>
          <w:tcPr>
            <w:tcW w:w="1493" w:type="dxa"/>
            <w:tcBorders>
              <w:top w:val="single" w:sz="18" w:space="0" w:color="E2EFD9"/>
              <w:left w:val="single" w:sz="4" w:space="0" w:color="000000"/>
              <w:bottom w:val="single" w:sz="18" w:space="0" w:color="E2EFD9"/>
              <w:right w:val="single" w:sz="4" w:space="0" w:color="000000"/>
            </w:tcBorders>
            <w:shd w:val="clear" w:color="auto" w:fill="C5E0B3"/>
          </w:tcPr>
          <w:p>
            <w:pPr>
              <w:pStyle w:val="TableParagraph"/>
              <w:spacing w:before="18"/>
              <w:ind w:left="100"/>
              <w:rPr>
                <w:sz w:val="17"/>
              </w:rPr>
            </w:pPr>
            <w:r>
              <w:rPr>
                <w:w w:val="105"/>
                <w:sz w:val="17"/>
              </w:rPr>
              <w:t>12.85%</w:t>
            </w:r>
          </w:p>
        </w:tc>
        <w:tc>
          <w:tcPr>
            <w:tcW w:w="1363" w:type="dxa"/>
            <w:tcBorders>
              <w:top w:val="single" w:sz="18" w:space="0" w:color="E2EFD9"/>
              <w:left w:val="single" w:sz="4" w:space="0" w:color="000000"/>
              <w:bottom w:val="single" w:sz="18" w:space="0" w:color="E2EFD9"/>
              <w:right w:val="single" w:sz="4" w:space="0" w:color="000000"/>
            </w:tcBorders>
            <w:shd w:val="clear" w:color="auto" w:fill="C5E0B3"/>
          </w:tcPr>
          <w:p>
            <w:pPr>
              <w:pStyle w:val="TableParagraph"/>
              <w:spacing w:before="18"/>
              <w:ind w:left="105"/>
              <w:rPr>
                <w:sz w:val="17"/>
              </w:rPr>
            </w:pPr>
            <w:r>
              <w:rPr>
                <w:w w:val="105"/>
                <w:sz w:val="17"/>
              </w:rPr>
              <w:t>2.38%</w:t>
            </w:r>
          </w:p>
        </w:tc>
        <w:tc>
          <w:tcPr>
            <w:tcW w:w="1493" w:type="dxa"/>
            <w:tcBorders>
              <w:top w:val="single" w:sz="18" w:space="0" w:color="E2EFD9"/>
              <w:left w:val="single" w:sz="4" w:space="0" w:color="000000"/>
              <w:bottom w:val="single" w:sz="18" w:space="0" w:color="E2EFD9"/>
              <w:right w:val="single" w:sz="4" w:space="0" w:color="000000"/>
            </w:tcBorders>
            <w:shd w:val="clear" w:color="auto" w:fill="C5E0B3"/>
          </w:tcPr>
          <w:p>
            <w:pPr>
              <w:pStyle w:val="TableParagraph"/>
              <w:spacing w:before="13"/>
              <w:ind w:left="95"/>
              <w:rPr>
                <w:b/>
                <w:sz w:val="17"/>
              </w:rPr>
            </w:pPr>
            <w:r>
              <w:rPr>
                <w:b/>
                <w:w w:val="105"/>
                <w:sz w:val="17"/>
              </w:rPr>
              <w:t>15.23%</w:t>
            </w:r>
          </w:p>
        </w:tc>
      </w:tr>
      <w:tr>
        <w:trPr>
          <w:trHeight w:val="237" w:hRule="exact"/>
        </w:trPr>
        <w:tc>
          <w:tcPr>
            <w:tcW w:w="1435" w:type="dxa"/>
            <w:vMerge/>
            <w:tcBorders>
              <w:right w:val="single" w:sz="40" w:space="0" w:color="E2EFD9"/>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val="restart"/>
            <w:tcBorders>
              <w:top w:val="single" w:sz="4" w:space="0" w:color="000000"/>
              <w:left w:val="single" w:sz="4" w:space="0" w:color="000000"/>
              <w:right w:val="single" w:sz="4" w:space="0" w:color="000000"/>
            </w:tcBorders>
            <w:shd w:val="clear" w:color="auto" w:fill="E2EFD9"/>
          </w:tcPr>
          <w:p>
            <w:pPr>
              <w:pStyle w:val="TableParagraph"/>
              <w:spacing w:before="154"/>
              <w:ind w:left="96"/>
              <w:rPr>
                <w:sz w:val="17"/>
              </w:rPr>
            </w:pPr>
            <w:r>
              <w:rPr>
                <w:w w:val="105"/>
                <w:sz w:val="17"/>
              </w:rPr>
              <w:t>Fem</w:t>
            </w:r>
          </w:p>
        </w:tc>
        <w:tc>
          <w:tcPr>
            <w:tcW w:w="113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20"/>
              <w:ind w:left="105"/>
              <w:rPr>
                <w:sz w:val="17"/>
              </w:rPr>
            </w:pPr>
            <w:r>
              <w:rPr>
                <w:w w:val="105"/>
                <w:sz w:val="17"/>
              </w:rPr>
              <w:t>Cantidad</w:t>
            </w:r>
          </w:p>
        </w:tc>
        <w:tc>
          <w:tcPr>
            <w:tcW w:w="149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20"/>
              <w:ind w:left="100"/>
              <w:rPr>
                <w:sz w:val="17"/>
              </w:rPr>
            </w:pPr>
            <w:r>
              <w:rPr>
                <w:w w:val="105"/>
                <w:sz w:val="17"/>
              </w:rPr>
              <w:t>40</w:t>
            </w:r>
          </w:p>
        </w:tc>
        <w:tc>
          <w:tcPr>
            <w:tcW w:w="136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20"/>
              <w:ind w:left="105"/>
              <w:rPr>
                <w:sz w:val="17"/>
              </w:rPr>
            </w:pPr>
            <w:r>
              <w:rPr>
                <w:w w:val="105"/>
                <w:sz w:val="17"/>
              </w:rPr>
              <w:t>12</w:t>
            </w:r>
          </w:p>
        </w:tc>
        <w:tc>
          <w:tcPr>
            <w:tcW w:w="149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20"/>
              <w:ind w:left="95"/>
              <w:rPr>
                <w:sz w:val="17"/>
              </w:rPr>
            </w:pPr>
            <w:r>
              <w:rPr>
                <w:w w:val="105"/>
                <w:sz w:val="17"/>
              </w:rPr>
              <w:t>52</w:t>
            </w:r>
          </w:p>
        </w:tc>
      </w:tr>
      <w:tr>
        <w:trPr>
          <w:trHeight w:val="288" w:hRule="exact"/>
        </w:trPr>
        <w:tc>
          <w:tcPr>
            <w:tcW w:w="1435" w:type="dxa"/>
            <w:vMerge/>
            <w:tcBorders>
              <w:right w:val="single" w:sz="40" w:space="0" w:color="E2EFD9"/>
            </w:tcBorders>
            <w:shd w:val="clear" w:color="auto" w:fill="70AD47"/>
          </w:tcPr>
          <w:p>
            <w:pPr/>
          </w:p>
        </w:tc>
        <w:tc>
          <w:tcPr>
            <w:tcW w:w="1181" w:type="dxa"/>
            <w:vMerge/>
            <w:tcBorders>
              <w:left w:val="single" w:sz="4" w:space="0" w:color="000000"/>
              <w:bottom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5" w:space="0" w:color="E2EFD9"/>
              <w:left w:val="single" w:sz="4" w:space="0" w:color="000000"/>
              <w:bottom w:val="single" w:sz="10" w:space="0" w:color="E2EFD9"/>
              <w:right w:val="single" w:sz="4" w:space="0" w:color="000000"/>
            </w:tcBorders>
            <w:shd w:val="clear" w:color="auto" w:fill="C5E0B3"/>
          </w:tcPr>
          <w:p>
            <w:pPr>
              <w:pStyle w:val="TableParagraph"/>
              <w:spacing w:before="37"/>
              <w:ind w:left="105"/>
              <w:rPr>
                <w:sz w:val="17"/>
              </w:rPr>
            </w:pPr>
            <w:r>
              <w:rPr>
                <w:w w:val="105"/>
                <w:sz w:val="17"/>
              </w:rPr>
              <w:t>% Total</w:t>
            </w:r>
          </w:p>
        </w:tc>
        <w:tc>
          <w:tcPr>
            <w:tcW w:w="1493" w:type="dxa"/>
            <w:tcBorders>
              <w:top w:val="single" w:sz="15" w:space="0" w:color="E2EFD9"/>
              <w:left w:val="single" w:sz="4" w:space="0" w:color="000000"/>
              <w:bottom w:val="single" w:sz="10" w:space="0" w:color="E2EFD9"/>
              <w:right w:val="single" w:sz="4" w:space="0" w:color="000000"/>
            </w:tcBorders>
            <w:shd w:val="clear" w:color="auto" w:fill="C5E0B3"/>
          </w:tcPr>
          <w:p>
            <w:pPr>
              <w:pStyle w:val="TableParagraph"/>
              <w:spacing w:before="37"/>
              <w:ind w:left="100"/>
              <w:rPr>
                <w:sz w:val="17"/>
              </w:rPr>
            </w:pPr>
            <w:r>
              <w:rPr>
                <w:w w:val="105"/>
                <w:sz w:val="17"/>
              </w:rPr>
              <w:t>9.52%</w:t>
            </w:r>
          </w:p>
        </w:tc>
        <w:tc>
          <w:tcPr>
            <w:tcW w:w="1363" w:type="dxa"/>
            <w:tcBorders>
              <w:top w:val="single" w:sz="15" w:space="0" w:color="E2EFD9"/>
              <w:left w:val="single" w:sz="4" w:space="0" w:color="000000"/>
              <w:bottom w:val="single" w:sz="10" w:space="0" w:color="E2EFD9"/>
              <w:right w:val="single" w:sz="4" w:space="0" w:color="000000"/>
            </w:tcBorders>
            <w:shd w:val="clear" w:color="auto" w:fill="C5E0B3"/>
          </w:tcPr>
          <w:p>
            <w:pPr>
              <w:pStyle w:val="TableParagraph"/>
              <w:spacing w:before="37"/>
              <w:ind w:left="105"/>
              <w:rPr>
                <w:sz w:val="17"/>
              </w:rPr>
            </w:pPr>
            <w:r>
              <w:rPr>
                <w:w w:val="105"/>
                <w:sz w:val="17"/>
              </w:rPr>
              <w:t>2.85%</w:t>
            </w:r>
          </w:p>
        </w:tc>
        <w:tc>
          <w:tcPr>
            <w:tcW w:w="1493" w:type="dxa"/>
            <w:tcBorders>
              <w:top w:val="single" w:sz="15" w:space="0" w:color="E2EFD9"/>
              <w:left w:val="single" w:sz="4" w:space="0" w:color="000000"/>
              <w:bottom w:val="single" w:sz="10" w:space="0" w:color="E2EFD9"/>
              <w:right w:val="single" w:sz="4" w:space="0" w:color="000000"/>
            </w:tcBorders>
            <w:shd w:val="clear" w:color="auto" w:fill="C5E0B3"/>
          </w:tcPr>
          <w:p>
            <w:pPr>
              <w:pStyle w:val="TableParagraph"/>
              <w:spacing w:before="32"/>
              <w:ind w:left="95"/>
              <w:rPr>
                <w:b/>
                <w:sz w:val="17"/>
              </w:rPr>
            </w:pPr>
            <w:r>
              <w:rPr>
                <w:b/>
                <w:w w:val="105"/>
                <w:sz w:val="17"/>
              </w:rPr>
              <w:t>12.38%</w:t>
            </w:r>
          </w:p>
        </w:tc>
      </w:tr>
      <w:tr>
        <w:trPr>
          <w:trHeight w:val="257" w:hRule="exact"/>
        </w:trPr>
        <w:tc>
          <w:tcPr>
            <w:tcW w:w="1435" w:type="dxa"/>
            <w:vMerge/>
            <w:tcBorders>
              <w:right w:val="single" w:sz="40" w:space="0" w:color="E2EFD9"/>
            </w:tcBorders>
            <w:shd w:val="clear" w:color="auto" w:fill="70AD47"/>
          </w:tcPr>
          <w:p>
            <w:pPr/>
          </w:p>
        </w:tc>
        <w:tc>
          <w:tcPr>
            <w:tcW w:w="1934" w:type="dxa"/>
            <w:gridSpan w:val="2"/>
            <w:vMerge w:val="restart"/>
            <w:tcBorders>
              <w:top w:val="single" w:sz="4" w:space="0" w:color="000000"/>
              <w:left w:val="single" w:sz="4" w:space="0" w:color="000000"/>
              <w:right w:val="single" w:sz="4" w:space="0" w:color="000000"/>
            </w:tcBorders>
            <w:shd w:val="clear" w:color="auto" w:fill="E2EFD9"/>
          </w:tcPr>
          <w:p>
            <w:pPr>
              <w:pStyle w:val="TableParagraph"/>
              <w:spacing w:before="10"/>
              <w:rPr>
                <w:sz w:val="14"/>
              </w:rPr>
            </w:pPr>
          </w:p>
          <w:p>
            <w:pPr>
              <w:pStyle w:val="TableParagraph"/>
              <w:ind w:left="100"/>
              <w:rPr>
                <w:sz w:val="17"/>
              </w:rPr>
            </w:pPr>
            <w:r>
              <w:rPr>
                <w:w w:val="105"/>
                <w:sz w:val="17"/>
              </w:rPr>
              <w:t>Total</w:t>
            </w:r>
          </w:p>
        </w:tc>
        <w:tc>
          <w:tcPr>
            <w:tcW w:w="113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5"/>
              <w:ind w:left="105"/>
              <w:rPr>
                <w:sz w:val="17"/>
              </w:rPr>
            </w:pPr>
            <w:r>
              <w:rPr>
                <w:w w:val="105"/>
                <w:sz w:val="17"/>
              </w:rPr>
              <w:t>Cantidad</w:t>
            </w:r>
          </w:p>
        </w:tc>
        <w:tc>
          <w:tcPr>
            <w:tcW w:w="149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5"/>
              <w:ind w:left="100"/>
              <w:rPr>
                <w:sz w:val="17"/>
              </w:rPr>
            </w:pPr>
            <w:r>
              <w:rPr>
                <w:w w:val="105"/>
                <w:sz w:val="17"/>
              </w:rPr>
              <w:t>94</w:t>
            </w:r>
          </w:p>
        </w:tc>
        <w:tc>
          <w:tcPr>
            <w:tcW w:w="136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5"/>
              <w:ind w:left="105"/>
              <w:rPr>
                <w:sz w:val="17"/>
              </w:rPr>
            </w:pPr>
            <w:r>
              <w:rPr>
                <w:w w:val="105"/>
                <w:sz w:val="17"/>
              </w:rPr>
              <w:t>22</w:t>
            </w:r>
          </w:p>
        </w:tc>
        <w:tc>
          <w:tcPr>
            <w:tcW w:w="149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5"/>
              <w:ind w:left="95"/>
              <w:rPr>
                <w:sz w:val="17"/>
              </w:rPr>
            </w:pPr>
            <w:r>
              <w:rPr>
                <w:w w:val="105"/>
                <w:sz w:val="17"/>
              </w:rPr>
              <w:t>116</w:t>
            </w:r>
          </w:p>
        </w:tc>
      </w:tr>
      <w:tr>
        <w:trPr>
          <w:trHeight w:val="305" w:hRule="exact"/>
        </w:trPr>
        <w:tc>
          <w:tcPr>
            <w:tcW w:w="1435" w:type="dxa"/>
            <w:vMerge/>
            <w:tcBorders>
              <w:bottom w:val="single" w:sz="2" w:space="0" w:color="000000"/>
              <w:right w:val="single" w:sz="40" w:space="0" w:color="E2EFD9"/>
            </w:tcBorders>
            <w:shd w:val="clear" w:color="auto" w:fill="70AD47"/>
          </w:tcPr>
          <w:p>
            <w:pPr/>
          </w:p>
        </w:tc>
        <w:tc>
          <w:tcPr>
            <w:tcW w:w="1934" w:type="dxa"/>
            <w:gridSpan w:val="2"/>
            <w:vMerge/>
            <w:tcBorders>
              <w:left w:val="single" w:sz="4" w:space="0" w:color="000000"/>
              <w:bottom w:val="single" w:sz="2" w:space="0" w:color="000000"/>
              <w:right w:val="single" w:sz="4" w:space="0" w:color="000000"/>
            </w:tcBorders>
            <w:shd w:val="clear" w:color="auto" w:fill="E2EFD9"/>
          </w:tcPr>
          <w:p>
            <w:pPr/>
          </w:p>
        </w:tc>
        <w:tc>
          <w:tcPr>
            <w:tcW w:w="1133" w:type="dxa"/>
            <w:tcBorders>
              <w:top w:val="single" w:sz="14" w:space="0" w:color="E2EFD9"/>
              <w:left w:val="single" w:sz="4" w:space="0" w:color="000000"/>
              <w:bottom w:val="single" w:sz="14" w:space="0" w:color="E2EFD9"/>
              <w:right w:val="single" w:sz="4" w:space="0" w:color="000000"/>
            </w:tcBorders>
            <w:shd w:val="clear" w:color="auto" w:fill="C5E0B3"/>
          </w:tcPr>
          <w:p>
            <w:pPr>
              <w:pStyle w:val="TableParagraph"/>
              <w:spacing w:before="41"/>
              <w:ind w:left="105"/>
              <w:rPr>
                <w:sz w:val="17"/>
              </w:rPr>
            </w:pPr>
            <w:r>
              <w:rPr>
                <w:w w:val="105"/>
                <w:sz w:val="17"/>
              </w:rPr>
              <w:t>% de Total</w:t>
            </w:r>
          </w:p>
        </w:tc>
        <w:tc>
          <w:tcPr>
            <w:tcW w:w="1493" w:type="dxa"/>
            <w:tcBorders>
              <w:top w:val="single" w:sz="14" w:space="0" w:color="E2EFD9"/>
              <w:left w:val="single" w:sz="4" w:space="0" w:color="000000"/>
              <w:bottom w:val="single" w:sz="14" w:space="0" w:color="E2EFD9"/>
              <w:right w:val="single" w:sz="4" w:space="0" w:color="000000"/>
            </w:tcBorders>
            <w:shd w:val="clear" w:color="auto" w:fill="C5E0B3"/>
          </w:tcPr>
          <w:p>
            <w:pPr>
              <w:pStyle w:val="TableParagraph"/>
              <w:spacing w:before="41"/>
              <w:ind w:left="100"/>
              <w:rPr>
                <w:sz w:val="17"/>
              </w:rPr>
            </w:pPr>
            <w:r>
              <w:rPr>
                <w:w w:val="105"/>
                <w:sz w:val="17"/>
              </w:rPr>
              <w:t>22.38%</w:t>
            </w:r>
          </w:p>
        </w:tc>
        <w:tc>
          <w:tcPr>
            <w:tcW w:w="1363" w:type="dxa"/>
            <w:tcBorders>
              <w:top w:val="single" w:sz="14" w:space="0" w:color="E2EFD9"/>
              <w:left w:val="single" w:sz="4" w:space="0" w:color="000000"/>
              <w:bottom w:val="single" w:sz="14" w:space="0" w:color="E2EFD9"/>
              <w:right w:val="single" w:sz="4" w:space="0" w:color="000000"/>
            </w:tcBorders>
            <w:shd w:val="clear" w:color="auto" w:fill="C5E0B3"/>
          </w:tcPr>
          <w:p>
            <w:pPr>
              <w:pStyle w:val="TableParagraph"/>
              <w:spacing w:before="41"/>
              <w:ind w:left="105"/>
              <w:rPr>
                <w:sz w:val="17"/>
              </w:rPr>
            </w:pPr>
            <w:r>
              <w:rPr>
                <w:w w:val="105"/>
                <w:sz w:val="17"/>
              </w:rPr>
              <w:t>5.23%</w:t>
            </w:r>
          </w:p>
        </w:tc>
        <w:tc>
          <w:tcPr>
            <w:tcW w:w="1493" w:type="dxa"/>
            <w:tcBorders>
              <w:top w:val="single" w:sz="14" w:space="0" w:color="E2EFD9"/>
              <w:left w:val="single" w:sz="4" w:space="0" w:color="000000"/>
              <w:bottom w:val="single" w:sz="14" w:space="0" w:color="E2EFD9"/>
              <w:right w:val="single" w:sz="4" w:space="0" w:color="000000"/>
            </w:tcBorders>
            <w:shd w:val="clear" w:color="auto" w:fill="C5E0B3"/>
          </w:tcPr>
          <w:p>
            <w:pPr>
              <w:pStyle w:val="TableParagraph"/>
              <w:spacing w:before="37"/>
              <w:ind w:left="95"/>
              <w:rPr>
                <w:b/>
                <w:sz w:val="17"/>
              </w:rPr>
            </w:pPr>
            <w:r>
              <w:rPr>
                <w:b/>
                <w:w w:val="105"/>
                <w:sz w:val="17"/>
              </w:rPr>
              <w:t>27.61%</w:t>
            </w:r>
          </w:p>
        </w:tc>
      </w:tr>
      <w:tr>
        <w:trPr>
          <w:trHeight w:val="242" w:hRule="exact"/>
        </w:trPr>
        <w:tc>
          <w:tcPr>
            <w:tcW w:w="1435" w:type="dxa"/>
            <w:vMerge w:val="restart"/>
            <w:tcBorders>
              <w:top w:val="single" w:sz="2" w:space="0" w:color="000000"/>
              <w:right w:val="single" w:sz="40" w:space="0" w:color="E2EFD9"/>
            </w:tcBorders>
            <w:shd w:val="clear" w:color="auto" w:fill="70AD47"/>
          </w:tcPr>
          <w:p>
            <w:pPr>
              <w:pStyle w:val="TableParagraph"/>
              <w:rPr>
                <w:sz w:val="18"/>
              </w:rPr>
            </w:pPr>
          </w:p>
          <w:p>
            <w:pPr>
              <w:pStyle w:val="TableParagraph"/>
              <w:rPr>
                <w:sz w:val="18"/>
              </w:rPr>
            </w:pPr>
          </w:p>
          <w:p>
            <w:pPr>
              <w:pStyle w:val="TableParagraph"/>
              <w:rPr>
                <w:sz w:val="25"/>
              </w:rPr>
            </w:pPr>
          </w:p>
          <w:p>
            <w:pPr>
              <w:pStyle w:val="TableParagraph"/>
              <w:ind w:left="100"/>
              <w:rPr>
                <w:b/>
                <w:sz w:val="17"/>
              </w:rPr>
            </w:pPr>
            <w:r>
              <w:rPr>
                <w:b/>
                <w:w w:val="105"/>
                <w:sz w:val="17"/>
              </w:rPr>
              <w:t>Estudiante</w:t>
            </w:r>
          </w:p>
        </w:tc>
        <w:tc>
          <w:tcPr>
            <w:tcW w:w="1181" w:type="dxa"/>
            <w:vMerge w:val="restart"/>
            <w:tcBorders>
              <w:top w:val="single" w:sz="2" w:space="0" w:color="000000"/>
              <w:left w:val="single" w:sz="4" w:space="0" w:color="000000"/>
              <w:right w:val="single" w:sz="4" w:space="0" w:color="000000"/>
            </w:tcBorders>
            <w:shd w:val="clear" w:color="auto" w:fill="E2EFD9"/>
          </w:tcPr>
          <w:p>
            <w:pPr>
              <w:pStyle w:val="TableParagraph"/>
              <w:rPr>
                <w:sz w:val="18"/>
              </w:rPr>
            </w:pPr>
          </w:p>
          <w:p>
            <w:pPr>
              <w:pStyle w:val="TableParagraph"/>
              <w:spacing w:before="9"/>
              <w:rPr>
                <w:sz w:val="18"/>
              </w:rPr>
            </w:pPr>
          </w:p>
          <w:p>
            <w:pPr>
              <w:pStyle w:val="TableParagraph"/>
              <w:ind w:left="100"/>
              <w:rPr>
                <w:b/>
                <w:sz w:val="17"/>
              </w:rPr>
            </w:pPr>
            <w:r>
              <w:rPr>
                <w:b/>
                <w:w w:val="105"/>
                <w:sz w:val="17"/>
              </w:rPr>
              <w:t>Sexo</w:t>
            </w:r>
          </w:p>
        </w:tc>
        <w:tc>
          <w:tcPr>
            <w:tcW w:w="754" w:type="dxa"/>
            <w:vMerge w:val="restart"/>
            <w:tcBorders>
              <w:top w:val="single" w:sz="2" w:space="0" w:color="000000"/>
              <w:left w:val="single" w:sz="4" w:space="0" w:color="000000"/>
              <w:right w:val="single" w:sz="4" w:space="0" w:color="000000"/>
            </w:tcBorders>
            <w:shd w:val="clear" w:color="auto" w:fill="E2EFD9"/>
          </w:tcPr>
          <w:p>
            <w:pPr>
              <w:pStyle w:val="TableParagraph"/>
              <w:spacing w:before="159"/>
              <w:ind w:left="96"/>
              <w:rPr>
                <w:sz w:val="17"/>
              </w:rPr>
            </w:pPr>
            <w:r>
              <w:rPr>
                <w:w w:val="105"/>
                <w:sz w:val="17"/>
              </w:rPr>
              <w:t>Masc</w:t>
            </w:r>
          </w:p>
        </w:tc>
        <w:tc>
          <w:tcPr>
            <w:tcW w:w="1133"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before="20"/>
              <w:ind w:left="105"/>
              <w:rPr>
                <w:sz w:val="17"/>
              </w:rPr>
            </w:pPr>
            <w:r>
              <w:rPr>
                <w:w w:val="105"/>
                <w:sz w:val="17"/>
              </w:rPr>
              <w:t>Cantidad</w:t>
            </w:r>
          </w:p>
        </w:tc>
        <w:tc>
          <w:tcPr>
            <w:tcW w:w="1493"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before="20"/>
              <w:ind w:left="100"/>
              <w:rPr>
                <w:sz w:val="17"/>
              </w:rPr>
            </w:pPr>
            <w:r>
              <w:rPr>
                <w:w w:val="105"/>
                <w:sz w:val="17"/>
              </w:rPr>
              <w:t>35</w:t>
            </w:r>
          </w:p>
        </w:tc>
        <w:tc>
          <w:tcPr>
            <w:tcW w:w="1363"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before="20"/>
              <w:ind w:left="105"/>
              <w:rPr>
                <w:sz w:val="17"/>
              </w:rPr>
            </w:pPr>
            <w:r>
              <w:rPr>
                <w:w w:val="105"/>
                <w:sz w:val="17"/>
              </w:rPr>
              <w:t>11</w:t>
            </w:r>
          </w:p>
        </w:tc>
        <w:tc>
          <w:tcPr>
            <w:tcW w:w="1493"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before="20"/>
              <w:ind w:left="95"/>
              <w:rPr>
                <w:sz w:val="17"/>
              </w:rPr>
            </w:pPr>
            <w:r>
              <w:rPr>
                <w:w w:val="105"/>
                <w:sz w:val="17"/>
              </w:rPr>
              <w:t>46</w:t>
            </w:r>
          </w:p>
        </w:tc>
      </w:tr>
      <w:tr>
        <w:trPr>
          <w:trHeight w:val="289" w:hRule="exact"/>
        </w:trPr>
        <w:tc>
          <w:tcPr>
            <w:tcW w:w="1435" w:type="dxa"/>
            <w:vMerge/>
            <w:tcBorders>
              <w:right w:val="single" w:sz="40" w:space="0" w:color="E2EFD9"/>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4" w:space="0" w:color="E2EFD9"/>
              <w:left w:val="single" w:sz="4" w:space="0" w:color="000000"/>
              <w:bottom w:val="single" w:sz="18" w:space="0" w:color="E2EFD9"/>
              <w:right w:val="single" w:sz="4" w:space="0" w:color="000000"/>
            </w:tcBorders>
            <w:shd w:val="clear" w:color="auto" w:fill="C5E0B3"/>
          </w:tcPr>
          <w:p>
            <w:pPr>
              <w:pStyle w:val="TableParagraph"/>
              <w:spacing w:before="37"/>
              <w:ind w:left="105"/>
              <w:rPr>
                <w:sz w:val="17"/>
              </w:rPr>
            </w:pPr>
            <w:r>
              <w:rPr>
                <w:w w:val="105"/>
                <w:sz w:val="17"/>
              </w:rPr>
              <w:t>% Total</w:t>
            </w:r>
          </w:p>
        </w:tc>
        <w:tc>
          <w:tcPr>
            <w:tcW w:w="1493" w:type="dxa"/>
            <w:tcBorders>
              <w:top w:val="single" w:sz="14" w:space="0" w:color="E2EFD9"/>
              <w:left w:val="single" w:sz="4" w:space="0" w:color="000000"/>
              <w:bottom w:val="single" w:sz="18" w:space="0" w:color="E2EFD9"/>
              <w:right w:val="single" w:sz="4" w:space="0" w:color="000000"/>
            </w:tcBorders>
            <w:shd w:val="clear" w:color="auto" w:fill="C5E0B3"/>
          </w:tcPr>
          <w:p>
            <w:pPr>
              <w:pStyle w:val="TableParagraph"/>
              <w:spacing w:before="37"/>
              <w:ind w:left="100"/>
              <w:rPr>
                <w:sz w:val="17"/>
              </w:rPr>
            </w:pPr>
            <w:r>
              <w:rPr>
                <w:w w:val="105"/>
                <w:sz w:val="17"/>
              </w:rPr>
              <w:t>8.33%</w:t>
            </w:r>
          </w:p>
        </w:tc>
        <w:tc>
          <w:tcPr>
            <w:tcW w:w="1363" w:type="dxa"/>
            <w:tcBorders>
              <w:top w:val="single" w:sz="14" w:space="0" w:color="E2EFD9"/>
              <w:left w:val="single" w:sz="4" w:space="0" w:color="000000"/>
              <w:bottom w:val="single" w:sz="18" w:space="0" w:color="E2EFD9"/>
              <w:right w:val="single" w:sz="4" w:space="0" w:color="000000"/>
            </w:tcBorders>
            <w:shd w:val="clear" w:color="auto" w:fill="C5E0B3"/>
          </w:tcPr>
          <w:p>
            <w:pPr>
              <w:pStyle w:val="TableParagraph"/>
              <w:spacing w:before="37"/>
              <w:ind w:left="105"/>
              <w:rPr>
                <w:sz w:val="17"/>
              </w:rPr>
            </w:pPr>
            <w:r>
              <w:rPr>
                <w:w w:val="105"/>
                <w:sz w:val="17"/>
              </w:rPr>
              <w:t>2.62%</w:t>
            </w:r>
          </w:p>
        </w:tc>
        <w:tc>
          <w:tcPr>
            <w:tcW w:w="1493" w:type="dxa"/>
            <w:tcBorders>
              <w:top w:val="single" w:sz="14" w:space="0" w:color="E2EFD9"/>
              <w:left w:val="single" w:sz="4" w:space="0" w:color="000000"/>
              <w:bottom w:val="single" w:sz="18" w:space="0" w:color="E2EFD9"/>
              <w:right w:val="single" w:sz="4" w:space="0" w:color="000000"/>
            </w:tcBorders>
            <w:shd w:val="clear" w:color="auto" w:fill="C5E0B3"/>
          </w:tcPr>
          <w:p>
            <w:pPr>
              <w:pStyle w:val="TableParagraph"/>
              <w:spacing w:before="32"/>
              <w:ind w:left="95"/>
              <w:rPr>
                <w:b/>
                <w:sz w:val="17"/>
              </w:rPr>
            </w:pPr>
            <w:r>
              <w:rPr>
                <w:b/>
                <w:w w:val="105"/>
                <w:sz w:val="17"/>
              </w:rPr>
              <w:t>10.95%</w:t>
            </w:r>
          </w:p>
        </w:tc>
      </w:tr>
      <w:tr>
        <w:trPr>
          <w:trHeight w:val="273" w:hRule="exact"/>
        </w:trPr>
        <w:tc>
          <w:tcPr>
            <w:tcW w:w="1435" w:type="dxa"/>
            <w:vMerge/>
            <w:tcBorders>
              <w:right w:val="single" w:sz="40" w:space="0" w:color="E2EFD9"/>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val="restart"/>
            <w:tcBorders>
              <w:top w:val="single" w:sz="4" w:space="0" w:color="000000"/>
              <w:left w:val="single" w:sz="4" w:space="0" w:color="000000"/>
              <w:right w:val="single" w:sz="4" w:space="0" w:color="000000"/>
            </w:tcBorders>
            <w:shd w:val="clear" w:color="auto" w:fill="E2EFD9"/>
          </w:tcPr>
          <w:p>
            <w:pPr>
              <w:pStyle w:val="TableParagraph"/>
              <w:spacing w:before="1"/>
              <w:rPr>
                <w:sz w:val="15"/>
              </w:rPr>
            </w:pPr>
          </w:p>
          <w:p>
            <w:pPr>
              <w:pStyle w:val="TableParagraph"/>
              <w:ind w:left="96"/>
              <w:rPr>
                <w:sz w:val="17"/>
              </w:rPr>
            </w:pPr>
            <w:r>
              <w:rPr>
                <w:w w:val="105"/>
                <w:sz w:val="17"/>
              </w:rPr>
              <w:t>Fem</w:t>
            </w:r>
          </w:p>
        </w:tc>
        <w:tc>
          <w:tcPr>
            <w:tcW w:w="1133" w:type="dxa"/>
            <w:tcBorders>
              <w:top w:val="single" w:sz="11" w:space="0" w:color="C5E0B3"/>
              <w:left w:val="single" w:sz="4" w:space="0" w:color="000000"/>
              <w:bottom w:val="single" w:sz="17" w:space="0" w:color="C5E0B3"/>
              <w:right w:val="single" w:sz="4" w:space="0" w:color="000000"/>
            </w:tcBorders>
            <w:shd w:val="clear" w:color="auto" w:fill="E2EFD9"/>
          </w:tcPr>
          <w:p>
            <w:pPr>
              <w:pStyle w:val="TableParagraph"/>
              <w:spacing w:before="25"/>
              <w:ind w:left="105"/>
              <w:rPr>
                <w:sz w:val="17"/>
              </w:rPr>
            </w:pPr>
            <w:r>
              <w:rPr>
                <w:w w:val="105"/>
                <w:sz w:val="17"/>
              </w:rPr>
              <w:t>Cantidad</w:t>
            </w:r>
          </w:p>
        </w:tc>
        <w:tc>
          <w:tcPr>
            <w:tcW w:w="1493" w:type="dxa"/>
            <w:tcBorders>
              <w:top w:val="single" w:sz="11" w:space="0" w:color="C5E0B3"/>
              <w:left w:val="single" w:sz="4" w:space="0" w:color="000000"/>
              <w:bottom w:val="single" w:sz="17" w:space="0" w:color="C5E0B3"/>
              <w:right w:val="single" w:sz="4" w:space="0" w:color="000000"/>
            </w:tcBorders>
            <w:shd w:val="clear" w:color="auto" w:fill="E2EFD9"/>
          </w:tcPr>
          <w:p>
            <w:pPr>
              <w:pStyle w:val="TableParagraph"/>
              <w:spacing w:before="25"/>
              <w:ind w:left="100"/>
              <w:rPr>
                <w:sz w:val="17"/>
              </w:rPr>
            </w:pPr>
            <w:r>
              <w:rPr>
                <w:w w:val="105"/>
                <w:sz w:val="17"/>
              </w:rPr>
              <w:t>36</w:t>
            </w:r>
          </w:p>
        </w:tc>
        <w:tc>
          <w:tcPr>
            <w:tcW w:w="1363" w:type="dxa"/>
            <w:tcBorders>
              <w:top w:val="single" w:sz="11" w:space="0" w:color="C5E0B3"/>
              <w:left w:val="single" w:sz="4" w:space="0" w:color="000000"/>
              <w:bottom w:val="single" w:sz="17" w:space="0" w:color="C5E0B3"/>
              <w:right w:val="single" w:sz="4" w:space="0" w:color="000000"/>
            </w:tcBorders>
            <w:shd w:val="clear" w:color="auto" w:fill="E2EFD9"/>
          </w:tcPr>
          <w:p>
            <w:pPr>
              <w:pStyle w:val="TableParagraph"/>
              <w:spacing w:before="25"/>
              <w:ind w:left="105"/>
              <w:rPr>
                <w:sz w:val="17"/>
              </w:rPr>
            </w:pPr>
            <w:r>
              <w:rPr>
                <w:w w:val="105"/>
                <w:sz w:val="17"/>
              </w:rPr>
              <w:t>14</w:t>
            </w:r>
          </w:p>
        </w:tc>
        <w:tc>
          <w:tcPr>
            <w:tcW w:w="1493" w:type="dxa"/>
            <w:tcBorders>
              <w:top w:val="single" w:sz="11" w:space="0" w:color="C5E0B3"/>
              <w:left w:val="single" w:sz="4" w:space="0" w:color="000000"/>
              <w:bottom w:val="single" w:sz="17" w:space="0" w:color="C5E0B3"/>
              <w:right w:val="single" w:sz="4" w:space="0" w:color="000000"/>
            </w:tcBorders>
            <w:shd w:val="clear" w:color="auto" w:fill="E2EFD9"/>
          </w:tcPr>
          <w:p>
            <w:pPr>
              <w:pStyle w:val="TableParagraph"/>
              <w:spacing w:before="25"/>
              <w:ind w:left="95"/>
              <w:rPr>
                <w:sz w:val="17"/>
              </w:rPr>
            </w:pPr>
            <w:r>
              <w:rPr>
                <w:w w:val="105"/>
                <w:sz w:val="17"/>
              </w:rPr>
              <w:t>50</w:t>
            </w:r>
          </w:p>
        </w:tc>
      </w:tr>
      <w:tr>
        <w:trPr>
          <w:trHeight w:val="269" w:hRule="exact"/>
        </w:trPr>
        <w:tc>
          <w:tcPr>
            <w:tcW w:w="1435" w:type="dxa"/>
            <w:vMerge/>
            <w:tcBorders>
              <w:right w:val="single" w:sz="40" w:space="0" w:color="E2EFD9"/>
            </w:tcBorders>
            <w:shd w:val="clear" w:color="auto" w:fill="70AD47"/>
          </w:tcPr>
          <w:p>
            <w:pPr/>
          </w:p>
        </w:tc>
        <w:tc>
          <w:tcPr>
            <w:tcW w:w="1181" w:type="dxa"/>
            <w:vMerge/>
            <w:tcBorders>
              <w:left w:val="single" w:sz="4" w:space="0" w:color="000000"/>
              <w:bottom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2" w:space="0" w:color="E2EFD9"/>
              <w:left w:val="single" w:sz="4" w:space="0" w:color="000000"/>
              <w:bottom w:val="single" w:sz="12" w:space="0" w:color="E2EFD9"/>
              <w:right w:val="single" w:sz="4" w:space="0" w:color="000000"/>
            </w:tcBorders>
            <w:shd w:val="clear" w:color="auto" w:fill="C5E0B3"/>
          </w:tcPr>
          <w:p>
            <w:pPr>
              <w:pStyle w:val="TableParagraph"/>
              <w:spacing w:before="24"/>
              <w:ind w:left="105"/>
              <w:rPr>
                <w:sz w:val="17"/>
              </w:rPr>
            </w:pPr>
            <w:r>
              <w:rPr>
                <w:w w:val="105"/>
                <w:sz w:val="17"/>
              </w:rPr>
              <w:t>% Total</w:t>
            </w:r>
          </w:p>
        </w:tc>
        <w:tc>
          <w:tcPr>
            <w:tcW w:w="1493" w:type="dxa"/>
            <w:tcBorders>
              <w:top w:val="single" w:sz="12" w:space="0" w:color="E2EFD9"/>
              <w:left w:val="single" w:sz="4" w:space="0" w:color="000000"/>
              <w:bottom w:val="single" w:sz="12" w:space="0" w:color="E2EFD9"/>
              <w:right w:val="single" w:sz="4" w:space="0" w:color="000000"/>
            </w:tcBorders>
            <w:shd w:val="clear" w:color="auto" w:fill="C5E0B3"/>
          </w:tcPr>
          <w:p>
            <w:pPr>
              <w:pStyle w:val="TableParagraph"/>
              <w:spacing w:before="24"/>
              <w:ind w:left="100"/>
              <w:rPr>
                <w:sz w:val="17"/>
              </w:rPr>
            </w:pPr>
            <w:r>
              <w:rPr>
                <w:w w:val="105"/>
                <w:sz w:val="17"/>
              </w:rPr>
              <w:t>8.57%</w:t>
            </w:r>
          </w:p>
        </w:tc>
        <w:tc>
          <w:tcPr>
            <w:tcW w:w="1363" w:type="dxa"/>
            <w:tcBorders>
              <w:top w:val="single" w:sz="12" w:space="0" w:color="E2EFD9"/>
              <w:left w:val="single" w:sz="4" w:space="0" w:color="000000"/>
              <w:bottom w:val="single" w:sz="12" w:space="0" w:color="E2EFD9"/>
              <w:right w:val="single" w:sz="4" w:space="0" w:color="000000"/>
            </w:tcBorders>
            <w:shd w:val="clear" w:color="auto" w:fill="C5E0B3"/>
          </w:tcPr>
          <w:p>
            <w:pPr>
              <w:pStyle w:val="TableParagraph"/>
              <w:spacing w:before="24"/>
              <w:ind w:left="105"/>
              <w:rPr>
                <w:sz w:val="17"/>
              </w:rPr>
            </w:pPr>
            <w:r>
              <w:rPr>
                <w:w w:val="105"/>
                <w:sz w:val="17"/>
              </w:rPr>
              <w:t>3.33%</w:t>
            </w:r>
          </w:p>
        </w:tc>
        <w:tc>
          <w:tcPr>
            <w:tcW w:w="1493" w:type="dxa"/>
            <w:tcBorders>
              <w:top w:val="single" w:sz="12" w:space="0" w:color="E2EFD9"/>
              <w:left w:val="single" w:sz="4" w:space="0" w:color="000000"/>
              <w:bottom w:val="single" w:sz="12" w:space="0" w:color="E2EFD9"/>
              <w:right w:val="single" w:sz="4" w:space="0" w:color="000000"/>
            </w:tcBorders>
            <w:shd w:val="clear" w:color="auto" w:fill="C5E0B3"/>
          </w:tcPr>
          <w:p>
            <w:pPr>
              <w:pStyle w:val="TableParagraph"/>
              <w:spacing w:before="20"/>
              <w:ind w:left="95"/>
              <w:rPr>
                <w:b/>
                <w:sz w:val="17"/>
              </w:rPr>
            </w:pPr>
            <w:r>
              <w:rPr>
                <w:b/>
                <w:w w:val="105"/>
                <w:sz w:val="17"/>
              </w:rPr>
              <w:t>11.90%</w:t>
            </w:r>
          </w:p>
        </w:tc>
      </w:tr>
      <w:tr>
        <w:trPr>
          <w:trHeight w:val="259" w:hRule="exact"/>
        </w:trPr>
        <w:tc>
          <w:tcPr>
            <w:tcW w:w="1435" w:type="dxa"/>
            <w:vMerge/>
            <w:tcBorders>
              <w:right w:val="single" w:sz="40" w:space="0" w:color="E2EFD9"/>
            </w:tcBorders>
            <w:shd w:val="clear" w:color="auto" w:fill="70AD47"/>
          </w:tcPr>
          <w:p>
            <w:pPr/>
          </w:p>
        </w:tc>
        <w:tc>
          <w:tcPr>
            <w:tcW w:w="1934" w:type="dxa"/>
            <w:gridSpan w:val="2"/>
            <w:vMerge w:val="restart"/>
            <w:tcBorders>
              <w:top w:val="single" w:sz="4" w:space="0" w:color="000000"/>
              <w:left w:val="single" w:sz="4" w:space="0" w:color="000000"/>
              <w:right w:val="single" w:sz="4" w:space="0" w:color="000000"/>
            </w:tcBorders>
            <w:shd w:val="clear" w:color="auto" w:fill="E2EFD9"/>
          </w:tcPr>
          <w:p>
            <w:pPr>
              <w:pStyle w:val="TableParagraph"/>
              <w:spacing w:before="8"/>
              <w:rPr>
                <w:sz w:val="14"/>
              </w:rPr>
            </w:pPr>
          </w:p>
          <w:p>
            <w:pPr>
              <w:pStyle w:val="TableParagraph"/>
              <w:ind w:left="100"/>
              <w:rPr>
                <w:sz w:val="17"/>
              </w:rPr>
            </w:pPr>
            <w:r>
              <w:rPr>
                <w:w w:val="105"/>
                <w:sz w:val="17"/>
              </w:rPr>
              <w:t>Total</w:t>
            </w:r>
          </w:p>
        </w:tc>
        <w:tc>
          <w:tcPr>
            <w:tcW w:w="113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2"/>
              <w:ind w:left="105"/>
              <w:rPr>
                <w:sz w:val="17"/>
              </w:rPr>
            </w:pPr>
            <w:r>
              <w:rPr>
                <w:w w:val="105"/>
                <w:sz w:val="17"/>
              </w:rPr>
              <w:t>Cantidad</w:t>
            </w:r>
          </w:p>
        </w:tc>
        <w:tc>
          <w:tcPr>
            <w:tcW w:w="149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2"/>
              <w:ind w:left="100"/>
              <w:rPr>
                <w:sz w:val="17"/>
              </w:rPr>
            </w:pPr>
            <w:r>
              <w:rPr>
                <w:w w:val="105"/>
                <w:sz w:val="17"/>
              </w:rPr>
              <w:t>71</w:t>
            </w:r>
          </w:p>
        </w:tc>
        <w:tc>
          <w:tcPr>
            <w:tcW w:w="136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2"/>
              <w:ind w:left="105"/>
              <w:rPr>
                <w:sz w:val="17"/>
              </w:rPr>
            </w:pPr>
            <w:r>
              <w:rPr>
                <w:w w:val="105"/>
                <w:sz w:val="17"/>
              </w:rPr>
              <w:t>25</w:t>
            </w:r>
          </w:p>
        </w:tc>
        <w:tc>
          <w:tcPr>
            <w:tcW w:w="149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2"/>
              <w:ind w:left="95"/>
              <w:rPr>
                <w:sz w:val="17"/>
              </w:rPr>
            </w:pPr>
            <w:r>
              <w:rPr>
                <w:w w:val="105"/>
                <w:sz w:val="17"/>
              </w:rPr>
              <w:t>96</w:t>
            </w:r>
          </w:p>
        </w:tc>
      </w:tr>
      <w:tr>
        <w:trPr>
          <w:trHeight w:val="303" w:hRule="exact"/>
        </w:trPr>
        <w:tc>
          <w:tcPr>
            <w:tcW w:w="1435" w:type="dxa"/>
            <w:vMerge/>
            <w:tcBorders>
              <w:bottom w:val="single" w:sz="4" w:space="0" w:color="000000"/>
              <w:right w:val="single" w:sz="40" w:space="0" w:color="E2EFD9"/>
            </w:tcBorders>
            <w:shd w:val="clear" w:color="auto" w:fill="70AD47"/>
          </w:tcPr>
          <w:p>
            <w:pPr/>
          </w:p>
        </w:tc>
        <w:tc>
          <w:tcPr>
            <w:tcW w:w="1934" w:type="dxa"/>
            <w:gridSpan w:val="2"/>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7" w:space="0" w:color="E2EFD9"/>
              <w:left w:val="single" w:sz="4" w:space="0" w:color="000000"/>
              <w:bottom w:val="single" w:sz="17" w:space="0" w:color="E2EFD9"/>
              <w:right w:val="single" w:sz="4" w:space="0" w:color="000000"/>
            </w:tcBorders>
            <w:shd w:val="clear" w:color="auto" w:fill="C5E0B3"/>
          </w:tcPr>
          <w:p>
            <w:pPr>
              <w:pStyle w:val="TableParagraph"/>
              <w:spacing w:before="38"/>
              <w:ind w:left="105"/>
              <w:rPr>
                <w:sz w:val="17"/>
              </w:rPr>
            </w:pPr>
            <w:r>
              <w:rPr>
                <w:w w:val="105"/>
                <w:sz w:val="17"/>
              </w:rPr>
              <w:t>% Total</w:t>
            </w:r>
          </w:p>
        </w:tc>
        <w:tc>
          <w:tcPr>
            <w:tcW w:w="1493" w:type="dxa"/>
            <w:tcBorders>
              <w:top w:val="single" w:sz="17" w:space="0" w:color="E2EFD9"/>
              <w:left w:val="single" w:sz="4" w:space="0" w:color="000000"/>
              <w:bottom w:val="single" w:sz="17" w:space="0" w:color="E2EFD9"/>
              <w:right w:val="single" w:sz="4" w:space="0" w:color="000000"/>
            </w:tcBorders>
            <w:shd w:val="clear" w:color="auto" w:fill="C5E0B3"/>
          </w:tcPr>
          <w:p>
            <w:pPr>
              <w:pStyle w:val="TableParagraph"/>
              <w:spacing w:before="38"/>
              <w:ind w:left="100"/>
              <w:rPr>
                <w:sz w:val="17"/>
              </w:rPr>
            </w:pPr>
            <w:r>
              <w:rPr>
                <w:w w:val="105"/>
                <w:sz w:val="17"/>
              </w:rPr>
              <w:t>16.90%</w:t>
            </w:r>
          </w:p>
        </w:tc>
        <w:tc>
          <w:tcPr>
            <w:tcW w:w="1363" w:type="dxa"/>
            <w:tcBorders>
              <w:top w:val="single" w:sz="17" w:space="0" w:color="E2EFD9"/>
              <w:left w:val="single" w:sz="4" w:space="0" w:color="000000"/>
              <w:bottom w:val="single" w:sz="17" w:space="0" w:color="E2EFD9"/>
              <w:right w:val="single" w:sz="4" w:space="0" w:color="000000"/>
            </w:tcBorders>
            <w:shd w:val="clear" w:color="auto" w:fill="C5E0B3"/>
          </w:tcPr>
          <w:p>
            <w:pPr>
              <w:pStyle w:val="TableParagraph"/>
              <w:spacing w:before="38"/>
              <w:ind w:left="105"/>
              <w:rPr>
                <w:sz w:val="17"/>
              </w:rPr>
            </w:pPr>
            <w:r>
              <w:rPr>
                <w:w w:val="105"/>
                <w:sz w:val="17"/>
              </w:rPr>
              <w:t>5.95%</w:t>
            </w:r>
          </w:p>
        </w:tc>
        <w:tc>
          <w:tcPr>
            <w:tcW w:w="1493" w:type="dxa"/>
            <w:tcBorders>
              <w:top w:val="single" w:sz="17" w:space="0" w:color="E2EFD9"/>
              <w:left w:val="single" w:sz="4" w:space="0" w:color="000000"/>
              <w:bottom w:val="single" w:sz="17" w:space="0" w:color="E2EFD9"/>
              <w:right w:val="single" w:sz="4" w:space="0" w:color="000000"/>
            </w:tcBorders>
            <w:shd w:val="clear" w:color="auto" w:fill="C5E0B3"/>
          </w:tcPr>
          <w:p>
            <w:pPr>
              <w:pStyle w:val="TableParagraph"/>
              <w:spacing w:before="33"/>
              <w:ind w:left="95"/>
              <w:rPr>
                <w:b/>
                <w:sz w:val="17"/>
              </w:rPr>
            </w:pPr>
            <w:r>
              <w:rPr>
                <w:b/>
                <w:w w:val="105"/>
                <w:sz w:val="17"/>
              </w:rPr>
              <w:t>22.85%</w:t>
            </w:r>
          </w:p>
        </w:tc>
      </w:tr>
      <w:tr>
        <w:trPr>
          <w:trHeight w:val="257" w:hRule="exact"/>
        </w:trPr>
        <w:tc>
          <w:tcPr>
            <w:tcW w:w="1435" w:type="dxa"/>
            <w:vMerge w:val="restart"/>
            <w:tcBorders>
              <w:top w:val="single" w:sz="4" w:space="0" w:color="000000"/>
              <w:right w:val="single" w:sz="40" w:space="0" w:color="E2EFD9"/>
            </w:tcBorders>
            <w:shd w:val="clear" w:color="auto" w:fill="70AD47"/>
          </w:tcPr>
          <w:p>
            <w:pPr>
              <w:pStyle w:val="TableParagraph"/>
              <w:rPr>
                <w:sz w:val="18"/>
              </w:rPr>
            </w:pPr>
          </w:p>
          <w:p>
            <w:pPr>
              <w:pStyle w:val="TableParagraph"/>
              <w:rPr>
                <w:sz w:val="18"/>
              </w:rPr>
            </w:pPr>
          </w:p>
          <w:p>
            <w:pPr>
              <w:pStyle w:val="TableParagraph"/>
              <w:spacing w:before="7"/>
              <w:rPr>
                <w:sz w:val="24"/>
              </w:rPr>
            </w:pPr>
          </w:p>
          <w:p>
            <w:pPr>
              <w:pStyle w:val="TableParagraph"/>
              <w:ind w:left="100"/>
              <w:rPr>
                <w:b/>
                <w:sz w:val="17"/>
              </w:rPr>
            </w:pPr>
            <w:r>
              <w:rPr>
                <w:b/>
                <w:w w:val="105"/>
                <w:sz w:val="17"/>
              </w:rPr>
              <w:t>Pensionado</w:t>
            </w:r>
          </w:p>
        </w:tc>
        <w:tc>
          <w:tcPr>
            <w:tcW w:w="1181" w:type="dxa"/>
            <w:vMerge w:val="restart"/>
            <w:tcBorders>
              <w:top w:val="single" w:sz="4" w:space="0" w:color="000000"/>
              <w:left w:val="single" w:sz="4" w:space="0" w:color="000000"/>
              <w:right w:val="single" w:sz="4" w:space="0" w:color="000000"/>
            </w:tcBorders>
            <w:shd w:val="clear" w:color="auto" w:fill="E2EFD9"/>
          </w:tcPr>
          <w:p>
            <w:pPr>
              <w:pStyle w:val="TableParagraph"/>
              <w:rPr>
                <w:sz w:val="18"/>
              </w:rPr>
            </w:pPr>
          </w:p>
          <w:p>
            <w:pPr>
              <w:pStyle w:val="TableParagraph"/>
              <w:spacing w:before="9"/>
              <w:rPr>
                <w:sz w:val="18"/>
              </w:rPr>
            </w:pPr>
          </w:p>
          <w:p>
            <w:pPr>
              <w:pStyle w:val="TableParagraph"/>
              <w:ind w:left="100"/>
              <w:rPr>
                <w:b/>
                <w:sz w:val="17"/>
              </w:rPr>
            </w:pPr>
            <w:r>
              <w:rPr>
                <w:b/>
                <w:w w:val="105"/>
                <w:sz w:val="17"/>
              </w:rPr>
              <w:t>Sexo</w:t>
            </w:r>
          </w:p>
        </w:tc>
        <w:tc>
          <w:tcPr>
            <w:tcW w:w="754" w:type="dxa"/>
            <w:vMerge w:val="restart"/>
            <w:tcBorders>
              <w:top w:val="single" w:sz="4" w:space="0" w:color="000000"/>
              <w:left w:val="single" w:sz="4" w:space="0" w:color="000000"/>
              <w:right w:val="single" w:sz="4" w:space="0" w:color="000000"/>
            </w:tcBorders>
            <w:shd w:val="clear" w:color="auto" w:fill="E2EFD9"/>
          </w:tcPr>
          <w:p>
            <w:pPr>
              <w:pStyle w:val="TableParagraph"/>
              <w:spacing w:before="155"/>
              <w:ind w:left="96"/>
              <w:rPr>
                <w:sz w:val="17"/>
              </w:rPr>
            </w:pPr>
            <w:r>
              <w:rPr>
                <w:w w:val="105"/>
                <w:sz w:val="17"/>
              </w:rPr>
              <w:t>Masc</w:t>
            </w:r>
          </w:p>
        </w:tc>
        <w:tc>
          <w:tcPr>
            <w:tcW w:w="1133" w:type="dxa"/>
            <w:tcBorders>
              <w:top w:val="single" w:sz="4" w:space="0" w:color="000000"/>
              <w:left w:val="single" w:sz="4" w:space="0" w:color="000000"/>
              <w:bottom w:val="single" w:sz="14" w:space="0" w:color="C5E0B3"/>
              <w:right w:val="single" w:sz="4" w:space="0" w:color="000000"/>
            </w:tcBorders>
            <w:shd w:val="clear" w:color="auto" w:fill="E2EFD9"/>
          </w:tcPr>
          <w:p>
            <w:pPr>
              <w:pStyle w:val="TableParagraph"/>
              <w:spacing w:before="20"/>
              <w:ind w:left="105"/>
              <w:rPr>
                <w:sz w:val="17"/>
              </w:rPr>
            </w:pPr>
            <w:r>
              <w:rPr>
                <w:w w:val="105"/>
                <w:sz w:val="17"/>
              </w:rPr>
              <w:t>Cantidad</w:t>
            </w:r>
          </w:p>
        </w:tc>
        <w:tc>
          <w:tcPr>
            <w:tcW w:w="1493" w:type="dxa"/>
            <w:tcBorders>
              <w:top w:val="single" w:sz="4" w:space="0" w:color="000000"/>
              <w:left w:val="single" w:sz="4" w:space="0" w:color="000000"/>
              <w:bottom w:val="single" w:sz="14" w:space="0" w:color="C5E0B3"/>
              <w:right w:val="single" w:sz="4" w:space="0" w:color="000000"/>
            </w:tcBorders>
            <w:shd w:val="clear" w:color="auto" w:fill="E2EFD9"/>
          </w:tcPr>
          <w:p>
            <w:pPr>
              <w:pStyle w:val="TableParagraph"/>
              <w:spacing w:before="20"/>
              <w:ind w:left="100"/>
              <w:rPr>
                <w:sz w:val="17"/>
              </w:rPr>
            </w:pPr>
            <w:r>
              <w:rPr>
                <w:w w:val="104"/>
                <w:sz w:val="17"/>
              </w:rPr>
              <w:t>8</w:t>
            </w:r>
          </w:p>
        </w:tc>
        <w:tc>
          <w:tcPr>
            <w:tcW w:w="136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20"/>
              <w:ind w:left="105"/>
              <w:rPr>
                <w:sz w:val="17"/>
              </w:rPr>
            </w:pPr>
            <w:r>
              <w:rPr>
                <w:w w:val="104"/>
                <w:sz w:val="17"/>
              </w:rPr>
              <w:t>0</w:t>
            </w:r>
          </w:p>
        </w:tc>
        <w:tc>
          <w:tcPr>
            <w:tcW w:w="1493" w:type="dxa"/>
            <w:tcBorders>
              <w:top w:val="single" w:sz="4" w:space="0" w:color="000000"/>
              <w:left w:val="single" w:sz="4" w:space="0" w:color="000000"/>
              <w:bottom w:val="single" w:sz="14" w:space="0" w:color="C5E0B3"/>
              <w:right w:val="single" w:sz="4" w:space="0" w:color="000000"/>
            </w:tcBorders>
            <w:shd w:val="clear" w:color="auto" w:fill="E2EFD9"/>
          </w:tcPr>
          <w:p>
            <w:pPr>
              <w:pStyle w:val="TableParagraph"/>
              <w:spacing w:before="20"/>
              <w:ind w:left="95"/>
              <w:rPr>
                <w:sz w:val="17"/>
              </w:rPr>
            </w:pPr>
            <w:r>
              <w:rPr>
                <w:w w:val="104"/>
                <w:sz w:val="17"/>
              </w:rPr>
              <w:t>8</w:t>
            </w:r>
          </w:p>
        </w:tc>
      </w:tr>
      <w:tr>
        <w:trPr>
          <w:trHeight w:val="274" w:hRule="exact"/>
        </w:trPr>
        <w:tc>
          <w:tcPr>
            <w:tcW w:w="1435" w:type="dxa"/>
            <w:vMerge/>
            <w:tcBorders>
              <w:right w:val="single" w:sz="40" w:space="0" w:color="E2EFD9"/>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4" w:space="0" w:color="E2EFD9"/>
              <w:left w:val="single" w:sz="4" w:space="0" w:color="000000"/>
              <w:bottom w:val="single" w:sz="14" w:space="0" w:color="E2EFD9"/>
              <w:right w:val="single" w:sz="4" w:space="0" w:color="000000"/>
            </w:tcBorders>
            <w:shd w:val="clear" w:color="auto" w:fill="C5E0B3"/>
          </w:tcPr>
          <w:p>
            <w:pPr>
              <w:pStyle w:val="TableParagraph"/>
              <w:spacing w:before="25"/>
              <w:ind w:left="105"/>
              <w:rPr>
                <w:sz w:val="17"/>
              </w:rPr>
            </w:pPr>
            <w:r>
              <w:rPr>
                <w:w w:val="105"/>
                <w:sz w:val="17"/>
              </w:rPr>
              <w:t>% Total</w:t>
            </w:r>
          </w:p>
        </w:tc>
        <w:tc>
          <w:tcPr>
            <w:tcW w:w="1493" w:type="dxa"/>
            <w:tcBorders>
              <w:top w:val="single" w:sz="14" w:space="0" w:color="E2EFD9"/>
              <w:left w:val="single" w:sz="4" w:space="0" w:color="000000"/>
              <w:bottom w:val="single" w:sz="14" w:space="0" w:color="E2EFD9"/>
              <w:right w:val="single" w:sz="4" w:space="0" w:color="000000"/>
            </w:tcBorders>
            <w:shd w:val="clear" w:color="auto" w:fill="C5E0B3"/>
          </w:tcPr>
          <w:p>
            <w:pPr>
              <w:pStyle w:val="TableParagraph"/>
              <w:spacing w:before="25"/>
              <w:ind w:left="100"/>
              <w:rPr>
                <w:sz w:val="17"/>
              </w:rPr>
            </w:pPr>
            <w:r>
              <w:rPr>
                <w:w w:val="105"/>
                <w:sz w:val="17"/>
              </w:rPr>
              <w:t>1.90%</w:t>
            </w:r>
          </w:p>
        </w:tc>
        <w:tc>
          <w:tcPr>
            <w:tcW w:w="1363" w:type="dxa"/>
            <w:tcBorders>
              <w:top w:val="single" w:sz="14" w:space="0" w:color="E2EFD9"/>
              <w:left w:val="single" w:sz="4" w:space="0" w:color="000000"/>
              <w:bottom w:val="single" w:sz="14" w:space="0" w:color="E2EFD9"/>
              <w:right w:val="single" w:sz="4" w:space="0" w:color="000000"/>
            </w:tcBorders>
            <w:shd w:val="clear" w:color="auto" w:fill="C5E0B3"/>
          </w:tcPr>
          <w:p>
            <w:pPr/>
          </w:p>
        </w:tc>
        <w:tc>
          <w:tcPr>
            <w:tcW w:w="1493" w:type="dxa"/>
            <w:tcBorders>
              <w:top w:val="single" w:sz="14" w:space="0" w:color="E2EFD9"/>
              <w:left w:val="single" w:sz="4" w:space="0" w:color="000000"/>
              <w:bottom w:val="single" w:sz="14" w:space="0" w:color="E2EFD9"/>
              <w:right w:val="single" w:sz="4" w:space="0" w:color="000000"/>
            </w:tcBorders>
            <w:shd w:val="clear" w:color="auto" w:fill="C5E0B3"/>
          </w:tcPr>
          <w:p>
            <w:pPr>
              <w:pStyle w:val="TableParagraph"/>
              <w:spacing w:before="20"/>
              <w:ind w:left="95"/>
              <w:rPr>
                <w:b/>
                <w:sz w:val="17"/>
              </w:rPr>
            </w:pPr>
            <w:r>
              <w:rPr>
                <w:b/>
                <w:w w:val="105"/>
                <w:sz w:val="17"/>
              </w:rPr>
              <w:t>1.90%</w:t>
            </w:r>
          </w:p>
        </w:tc>
      </w:tr>
      <w:tr>
        <w:trPr>
          <w:trHeight w:val="240" w:hRule="exact"/>
        </w:trPr>
        <w:tc>
          <w:tcPr>
            <w:tcW w:w="1435" w:type="dxa"/>
            <w:vMerge/>
            <w:tcBorders>
              <w:right w:val="single" w:sz="40" w:space="0" w:color="E2EFD9"/>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val="restart"/>
            <w:tcBorders>
              <w:top w:val="single" w:sz="4" w:space="0" w:color="000000"/>
              <w:left w:val="single" w:sz="4" w:space="0" w:color="000000"/>
              <w:right w:val="single" w:sz="4" w:space="0" w:color="000000"/>
            </w:tcBorders>
            <w:shd w:val="clear" w:color="auto" w:fill="E2EFD9"/>
          </w:tcPr>
          <w:p>
            <w:pPr>
              <w:pStyle w:val="TableParagraph"/>
              <w:spacing w:before="10"/>
              <w:rPr>
                <w:sz w:val="14"/>
              </w:rPr>
            </w:pPr>
          </w:p>
          <w:p>
            <w:pPr>
              <w:pStyle w:val="TableParagraph"/>
              <w:ind w:left="96"/>
              <w:rPr>
                <w:sz w:val="17"/>
              </w:rPr>
            </w:pPr>
            <w:r>
              <w:rPr>
                <w:w w:val="105"/>
                <w:sz w:val="17"/>
              </w:rPr>
              <w:t>Fem</w:t>
            </w:r>
          </w:p>
        </w:tc>
        <w:tc>
          <w:tcPr>
            <w:tcW w:w="1133" w:type="dxa"/>
            <w:tcBorders>
              <w:top w:val="single" w:sz="17" w:space="0" w:color="C5E0B3"/>
              <w:left w:val="single" w:sz="4" w:space="0" w:color="000000"/>
              <w:bottom w:val="single" w:sz="15" w:space="0" w:color="C5E0B3"/>
              <w:right w:val="single" w:sz="4" w:space="0" w:color="000000"/>
            </w:tcBorders>
            <w:shd w:val="clear" w:color="auto" w:fill="E2EFD9"/>
          </w:tcPr>
          <w:p>
            <w:pPr>
              <w:pStyle w:val="TableParagraph"/>
              <w:spacing w:before="21"/>
              <w:ind w:left="105"/>
              <w:rPr>
                <w:sz w:val="17"/>
              </w:rPr>
            </w:pPr>
            <w:r>
              <w:rPr>
                <w:w w:val="105"/>
                <w:sz w:val="17"/>
              </w:rPr>
              <w:t>Cantidad</w:t>
            </w:r>
          </w:p>
        </w:tc>
        <w:tc>
          <w:tcPr>
            <w:tcW w:w="1493" w:type="dxa"/>
            <w:tcBorders>
              <w:top w:val="single" w:sz="17" w:space="0" w:color="C5E0B3"/>
              <w:left w:val="single" w:sz="4" w:space="0" w:color="000000"/>
              <w:bottom w:val="single" w:sz="15" w:space="0" w:color="C5E0B3"/>
              <w:right w:val="single" w:sz="4" w:space="0" w:color="000000"/>
            </w:tcBorders>
            <w:shd w:val="clear" w:color="auto" w:fill="E2EFD9"/>
          </w:tcPr>
          <w:p>
            <w:pPr>
              <w:pStyle w:val="TableParagraph"/>
              <w:spacing w:before="21"/>
              <w:ind w:left="100"/>
              <w:rPr>
                <w:sz w:val="17"/>
              </w:rPr>
            </w:pPr>
            <w:r>
              <w:rPr>
                <w:w w:val="105"/>
                <w:sz w:val="17"/>
              </w:rPr>
              <w:t>12</w:t>
            </w:r>
          </w:p>
        </w:tc>
        <w:tc>
          <w:tcPr>
            <w:tcW w:w="1363" w:type="dxa"/>
            <w:tcBorders>
              <w:top w:val="single" w:sz="56" w:space="0" w:color="C5E0B3"/>
              <w:left w:val="single" w:sz="4" w:space="0" w:color="000000"/>
              <w:bottom w:val="single" w:sz="2" w:space="0" w:color="000000"/>
              <w:right w:val="single" w:sz="4" w:space="0" w:color="000000"/>
            </w:tcBorders>
            <w:shd w:val="clear" w:color="auto" w:fill="E2EFD9"/>
          </w:tcPr>
          <w:p>
            <w:pPr>
              <w:pStyle w:val="TableParagraph"/>
              <w:spacing w:line="168" w:lineRule="exact"/>
              <w:ind w:left="105"/>
              <w:rPr>
                <w:sz w:val="17"/>
              </w:rPr>
            </w:pPr>
            <w:r>
              <w:rPr>
                <w:w w:val="104"/>
                <w:sz w:val="17"/>
              </w:rPr>
              <w:t>0</w:t>
            </w:r>
          </w:p>
        </w:tc>
        <w:tc>
          <w:tcPr>
            <w:tcW w:w="1493" w:type="dxa"/>
            <w:tcBorders>
              <w:top w:val="single" w:sz="17" w:space="0" w:color="C5E0B3"/>
              <w:left w:val="single" w:sz="4" w:space="0" w:color="000000"/>
              <w:bottom w:val="single" w:sz="15" w:space="0" w:color="C5E0B3"/>
              <w:right w:val="single" w:sz="4" w:space="0" w:color="000000"/>
            </w:tcBorders>
            <w:shd w:val="clear" w:color="auto" w:fill="E2EFD9"/>
          </w:tcPr>
          <w:p>
            <w:pPr>
              <w:pStyle w:val="TableParagraph"/>
              <w:spacing w:before="21"/>
              <w:ind w:left="95"/>
              <w:rPr>
                <w:sz w:val="17"/>
              </w:rPr>
            </w:pPr>
            <w:r>
              <w:rPr>
                <w:w w:val="105"/>
                <w:sz w:val="17"/>
              </w:rPr>
              <w:t>12</w:t>
            </w:r>
          </w:p>
        </w:tc>
      </w:tr>
      <w:tr>
        <w:trPr>
          <w:trHeight w:val="322" w:hRule="exact"/>
        </w:trPr>
        <w:tc>
          <w:tcPr>
            <w:tcW w:w="1435" w:type="dxa"/>
            <w:vMerge/>
            <w:tcBorders>
              <w:right w:val="single" w:sz="40" w:space="0" w:color="E2EFD9"/>
            </w:tcBorders>
            <w:shd w:val="clear" w:color="auto" w:fill="70AD47"/>
          </w:tcPr>
          <w:p>
            <w:pPr/>
          </w:p>
        </w:tc>
        <w:tc>
          <w:tcPr>
            <w:tcW w:w="1181" w:type="dxa"/>
            <w:vMerge/>
            <w:tcBorders>
              <w:left w:val="single" w:sz="4" w:space="0" w:color="000000"/>
              <w:bottom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3" w:space="0" w:color="E2EFD9"/>
              <w:left w:val="single" w:sz="4" w:space="0" w:color="000000"/>
              <w:bottom w:val="single" w:sz="15" w:space="0" w:color="E2EFD9"/>
              <w:right w:val="single" w:sz="4" w:space="0" w:color="000000"/>
            </w:tcBorders>
            <w:shd w:val="clear" w:color="auto" w:fill="C5E0B3"/>
          </w:tcPr>
          <w:p>
            <w:pPr>
              <w:pStyle w:val="TableParagraph"/>
              <w:spacing w:before="54"/>
              <w:ind w:left="105"/>
              <w:rPr>
                <w:sz w:val="17"/>
              </w:rPr>
            </w:pPr>
            <w:r>
              <w:rPr>
                <w:w w:val="105"/>
                <w:sz w:val="17"/>
              </w:rPr>
              <w:t>% Total</w:t>
            </w:r>
          </w:p>
        </w:tc>
        <w:tc>
          <w:tcPr>
            <w:tcW w:w="1493" w:type="dxa"/>
            <w:tcBorders>
              <w:top w:val="single" w:sz="13" w:space="0" w:color="E2EFD9"/>
              <w:left w:val="single" w:sz="4" w:space="0" w:color="000000"/>
              <w:bottom w:val="single" w:sz="15" w:space="0" w:color="E2EFD9"/>
              <w:right w:val="single" w:sz="4" w:space="0" w:color="000000"/>
            </w:tcBorders>
            <w:shd w:val="clear" w:color="auto" w:fill="C5E0B3"/>
          </w:tcPr>
          <w:p>
            <w:pPr>
              <w:pStyle w:val="TableParagraph"/>
              <w:spacing w:before="54"/>
              <w:ind w:left="100"/>
              <w:rPr>
                <w:sz w:val="17"/>
              </w:rPr>
            </w:pPr>
            <w:r>
              <w:rPr>
                <w:w w:val="105"/>
                <w:sz w:val="17"/>
              </w:rPr>
              <w:t>2.85%</w:t>
            </w:r>
          </w:p>
        </w:tc>
        <w:tc>
          <w:tcPr>
            <w:tcW w:w="1363" w:type="dxa"/>
            <w:tcBorders>
              <w:top w:val="single" w:sz="13" w:space="0" w:color="E2EFD9"/>
              <w:left w:val="single" w:sz="4" w:space="0" w:color="000000"/>
              <w:bottom w:val="single" w:sz="15" w:space="0" w:color="E2EFD9"/>
              <w:right w:val="single" w:sz="4" w:space="0" w:color="000000"/>
            </w:tcBorders>
            <w:shd w:val="clear" w:color="auto" w:fill="C5E0B3"/>
          </w:tcPr>
          <w:p>
            <w:pPr/>
          </w:p>
        </w:tc>
        <w:tc>
          <w:tcPr>
            <w:tcW w:w="1493" w:type="dxa"/>
            <w:tcBorders>
              <w:top w:val="single" w:sz="13" w:space="0" w:color="E2EFD9"/>
              <w:left w:val="single" w:sz="4" w:space="0" w:color="000000"/>
              <w:bottom w:val="single" w:sz="15" w:space="0" w:color="E2EFD9"/>
              <w:right w:val="single" w:sz="4" w:space="0" w:color="000000"/>
            </w:tcBorders>
            <w:shd w:val="clear" w:color="auto" w:fill="C5E0B3"/>
          </w:tcPr>
          <w:p>
            <w:pPr>
              <w:pStyle w:val="TableParagraph"/>
              <w:spacing w:before="49"/>
              <w:ind w:left="95"/>
              <w:rPr>
                <w:b/>
                <w:sz w:val="17"/>
              </w:rPr>
            </w:pPr>
            <w:r>
              <w:rPr>
                <w:b/>
                <w:w w:val="105"/>
                <w:sz w:val="17"/>
              </w:rPr>
              <w:t>2.85%</w:t>
            </w:r>
          </w:p>
        </w:tc>
      </w:tr>
      <w:tr>
        <w:trPr>
          <w:trHeight w:val="240" w:hRule="exact"/>
        </w:trPr>
        <w:tc>
          <w:tcPr>
            <w:tcW w:w="1435" w:type="dxa"/>
            <w:vMerge/>
            <w:tcBorders>
              <w:right w:val="single" w:sz="40" w:space="0" w:color="E2EFD9"/>
            </w:tcBorders>
            <w:shd w:val="clear" w:color="auto" w:fill="70AD47"/>
          </w:tcPr>
          <w:p>
            <w:pPr/>
          </w:p>
        </w:tc>
        <w:tc>
          <w:tcPr>
            <w:tcW w:w="1934" w:type="dxa"/>
            <w:gridSpan w:val="2"/>
            <w:vMerge w:val="restart"/>
            <w:tcBorders>
              <w:top w:val="single" w:sz="4" w:space="0" w:color="000000"/>
              <w:left w:val="single" w:sz="4" w:space="0" w:color="000000"/>
              <w:right w:val="single" w:sz="4" w:space="0" w:color="000000"/>
            </w:tcBorders>
            <w:shd w:val="clear" w:color="auto" w:fill="E2EFD9"/>
          </w:tcPr>
          <w:p>
            <w:pPr>
              <w:pStyle w:val="TableParagraph"/>
              <w:spacing w:before="152"/>
              <w:ind w:left="100"/>
              <w:rPr>
                <w:sz w:val="17"/>
              </w:rPr>
            </w:pPr>
            <w:r>
              <w:rPr>
                <w:w w:val="105"/>
                <w:sz w:val="17"/>
              </w:rPr>
              <w:t>Total</w:t>
            </w:r>
          </w:p>
        </w:tc>
        <w:tc>
          <w:tcPr>
            <w:tcW w:w="113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6"/>
              <w:ind w:left="105"/>
              <w:rPr>
                <w:sz w:val="17"/>
              </w:rPr>
            </w:pPr>
            <w:r>
              <w:rPr>
                <w:w w:val="105"/>
                <w:sz w:val="17"/>
              </w:rPr>
              <w:t>Cantidad</w:t>
            </w:r>
          </w:p>
        </w:tc>
        <w:tc>
          <w:tcPr>
            <w:tcW w:w="149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6"/>
              <w:ind w:left="100"/>
              <w:rPr>
                <w:sz w:val="17"/>
              </w:rPr>
            </w:pPr>
            <w:r>
              <w:rPr>
                <w:w w:val="105"/>
                <w:sz w:val="17"/>
              </w:rPr>
              <w:t>20</w:t>
            </w:r>
          </w:p>
        </w:tc>
        <w:tc>
          <w:tcPr>
            <w:tcW w:w="1363" w:type="dxa"/>
            <w:tcBorders>
              <w:top w:val="single" w:sz="54" w:space="0" w:color="C5E0B3"/>
              <w:left w:val="single" w:sz="4" w:space="0" w:color="000000"/>
              <w:bottom w:val="single" w:sz="4" w:space="0" w:color="000000"/>
              <w:right w:val="single" w:sz="4" w:space="0" w:color="000000"/>
            </w:tcBorders>
            <w:shd w:val="clear" w:color="auto" w:fill="E2EFD9"/>
          </w:tcPr>
          <w:p>
            <w:pPr>
              <w:pStyle w:val="TableParagraph"/>
              <w:spacing w:line="151" w:lineRule="exact"/>
              <w:ind w:left="105"/>
              <w:rPr>
                <w:sz w:val="17"/>
              </w:rPr>
            </w:pPr>
            <w:r>
              <w:rPr>
                <w:w w:val="104"/>
                <w:sz w:val="17"/>
              </w:rPr>
              <w:t>0</w:t>
            </w:r>
          </w:p>
        </w:tc>
        <w:tc>
          <w:tcPr>
            <w:tcW w:w="149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6"/>
              <w:ind w:left="95"/>
              <w:rPr>
                <w:sz w:val="17"/>
              </w:rPr>
            </w:pPr>
            <w:r>
              <w:rPr>
                <w:w w:val="105"/>
                <w:sz w:val="17"/>
              </w:rPr>
              <w:t>20</w:t>
            </w:r>
          </w:p>
        </w:tc>
      </w:tr>
      <w:tr>
        <w:trPr>
          <w:trHeight w:val="291" w:hRule="exact"/>
        </w:trPr>
        <w:tc>
          <w:tcPr>
            <w:tcW w:w="1435" w:type="dxa"/>
            <w:vMerge/>
            <w:tcBorders>
              <w:bottom w:val="single" w:sz="4" w:space="0" w:color="000000"/>
              <w:right w:val="single" w:sz="40" w:space="0" w:color="E2EFD9"/>
            </w:tcBorders>
            <w:shd w:val="clear" w:color="auto" w:fill="70AD47"/>
          </w:tcPr>
          <w:p>
            <w:pPr/>
          </w:p>
        </w:tc>
        <w:tc>
          <w:tcPr>
            <w:tcW w:w="1934" w:type="dxa"/>
            <w:gridSpan w:val="2"/>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5" w:space="0" w:color="E2EFD9"/>
              <w:left w:val="single" w:sz="4" w:space="0" w:color="000000"/>
              <w:bottom w:val="single" w:sz="18" w:space="0" w:color="E2EFD9"/>
              <w:right w:val="single" w:sz="4" w:space="0" w:color="000000"/>
            </w:tcBorders>
            <w:shd w:val="clear" w:color="auto" w:fill="C5E0B3"/>
          </w:tcPr>
          <w:p>
            <w:pPr>
              <w:pStyle w:val="TableParagraph"/>
              <w:spacing w:before="37"/>
              <w:ind w:left="105"/>
              <w:rPr>
                <w:sz w:val="17"/>
              </w:rPr>
            </w:pPr>
            <w:r>
              <w:rPr>
                <w:w w:val="105"/>
                <w:sz w:val="17"/>
              </w:rPr>
              <w:t>% Total</w:t>
            </w:r>
          </w:p>
        </w:tc>
        <w:tc>
          <w:tcPr>
            <w:tcW w:w="1493" w:type="dxa"/>
            <w:tcBorders>
              <w:top w:val="single" w:sz="15" w:space="0" w:color="E2EFD9"/>
              <w:left w:val="single" w:sz="4" w:space="0" w:color="000000"/>
              <w:bottom w:val="single" w:sz="18" w:space="0" w:color="E2EFD9"/>
              <w:right w:val="single" w:sz="4" w:space="0" w:color="000000"/>
            </w:tcBorders>
            <w:shd w:val="clear" w:color="auto" w:fill="C5E0B3"/>
          </w:tcPr>
          <w:p>
            <w:pPr>
              <w:pStyle w:val="TableParagraph"/>
              <w:spacing w:before="37"/>
              <w:ind w:left="100"/>
              <w:rPr>
                <w:sz w:val="17"/>
              </w:rPr>
            </w:pPr>
            <w:r>
              <w:rPr>
                <w:w w:val="105"/>
                <w:sz w:val="17"/>
              </w:rPr>
              <w:t>4.76%</w:t>
            </w:r>
          </w:p>
        </w:tc>
        <w:tc>
          <w:tcPr>
            <w:tcW w:w="1363" w:type="dxa"/>
            <w:tcBorders>
              <w:top w:val="single" w:sz="15" w:space="0" w:color="E2EFD9"/>
              <w:left w:val="single" w:sz="4" w:space="0" w:color="000000"/>
              <w:bottom w:val="single" w:sz="18" w:space="0" w:color="E2EFD9"/>
              <w:right w:val="single" w:sz="4" w:space="0" w:color="000000"/>
            </w:tcBorders>
            <w:shd w:val="clear" w:color="auto" w:fill="C5E0B3"/>
          </w:tcPr>
          <w:p>
            <w:pPr>
              <w:pStyle w:val="TableParagraph"/>
              <w:spacing w:before="37"/>
              <w:ind w:left="105"/>
              <w:rPr>
                <w:sz w:val="17"/>
              </w:rPr>
            </w:pPr>
            <w:r>
              <w:rPr>
                <w:w w:val="104"/>
                <w:sz w:val="17"/>
              </w:rPr>
              <w:t>0</w:t>
            </w:r>
          </w:p>
        </w:tc>
        <w:tc>
          <w:tcPr>
            <w:tcW w:w="1493" w:type="dxa"/>
            <w:tcBorders>
              <w:top w:val="single" w:sz="15" w:space="0" w:color="E2EFD9"/>
              <w:left w:val="single" w:sz="4" w:space="0" w:color="000000"/>
              <w:bottom w:val="single" w:sz="18" w:space="0" w:color="E2EFD9"/>
              <w:right w:val="single" w:sz="4" w:space="0" w:color="000000"/>
            </w:tcBorders>
            <w:shd w:val="clear" w:color="auto" w:fill="C5E0B3"/>
          </w:tcPr>
          <w:p>
            <w:pPr>
              <w:pStyle w:val="TableParagraph"/>
              <w:spacing w:before="32"/>
              <w:ind w:left="95"/>
              <w:rPr>
                <w:b/>
                <w:sz w:val="17"/>
              </w:rPr>
            </w:pPr>
            <w:r>
              <w:rPr>
                <w:b/>
                <w:w w:val="105"/>
                <w:sz w:val="17"/>
              </w:rPr>
              <w:t>4.76%</w:t>
            </w:r>
          </w:p>
        </w:tc>
      </w:tr>
      <w:tr>
        <w:trPr>
          <w:trHeight w:val="268" w:hRule="exact"/>
        </w:trPr>
        <w:tc>
          <w:tcPr>
            <w:tcW w:w="1435" w:type="dxa"/>
            <w:vMerge w:val="restart"/>
            <w:tcBorders>
              <w:top w:val="single" w:sz="4" w:space="0" w:color="000000"/>
              <w:right w:val="single" w:sz="40" w:space="0" w:color="E2EFD9"/>
            </w:tcBorders>
            <w:shd w:val="clear" w:color="auto" w:fill="70AD47"/>
          </w:tcPr>
          <w:p>
            <w:pPr>
              <w:pStyle w:val="TableParagraph"/>
              <w:rPr>
                <w:sz w:val="18"/>
              </w:rPr>
            </w:pPr>
          </w:p>
          <w:p>
            <w:pPr>
              <w:pStyle w:val="TableParagraph"/>
              <w:rPr>
                <w:sz w:val="18"/>
              </w:rPr>
            </w:pPr>
          </w:p>
          <w:p>
            <w:pPr>
              <w:pStyle w:val="TableParagraph"/>
              <w:spacing w:before="10"/>
              <w:rPr>
                <w:sz w:val="25"/>
              </w:rPr>
            </w:pPr>
          </w:p>
          <w:p>
            <w:pPr>
              <w:pStyle w:val="TableParagraph"/>
              <w:ind w:left="100"/>
              <w:rPr>
                <w:b/>
                <w:sz w:val="17"/>
              </w:rPr>
            </w:pPr>
            <w:r>
              <w:rPr>
                <w:b/>
                <w:w w:val="105"/>
                <w:sz w:val="17"/>
              </w:rPr>
              <w:t>Ama de Casa</w:t>
            </w:r>
          </w:p>
        </w:tc>
        <w:tc>
          <w:tcPr>
            <w:tcW w:w="1181" w:type="dxa"/>
            <w:vMerge w:val="restart"/>
            <w:tcBorders>
              <w:top w:val="single" w:sz="4" w:space="0" w:color="000000"/>
              <w:left w:val="single" w:sz="4" w:space="0" w:color="000000"/>
              <w:right w:val="single" w:sz="4" w:space="0" w:color="000000"/>
            </w:tcBorders>
            <w:shd w:val="clear" w:color="auto" w:fill="E2EFD9"/>
          </w:tcPr>
          <w:p>
            <w:pPr>
              <w:pStyle w:val="TableParagraph"/>
              <w:rPr>
                <w:sz w:val="18"/>
              </w:rPr>
            </w:pPr>
          </w:p>
          <w:p>
            <w:pPr>
              <w:pStyle w:val="TableParagraph"/>
              <w:spacing w:before="7"/>
              <w:rPr>
                <w:sz w:val="19"/>
              </w:rPr>
            </w:pPr>
          </w:p>
          <w:p>
            <w:pPr>
              <w:pStyle w:val="TableParagraph"/>
              <w:ind w:left="100"/>
              <w:rPr>
                <w:b/>
                <w:sz w:val="17"/>
              </w:rPr>
            </w:pPr>
            <w:r>
              <w:rPr>
                <w:b/>
                <w:w w:val="105"/>
                <w:sz w:val="17"/>
              </w:rPr>
              <w:t>Sexo</w:t>
            </w:r>
          </w:p>
        </w:tc>
        <w:tc>
          <w:tcPr>
            <w:tcW w:w="754" w:type="dxa"/>
            <w:vMerge w:val="restart"/>
            <w:tcBorders>
              <w:top w:val="single" w:sz="4" w:space="0" w:color="000000"/>
              <w:left w:val="single" w:sz="4" w:space="0" w:color="000000"/>
              <w:right w:val="single" w:sz="4" w:space="0" w:color="000000"/>
            </w:tcBorders>
            <w:shd w:val="clear" w:color="auto" w:fill="E2EFD9"/>
          </w:tcPr>
          <w:p>
            <w:pPr>
              <w:pStyle w:val="TableParagraph"/>
              <w:spacing w:before="8"/>
              <w:rPr>
                <w:sz w:val="14"/>
              </w:rPr>
            </w:pPr>
          </w:p>
          <w:p>
            <w:pPr>
              <w:pStyle w:val="TableParagraph"/>
              <w:ind w:left="96"/>
              <w:rPr>
                <w:sz w:val="17"/>
              </w:rPr>
            </w:pPr>
            <w:r>
              <w:rPr>
                <w:w w:val="105"/>
                <w:sz w:val="17"/>
              </w:rPr>
              <w:t>Masc</w:t>
            </w:r>
          </w:p>
        </w:tc>
        <w:tc>
          <w:tcPr>
            <w:tcW w:w="1133" w:type="dxa"/>
            <w:tcBorders>
              <w:top w:val="single" w:sz="15" w:space="0" w:color="C5E0B3"/>
              <w:left w:val="single" w:sz="4" w:space="0" w:color="000000"/>
              <w:bottom w:val="single" w:sz="15" w:space="0" w:color="C5E0B3"/>
              <w:right w:val="single" w:sz="4" w:space="0" w:color="000000"/>
            </w:tcBorders>
            <w:shd w:val="clear" w:color="auto" w:fill="E2EFD9"/>
          </w:tcPr>
          <w:p>
            <w:pPr>
              <w:pStyle w:val="TableParagraph"/>
              <w:spacing w:before="20"/>
              <w:ind w:left="105"/>
              <w:rPr>
                <w:sz w:val="17"/>
              </w:rPr>
            </w:pPr>
            <w:r>
              <w:rPr>
                <w:w w:val="105"/>
                <w:sz w:val="17"/>
              </w:rPr>
              <w:t>Cantidad</w:t>
            </w:r>
          </w:p>
        </w:tc>
        <w:tc>
          <w:tcPr>
            <w:tcW w:w="1493" w:type="dxa"/>
            <w:tcBorders>
              <w:top w:val="single" w:sz="15" w:space="0" w:color="C5E0B3"/>
              <w:left w:val="single" w:sz="4" w:space="0" w:color="000000"/>
              <w:bottom w:val="single" w:sz="15" w:space="0" w:color="C5E0B3"/>
              <w:right w:val="single" w:sz="4" w:space="0" w:color="000000"/>
            </w:tcBorders>
            <w:shd w:val="clear" w:color="auto" w:fill="E2EFD9"/>
          </w:tcPr>
          <w:p>
            <w:pPr>
              <w:pStyle w:val="TableParagraph"/>
              <w:spacing w:before="20"/>
              <w:ind w:left="100"/>
              <w:rPr>
                <w:sz w:val="17"/>
              </w:rPr>
            </w:pPr>
            <w:r>
              <w:rPr>
                <w:w w:val="105"/>
                <w:sz w:val="17"/>
              </w:rPr>
              <w:t>17</w:t>
            </w:r>
          </w:p>
        </w:tc>
        <w:tc>
          <w:tcPr>
            <w:tcW w:w="1363" w:type="dxa"/>
            <w:tcBorders>
              <w:top w:val="single" w:sz="15" w:space="0" w:color="C5E0B3"/>
              <w:left w:val="single" w:sz="4" w:space="0" w:color="000000"/>
              <w:bottom w:val="single" w:sz="15" w:space="0" w:color="C5E0B3"/>
              <w:right w:val="single" w:sz="4" w:space="0" w:color="000000"/>
            </w:tcBorders>
            <w:shd w:val="clear" w:color="auto" w:fill="E2EFD9"/>
          </w:tcPr>
          <w:p>
            <w:pPr>
              <w:pStyle w:val="TableParagraph"/>
              <w:spacing w:before="20"/>
              <w:ind w:left="105"/>
              <w:rPr>
                <w:sz w:val="17"/>
              </w:rPr>
            </w:pPr>
            <w:r>
              <w:rPr>
                <w:w w:val="105"/>
                <w:sz w:val="17"/>
              </w:rPr>
              <w:t>11</w:t>
            </w:r>
          </w:p>
        </w:tc>
        <w:tc>
          <w:tcPr>
            <w:tcW w:w="1493" w:type="dxa"/>
            <w:tcBorders>
              <w:top w:val="single" w:sz="15" w:space="0" w:color="C5E0B3"/>
              <w:left w:val="single" w:sz="4" w:space="0" w:color="000000"/>
              <w:bottom w:val="single" w:sz="15" w:space="0" w:color="C5E0B3"/>
              <w:right w:val="single" w:sz="4" w:space="0" w:color="000000"/>
            </w:tcBorders>
            <w:shd w:val="clear" w:color="auto" w:fill="E2EFD9"/>
          </w:tcPr>
          <w:p>
            <w:pPr>
              <w:pStyle w:val="TableParagraph"/>
              <w:spacing w:before="20"/>
              <w:ind w:left="95"/>
              <w:rPr>
                <w:sz w:val="17"/>
              </w:rPr>
            </w:pPr>
            <w:r>
              <w:rPr>
                <w:w w:val="105"/>
                <w:sz w:val="17"/>
              </w:rPr>
              <w:t>28</w:t>
            </w:r>
          </w:p>
        </w:tc>
      </w:tr>
      <w:tr>
        <w:trPr>
          <w:trHeight w:val="276" w:hRule="exact"/>
        </w:trPr>
        <w:tc>
          <w:tcPr>
            <w:tcW w:w="1435" w:type="dxa"/>
            <w:vMerge/>
            <w:tcBorders>
              <w:right w:val="single" w:sz="40" w:space="0" w:color="E2EFD9"/>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4" w:space="0" w:color="E2EFD9"/>
              <w:left w:val="single" w:sz="4" w:space="0" w:color="000000"/>
              <w:bottom w:val="single" w:sz="17" w:space="0" w:color="E2EFD9"/>
              <w:right w:val="single" w:sz="4" w:space="0" w:color="000000"/>
            </w:tcBorders>
            <w:shd w:val="clear" w:color="auto" w:fill="C5E0B3"/>
          </w:tcPr>
          <w:p>
            <w:pPr>
              <w:pStyle w:val="TableParagraph"/>
              <w:spacing w:before="23"/>
              <w:ind w:left="105"/>
              <w:rPr>
                <w:sz w:val="17"/>
              </w:rPr>
            </w:pPr>
            <w:r>
              <w:rPr>
                <w:w w:val="105"/>
                <w:sz w:val="17"/>
              </w:rPr>
              <w:t>% Total</w:t>
            </w:r>
          </w:p>
        </w:tc>
        <w:tc>
          <w:tcPr>
            <w:tcW w:w="1493" w:type="dxa"/>
            <w:tcBorders>
              <w:top w:val="single" w:sz="14" w:space="0" w:color="E2EFD9"/>
              <w:left w:val="single" w:sz="4" w:space="0" w:color="000000"/>
              <w:bottom w:val="single" w:sz="17" w:space="0" w:color="E2EFD9"/>
              <w:right w:val="single" w:sz="4" w:space="0" w:color="000000"/>
            </w:tcBorders>
            <w:shd w:val="clear" w:color="auto" w:fill="C5E0B3"/>
          </w:tcPr>
          <w:p>
            <w:pPr>
              <w:pStyle w:val="TableParagraph"/>
              <w:spacing w:before="23"/>
              <w:ind w:left="100"/>
              <w:rPr>
                <w:sz w:val="17"/>
              </w:rPr>
            </w:pPr>
            <w:r>
              <w:rPr>
                <w:w w:val="105"/>
                <w:sz w:val="17"/>
              </w:rPr>
              <w:t>4.04%</w:t>
            </w:r>
          </w:p>
        </w:tc>
        <w:tc>
          <w:tcPr>
            <w:tcW w:w="1363" w:type="dxa"/>
            <w:tcBorders>
              <w:top w:val="single" w:sz="14" w:space="0" w:color="E2EFD9"/>
              <w:left w:val="single" w:sz="4" w:space="0" w:color="000000"/>
              <w:bottom w:val="single" w:sz="17" w:space="0" w:color="E2EFD9"/>
              <w:right w:val="single" w:sz="4" w:space="0" w:color="000000"/>
            </w:tcBorders>
            <w:shd w:val="clear" w:color="auto" w:fill="C5E0B3"/>
          </w:tcPr>
          <w:p>
            <w:pPr>
              <w:pStyle w:val="TableParagraph"/>
              <w:spacing w:before="23"/>
              <w:ind w:left="105"/>
              <w:rPr>
                <w:sz w:val="17"/>
              </w:rPr>
            </w:pPr>
            <w:r>
              <w:rPr>
                <w:w w:val="105"/>
                <w:sz w:val="17"/>
              </w:rPr>
              <w:t>2.62%</w:t>
            </w:r>
          </w:p>
        </w:tc>
        <w:tc>
          <w:tcPr>
            <w:tcW w:w="1493" w:type="dxa"/>
            <w:tcBorders>
              <w:top w:val="single" w:sz="14" w:space="0" w:color="E2EFD9"/>
              <w:left w:val="single" w:sz="4" w:space="0" w:color="000000"/>
              <w:bottom w:val="single" w:sz="17" w:space="0" w:color="E2EFD9"/>
              <w:right w:val="single" w:sz="4" w:space="0" w:color="000000"/>
            </w:tcBorders>
            <w:shd w:val="clear" w:color="auto" w:fill="C5E0B3"/>
          </w:tcPr>
          <w:p>
            <w:pPr>
              <w:pStyle w:val="TableParagraph"/>
              <w:spacing w:before="18"/>
              <w:ind w:left="95"/>
              <w:rPr>
                <w:b/>
                <w:sz w:val="17"/>
              </w:rPr>
            </w:pPr>
            <w:r>
              <w:rPr>
                <w:b/>
                <w:w w:val="105"/>
                <w:sz w:val="17"/>
              </w:rPr>
              <w:t>6.66%</w:t>
            </w:r>
          </w:p>
        </w:tc>
      </w:tr>
      <w:tr>
        <w:trPr>
          <w:trHeight w:val="254" w:hRule="exact"/>
        </w:trPr>
        <w:tc>
          <w:tcPr>
            <w:tcW w:w="1435" w:type="dxa"/>
            <w:vMerge/>
            <w:tcBorders>
              <w:right w:val="single" w:sz="40" w:space="0" w:color="E2EFD9"/>
            </w:tcBorders>
            <w:shd w:val="clear" w:color="auto" w:fill="70AD47"/>
          </w:tcPr>
          <w:p>
            <w:pPr/>
          </w:p>
        </w:tc>
        <w:tc>
          <w:tcPr>
            <w:tcW w:w="1181" w:type="dxa"/>
            <w:vMerge/>
            <w:tcBorders>
              <w:left w:val="single" w:sz="4" w:space="0" w:color="000000"/>
              <w:right w:val="single" w:sz="4" w:space="0" w:color="000000"/>
            </w:tcBorders>
            <w:shd w:val="clear" w:color="auto" w:fill="E2EFD9"/>
          </w:tcPr>
          <w:p>
            <w:pPr/>
          </w:p>
        </w:tc>
        <w:tc>
          <w:tcPr>
            <w:tcW w:w="754" w:type="dxa"/>
            <w:vMerge w:val="restart"/>
            <w:tcBorders>
              <w:top w:val="single" w:sz="4" w:space="0" w:color="000000"/>
              <w:left w:val="single" w:sz="4" w:space="0" w:color="000000"/>
              <w:right w:val="single" w:sz="4" w:space="0" w:color="000000"/>
            </w:tcBorders>
            <w:shd w:val="clear" w:color="auto" w:fill="E2EFD9"/>
          </w:tcPr>
          <w:p>
            <w:pPr>
              <w:pStyle w:val="TableParagraph"/>
              <w:spacing w:before="10"/>
              <w:rPr>
                <w:sz w:val="14"/>
              </w:rPr>
            </w:pPr>
          </w:p>
          <w:p>
            <w:pPr>
              <w:pStyle w:val="TableParagraph"/>
              <w:ind w:left="96"/>
              <w:rPr>
                <w:sz w:val="17"/>
              </w:rPr>
            </w:pPr>
            <w:r>
              <w:rPr>
                <w:w w:val="105"/>
                <w:sz w:val="17"/>
              </w:rPr>
              <w:t>Fem</w:t>
            </w:r>
          </w:p>
        </w:tc>
        <w:tc>
          <w:tcPr>
            <w:tcW w:w="113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5"/>
              <w:ind w:left="105"/>
              <w:rPr>
                <w:sz w:val="17"/>
              </w:rPr>
            </w:pPr>
            <w:r>
              <w:rPr>
                <w:w w:val="105"/>
                <w:sz w:val="17"/>
              </w:rPr>
              <w:t>Cantidad</w:t>
            </w:r>
          </w:p>
        </w:tc>
        <w:tc>
          <w:tcPr>
            <w:tcW w:w="149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5"/>
              <w:ind w:left="100"/>
              <w:rPr>
                <w:sz w:val="17"/>
              </w:rPr>
            </w:pPr>
            <w:r>
              <w:rPr>
                <w:w w:val="105"/>
                <w:sz w:val="17"/>
              </w:rPr>
              <w:t>32</w:t>
            </w:r>
          </w:p>
        </w:tc>
        <w:tc>
          <w:tcPr>
            <w:tcW w:w="136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5"/>
              <w:ind w:left="105"/>
              <w:rPr>
                <w:sz w:val="17"/>
              </w:rPr>
            </w:pPr>
            <w:r>
              <w:rPr>
                <w:w w:val="104"/>
                <w:sz w:val="17"/>
              </w:rPr>
              <w:t>9</w:t>
            </w:r>
          </w:p>
        </w:tc>
        <w:tc>
          <w:tcPr>
            <w:tcW w:w="1493" w:type="dxa"/>
            <w:tcBorders>
              <w:top w:val="single" w:sz="14" w:space="0" w:color="C5E0B3"/>
              <w:left w:val="single" w:sz="4" w:space="0" w:color="000000"/>
              <w:bottom w:val="single" w:sz="4" w:space="0" w:color="000000"/>
              <w:right w:val="single" w:sz="4" w:space="0" w:color="000000"/>
            </w:tcBorders>
            <w:shd w:val="clear" w:color="auto" w:fill="E2EFD9"/>
          </w:tcPr>
          <w:p>
            <w:pPr>
              <w:pStyle w:val="TableParagraph"/>
              <w:spacing w:before="25"/>
              <w:ind w:left="95"/>
              <w:rPr>
                <w:sz w:val="17"/>
              </w:rPr>
            </w:pPr>
            <w:r>
              <w:rPr>
                <w:w w:val="105"/>
                <w:sz w:val="17"/>
              </w:rPr>
              <w:t>41</w:t>
            </w:r>
          </w:p>
        </w:tc>
      </w:tr>
      <w:tr>
        <w:trPr>
          <w:trHeight w:val="288" w:hRule="exact"/>
        </w:trPr>
        <w:tc>
          <w:tcPr>
            <w:tcW w:w="1435" w:type="dxa"/>
            <w:vMerge/>
            <w:tcBorders>
              <w:right w:val="single" w:sz="40" w:space="0" w:color="E2EFD9"/>
            </w:tcBorders>
            <w:shd w:val="clear" w:color="auto" w:fill="70AD47"/>
          </w:tcPr>
          <w:p>
            <w:pPr/>
          </w:p>
        </w:tc>
        <w:tc>
          <w:tcPr>
            <w:tcW w:w="1181" w:type="dxa"/>
            <w:vMerge/>
            <w:tcBorders>
              <w:left w:val="single" w:sz="4" w:space="0" w:color="000000"/>
              <w:bottom w:val="single" w:sz="4" w:space="0" w:color="000000"/>
              <w:right w:val="single" w:sz="4" w:space="0" w:color="000000"/>
            </w:tcBorders>
            <w:shd w:val="clear" w:color="auto" w:fill="E2EFD9"/>
          </w:tcPr>
          <w:p>
            <w:pPr/>
          </w:p>
        </w:tc>
        <w:tc>
          <w:tcPr>
            <w:tcW w:w="754" w:type="dxa"/>
            <w:vMerge/>
            <w:tcBorders>
              <w:left w:val="single" w:sz="4" w:space="0" w:color="000000"/>
              <w:bottom w:val="single" w:sz="4" w:space="0" w:color="000000"/>
              <w:right w:val="single" w:sz="4" w:space="0" w:color="000000"/>
            </w:tcBorders>
            <w:shd w:val="clear" w:color="auto" w:fill="E2EFD9"/>
          </w:tcPr>
          <w:p>
            <w:pPr/>
          </w:p>
        </w:tc>
        <w:tc>
          <w:tcPr>
            <w:tcW w:w="1133" w:type="dxa"/>
            <w:tcBorders>
              <w:top w:val="single" w:sz="15" w:space="0" w:color="E2EFD9"/>
              <w:left w:val="single" w:sz="4" w:space="0" w:color="000000"/>
              <w:bottom w:val="single" w:sz="10" w:space="0" w:color="E2EFD9"/>
              <w:right w:val="single" w:sz="4" w:space="0" w:color="000000"/>
            </w:tcBorders>
            <w:shd w:val="clear" w:color="auto" w:fill="C5E0B3"/>
          </w:tcPr>
          <w:p>
            <w:pPr>
              <w:pStyle w:val="TableParagraph"/>
              <w:spacing w:before="37"/>
              <w:ind w:left="105"/>
              <w:rPr>
                <w:sz w:val="17"/>
              </w:rPr>
            </w:pPr>
            <w:r>
              <w:rPr>
                <w:w w:val="105"/>
                <w:sz w:val="17"/>
              </w:rPr>
              <w:t>% Total</w:t>
            </w:r>
          </w:p>
        </w:tc>
        <w:tc>
          <w:tcPr>
            <w:tcW w:w="1493" w:type="dxa"/>
            <w:tcBorders>
              <w:top w:val="single" w:sz="15" w:space="0" w:color="E2EFD9"/>
              <w:left w:val="single" w:sz="4" w:space="0" w:color="000000"/>
              <w:bottom w:val="single" w:sz="10" w:space="0" w:color="E2EFD9"/>
              <w:right w:val="single" w:sz="4" w:space="0" w:color="000000"/>
            </w:tcBorders>
            <w:shd w:val="clear" w:color="auto" w:fill="C5E0B3"/>
          </w:tcPr>
          <w:p>
            <w:pPr>
              <w:pStyle w:val="TableParagraph"/>
              <w:spacing w:before="37"/>
              <w:ind w:left="100"/>
              <w:rPr>
                <w:sz w:val="17"/>
              </w:rPr>
            </w:pPr>
            <w:r>
              <w:rPr>
                <w:w w:val="105"/>
                <w:sz w:val="17"/>
              </w:rPr>
              <w:t>7.61%</w:t>
            </w:r>
          </w:p>
        </w:tc>
        <w:tc>
          <w:tcPr>
            <w:tcW w:w="1363" w:type="dxa"/>
            <w:tcBorders>
              <w:top w:val="single" w:sz="15" w:space="0" w:color="E2EFD9"/>
              <w:left w:val="single" w:sz="4" w:space="0" w:color="000000"/>
              <w:bottom w:val="single" w:sz="10" w:space="0" w:color="E2EFD9"/>
              <w:right w:val="single" w:sz="4" w:space="0" w:color="000000"/>
            </w:tcBorders>
            <w:shd w:val="clear" w:color="auto" w:fill="C5E0B3"/>
          </w:tcPr>
          <w:p>
            <w:pPr>
              <w:pStyle w:val="TableParagraph"/>
              <w:spacing w:before="37"/>
              <w:ind w:left="105"/>
              <w:rPr>
                <w:sz w:val="17"/>
              </w:rPr>
            </w:pPr>
            <w:r>
              <w:rPr>
                <w:w w:val="105"/>
                <w:sz w:val="17"/>
              </w:rPr>
              <w:t>2.14%</w:t>
            </w:r>
          </w:p>
        </w:tc>
        <w:tc>
          <w:tcPr>
            <w:tcW w:w="1493" w:type="dxa"/>
            <w:tcBorders>
              <w:top w:val="single" w:sz="15" w:space="0" w:color="E2EFD9"/>
              <w:left w:val="single" w:sz="4" w:space="0" w:color="000000"/>
              <w:bottom w:val="single" w:sz="10" w:space="0" w:color="E2EFD9"/>
              <w:right w:val="single" w:sz="4" w:space="0" w:color="000000"/>
            </w:tcBorders>
            <w:shd w:val="clear" w:color="auto" w:fill="C5E0B3"/>
          </w:tcPr>
          <w:p>
            <w:pPr>
              <w:pStyle w:val="TableParagraph"/>
              <w:spacing w:before="32"/>
              <w:ind w:left="95"/>
              <w:rPr>
                <w:b/>
                <w:sz w:val="17"/>
              </w:rPr>
            </w:pPr>
            <w:r>
              <w:rPr>
                <w:b/>
                <w:w w:val="105"/>
                <w:sz w:val="17"/>
              </w:rPr>
              <w:t>9.76%</w:t>
            </w:r>
          </w:p>
        </w:tc>
      </w:tr>
      <w:tr>
        <w:trPr>
          <w:trHeight w:val="274" w:hRule="exact"/>
        </w:trPr>
        <w:tc>
          <w:tcPr>
            <w:tcW w:w="1435" w:type="dxa"/>
            <w:vMerge/>
            <w:tcBorders>
              <w:right w:val="single" w:sz="40" w:space="0" w:color="E2EFD9"/>
            </w:tcBorders>
            <w:shd w:val="clear" w:color="auto" w:fill="70AD47"/>
          </w:tcPr>
          <w:p>
            <w:pPr/>
          </w:p>
        </w:tc>
        <w:tc>
          <w:tcPr>
            <w:tcW w:w="1934" w:type="dxa"/>
            <w:gridSpan w:val="2"/>
            <w:vMerge w:val="restart"/>
            <w:tcBorders>
              <w:top w:val="single" w:sz="4" w:space="0" w:color="000000"/>
              <w:left w:val="single" w:sz="4" w:space="0" w:color="000000"/>
              <w:right w:val="single" w:sz="4" w:space="0" w:color="000000"/>
            </w:tcBorders>
            <w:shd w:val="clear" w:color="auto" w:fill="E2EFD9"/>
          </w:tcPr>
          <w:p>
            <w:pPr>
              <w:pStyle w:val="TableParagraph"/>
              <w:spacing w:before="10"/>
              <w:rPr>
                <w:sz w:val="14"/>
              </w:rPr>
            </w:pPr>
          </w:p>
          <w:p>
            <w:pPr>
              <w:pStyle w:val="TableParagraph"/>
              <w:ind w:left="100"/>
              <w:rPr>
                <w:sz w:val="17"/>
              </w:rPr>
            </w:pPr>
            <w:r>
              <w:rPr>
                <w:w w:val="105"/>
                <w:sz w:val="17"/>
              </w:rPr>
              <w:t>Total</w:t>
            </w:r>
          </w:p>
        </w:tc>
        <w:tc>
          <w:tcPr>
            <w:tcW w:w="1133" w:type="dxa"/>
            <w:tcBorders>
              <w:top w:val="single" w:sz="17" w:space="0" w:color="C5E0B3"/>
              <w:left w:val="single" w:sz="4" w:space="0" w:color="000000"/>
              <w:bottom w:val="single" w:sz="17" w:space="0" w:color="C5E0B3"/>
              <w:right w:val="single" w:sz="4" w:space="0" w:color="000000"/>
            </w:tcBorders>
            <w:shd w:val="clear" w:color="auto" w:fill="E2EFD9"/>
          </w:tcPr>
          <w:p>
            <w:pPr>
              <w:pStyle w:val="TableParagraph"/>
              <w:spacing w:before="21"/>
              <w:ind w:left="105"/>
              <w:rPr>
                <w:sz w:val="17"/>
              </w:rPr>
            </w:pPr>
            <w:r>
              <w:rPr>
                <w:w w:val="105"/>
                <w:sz w:val="17"/>
              </w:rPr>
              <w:t>Cantidad</w:t>
            </w:r>
          </w:p>
        </w:tc>
        <w:tc>
          <w:tcPr>
            <w:tcW w:w="1493" w:type="dxa"/>
            <w:tcBorders>
              <w:top w:val="single" w:sz="17" w:space="0" w:color="C5E0B3"/>
              <w:left w:val="single" w:sz="4" w:space="0" w:color="000000"/>
              <w:bottom w:val="single" w:sz="17" w:space="0" w:color="C5E0B3"/>
              <w:right w:val="single" w:sz="4" w:space="0" w:color="000000"/>
            </w:tcBorders>
            <w:shd w:val="clear" w:color="auto" w:fill="E2EFD9"/>
          </w:tcPr>
          <w:p>
            <w:pPr>
              <w:pStyle w:val="TableParagraph"/>
              <w:spacing w:before="21"/>
              <w:ind w:left="100"/>
              <w:rPr>
                <w:sz w:val="17"/>
              </w:rPr>
            </w:pPr>
            <w:r>
              <w:rPr>
                <w:w w:val="105"/>
                <w:sz w:val="17"/>
              </w:rPr>
              <w:t>49</w:t>
            </w:r>
          </w:p>
        </w:tc>
        <w:tc>
          <w:tcPr>
            <w:tcW w:w="1363" w:type="dxa"/>
            <w:tcBorders>
              <w:top w:val="single" w:sz="17" w:space="0" w:color="C5E0B3"/>
              <w:left w:val="single" w:sz="4" w:space="0" w:color="000000"/>
              <w:bottom w:val="single" w:sz="17" w:space="0" w:color="C5E0B3"/>
              <w:right w:val="single" w:sz="4" w:space="0" w:color="000000"/>
            </w:tcBorders>
            <w:shd w:val="clear" w:color="auto" w:fill="E2EFD9"/>
          </w:tcPr>
          <w:p>
            <w:pPr>
              <w:pStyle w:val="TableParagraph"/>
              <w:spacing w:before="21"/>
              <w:ind w:left="105"/>
              <w:rPr>
                <w:sz w:val="17"/>
              </w:rPr>
            </w:pPr>
            <w:r>
              <w:rPr>
                <w:w w:val="105"/>
                <w:sz w:val="17"/>
              </w:rPr>
              <w:t>20</w:t>
            </w:r>
          </w:p>
        </w:tc>
        <w:tc>
          <w:tcPr>
            <w:tcW w:w="1493" w:type="dxa"/>
            <w:tcBorders>
              <w:top w:val="single" w:sz="17" w:space="0" w:color="C5E0B3"/>
              <w:left w:val="single" w:sz="4" w:space="0" w:color="000000"/>
              <w:bottom w:val="single" w:sz="17" w:space="0" w:color="C5E0B3"/>
              <w:right w:val="single" w:sz="4" w:space="0" w:color="000000"/>
            </w:tcBorders>
            <w:shd w:val="clear" w:color="auto" w:fill="E2EFD9"/>
          </w:tcPr>
          <w:p>
            <w:pPr>
              <w:pStyle w:val="TableParagraph"/>
              <w:spacing w:before="21"/>
              <w:ind w:left="95"/>
              <w:rPr>
                <w:sz w:val="17"/>
              </w:rPr>
            </w:pPr>
            <w:r>
              <w:rPr>
                <w:w w:val="105"/>
                <w:sz w:val="17"/>
              </w:rPr>
              <w:t>69</w:t>
            </w:r>
          </w:p>
        </w:tc>
      </w:tr>
      <w:tr>
        <w:trPr>
          <w:trHeight w:val="271" w:hRule="exact"/>
        </w:trPr>
        <w:tc>
          <w:tcPr>
            <w:tcW w:w="1435" w:type="dxa"/>
            <w:vMerge/>
            <w:tcBorders>
              <w:right w:val="single" w:sz="40" w:space="0" w:color="E2EFD9"/>
            </w:tcBorders>
            <w:shd w:val="clear" w:color="auto" w:fill="70AD47"/>
          </w:tcPr>
          <w:p>
            <w:pPr/>
          </w:p>
        </w:tc>
        <w:tc>
          <w:tcPr>
            <w:tcW w:w="1934" w:type="dxa"/>
            <w:gridSpan w:val="2"/>
            <w:vMerge/>
            <w:tcBorders>
              <w:left w:val="single" w:sz="4" w:space="0" w:color="000000"/>
              <w:bottom w:val="single" w:sz="2" w:space="0" w:color="000000"/>
              <w:right w:val="single" w:sz="4" w:space="0" w:color="000000"/>
            </w:tcBorders>
            <w:shd w:val="clear" w:color="auto" w:fill="E2EFD9"/>
          </w:tcPr>
          <w:p>
            <w:pPr/>
          </w:p>
        </w:tc>
        <w:tc>
          <w:tcPr>
            <w:tcW w:w="1133"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5"/>
              <w:ind w:left="105"/>
              <w:rPr>
                <w:sz w:val="17"/>
              </w:rPr>
            </w:pPr>
            <w:r>
              <w:rPr>
                <w:w w:val="105"/>
                <w:sz w:val="17"/>
              </w:rPr>
              <w:t>% Total</w:t>
            </w:r>
          </w:p>
        </w:tc>
        <w:tc>
          <w:tcPr>
            <w:tcW w:w="1493"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5"/>
              <w:ind w:left="100"/>
              <w:rPr>
                <w:sz w:val="17"/>
              </w:rPr>
            </w:pPr>
            <w:r>
              <w:rPr>
                <w:w w:val="105"/>
                <w:sz w:val="17"/>
              </w:rPr>
              <w:t>11.66%</w:t>
            </w:r>
          </w:p>
        </w:tc>
        <w:tc>
          <w:tcPr>
            <w:tcW w:w="1363"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5"/>
              <w:ind w:left="105"/>
              <w:rPr>
                <w:sz w:val="17"/>
              </w:rPr>
            </w:pPr>
            <w:r>
              <w:rPr>
                <w:w w:val="105"/>
                <w:sz w:val="17"/>
              </w:rPr>
              <w:t>4.76%</w:t>
            </w:r>
          </w:p>
        </w:tc>
        <w:tc>
          <w:tcPr>
            <w:tcW w:w="1493"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0"/>
              <w:ind w:left="95"/>
              <w:rPr>
                <w:b/>
                <w:sz w:val="17"/>
              </w:rPr>
            </w:pPr>
            <w:r>
              <w:rPr>
                <w:b/>
                <w:w w:val="105"/>
                <w:sz w:val="17"/>
              </w:rPr>
              <w:t>16.42%</w:t>
            </w:r>
          </w:p>
        </w:tc>
      </w:tr>
    </w:tbl>
    <w:p>
      <w:pPr>
        <w:spacing w:after="0"/>
        <w:rPr>
          <w:sz w:val="17"/>
        </w:rPr>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215" w:right="899"/>
        <w:jc w:val="both"/>
      </w:pPr>
      <w:r>
        <w:rPr/>
        <w:t>La mayoría de los visitantes son adultos de entre 31 y 60 años con un 51.4%, seguido  del 41% de jóvenes entre 15 a 30 años y del 7.6% conformado por adultos mayores de 61 en</w:t>
      </w:r>
      <w:r>
        <w:rPr>
          <w:spacing w:val="16"/>
        </w:rPr>
        <w:t> </w:t>
      </w:r>
      <w:r>
        <w:rPr/>
        <w:t>adelante.</w:t>
      </w:r>
    </w:p>
    <w:p>
      <w:pPr>
        <w:pStyle w:val="BodyText"/>
        <w:spacing w:before="120"/>
        <w:ind w:left="3407" w:right="4089"/>
        <w:jc w:val="center"/>
      </w:pPr>
      <w:r>
        <w:rPr/>
        <w:t>Tabla No. 12. Edad</w:t>
      </w:r>
    </w:p>
    <w:p>
      <w:pPr>
        <w:pStyle w:val="BodyText"/>
        <w:spacing w:before="6"/>
        <w:rPr>
          <w:sz w:val="29"/>
        </w:rPr>
      </w:pPr>
    </w:p>
    <w:tbl>
      <w:tblPr>
        <w:tblW w:w="0" w:type="auto"/>
        <w:jc w:val="left"/>
        <w:tblInd w:w="17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81"/>
        <w:gridCol w:w="2136"/>
        <w:gridCol w:w="2074"/>
      </w:tblGrid>
      <w:tr>
        <w:trPr>
          <w:trHeight w:val="396" w:hRule="exact"/>
        </w:trPr>
        <w:tc>
          <w:tcPr>
            <w:tcW w:w="5990" w:type="dxa"/>
            <w:gridSpan w:val="3"/>
            <w:tcBorders>
              <w:bottom w:val="single" w:sz="2" w:space="0" w:color="000000"/>
            </w:tcBorders>
            <w:shd w:val="clear" w:color="auto" w:fill="70AD47"/>
          </w:tcPr>
          <w:p>
            <w:pPr>
              <w:pStyle w:val="TableParagraph"/>
              <w:tabs>
                <w:tab w:pos="2236" w:val="left" w:leader="none"/>
                <w:tab w:pos="4358" w:val="left" w:leader="none"/>
              </w:tabs>
              <w:spacing w:line="260" w:lineRule="exact"/>
              <w:ind w:left="551"/>
              <w:rPr>
                <w:b/>
                <w:sz w:val="23"/>
              </w:rPr>
            </w:pPr>
            <w:r>
              <w:rPr>
                <w:b/>
                <w:sz w:val="23"/>
              </w:rPr>
              <w:t>EDAD</w:t>
              <w:tab/>
              <w:t>Frecuencia</w:t>
              <w:tab/>
              <w:t>Porcentaje</w:t>
            </w:r>
          </w:p>
        </w:tc>
      </w:tr>
      <w:tr>
        <w:trPr>
          <w:trHeight w:val="405" w:hRule="exact"/>
        </w:trPr>
        <w:tc>
          <w:tcPr>
            <w:tcW w:w="1781" w:type="dxa"/>
            <w:tcBorders>
              <w:top w:val="single" w:sz="2" w:space="0" w:color="000000"/>
              <w:bottom w:val="single" w:sz="4" w:space="0" w:color="000000"/>
              <w:right w:val="single" w:sz="4" w:space="0" w:color="000000"/>
            </w:tcBorders>
            <w:shd w:val="clear" w:color="auto" w:fill="70AD47"/>
          </w:tcPr>
          <w:p>
            <w:pPr>
              <w:pStyle w:val="TableParagraph"/>
              <w:spacing w:line="260" w:lineRule="exact"/>
              <w:ind w:left="388" w:right="384"/>
              <w:jc w:val="center"/>
              <w:rPr>
                <w:b/>
                <w:sz w:val="23"/>
              </w:rPr>
            </w:pPr>
            <w:r>
              <w:rPr>
                <w:b/>
                <w:sz w:val="23"/>
              </w:rPr>
              <w:t>JOVEN</w:t>
            </w:r>
          </w:p>
        </w:tc>
        <w:tc>
          <w:tcPr>
            <w:tcW w:w="2136" w:type="dxa"/>
            <w:tcBorders>
              <w:top w:val="single" w:sz="2"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853" w:right="849"/>
              <w:jc w:val="center"/>
              <w:rPr>
                <w:sz w:val="23"/>
              </w:rPr>
            </w:pPr>
            <w:r>
              <w:rPr>
                <w:sz w:val="23"/>
              </w:rPr>
              <w:t>172</w:t>
            </w:r>
          </w:p>
        </w:tc>
        <w:tc>
          <w:tcPr>
            <w:tcW w:w="2074" w:type="dxa"/>
            <w:tcBorders>
              <w:top w:val="single" w:sz="2"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728" w:right="714"/>
              <w:jc w:val="center"/>
              <w:rPr>
                <w:sz w:val="23"/>
              </w:rPr>
            </w:pPr>
            <w:r>
              <w:rPr>
                <w:sz w:val="23"/>
              </w:rPr>
              <w:t>41.0</w:t>
            </w:r>
          </w:p>
        </w:tc>
      </w:tr>
      <w:tr>
        <w:trPr>
          <w:trHeight w:val="408" w:hRule="exact"/>
        </w:trPr>
        <w:tc>
          <w:tcPr>
            <w:tcW w:w="1781" w:type="dxa"/>
            <w:tcBorders>
              <w:top w:val="single" w:sz="4" w:space="0" w:color="000000"/>
              <w:bottom w:val="single" w:sz="4" w:space="0" w:color="000000"/>
              <w:right w:val="single" w:sz="4" w:space="0" w:color="000000"/>
            </w:tcBorders>
            <w:shd w:val="clear" w:color="auto" w:fill="70AD47"/>
          </w:tcPr>
          <w:p>
            <w:pPr>
              <w:pStyle w:val="TableParagraph"/>
              <w:spacing w:line="260" w:lineRule="exact"/>
              <w:ind w:left="388" w:right="389"/>
              <w:jc w:val="center"/>
              <w:rPr>
                <w:b/>
                <w:sz w:val="23"/>
              </w:rPr>
            </w:pPr>
            <w:r>
              <w:rPr>
                <w:b/>
                <w:sz w:val="23"/>
              </w:rPr>
              <w:t>ADULTO</w:t>
            </w:r>
          </w:p>
        </w:tc>
        <w:tc>
          <w:tcPr>
            <w:tcW w:w="213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853" w:right="849"/>
              <w:jc w:val="center"/>
              <w:rPr>
                <w:sz w:val="23"/>
              </w:rPr>
            </w:pPr>
            <w:r>
              <w:rPr>
                <w:sz w:val="23"/>
              </w:rPr>
              <w:t>216</w:t>
            </w:r>
          </w:p>
        </w:tc>
        <w:tc>
          <w:tcPr>
            <w:tcW w:w="2074"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728" w:right="714"/>
              <w:jc w:val="center"/>
              <w:rPr>
                <w:sz w:val="23"/>
              </w:rPr>
            </w:pPr>
            <w:r>
              <w:rPr>
                <w:sz w:val="23"/>
              </w:rPr>
              <w:t>51.4</w:t>
            </w:r>
          </w:p>
        </w:tc>
      </w:tr>
      <w:tr>
        <w:trPr>
          <w:trHeight w:val="648" w:hRule="exact"/>
        </w:trPr>
        <w:tc>
          <w:tcPr>
            <w:tcW w:w="1781" w:type="dxa"/>
            <w:tcBorders>
              <w:top w:val="single" w:sz="4" w:space="0" w:color="000000"/>
              <w:bottom w:val="single" w:sz="4" w:space="0" w:color="000000"/>
              <w:right w:val="single" w:sz="4" w:space="0" w:color="000000"/>
            </w:tcBorders>
            <w:shd w:val="clear" w:color="auto" w:fill="70AD47"/>
          </w:tcPr>
          <w:p>
            <w:pPr>
              <w:pStyle w:val="TableParagraph"/>
              <w:spacing w:line="264" w:lineRule="exact"/>
              <w:ind w:left="451" w:hanging="53"/>
              <w:rPr>
                <w:b/>
                <w:sz w:val="23"/>
              </w:rPr>
            </w:pPr>
            <w:r>
              <w:rPr>
                <w:b/>
                <w:sz w:val="23"/>
              </w:rPr>
              <w:t>ADULTO MAYOR</w:t>
            </w:r>
          </w:p>
        </w:tc>
        <w:tc>
          <w:tcPr>
            <w:tcW w:w="2136"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853" w:right="848"/>
              <w:jc w:val="center"/>
              <w:rPr>
                <w:sz w:val="23"/>
              </w:rPr>
            </w:pPr>
            <w:r>
              <w:rPr>
                <w:sz w:val="23"/>
              </w:rPr>
              <w:t>32</w:t>
            </w:r>
          </w:p>
        </w:tc>
        <w:tc>
          <w:tcPr>
            <w:tcW w:w="2074"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728" w:right="719"/>
              <w:jc w:val="center"/>
              <w:rPr>
                <w:sz w:val="23"/>
              </w:rPr>
            </w:pPr>
            <w:r>
              <w:rPr>
                <w:sz w:val="23"/>
              </w:rPr>
              <w:t>7.6</w:t>
            </w:r>
          </w:p>
        </w:tc>
      </w:tr>
      <w:tr>
        <w:trPr>
          <w:trHeight w:val="403" w:hRule="exact"/>
        </w:trPr>
        <w:tc>
          <w:tcPr>
            <w:tcW w:w="1781" w:type="dxa"/>
            <w:tcBorders>
              <w:top w:val="single" w:sz="4" w:space="0" w:color="000000"/>
              <w:right w:val="single" w:sz="4" w:space="0" w:color="000000"/>
            </w:tcBorders>
            <w:shd w:val="clear" w:color="auto" w:fill="70AD47"/>
          </w:tcPr>
          <w:p>
            <w:pPr>
              <w:pStyle w:val="TableParagraph"/>
              <w:spacing w:line="260" w:lineRule="exact"/>
              <w:ind w:left="388" w:right="387"/>
              <w:jc w:val="center"/>
              <w:rPr>
                <w:b/>
                <w:sz w:val="23"/>
              </w:rPr>
            </w:pPr>
            <w:r>
              <w:rPr>
                <w:b/>
                <w:sz w:val="23"/>
              </w:rPr>
              <w:t>Total</w:t>
            </w:r>
          </w:p>
        </w:tc>
        <w:tc>
          <w:tcPr>
            <w:tcW w:w="213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853" w:right="849"/>
              <w:jc w:val="center"/>
              <w:rPr>
                <w:sz w:val="23"/>
              </w:rPr>
            </w:pPr>
            <w:r>
              <w:rPr>
                <w:sz w:val="23"/>
              </w:rPr>
              <w:t>420</w:t>
            </w:r>
          </w:p>
        </w:tc>
        <w:tc>
          <w:tcPr>
            <w:tcW w:w="2074"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728" w:right="719"/>
              <w:jc w:val="center"/>
              <w:rPr>
                <w:sz w:val="23"/>
              </w:rPr>
            </w:pPr>
            <w:r>
              <w:rPr>
                <w:sz w:val="23"/>
              </w:rPr>
              <w:t>100.0</w:t>
            </w:r>
          </w:p>
        </w:tc>
      </w:tr>
    </w:tbl>
    <w:p>
      <w:pPr>
        <w:pStyle w:val="BodyText"/>
        <w:spacing w:line="364" w:lineRule="auto" w:before="67"/>
        <w:ind w:left="216" w:right="901"/>
        <w:jc w:val="both"/>
      </w:pPr>
      <w:r>
        <w:rPr/>
        <w:t>En Cuanto a la procedencia de los visitantes en el parque, se tiene que el 80.2% son Nacionales y el 19.8% Extranjeros pertenecientes a diferentes  nacionalidades.</w:t>
      </w:r>
    </w:p>
    <w:p>
      <w:pPr>
        <w:pStyle w:val="BodyText"/>
        <w:rPr>
          <w:sz w:val="22"/>
        </w:rPr>
      </w:pPr>
    </w:p>
    <w:p>
      <w:pPr>
        <w:pStyle w:val="BodyText"/>
        <w:rPr>
          <w:sz w:val="22"/>
        </w:rPr>
      </w:pPr>
    </w:p>
    <w:p>
      <w:pPr>
        <w:pStyle w:val="BodyText"/>
        <w:spacing w:before="137"/>
        <w:ind w:left="3407" w:right="4099"/>
        <w:jc w:val="center"/>
      </w:pPr>
      <w:r>
        <w:rPr/>
        <w:t>Tabla No. 13. Procedencia</w:t>
      </w:r>
    </w:p>
    <w:p>
      <w:pPr>
        <w:pStyle w:val="BodyText"/>
        <w:spacing w:before="9"/>
        <w:rPr>
          <w:sz w:val="27"/>
        </w:rPr>
      </w:pPr>
      <w:r>
        <w:rPr/>
        <w:pict>
          <v:shape style="position:absolute;margin-left:77.519997pt;margin-top:17.962994pt;width:235.2pt;height:287.7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42"/>
                    <w:gridCol w:w="1507"/>
                    <w:gridCol w:w="1541"/>
                  </w:tblGrid>
                  <w:tr>
                    <w:trPr>
                      <w:trHeight w:val="480" w:hRule="exact"/>
                    </w:trPr>
                    <w:tc>
                      <w:tcPr>
                        <w:tcW w:w="1642" w:type="dxa"/>
                        <w:tcBorders>
                          <w:bottom w:val="single" w:sz="4" w:space="0" w:color="000000"/>
                        </w:tcBorders>
                        <w:shd w:val="clear" w:color="auto" w:fill="70AD47"/>
                      </w:tcPr>
                      <w:p>
                        <w:pPr>
                          <w:pStyle w:val="TableParagraph"/>
                          <w:spacing w:line="216" w:lineRule="exact" w:before="4"/>
                          <w:ind w:left="100" w:firstLine="326"/>
                          <w:rPr>
                            <w:b/>
                            <w:sz w:val="19"/>
                          </w:rPr>
                        </w:pPr>
                        <w:r>
                          <w:rPr>
                            <w:b/>
                            <w:w w:val="105"/>
                            <w:sz w:val="19"/>
                          </w:rPr>
                          <w:t>PAIS DE </w:t>
                        </w:r>
                        <w:r>
                          <w:rPr>
                            <w:b/>
                            <w:sz w:val="19"/>
                          </w:rPr>
                          <w:t>PROCEDENCIA</w:t>
                        </w:r>
                      </w:p>
                    </w:tc>
                    <w:tc>
                      <w:tcPr>
                        <w:tcW w:w="3048" w:type="dxa"/>
                        <w:gridSpan w:val="2"/>
                        <w:tcBorders>
                          <w:bottom w:val="single" w:sz="4" w:space="0" w:color="000000"/>
                        </w:tcBorders>
                        <w:shd w:val="clear" w:color="auto" w:fill="70AD47"/>
                      </w:tcPr>
                      <w:p>
                        <w:pPr>
                          <w:pStyle w:val="TableParagraph"/>
                          <w:tabs>
                            <w:tab w:pos="1617" w:val="left" w:leader="none"/>
                          </w:tabs>
                          <w:spacing w:line="218" w:lineRule="exact"/>
                          <w:ind w:left="115"/>
                          <w:rPr>
                            <w:b/>
                            <w:sz w:val="19"/>
                          </w:rPr>
                        </w:pPr>
                        <w:r>
                          <w:rPr>
                            <w:b/>
                            <w:w w:val="105"/>
                            <w:sz w:val="19"/>
                          </w:rPr>
                          <w:t>FRECUENCIA</w:t>
                          <w:tab/>
                          <w:t>PORCENTAJE</w:t>
                        </w:r>
                      </w:p>
                    </w:tc>
                  </w:tr>
                  <w:tr>
                    <w:trPr>
                      <w:trHeight w:val="293"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MEXICANO</w:t>
                        </w:r>
                      </w:p>
                    </w:tc>
                    <w:tc>
                      <w:tcPr>
                        <w:tcW w:w="1507" w:type="dxa"/>
                        <w:tcBorders>
                          <w:top w:val="single" w:sz="4" w:space="0" w:color="000000"/>
                          <w:left w:val="single" w:sz="42" w:space="0" w:color="70AD47"/>
                          <w:bottom w:val="single" w:sz="4" w:space="0" w:color="000000"/>
                          <w:right w:val="single" w:sz="4" w:space="0" w:color="000000"/>
                        </w:tcBorders>
                        <w:shd w:val="clear" w:color="auto" w:fill="C5E0B3"/>
                      </w:tcPr>
                      <w:p>
                        <w:pPr>
                          <w:pStyle w:val="TableParagraph"/>
                          <w:spacing w:line="218" w:lineRule="exact"/>
                          <w:ind w:left="517" w:right="559"/>
                          <w:jc w:val="center"/>
                          <w:rPr>
                            <w:sz w:val="19"/>
                          </w:rPr>
                        </w:pPr>
                        <w:r>
                          <w:rPr>
                            <w:w w:val="105"/>
                            <w:sz w:val="19"/>
                          </w:rPr>
                          <w:t>337</w:t>
                        </w:r>
                      </w:p>
                    </w:tc>
                    <w:tc>
                      <w:tcPr>
                        <w:tcW w:w="1541"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18" w:lineRule="exact"/>
                          <w:ind w:right="570"/>
                          <w:jc w:val="right"/>
                          <w:rPr>
                            <w:sz w:val="19"/>
                          </w:rPr>
                        </w:pPr>
                        <w:r>
                          <w:rPr>
                            <w:sz w:val="19"/>
                          </w:rPr>
                          <w:t>80.2</w:t>
                        </w:r>
                      </w:p>
                    </w:tc>
                  </w:tr>
                  <w:tr>
                    <w:trPr>
                      <w:trHeight w:val="283"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Ecuador</w:t>
                        </w:r>
                      </w:p>
                    </w:tc>
                    <w:tc>
                      <w:tcPr>
                        <w:tcW w:w="1507" w:type="dxa"/>
                        <w:tcBorders>
                          <w:top w:val="single" w:sz="4" w:space="0" w:color="000000"/>
                          <w:left w:val="single" w:sz="42" w:space="0" w:color="70AD47"/>
                          <w:bottom w:val="single" w:sz="4" w:space="0" w:color="000000"/>
                          <w:right w:val="single" w:sz="4" w:space="0" w:color="000000"/>
                        </w:tcBorders>
                        <w:shd w:val="clear" w:color="auto" w:fill="E2EFD9"/>
                      </w:tcPr>
                      <w:p>
                        <w:pPr>
                          <w:pStyle w:val="TableParagraph"/>
                          <w:spacing w:line="218" w:lineRule="exact"/>
                          <w:ind w:right="42"/>
                          <w:jc w:val="center"/>
                          <w:rPr>
                            <w:sz w:val="19"/>
                          </w:rPr>
                        </w:pPr>
                        <w:r>
                          <w:rPr>
                            <w:w w:val="103"/>
                            <w:sz w:val="19"/>
                          </w:rPr>
                          <w:t>2</w:t>
                        </w:r>
                      </w:p>
                    </w:tc>
                    <w:tc>
                      <w:tcPr>
                        <w:tcW w:w="154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18" w:lineRule="exact"/>
                          <w:ind w:left="663" w:right="660"/>
                          <w:jc w:val="center"/>
                          <w:rPr>
                            <w:sz w:val="19"/>
                          </w:rPr>
                        </w:pPr>
                        <w:r>
                          <w:rPr>
                            <w:w w:val="105"/>
                            <w:sz w:val="19"/>
                          </w:rPr>
                          <w:t>.5</w:t>
                        </w:r>
                      </w:p>
                    </w:tc>
                  </w:tr>
                  <w:tr>
                    <w:trPr>
                      <w:trHeight w:val="283"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China</w:t>
                        </w:r>
                      </w:p>
                    </w:tc>
                    <w:tc>
                      <w:tcPr>
                        <w:tcW w:w="1507" w:type="dxa"/>
                        <w:tcBorders>
                          <w:top w:val="single" w:sz="4" w:space="0" w:color="000000"/>
                          <w:left w:val="single" w:sz="42" w:space="0" w:color="70AD47"/>
                          <w:bottom w:val="single" w:sz="4" w:space="0" w:color="000000"/>
                          <w:right w:val="single" w:sz="4" w:space="0" w:color="000000"/>
                        </w:tcBorders>
                        <w:shd w:val="clear" w:color="auto" w:fill="C5E0B3"/>
                      </w:tcPr>
                      <w:p>
                        <w:pPr>
                          <w:pStyle w:val="TableParagraph"/>
                          <w:spacing w:line="218" w:lineRule="exact"/>
                          <w:ind w:right="42"/>
                          <w:jc w:val="center"/>
                          <w:rPr>
                            <w:sz w:val="19"/>
                          </w:rPr>
                        </w:pPr>
                        <w:r>
                          <w:rPr>
                            <w:w w:val="103"/>
                            <w:sz w:val="19"/>
                          </w:rPr>
                          <w:t>8</w:t>
                        </w:r>
                      </w:p>
                    </w:tc>
                    <w:tc>
                      <w:tcPr>
                        <w:tcW w:w="1541"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18" w:lineRule="exact"/>
                          <w:ind w:right="623"/>
                          <w:jc w:val="right"/>
                          <w:rPr>
                            <w:sz w:val="19"/>
                          </w:rPr>
                        </w:pPr>
                        <w:r>
                          <w:rPr>
                            <w:sz w:val="19"/>
                          </w:rPr>
                          <w:t>1.9</w:t>
                        </w:r>
                      </w:p>
                    </w:tc>
                  </w:tr>
                  <w:tr>
                    <w:trPr>
                      <w:trHeight w:val="278"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España</w:t>
                        </w:r>
                      </w:p>
                    </w:tc>
                    <w:tc>
                      <w:tcPr>
                        <w:tcW w:w="1507" w:type="dxa"/>
                        <w:tcBorders>
                          <w:top w:val="single" w:sz="4" w:space="0" w:color="000000"/>
                          <w:left w:val="single" w:sz="42" w:space="0" w:color="70AD47"/>
                          <w:bottom w:val="single" w:sz="4" w:space="0" w:color="000000"/>
                          <w:right w:val="single" w:sz="4" w:space="0" w:color="000000"/>
                        </w:tcBorders>
                        <w:shd w:val="clear" w:color="auto" w:fill="E2EFD9"/>
                      </w:tcPr>
                      <w:p>
                        <w:pPr>
                          <w:pStyle w:val="TableParagraph"/>
                          <w:spacing w:line="218" w:lineRule="exact"/>
                          <w:ind w:right="42"/>
                          <w:jc w:val="center"/>
                          <w:rPr>
                            <w:sz w:val="19"/>
                          </w:rPr>
                        </w:pPr>
                        <w:r>
                          <w:rPr>
                            <w:w w:val="103"/>
                            <w:sz w:val="19"/>
                          </w:rPr>
                          <w:t>3</w:t>
                        </w:r>
                      </w:p>
                    </w:tc>
                    <w:tc>
                      <w:tcPr>
                        <w:tcW w:w="154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18" w:lineRule="exact"/>
                          <w:ind w:left="663" w:right="660"/>
                          <w:jc w:val="center"/>
                          <w:rPr>
                            <w:sz w:val="19"/>
                          </w:rPr>
                        </w:pPr>
                        <w:r>
                          <w:rPr>
                            <w:w w:val="105"/>
                            <w:sz w:val="19"/>
                          </w:rPr>
                          <w:t>.7</w:t>
                        </w:r>
                      </w:p>
                    </w:tc>
                  </w:tr>
                  <w:tr>
                    <w:trPr>
                      <w:trHeight w:val="288"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Portugal</w:t>
                        </w:r>
                      </w:p>
                    </w:tc>
                    <w:tc>
                      <w:tcPr>
                        <w:tcW w:w="1507" w:type="dxa"/>
                        <w:tcBorders>
                          <w:top w:val="single" w:sz="4" w:space="0" w:color="000000"/>
                          <w:left w:val="single" w:sz="42" w:space="0" w:color="70AD47"/>
                          <w:bottom w:val="single" w:sz="4" w:space="0" w:color="000000"/>
                          <w:right w:val="single" w:sz="4" w:space="0" w:color="000000"/>
                        </w:tcBorders>
                        <w:shd w:val="clear" w:color="auto" w:fill="C5E0B3"/>
                      </w:tcPr>
                      <w:p>
                        <w:pPr>
                          <w:pStyle w:val="TableParagraph"/>
                          <w:spacing w:line="218" w:lineRule="exact"/>
                          <w:ind w:right="42"/>
                          <w:jc w:val="center"/>
                          <w:rPr>
                            <w:sz w:val="19"/>
                          </w:rPr>
                        </w:pPr>
                        <w:r>
                          <w:rPr>
                            <w:w w:val="103"/>
                            <w:sz w:val="19"/>
                          </w:rPr>
                          <w:t>4</w:t>
                        </w:r>
                      </w:p>
                    </w:tc>
                    <w:tc>
                      <w:tcPr>
                        <w:tcW w:w="1541"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18" w:lineRule="exact"/>
                          <w:ind w:right="623"/>
                          <w:jc w:val="right"/>
                          <w:rPr>
                            <w:sz w:val="19"/>
                          </w:rPr>
                        </w:pPr>
                        <w:r>
                          <w:rPr>
                            <w:sz w:val="19"/>
                          </w:rPr>
                          <w:t>1.0</w:t>
                        </w:r>
                      </w:p>
                    </w:tc>
                  </w:tr>
                  <w:tr>
                    <w:trPr>
                      <w:trHeight w:val="278"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Argentina</w:t>
                        </w:r>
                      </w:p>
                    </w:tc>
                    <w:tc>
                      <w:tcPr>
                        <w:tcW w:w="1507" w:type="dxa"/>
                        <w:tcBorders>
                          <w:top w:val="single" w:sz="4" w:space="0" w:color="000000"/>
                          <w:left w:val="single" w:sz="42" w:space="0" w:color="70AD47"/>
                          <w:bottom w:val="single" w:sz="4" w:space="0" w:color="000000"/>
                          <w:right w:val="single" w:sz="4" w:space="0" w:color="000000"/>
                        </w:tcBorders>
                        <w:shd w:val="clear" w:color="auto" w:fill="E2EFD9"/>
                      </w:tcPr>
                      <w:p>
                        <w:pPr>
                          <w:pStyle w:val="TableParagraph"/>
                          <w:spacing w:line="218" w:lineRule="exact"/>
                          <w:ind w:right="42"/>
                          <w:jc w:val="center"/>
                          <w:rPr>
                            <w:sz w:val="19"/>
                          </w:rPr>
                        </w:pPr>
                        <w:r>
                          <w:rPr>
                            <w:w w:val="103"/>
                            <w:sz w:val="19"/>
                          </w:rPr>
                          <w:t>4</w:t>
                        </w:r>
                      </w:p>
                    </w:tc>
                    <w:tc>
                      <w:tcPr>
                        <w:tcW w:w="154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18" w:lineRule="exact"/>
                          <w:ind w:right="623"/>
                          <w:jc w:val="right"/>
                          <w:rPr>
                            <w:sz w:val="19"/>
                          </w:rPr>
                        </w:pPr>
                        <w:r>
                          <w:rPr>
                            <w:sz w:val="19"/>
                          </w:rPr>
                          <w:t>1.0</w:t>
                        </w:r>
                      </w:p>
                    </w:tc>
                  </w:tr>
                  <w:tr>
                    <w:trPr>
                      <w:trHeight w:val="286"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Uruguay</w:t>
                        </w:r>
                      </w:p>
                    </w:tc>
                    <w:tc>
                      <w:tcPr>
                        <w:tcW w:w="1507" w:type="dxa"/>
                        <w:tcBorders>
                          <w:top w:val="single" w:sz="4" w:space="0" w:color="000000"/>
                          <w:left w:val="single" w:sz="42" w:space="0" w:color="70AD47"/>
                          <w:bottom w:val="single" w:sz="4" w:space="0" w:color="000000"/>
                          <w:right w:val="single" w:sz="4" w:space="0" w:color="000000"/>
                        </w:tcBorders>
                        <w:shd w:val="clear" w:color="auto" w:fill="C5E0B3"/>
                      </w:tcPr>
                      <w:p>
                        <w:pPr>
                          <w:pStyle w:val="TableParagraph"/>
                          <w:spacing w:line="218" w:lineRule="exact"/>
                          <w:ind w:right="42"/>
                          <w:jc w:val="center"/>
                          <w:rPr>
                            <w:sz w:val="19"/>
                          </w:rPr>
                        </w:pPr>
                        <w:r>
                          <w:rPr>
                            <w:w w:val="103"/>
                            <w:sz w:val="19"/>
                          </w:rPr>
                          <w:t>2</w:t>
                        </w:r>
                      </w:p>
                    </w:tc>
                    <w:tc>
                      <w:tcPr>
                        <w:tcW w:w="1541"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18" w:lineRule="exact"/>
                          <w:ind w:left="663" w:right="660"/>
                          <w:jc w:val="center"/>
                          <w:rPr>
                            <w:sz w:val="19"/>
                          </w:rPr>
                        </w:pPr>
                        <w:r>
                          <w:rPr>
                            <w:w w:val="105"/>
                            <w:sz w:val="19"/>
                          </w:rPr>
                          <w:t>.5</w:t>
                        </w:r>
                      </w:p>
                    </w:tc>
                  </w:tr>
                  <w:tr>
                    <w:trPr>
                      <w:trHeight w:val="281"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before="1"/>
                          <w:ind w:left="100"/>
                          <w:rPr>
                            <w:b/>
                            <w:sz w:val="19"/>
                          </w:rPr>
                        </w:pPr>
                        <w:r>
                          <w:rPr>
                            <w:b/>
                            <w:w w:val="105"/>
                            <w:sz w:val="19"/>
                          </w:rPr>
                          <w:t>El Salvador</w:t>
                        </w:r>
                      </w:p>
                    </w:tc>
                    <w:tc>
                      <w:tcPr>
                        <w:tcW w:w="1507" w:type="dxa"/>
                        <w:tcBorders>
                          <w:top w:val="single" w:sz="4" w:space="0" w:color="000000"/>
                          <w:left w:val="single" w:sz="42" w:space="0" w:color="70AD47"/>
                          <w:bottom w:val="single" w:sz="4" w:space="0" w:color="000000"/>
                          <w:right w:val="single" w:sz="4" w:space="0" w:color="000000"/>
                        </w:tcBorders>
                        <w:shd w:val="clear" w:color="auto" w:fill="E2EFD9"/>
                      </w:tcPr>
                      <w:p>
                        <w:pPr>
                          <w:pStyle w:val="TableParagraph"/>
                          <w:spacing w:before="1"/>
                          <w:ind w:right="42"/>
                          <w:jc w:val="center"/>
                          <w:rPr>
                            <w:sz w:val="19"/>
                          </w:rPr>
                        </w:pPr>
                        <w:r>
                          <w:rPr>
                            <w:w w:val="103"/>
                            <w:sz w:val="19"/>
                          </w:rPr>
                          <w:t>2</w:t>
                        </w:r>
                      </w:p>
                    </w:tc>
                    <w:tc>
                      <w:tcPr>
                        <w:tcW w:w="154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
                          <w:ind w:left="663" w:right="660"/>
                          <w:jc w:val="center"/>
                          <w:rPr>
                            <w:sz w:val="19"/>
                          </w:rPr>
                        </w:pPr>
                        <w:r>
                          <w:rPr>
                            <w:w w:val="105"/>
                            <w:sz w:val="19"/>
                          </w:rPr>
                          <w:t>.5</w:t>
                        </w:r>
                      </w:p>
                    </w:tc>
                  </w:tr>
                  <w:tr>
                    <w:trPr>
                      <w:trHeight w:val="279"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Gran Bretaña</w:t>
                        </w:r>
                      </w:p>
                    </w:tc>
                    <w:tc>
                      <w:tcPr>
                        <w:tcW w:w="1507" w:type="dxa"/>
                        <w:tcBorders>
                          <w:top w:val="single" w:sz="4" w:space="0" w:color="000000"/>
                          <w:left w:val="single" w:sz="42" w:space="0" w:color="70AD47"/>
                          <w:bottom w:val="single" w:sz="4" w:space="0" w:color="000000"/>
                          <w:right w:val="single" w:sz="4" w:space="0" w:color="000000"/>
                        </w:tcBorders>
                        <w:shd w:val="clear" w:color="auto" w:fill="C5E0B3"/>
                      </w:tcPr>
                      <w:p>
                        <w:pPr>
                          <w:pStyle w:val="TableParagraph"/>
                          <w:spacing w:line="218" w:lineRule="exact"/>
                          <w:ind w:right="42"/>
                          <w:jc w:val="center"/>
                          <w:rPr>
                            <w:sz w:val="19"/>
                          </w:rPr>
                        </w:pPr>
                        <w:r>
                          <w:rPr>
                            <w:w w:val="103"/>
                            <w:sz w:val="19"/>
                          </w:rPr>
                          <w:t>4</w:t>
                        </w:r>
                      </w:p>
                    </w:tc>
                    <w:tc>
                      <w:tcPr>
                        <w:tcW w:w="1541"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18" w:lineRule="exact"/>
                          <w:ind w:right="623"/>
                          <w:jc w:val="right"/>
                          <w:rPr>
                            <w:sz w:val="19"/>
                          </w:rPr>
                        </w:pPr>
                        <w:r>
                          <w:rPr>
                            <w:sz w:val="19"/>
                          </w:rPr>
                          <w:t>1.0</w:t>
                        </w:r>
                      </w:p>
                    </w:tc>
                  </w:tr>
                  <w:tr>
                    <w:trPr>
                      <w:trHeight w:val="288"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Alemania</w:t>
                        </w:r>
                      </w:p>
                    </w:tc>
                    <w:tc>
                      <w:tcPr>
                        <w:tcW w:w="1507" w:type="dxa"/>
                        <w:tcBorders>
                          <w:top w:val="single" w:sz="4" w:space="0" w:color="000000"/>
                          <w:left w:val="single" w:sz="42" w:space="0" w:color="70AD47"/>
                          <w:bottom w:val="single" w:sz="4" w:space="0" w:color="000000"/>
                          <w:right w:val="single" w:sz="4" w:space="0" w:color="000000"/>
                        </w:tcBorders>
                        <w:shd w:val="clear" w:color="auto" w:fill="E2EFD9"/>
                      </w:tcPr>
                      <w:p>
                        <w:pPr>
                          <w:pStyle w:val="TableParagraph"/>
                          <w:spacing w:line="218" w:lineRule="exact"/>
                          <w:ind w:right="42"/>
                          <w:jc w:val="center"/>
                          <w:rPr>
                            <w:sz w:val="19"/>
                          </w:rPr>
                        </w:pPr>
                        <w:r>
                          <w:rPr>
                            <w:w w:val="103"/>
                            <w:sz w:val="19"/>
                          </w:rPr>
                          <w:t>2</w:t>
                        </w:r>
                      </w:p>
                    </w:tc>
                    <w:tc>
                      <w:tcPr>
                        <w:tcW w:w="154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18" w:lineRule="exact"/>
                          <w:ind w:left="663" w:right="660"/>
                          <w:jc w:val="center"/>
                          <w:rPr>
                            <w:sz w:val="19"/>
                          </w:rPr>
                        </w:pPr>
                        <w:r>
                          <w:rPr>
                            <w:w w:val="105"/>
                            <w:sz w:val="19"/>
                          </w:rPr>
                          <w:t>.5</w:t>
                        </w:r>
                      </w:p>
                    </w:tc>
                  </w:tr>
                  <w:tr>
                    <w:trPr>
                      <w:trHeight w:val="278"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COLOMBIA</w:t>
                        </w:r>
                      </w:p>
                    </w:tc>
                    <w:tc>
                      <w:tcPr>
                        <w:tcW w:w="1507" w:type="dxa"/>
                        <w:tcBorders>
                          <w:top w:val="single" w:sz="4" w:space="0" w:color="000000"/>
                          <w:left w:val="single" w:sz="42" w:space="0" w:color="70AD47"/>
                          <w:bottom w:val="single" w:sz="4" w:space="0" w:color="000000"/>
                          <w:right w:val="single" w:sz="4" w:space="0" w:color="000000"/>
                        </w:tcBorders>
                        <w:shd w:val="clear" w:color="auto" w:fill="C5E0B3"/>
                      </w:tcPr>
                      <w:p>
                        <w:pPr>
                          <w:pStyle w:val="TableParagraph"/>
                          <w:spacing w:line="218" w:lineRule="exact"/>
                          <w:ind w:right="42"/>
                          <w:jc w:val="center"/>
                          <w:rPr>
                            <w:sz w:val="19"/>
                          </w:rPr>
                        </w:pPr>
                        <w:r>
                          <w:rPr>
                            <w:w w:val="103"/>
                            <w:sz w:val="19"/>
                          </w:rPr>
                          <w:t>7</w:t>
                        </w:r>
                      </w:p>
                    </w:tc>
                    <w:tc>
                      <w:tcPr>
                        <w:tcW w:w="1541"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18" w:lineRule="exact"/>
                          <w:ind w:right="623"/>
                          <w:jc w:val="right"/>
                          <w:rPr>
                            <w:sz w:val="19"/>
                          </w:rPr>
                        </w:pPr>
                        <w:r>
                          <w:rPr>
                            <w:sz w:val="19"/>
                          </w:rPr>
                          <w:t>1.7</w:t>
                        </w:r>
                      </w:p>
                    </w:tc>
                  </w:tr>
                  <w:tr>
                    <w:trPr>
                      <w:trHeight w:val="286" w:hRule="exact"/>
                    </w:trPr>
                    <w:tc>
                      <w:tcPr>
                        <w:tcW w:w="1642" w:type="dxa"/>
                        <w:tcBorders>
                          <w:top w:val="single" w:sz="4" w:space="0" w:color="000000"/>
                          <w:bottom w:val="single" w:sz="2" w:space="0" w:color="000000"/>
                          <w:right w:val="single" w:sz="4" w:space="0" w:color="000000"/>
                        </w:tcBorders>
                        <w:shd w:val="clear" w:color="auto" w:fill="70AD47"/>
                      </w:tcPr>
                      <w:p>
                        <w:pPr>
                          <w:pStyle w:val="TableParagraph"/>
                          <w:spacing w:line="218" w:lineRule="exact"/>
                          <w:ind w:left="100"/>
                          <w:rPr>
                            <w:b/>
                            <w:sz w:val="19"/>
                          </w:rPr>
                        </w:pPr>
                        <w:r>
                          <w:rPr>
                            <w:b/>
                            <w:w w:val="105"/>
                            <w:sz w:val="19"/>
                          </w:rPr>
                          <w:t>NORUEGA</w:t>
                        </w:r>
                      </w:p>
                    </w:tc>
                    <w:tc>
                      <w:tcPr>
                        <w:tcW w:w="1507" w:type="dxa"/>
                        <w:tcBorders>
                          <w:top w:val="single" w:sz="4" w:space="0" w:color="000000"/>
                          <w:left w:val="single" w:sz="42" w:space="0" w:color="70AD47"/>
                          <w:bottom w:val="single" w:sz="2" w:space="0" w:color="000000"/>
                          <w:right w:val="single" w:sz="4" w:space="0" w:color="000000"/>
                        </w:tcBorders>
                        <w:shd w:val="clear" w:color="auto" w:fill="E2EFD9"/>
                      </w:tcPr>
                      <w:p>
                        <w:pPr>
                          <w:pStyle w:val="TableParagraph"/>
                          <w:spacing w:line="218" w:lineRule="exact"/>
                          <w:ind w:right="42"/>
                          <w:jc w:val="center"/>
                          <w:rPr>
                            <w:sz w:val="19"/>
                          </w:rPr>
                        </w:pPr>
                        <w:r>
                          <w:rPr>
                            <w:w w:val="103"/>
                            <w:sz w:val="19"/>
                          </w:rPr>
                          <w:t>8</w:t>
                        </w:r>
                      </w:p>
                    </w:tc>
                    <w:tc>
                      <w:tcPr>
                        <w:tcW w:w="1541" w:type="dxa"/>
                        <w:tcBorders>
                          <w:top w:val="single" w:sz="4" w:space="0" w:color="000000"/>
                          <w:left w:val="single" w:sz="4" w:space="0" w:color="000000"/>
                          <w:bottom w:val="single" w:sz="2" w:space="0" w:color="000000"/>
                          <w:right w:val="single" w:sz="4" w:space="0" w:color="000000"/>
                        </w:tcBorders>
                        <w:shd w:val="clear" w:color="auto" w:fill="E2EFD9"/>
                      </w:tcPr>
                      <w:p>
                        <w:pPr>
                          <w:pStyle w:val="TableParagraph"/>
                          <w:spacing w:line="218" w:lineRule="exact"/>
                          <w:ind w:right="623"/>
                          <w:jc w:val="right"/>
                          <w:rPr>
                            <w:sz w:val="19"/>
                          </w:rPr>
                        </w:pPr>
                        <w:r>
                          <w:rPr>
                            <w:sz w:val="19"/>
                          </w:rPr>
                          <w:t>1.9</w:t>
                        </w:r>
                      </w:p>
                    </w:tc>
                  </w:tr>
                  <w:tr>
                    <w:trPr>
                      <w:trHeight w:val="281" w:hRule="exact"/>
                    </w:trPr>
                    <w:tc>
                      <w:tcPr>
                        <w:tcW w:w="1642" w:type="dxa"/>
                        <w:tcBorders>
                          <w:top w:val="single" w:sz="2"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PERU</w:t>
                        </w:r>
                      </w:p>
                    </w:tc>
                    <w:tc>
                      <w:tcPr>
                        <w:tcW w:w="1507" w:type="dxa"/>
                        <w:tcBorders>
                          <w:top w:val="single" w:sz="2" w:space="0" w:color="000000"/>
                          <w:left w:val="single" w:sz="42" w:space="0" w:color="70AD47"/>
                          <w:bottom w:val="single" w:sz="4" w:space="0" w:color="000000"/>
                          <w:right w:val="single" w:sz="4" w:space="0" w:color="000000"/>
                        </w:tcBorders>
                        <w:shd w:val="clear" w:color="auto" w:fill="C5E0B3"/>
                      </w:tcPr>
                      <w:p>
                        <w:pPr>
                          <w:pStyle w:val="TableParagraph"/>
                          <w:spacing w:line="218" w:lineRule="exact"/>
                          <w:ind w:right="42"/>
                          <w:jc w:val="center"/>
                          <w:rPr>
                            <w:sz w:val="19"/>
                          </w:rPr>
                        </w:pPr>
                        <w:r>
                          <w:rPr>
                            <w:w w:val="103"/>
                            <w:sz w:val="19"/>
                          </w:rPr>
                          <w:t>9</w:t>
                        </w:r>
                      </w:p>
                    </w:tc>
                    <w:tc>
                      <w:tcPr>
                        <w:tcW w:w="1541" w:type="dxa"/>
                        <w:tcBorders>
                          <w:top w:val="single" w:sz="2" w:space="0" w:color="000000"/>
                          <w:left w:val="single" w:sz="4" w:space="0" w:color="000000"/>
                          <w:bottom w:val="single" w:sz="4" w:space="0" w:color="000000"/>
                          <w:right w:val="single" w:sz="4" w:space="0" w:color="000000"/>
                        </w:tcBorders>
                        <w:shd w:val="clear" w:color="auto" w:fill="C5E0B3"/>
                      </w:tcPr>
                      <w:p>
                        <w:pPr>
                          <w:pStyle w:val="TableParagraph"/>
                          <w:spacing w:line="218" w:lineRule="exact"/>
                          <w:ind w:right="623"/>
                          <w:jc w:val="right"/>
                          <w:rPr>
                            <w:sz w:val="19"/>
                          </w:rPr>
                        </w:pPr>
                        <w:r>
                          <w:rPr>
                            <w:sz w:val="19"/>
                          </w:rPr>
                          <w:t>2.1</w:t>
                        </w:r>
                      </w:p>
                    </w:tc>
                  </w:tr>
                  <w:tr>
                    <w:trPr>
                      <w:trHeight w:val="278"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EU</w:t>
                        </w:r>
                      </w:p>
                    </w:tc>
                    <w:tc>
                      <w:tcPr>
                        <w:tcW w:w="1507" w:type="dxa"/>
                        <w:tcBorders>
                          <w:top w:val="single" w:sz="4" w:space="0" w:color="000000"/>
                          <w:left w:val="single" w:sz="42" w:space="0" w:color="70AD47"/>
                          <w:bottom w:val="single" w:sz="4" w:space="0" w:color="000000"/>
                          <w:right w:val="single" w:sz="4" w:space="0" w:color="000000"/>
                        </w:tcBorders>
                        <w:shd w:val="clear" w:color="auto" w:fill="E2EFD9"/>
                      </w:tcPr>
                      <w:p>
                        <w:pPr>
                          <w:pStyle w:val="TableParagraph"/>
                          <w:spacing w:line="218" w:lineRule="exact"/>
                          <w:ind w:left="517" w:right="559"/>
                          <w:jc w:val="center"/>
                          <w:rPr>
                            <w:sz w:val="19"/>
                          </w:rPr>
                        </w:pPr>
                        <w:r>
                          <w:rPr>
                            <w:w w:val="105"/>
                            <w:sz w:val="19"/>
                          </w:rPr>
                          <w:t>12</w:t>
                        </w:r>
                      </w:p>
                    </w:tc>
                    <w:tc>
                      <w:tcPr>
                        <w:tcW w:w="154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18" w:lineRule="exact"/>
                          <w:ind w:right="623"/>
                          <w:jc w:val="right"/>
                          <w:rPr>
                            <w:sz w:val="19"/>
                          </w:rPr>
                        </w:pPr>
                        <w:r>
                          <w:rPr>
                            <w:sz w:val="19"/>
                          </w:rPr>
                          <w:t>2.9</w:t>
                        </w:r>
                      </w:p>
                    </w:tc>
                  </w:tr>
                  <w:tr>
                    <w:trPr>
                      <w:trHeight w:val="288"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PANAMA</w:t>
                        </w:r>
                      </w:p>
                    </w:tc>
                    <w:tc>
                      <w:tcPr>
                        <w:tcW w:w="1507" w:type="dxa"/>
                        <w:tcBorders>
                          <w:top w:val="single" w:sz="4" w:space="0" w:color="000000"/>
                          <w:left w:val="single" w:sz="42" w:space="0" w:color="70AD47"/>
                          <w:bottom w:val="single" w:sz="4" w:space="0" w:color="000000"/>
                          <w:right w:val="single" w:sz="4" w:space="0" w:color="000000"/>
                        </w:tcBorders>
                        <w:shd w:val="clear" w:color="auto" w:fill="C5E0B3"/>
                      </w:tcPr>
                      <w:p>
                        <w:pPr>
                          <w:pStyle w:val="TableParagraph"/>
                          <w:spacing w:line="218" w:lineRule="exact"/>
                          <w:ind w:right="42"/>
                          <w:jc w:val="center"/>
                          <w:rPr>
                            <w:sz w:val="19"/>
                          </w:rPr>
                        </w:pPr>
                        <w:r>
                          <w:rPr>
                            <w:w w:val="103"/>
                            <w:sz w:val="19"/>
                          </w:rPr>
                          <w:t>4</w:t>
                        </w:r>
                      </w:p>
                    </w:tc>
                    <w:tc>
                      <w:tcPr>
                        <w:tcW w:w="1541"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18" w:lineRule="exact"/>
                          <w:ind w:right="623"/>
                          <w:jc w:val="right"/>
                          <w:rPr>
                            <w:sz w:val="19"/>
                          </w:rPr>
                        </w:pPr>
                        <w:r>
                          <w:rPr>
                            <w:sz w:val="19"/>
                          </w:rPr>
                          <w:t>1.0</w:t>
                        </w:r>
                      </w:p>
                    </w:tc>
                  </w:tr>
                  <w:tr>
                    <w:trPr>
                      <w:trHeight w:val="278"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JAMAICA</w:t>
                        </w:r>
                      </w:p>
                    </w:tc>
                    <w:tc>
                      <w:tcPr>
                        <w:tcW w:w="1507" w:type="dxa"/>
                        <w:tcBorders>
                          <w:top w:val="single" w:sz="4" w:space="0" w:color="000000"/>
                          <w:left w:val="single" w:sz="42" w:space="0" w:color="70AD47"/>
                          <w:bottom w:val="single" w:sz="4" w:space="0" w:color="000000"/>
                          <w:right w:val="single" w:sz="4" w:space="0" w:color="000000"/>
                        </w:tcBorders>
                        <w:shd w:val="clear" w:color="auto" w:fill="E2EFD9"/>
                      </w:tcPr>
                      <w:p>
                        <w:pPr>
                          <w:pStyle w:val="TableParagraph"/>
                          <w:spacing w:line="218" w:lineRule="exact"/>
                          <w:ind w:right="42"/>
                          <w:jc w:val="center"/>
                          <w:rPr>
                            <w:sz w:val="19"/>
                          </w:rPr>
                        </w:pPr>
                        <w:r>
                          <w:rPr>
                            <w:w w:val="103"/>
                            <w:sz w:val="19"/>
                          </w:rPr>
                          <w:t>6</w:t>
                        </w:r>
                      </w:p>
                    </w:tc>
                    <w:tc>
                      <w:tcPr>
                        <w:tcW w:w="154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18" w:lineRule="exact"/>
                          <w:ind w:right="623"/>
                          <w:jc w:val="right"/>
                          <w:rPr>
                            <w:sz w:val="19"/>
                          </w:rPr>
                        </w:pPr>
                        <w:r>
                          <w:rPr>
                            <w:sz w:val="19"/>
                          </w:rPr>
                          <w:t>1.4</w:t>
                        </w:r>
                      </w:p>
                    </w:tc>
                  </w:tr>
                  <w:tr>
                    <w:trPr>
                      <w:trHeight w:val="456" w:hRule="exact"/>
                    </w:trPr>
                    <w:tc>
                      <w:tcPr>
                        <w:tcW w:w="1642" w:type="dxa"/>
                        <w:tcBorders>
                          <w:top w:val="single" w:sz="4" w:space="0" w:color="000000"/>
                          <w:bottom w:val="single" w:sz="4" w:space="0" w:color="000000"/>
                          <w:right w:val="single" w:sz="4" w:space="0" w:color="000000"/>
                        </w:tcBorders>
                        <w:shd w:val="clear" w:color="auto" w:fill="70AD47"/>
                      </w:tcPr>
                      <w:p>
                        <w:pPr>
                          <w:pStyle w:val="TableParagraph"/>
                          <w:tabs>
                            <w:tab w:pos="1405" w:val="left" w:leader="none"/>
                          </w:tabs>
                          <w:spacing w:line="247" w:lineRule="auto"/>
                          <w:ind w:left="100" w:right="98"/>
                          <w:rPr>
                            <w:b/>
                            <w:sz w:val="19"/>
                          </w:rPr>
                        </w:pPr>
                        <w:r>
                          <w:rPr>
                            <w:b/>
                            <w:spacing w:val="-3"/>
                            <w:w w:val="105"/>
                            <w:sz w:val="19"/>
                          </w:rPr>
                          <w:t>TRINIDAD</w:t>
                          <w:tab/>
                        </w:r>
                        <w:r>
                          <w:rPr>
                            <w:b/>
                            <w:sz w:val="19"/>
                          </w:rPr>
                          <w:t>Y </w:t>
                        </w:r>
                        <w:r>
                          <w:rPr>
                            <w:b/>
                            <w:w w:val="105"/>
                            <w:sz w:val="19"/>
                          </w:rPr>
                          <w:t>TOBAGO</w:t>
                        </w:r>
                      </w:p>
                    </w:tc>
                    <w:tc>
                      <w:tcPr>
                        <w:tcW w:w="1507" w:type="dxa"/>
                        <w:tcBorders>
                          <w:top w:val="single" w:sz="4" w:space="0" w:color="000000"/>
                          <w:left w:val="single" w:sz="42" w:space="0" w:color="70AD47"/>
                          <w:bottom w:val="single" w:sz="4" w:space="0" w:color="000000"/>
                          <w:right w:val="single" w:sz="4" w:space="0" w:color="000000"/>
                        </w:tcBorders>
                        <w:shd w:val="clear" w:color="auto" w:fill="C5E0B3"/>
                      </w:tcPr>
                      <w:p>
                        <w:pPr>
                          <w:pStyle w:val="TableParagraph"/>
                          <w:spacing w:line="218" w:lineRule="exact"/>
                          <w:ind w:right="42"/>
                          <w:jc w:val="center"/>
                          <w:rPr>
                            <w:sz w:val="19"/>
                          </w:rPr>
                        </w:pPr>
                        <w:r>
                          <w:rPr>
                            <w:w w:val="103"/>
                            <w:sz w:val="19"/>
                          </w:rPr>
                          <w:t>2</w:t>
                        </w:r>
                      </w:p>
                    </w:tc>
                    <w:tc>
                      <w:tcPr>
                        <w:tcW w:w="1541"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18" w:lineRule="exact"/>
                          <w:ind w:left="663" w:right="660"/>
                          <w:jc w:val="center"/>
                          <w:rPr>
                            <w:sz w:val="19"/>
                          </w:rPr>
                        </w:pPr>
                        <w:r>
                          <w:rPr>
                            <w:w w:val="105"/>
                            <w:sz w:val="19"/>
                          </w:rPr>
                          <w:t>.5</w:t>
                        </w:r>
                      </w:p>
                    </w:tc>
                  </w:tr>
                  <w:tr>
                    <w:trPr>
                      <w:trHeight w:val="288" w:hRule="exact"/>
                    </w:trPr>
                    <w:tc>
                      <w:tcPr>
                        <w:tcW w:w="1642" w:type="dxa"/>
                        <w:tcBorders>
                          <w:top w:val="single" w:sz="4" w:space="0" w:color="000000"/>
                          <w:right w:val="single" w:sz="4" w:space="0" w:color="000000"/>
                        </w:tcBorders>
                        <w:shd w:val="clear" w:color="auto" w:fill="70AD47"/>
                      </w:tcPr>
                      <w:p>
                        <w:pPr>
                          <w:pStyle w:val="TableParagraph"/>
                          <w:spacing w:line="218" w:lineRule="exact"/>
                          <w:ind w:left="100"/>
                          <w:rPr>
                            <w:b/>
                            <w:sz w:val="19"/>
                          </w:rPr>
                        </w:pPr>
                        <w:r>
                          <w:rPr>
                            <w:b/>
                            <w:w w:val="105"/>
                            <w:sz w:val="19"/>
                          </w:rPr>
                          <w:t>GUATEMALA</w:t>
                        </w:r>
                      </w:p>
                    </w:tc>
                    <w:tc>
                      <w:tcPr>
                        <w:tcW w:w="1507" w:type="dxa"/>
                        <w:tcBorders>
                          <w:top w:val="single" w:sz="4" w:space="0" w:color="000000"/>
                          <w:left w:val="single" w:sz="42" w:space="0" w:color="70AD47"/>
                          <w:bottom w:val="single" w:sz="4" w:space="0" w:color="000000"/>
                          <w:right w:val="single" w:sz="4" w:space="0" w:color="000000"/>
                        </w:tcBorders>
                        <w:shd w:val="clear" w:color="auto" w:fill="E2EFD9"/>
                      </w:tcPr>
                      <w:p>
                        <w:pPr>
                          <w:pStyle w:val="TableParagraph"/>
                          <w:spacing w:line="218" w:lineRule="exact"/>
                          <w:ind w:right="42"/>
                          <w:jc w:val="center"/>
                          <w:rPr>
                            <w:sz w:val="19"/>
                          </w:rPr>
                        </w:pPr>
                        <w:r>
                          <w:rPr>
                            <w:w w:val="103"/>
                            <w:sz w:val="19"/>
                          </w:rPr>
                          <w:t>4</w:t>
                        </w:r>
                      </w:p>
                    </w:tc>
                    <w:tc>
                      <w:tcPr>
                        <w:tcW w:w="154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18" w:lineRule="exact"/>
                          <w:ind w:right="623"/>
                          <w:jc w:val="right"/>
                          <w:rPr>
                            <w:sz w:val="19"/>
                          </w:rPr>
                        </w:pPr>
                        <w:r>
                          <w:rPr>
                            <w:sz w:val="19"/>
                          </w:rPr>
                          <w:t>1.0</w:t>
                        </w:r>
                      </w:p>
                    </w:tc>
                  </w:tr>
                </w:tbl>
                <w:p>
                  <w:pPr>
                    <w:pStyle w:val="BodyText"/>
                  </w:pPr>
                </w:p>
              </w:txbxContent>
            </v:textbox>
            <w10:wrap type="topAndBottom"/>
          </v:shape>
        </w:pict>
      </w:r>
      <w:r>
        <w:rPr/>
        <w:pict>
          <v:group style="position:absolute;margin-left:343.200012pt;margin-top:124.282997pt;width:224.2pt;height:151.950pt;mso-position-horizontal-relative:page;mso-position-vertical-relative:paragraph;z-index:1768;mso-wrap-distance-left:0;mso-wrap-distance-right:0" coordorigin="6864,2486" coordsize="4484,3039">
            <v:rect style="position:absolute;left:6869;top:2495;width:4464;height:3019" filled="true" fillcolor="#fbe5d6" stroked="false">
              <v:fill type="solid"/>
            </v:rect>
            <v:shape style="position:absolute;left:7594;top:3004;width:696;height:1646" type="#_x0000_t75" stroked="false">
              <v:imagedata r:id="rId46" o:title=""/>
            </v:shape>
            <v:shape style="position:absolute;left:7589;top:2999;width:710;height:1656" type="#_x0000_t75" stroked="false">
              <v:imagedata r:id="rId47" o:title=""/>
            </v:shape>
            <v:shape style="position:absolute;left:9504;top:4257;width:696;height:394" type="#_x0000_t75" stroked="false">
              <v:imagedata r:id="rId48" o:title=""/>
            </v:shape>
            <v:shape style="position:absolute;left:9499;top:4252;width:710;height:403" type="#_x0000_t75" stroked="false">
              <v:imagedata r:id="rId49" o:title=""/>
            </v:shape>
            <v:shape style="position:absolute;left:8290;top:4242;width:691;height:408" type="#_x0000_t75" stroked="false">
              <v:imagedata r:id="rId50" o:title=""/>
            </v:shape>
            <v:shape style="position:absolute;left:8285;top:4238;width:706;height:418" type="#_x0000_t75" stroked="false">
              <v:imagedata r:id="rId51" o:title=""/>
            </v:shape>
            <v:shape style="position:absolute;left:10200;top:4550;width:696;height:101" type="#_x0000_t75" stroked="false">
              <v:imagedata r:id="rId52" o:title=""/>
            </v:shape>
            <v:shape style="position:absolute;left:10195;top:4545;width:710;height:110" type="#_x0000_t75" stroked="false">
              <v:imagedata r:id="rId53" o:title=""/>
            </v:shape>
            <v:line style="position:absolute" from="7334,4646" to="11155,4646" stroked="true" strokeweight="1.44pt" strokecolor="#404040"/>
            <v:shape style="position:absolute;left:8035;top:5178;width:115;height:115" type="#_x0000_t75" stroked="false">
              <v:imagedata r:id="rId54" o:title=""/>
            </v:shape>
            <v:shape style="position:absolute;left:9163;top:5178;width:110;height:115" type="#_x0000_t75" stroked="false">
              <v:imagedata r:id="rId55" o:title=""/>
            </v:shape>
            <v:shape style="position:absolute;left:6864;top:2486;width:4484;height:3039" coordorigin="6864,2486" coordsize="4484,3039" path="m11347,2486l6869,2486,6864,2490,6864,5519,6869,5524,11347,5524,11347,5519,6878,5519,6874,5510,6878,5510,6878,2500,6874,2500,6878,2495,11347,2495,11347,2486xm6878,5510l6874,5510,6878,5519,6878,5510xm11333,5510l6878,5510,6878,5519,11333,5519,11333,5510xm11333,2495l11333,5519,11342,5510,11347,5510,11347,2500,11342,2500,11333,2495xm11347,5510l11342,5510,11333,5519,11347,5519,11347,5510xm6878,2495l6874,2500,6878,2500,6878,2495xm11333,2495l6878,2495,6878,2500,11333,2500,11333,2495xm11347,2495l11333,2495,11342,2500,11347,2500,11347,2495xe" filled="true" fillcolor="#bfbfbf" stroked="false">
              <v:path arrowok="t"/>
              <v:fill type="solid"/>
            </v:shape>
            <v:shape style="position:absolute;left:6907;top:2617;width:268;height:2127" type="#_x0000_t202" filled="false" stroked="false">
              <v:textbox inset="0,0,0,0">
                <w:txbxContent>
                  <w:p>
                    <w:pPr>
                      <w:spacing w:line="179" w:lineRule="exact" w:before="0"/>
                      <w:ind w:left="-1" w:right="0" w:firstLine="0"/>
                      <w:jc w:val="center"/>
                      <w:rPr>
                        <w:rFonts w:ascii="Calibri"/>
                        <w:sz w:val="17"/>
                      </w:rPr>
                    </w:pPr>
                    <w:r>
                      <w:rPr>
                        <w:rFonts w:ascii="Calibri"/>
                        <w:color w:val="404040"/>
                        <w:spacing w:val="-1"/>
                        <w:sz w:val="17"/>
                      </w:rPr>
                      <w:t>400</w:t>
                    </w:r>
                  </w:p>
                  <w:p>
                    <w:pPr>
                      <w:spacing w:before="37"/>
                      <w:ind w:left="-1" w:right="0" w:firstLine="0"/>
                      <w:jc w:val="center"/>
                      <w:rPr>
                        <w:rFonts w:ascii="Calibri"/>
                        <w:sz w:val="17"/>
                      </w:rPr>
                    </w:pPr>
                    <w:r>
                      <w:rPr>
                        <w:rFonts w:ascii="Calibri"/>
                        <w:color w:val="404040"/>
                        <w:spacing w:val="-1"/>
                        <w:sz w:val="17"/>
                      </w:rPr>
                      <w:t>350</w:t>
                    </w:r>
                  </w:p>
                  <w:p>
                    <w:pPr>
                      <w:spacing w:before="37"/>
                      <w:ind w:left="-1" w:right="0" w:firstLine="0"/>
                      <w:jc w:val="center"/>
                      <w:rPr>
                        <w:rFonts w:ascii="Calibri"/>
                        <w:sz w:val="17"/>
                      </w:rPr>
                    </w:pPr>
                    <w:r>
                      <w:rPr>
                        <w:rFonts w:ascii="Calibri"/>
                        <w:color w:val="404040"/>
                        <w:spacing w:val="-1"/>
                        <w:sz w:val="17"/>
                      </w:rPr>
                      <w:t>300</w:t>
                    </w:r>
                  </w:p>
                  <w:p>
                    <w:pPr>
                      <w:spacing w:before="37"/>
                      <w:ind w:left="-1" w:right="0" w:firstLine="0"/>
                      <w:jc w:val="center"/>
                      <w:rPr>
                        <w:rFonts w:ascii="Calibri"/>
                        <w:sz w:val="17"/>
                      </w:rPr>
                    </w:pPr>
                    <w:r>
                      <w:rPr>
                        <w:rFonts w:ascii="Calibri"/>
                        <w:color w:val="404040"/>
                        <w:spacing w:val="-1"/>
                        <w:sz w:val="17"/>
                      </w:rPr>
                      <w:t>250</w:t>
                    </w:r>
                  </w:p>
                  <w:p>
                    <w:pPr>
                      <w:spacing w:before="32"/>
                      <w:ind w:left="-1" w:right="0" w:firstLine="0"/>
                      <w:jc w:val="center"/>
                      <w:rPr>
                        <w:rFonts w:ascii="Calibri"/>
                        <w:sz w:val="17"/>
                      </w:rPr>
                    </w:pPr>
                    <w:r>
                      <w:rPr>
                        <w:rFonts w:ascii="Calibri"/>
                        <w:color w:val="404040"/>
                        <w:spacing w:val="-1"/>
                        <w:sz w:val="17"/>
                      </w:rPr>
                      <w:t>200</w:t>
                    </w:r>
                  </w:p>
                  <w:p>
                    <w:pPr>
                      <w:spacing w:before="37"/>
                      <w:ind w:left="-1" w:right="0" w:firstLine="0"/>
                      <w:jc w:val="center"/>
                      <w:rPr>
                        <w:rFonts w:ascii="Calibri"/>
                        <w:sz w:val="17"/>
                      </w:rPr>
                    </w:pPr>
                    <w:r>
                      <w:rPr>
                        <w:rFonts w:ascii="Calibri"/>
                        <w:color w:val="404040"/>
                        <w:spacing w:val="-1"/>
                        <w:sz w:val="17"/>
                      </w:rPr>
                      <w:t>150</w:t>
                    </w:r>
                  </w:p>
                  <w:p>
                    <w:pPr>
                      <w:spacing w:before="37"/>
                      <w:ind w:left="-1" w:right="0" w:firstLine="0"/>
                      <w:jc w:val="center"/>
                      <w:rPr>
                        <w:rFonts w:ascii="Calibri"/>
                        <w:sz w:val="17"/>
                      </w:rPr>
                    </w:pPr>
                    <w:r>
                      <w:rPr>
                        <w:rFonts w:ascii="Calibri"/>
                        <w:color w:val="404040"/>
                        <w:spacing w:val="-1"/>
                        <w:sz w:val="17"/>
                      </w:rPr>
                      <w:t>100</w:t>
                    </w:r>
                  </w:p>
                  <w:p>
                    <w:pPr>
                      <w:spacing w:before="37"/>
                      <w:ind w:left="91" w:right="-16" w:firstLine="0"/>
                      <w:jc w:val="left"/>
                      <w:rPr>
                        <w:rFonts w:ascii="Calibri"/>
                        <w:sz w:val="17"/>
                      </w:rPr>
                    </w:pPr>
                    <w:r>
                      <w:rPr>
                        <w:rFonts w:ascii="Calibri"/>
                        <w:color w:val="404040"/>
                        <w:sz w:val="17"/>
                      </w:rPr>
                      <w:t>50</w:t>
                    </w:r>
                  </w:p>
                  <w:p>
                    <w:pPr>
                      <w:spacing w:line="206" w:lineRule="exact" w:before="32"/>
                      <w:ind w:left="177" w:right="0" w:firstLine="0"/>
                      <w:jc w:val="center"/>
                      <w:rPr>
                        <w:rFonts w:ascii="Calibri"/>
                        <w:sz w:val="17"/>
                      </w:rPr>
                    </w:pPr>
                    <w:r>
                      <w:rPr>
                        <w:rFonts w:ascii="Calibri"/>
                        <w:color w:val="404040"/>
                        <w:w w:val="104"/>
                        <w:sz w:val="17"/>
                      </w:rPr>
                      <w:t>0</w:t>
                    </w:r>
                  </w:p>
                </w:txbxContent>
              </v:textbox>
              <w10:wrap type="none"/>
            </v:shape>
            <v:shape style="position:absolute;left:7810;top:2741;width:268;height:178" type="#_x0000_t202" filled="false" stroked="false">
              <v:textbox inset="0,0,0,0">
                <w:txbxContent>
                  <w:p>
                    <w:pPr>
                      <w:spacing w:line="178" w:lineRule="exact" w:before="0"/>
                      <w:ind w:left="0" w:right="-11" w:firstLine="0"/>
                      <w:jc w:val="left"/>
                      <w:rPr>
                        <w:rFonts w:ascii="Calibri"/>
                        <w:b/>
                        <w:sz w:val="17"/>
                      </w:rPr>
                    </w:pPr>
                    <w:r>
                      <w:rPr>
                        <w:rFonts w:ascii="Calibri"/>
                        <w:b/>
                        <w:sz w:val="17"/>
                      </w:rPr>
                      <w:t>337</w:t>
                    </w:r>
                  </w:p>
                </w:txbxContent>
              </v:textbox>
              <w10:wrap type="none"/>
            </v:shape>
            <v:shape style="position:absolute;left:8549;top:3980;width:182;height:178" type="#_x0000_t202" filled="false" stroked="false">
              <v:textbox inset="0,0,0,0">
                <w:txbxContent>
                  <w:p>
                    <w:pPr>
                      <w:spacing w:line="178" w:lineRule="exact" w:before="0"/>
                      <w:ind w:left="0" w:right="-19" w:firstLine="0"/>
                      <w:jc w:val="left"/>
                      <w:rPr>
                        <w:rFonts w:ascii="Calibri"/>
                        <w:b/>
                        <w:sz w:val="17"/>
                      </w:rPr>
                    </w:pPr>
                    <w:r>
                      <w:rPr>
                        <w:rFonts w:ascii="Calibri"/>
                        <w:b/>
                        <w:w w:val="105"/>
                        <w:sz w:val="17"/>
                      </w:rPr>
                      <w:t>83</w:t>
                    </w:r>
                  </w:p>
                </w:txbxContent>
              </v:textbox>
              <w10:wrap type="none"/>
            </v:shape>
            <v:shape style="position:absolute;left:9696;top:3989;width:316;height:178" type="#_x0000_t202" filled="false" stroked="false">
              <v:textbox inset="0,0,0,0">
                <w:txbxContent>
                  <w:p>
                    <w:pPr>
                      <w:spacing w:line="178" w:lineRule="exact" w:before="0"/>
                      <w:ind w:left="0" w:right="-20" w:firstLine="0"/>
                      <w:jc w:val="left"/>
                      <w:rPr>
                        <w:rFonts w:ascii="Calibri"/>
                        <w:b/>
                        <w:sz w:val="17"/>
                      </w:rPr>
                    </w:pPr>
                    <w:r>
                      <w:rPr>
                        <w:rFonts w:ascii="Calibri"/>
                        <w:b/>
                        <w:spacing w:val="-1"/>
                        <w:w w:val="105"/>
                        <w:sz w:val="17"/>
                      </w:rPr>
                      <w:t>80.2</w:t>
                    </w:r>
                  </w:p>
                </w:txbxContent>
              </v:textbox>
              <w10:wrap type="none"/>
            </v:shape>
            <v:shape style="position:absolute;left:10392;top:4287;width:316;height:178" type="#_x0000_t202" filled="false" stroked="false">
              <v:textbox inset="0,0,0,0">
                <w:txbxContent>
                  <w:p>
                    <w:pPr>
                      <w:spacing w:line="178" w:lineRule="exact" w:before="0"/>
                      <w:ind w:left="0" w:right="-20" w:firstLine="0"/>
                      <w:jc w:val="left"/>
                      <w:rPr>
                        <w:rFonts w:ascii="Calibri"/>
                        <w:b/>
                        <w:sz w:val="17"/>
                      </w:rPr>
                    </w:pPr>
                    <w:r>
                      <w:rPr>
                        <w:rFonts w:ascii="Calibri"/>
                        <w:b/>
                        <w:spacing w:val="-1"/>
                        <w:w w:val="105"/>
                        <w:sz w:val="17"/>
                      </w:rPr>
                      <w:t>19.8</w:t>
                    </w:r>
                  </w:p>
                </w:txbxContent>
              </v:textbox>
              <w10:wrap type="none"/>
            </v:shape>
            <v:shape style="position:absolute;left:7834;top:4796;width:2837;height:533" type="#_x0000_t202" filled="false" stroked="false">
              <v:textbox inset="0,0,0,0">
                <w:txbxContent>
                  <w:p>
                    <w:pPr>
                      <w:tabs>
                        <w:tab w:pos="1900" w:val="left" w:leader="none"/>
                      </w:tabs>
                      <w:spacing w:line="179" w:lineRule="exact" w:before="0"/>
                      <w:ind w:left="0" w:right="0" w:firstLine="0"/>
                      <w:jc w:val="left"/>
                      <w:rPr>
                        <w:rFonts w:ascii="Calibri"/>
                        <w:sz w:val="17"/>
                      </w:rPr>
                    </w:pPr>
                    <w:r>
                      <w:rPr>
                        <w:rFonts w:ascii="Calibri"/>
                        <w:color w:val="404040"/>
                        <w:w w:val="105"/>
                        <w:sz w:val="17"/>
                      </w:rPr>
                      <w:t>FRECUENCIA</w:t>
                      <w:tab/>
                    </w:r>
                    <w:r>
                      <w:rPr>
                        <w:rFonts w:ascii="Calibri"/>
                        <w:color w:val="404040"/>
                        <w:sz w:val="17"/>
                      </w:rPr>
                      <w:t>PORCENTAJE</w:t>
                    </w:r>
                  </w:p>
                  <w:p>
                    <w:pPr>
                      <w:tabs>
                        <w:tab w:pos="350" w:val="left" w:leader="none"/>
                        <w:tab w:pos="1478" w:val="left" w:leader="none"/>
                      </w:tabs>
                      <w:spacing w:line="206" w:lineRule="exact" w:before="147"/>
                      <w:ind w:left="4" w:right="0" w:firstLine="0"/>
                      <w:jc w:val="left"/>
                      <w:rPr>
                        <w:rFonts w:ascii="Calibri"/>
                        <w:sz w:val="17"/>
                      </w:rPr>
                    </w:pPr>
                    <w:r>
                      <w:rPr>
                        <w:rFonts w:ascii="Times New Roman"/>
                        <w:color w:val="404040"/>
                        <w:w w:val="104"/>
                        <w:sz w:val="17"/>
                      </w:rPr>
                      <w:t> </w:t>
                    </w:r>
                    <w:r>
                      <w:rPr>
                        <w:rFonts w:ascii="Times New Roman"/>
                        <w:color w:val="404040"/>
                        <w:sz w:val="17"/>
                      </w:rPr>
                      <w:tab/>
                    </w:r>
                    <w:r>
                      <w:rPr>
                        <w:rFonts w:ascii="Calibri"/>
                        <w:color w:val="404040"/>
                        <w:w w:val="105"/>
                        <w:sz w:val="17"/>
                      </w:rPr>
                      <w:t>MEXICANO</w:t>
                      <w:tab/>
                      <w:t>EXTRANJERO</w:t>
                    </w:r>
                    <w:r>
                      <w:rPr>
                        <w:rFonts w:ascii="Calibri"/>
                        <w:color w:val="404040"/>
                        <w:spacing w:val="12"/>
                        <w:sz w:val="17"/>
                      </w:rPr>
                      <w:t> </w:t>
                    </w:r>
                  </w:p>
                </w:txbxContent>
              </v:textbox>
              <w10:wrap type="none"/>
            </v:shape>
            <w10:wrap type="topAndBottom"/>
          </v:group>
        </w:pict>
      </w:r>
    </w:p>
    <w:p>
      <w:pPr>
        <w:spacing w:after="0"/>
        <w:rPr>
          <w:sz w:val="27"/>
        </w:rPr>
        <w:sectPr>
          <w:pgSz w:w="11910" w:h="16840"/>
          <w:pgMar w:header="1066" w:footer="1715" w:top="1460" w:bottom="1900" w:left="1440" w:right="200"/>
        </w:sectPr>
      </w:pPr>
    </w:p>
    <w:p>
      <w:pPr>
        <w:pStyle w:val="BodyText"/>
        <w:rPr>
          <w:sz w:val="20"/>
        </w:rPr>
      </w:pPr>
    </w:p>
    <w:p>
      <w:pPr>
        <w:pStyle w:val="BodyText"/>
        <w:spacing w:before="10"/>
        <w:rPr>
          <w:sz w:val="17"/>
        </w:rPr>
      </w:pPr>
    </w:p>
    <w:p>
      <w:pPr>
        <w:pStyle w:val="BodyText"/>
        <w:spacing w:before="74"/>
        <w:ind w:left="2111"/>
      </w:pPr>
      <w:r>
        <w:rPr/>
        <w:t>Tabla No. 14. Conocimiento de Temas</w:t>
      </w:r>
      <w:r>
        <w:rPr>
          <w:spacing w:val="56"/>
        </w:rPr>
        <w:t> </w:t>
      </w:r>
      <w:r>
        <w:rPr/>
        <w:t>ambientales</w:t>
      </w:r>
    </w:p>
    <w:p>
      <w:pPr>
        <w:pStyle w:val="BodyText"/>
        <w:spacing w:before="11"/>
        <w:rPr>
          <w:sz w:val="24"/>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94"/>
        <w:gridCol w:w="859"/>
        <w:gridCol w:w="1262"/>
        <w:gridCol w:w="1147"/>
        <w:gridCol w:w="403"/>
        <w:gridCol w:w="403"/>
        <w:gridCol w:w="1186"/>
        <w:gridCol w:w="1190"/>
        <w:gridCol w:w="1186"/>
      </w:tblGrid>
      <w:tr>
        <w:trPr>
          <w:trHeight w:val="542" w:hRule="exact"/>
        </w:trPr>
        <w:tc>
          <w:tcPr>
            <w:tcW w:w="1694" w:type="dxa"/>
            <w:vMerge w:val="restart"/>
            <w:shd w:val="clear" w:color="auto" w:fill="70AD47"/>
          </w:tcPr>
          <w:p>
            <w:pPr>
              <w:pStyle w:val="TableParagraph"/>
              <w:spacing w:line="255" w:lineRule="exact"/>
              <w:ind w:left="100"/>
              <w:rPr>
                <w:b/>
                <w:sz w:val="23"/>
              </w:rPr>
            </w:pPr>
            <w:r>
              <w:rPr>
                <w:b/>
                <w:sz w:val="23"/>
              </w:rPr>
              <w:t>EDAD</w:t>
            </w:r>
          </w:p>
        </w:tc>
        <w:tc>
          <w:tcPr>
            <w:tcW w:w="7637" w:type="dxa"/>
            <w:gridSpan w:val="8"/>
            <w:tcBorders>
              <w:bottom w:val="single" w:sz="4" w:space="0" w:color="000000"/>
            </w:tcBorders>
            <w:shd w:val="clear" w:color="auto" w:fill="70AD47"/>
          </w:tcPr>
          <w:p>
            <w:pPr>
              <w:pStyle w:val="TableParagraph"/>
              <w:spacing w:before="6"/>
              <w:rPr>
                <w:sz w:val="22"/>
              </w:rPr>
            </w:pPr>
          </w:p>
          <w:p>
            <w:pPr>
              <w:pStyle w:val="TableParagraph"/>
              <w:tabs>
                <w:tab w:pos="3374" w:val="left" w:leader="none"/>
              </w:tabs>
              <w:ind w:left="110"/>
              <w:rPr>
                <w:b/>
                <w:sz w:val="23"/>
              </w:rPr>
            </w:pPr>
            <w:r>
              <w:rPr>
                <w:b/>
                <w:sz w:val="23"/>
              </w:rPr>
              <w:t>Variable</w:t>
              <w:tab/>
              <w:t>Conocimiento de Temas</w:t>
            </w:r>
            <w:r>
              <w:rPr>
                <w:b/>
                <w:spacing w:val="48"/>
                <w:sz w:val="23"/>
              </w:rPr>
              <w:t> </w:t>
            </w:r>
            <w:r>
              <w:rPr>
                <w:b/>
                <w:sz w:val="23"/>
              </w:rPr>
              <w:t>Ambientales</w:t>
            </w:r>
          </w:p>
        </w:tc>
      </w:tr>
      <w:tr>
        <w:trPr>
          <w:trHeight w:val="295" w:hRule="exact"/>
        </w:trPr>
        <w:tc>
          <w:tcPr>
            <w:tcW w:w="1694" w:type="dxa"/>
            <w:vMerge/>
            <w:tcBorders>
              <w:bottom w:val="single" w:sz="4" w:space="0" w:color="000000"/>
            </w:tcBorders>
            <w:shd w:val="clear" w:color="auto" w:fill="70AD47"/>
          </w:tcPr>
          <w:p>
            <w:pPr/>
          </w:p>
        </w:tc>
        <w:tc>
          <w:tcPr>
            <w:tcW w:w="3269" w:type="dxa"/>
            <w:gridSpan w:val="3"/>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55" w:lineRule="exact"/>
              <w:ind w:left="105"/>
              <w:rPr>
                <w:sz w:val="23"/>
              </w:rPr>
            </w:pPr>
            <w:r>
              <w:rPr>
                <w:sz w:val="23"/>
              </w:rPr>
              <w:t>Escala Likert</w:t>
            </w:r>
          </w:p>
        </w:tc>
        <w:tc>
          <w:tcPr>
            <w:tcW w:w="403"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55" w:lineRule="exact"/>
              <w:ind w:left="129"/>
              <w:rPr>
                <w:sz w:val="23"/>
              </w:rPr>
            </w:pPr>
            <w:r>
              <w:rPr>
                <w:w w:val="101"/>
                <w:sz w:val="23"/>
              </w:rPr>
              <w:t>1</w:t>
            </w:r>
          </w:p>
        </w:tc>
        <w:tc>
          <w:tcPr>
            <w:tcW w:w="403"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55" w:lineRule="exact"/>
              <w:ind w:left="134"/>
              <w:rPr>
                <w:sz w:val="23"/>
              </w:rPr>
            </w:pPr>
            <w:r>
              <w:rPr>
                <w:w w:val="101"/>
                <w:sz w:val="23"/>
              </w:rPr>
              <w:t>2</w:t>
            </w:r>
          </w:p>
        </w:tc>
        <w:tc>
          <w:tcPr>
            <w:tcW w:w="1186"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55" w:lineRule="exact"/>
              <w:jc w:val="center"/>
              <w:rPr>
                <w:sz w:val="23"/>
              </w:rPr>
            </w:pPr>
            <w:r>
              <w:rPr>
                <w:w w:val="101"/>
                <w:sz w:val="23"/>
              </w:rPr>
              <w:t>3</w:t>
            </w:r>
          </w:p>
        </w:tc>
        <w:tc>
          <w:tcPr>
            <w:tcW w:w="1190"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55" w:lineRule="exact"/>
              <w:ind w:right="2"/>
              <w:jc w:val="center"/>
              <w:rPr>
                <w:sz w:val="23"/>
              </w:rPr>
            </w:pPr>
            <w:r>
              <w:rPr>
                <w:w w:val="101"/>
                <w:sz w:val="23"/>
              </w:rPr>
              <w:t>4</w:t>
            </w:r>
          </w:p>
        </w:tc>
        <w:tc>
          <w:tcPr>
            <w:tcW w:w="1186"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55" w:lineRule="exact"/>
              <w:jc w:val="center"/>
              <w:rPr>
                <w:sz w:val="23"/>
              </w:rPr>
            </w:pPr>
            <w:r>
              <w:rPr>
                <w:w w:val="101"/>
                <w:sz w:val="23"/>
              </w:rPr>
              <w:t>5</w:t>
            </w:r>
          </w:p>
        </w:tc>
      </w:tr>
      <w:tr>
        <w:trPr>
          <w:trHeight w:val="314" w:hRule="exact"/>
        </w:trPr>
        <w:tc>
          <w:tcPr>
            <w:tcW w:w="1694" w:type="dxa"/>
            <w:vMerge w:val="restart"/>
            <w:tcBorders>
              <w:top w:val="single" w:sz="4" w:space="0" w:color="000000"/>
              <w:right w:val="single" w:sz="4" w:space="0" w:color="000000"/>
            </w:tcBorders>
            <w:shd w:val="clear" w:color="auto" w:fill="70AD47"/>
          </w:tcPr>
          <w:p>
            <w:pPr>
              <w:pStyle w:val="TableParagraph"/>
              <w:spacing w:before="17"/>
              <w:ind w:left="100"/>
              <w:rPr>
                <w:b/>
                <w:sz w:val="23"/>
              </w:rPr>
            </w:pPr>
            <w:r>
              <w:rPr>
                <w:b/>
                <w:sz w:val="23"/>
              </w:rPr>
              <w:t>Joven</w:t>
            </w:r>
          </w:p>
        </w:tc>
        <w:tc>
          <w:tcPr>
            <w:tcW w:w="859" w:type="dxa"/>
            <w:tcBorders>
              <w:top w:val="single" w:sz="19" w:space="0" w:color="C5E0B3"/>
              <w:left w:val="single" w:sz="4" w:space="0" w:color="000000"/>
              <w:right w:val="single" w:sz="4" w:space="0" w:color="000000"/>
            </w:tcBorders>
            <w:shd w:val="clear" w:color="auto" w:fill="E2EFD9"/>
          </w:tcPr>
          <w:p>
            <w:pPr>
              <w:pStyle w:val="TableParagraph"/>
              <w:spacing w:line="262" w:lineRule="exact"/>
              <w:ind w:left="105"/>
              <w:rPr>
                <w:sz w:val="23"/>
              </w:rPr>
            </w:pPr>
            <w:r>
              <w:rPr>
                <w:sz w:val="23"/>
              </w:rPr>
              <w:t>SEXO</w:t>
            </w:r>
          </w:p>
        </w:tc>
        <w:tc>
          <w:tcPr>
            <w:tcW w:w="1262" w:type="dxa"/>
            <w:tcBorders>
              <w:top w:val="single" w:sz="19" w:space="0" w:color="C5E0B3"/>
              <w:left w:val="single" w:sz="4" w:space="0" w:color="000000"/>
              <w:right w:val="single" w:sz="4" w:space="0" w:color="000000"/>
            </w:tcBorders>
            <w:shd w:val="clear" w:color="auto" w:fill="E2EFD9"/>
          </w:tcPr>
          <w:p>
            <w:pPr>
              <w:pStyle w:val="TableParagraph"/>
              <w:spacing w:line="262" w:lineRule="exact"/>
              <w:ind w:left="90" w:right="86"/>
              <w:jc w:val="center"/>
              <w:rPr>
                <w:sz w:val="23"/>
              </w:rPr>
            </w:pPr>
            <w:r>
              <w:rPr>
                <w:sz w:val="23"/>
              </w:rPr>
              <w:t>Masculino</w:t>
            </w:r>
          </w:p>
        </w:tc>
        <w:tc>
          <w:tcPr>
            <w:tcW w:w="1147" w:type="dxa"/>
            <w:tcBorders>
              <w:top w:val="single" w:sz="19" w:space="0" w:color="C5E0B3"/>
              <w:left w:val="single" w:sz="4" w:space="0" w:color="000000"/>
              <w:bottom w:val="single" w:sz="4" w:space="0" w:color="000000"/>
              <w:right w:val="single" w:sz="4" w:space="0" w:color="000000"/>
            </w:tcBorders>
            <w:shd w:val="clear" w:color="auto" w:fill="E2EFD9"/>
          </w:tcPr>
          <w:p>
            <w:pPr>
              <w:pStyle w:val="TableParagraph"/>
              <w:spacing w:line="262" w:lineRule="exact"/>
              <w:ind w:left="105"/>
              <w:rPr>
                <w:sz w:val="23"/>
              </w:rPr>
            </w:pPr>
            <w:r>
              <w:rPr>
                <w:sz w:val="23"/>
              </w:rPr>
              <w:t>Cantidad</w:t>
            </w:r>
          </w:p>
        </w:tc>
        <w:tc>
          <w:tcPr>
            <w:tcW w:w="403" w:type="dxa"/>
            <w:tcBorders>
              <w:top w:val="single" w:sz="19" w:space="0" w:color="C5E0B3"/>
              <w:left w:val="single" w:sz="4" w:space="0" w:color="000000"/>
              <w:bottom w:val="single" w:sz="4" w:space="0" w:color="000000"/>
              <w:right w:val="single" w:sz="4" w:space="0" w:color="000000"/>
            </w:tcBorders>
            <w:shd w:val="clear" w:color="auto" w:fill="E2EFD9"/>
          </w:tcPr>
          <w:p>
            <w:pPr>
              <w:pStyle w:val="TableParagraph"/>
              <w:spacing w:line="262" w:lineRule="exact"/>
              <w:ind w:left="129"/>
              <w:rPr>
                <w:sz w:val="23"/>
              </w:rPr>
            </w:pPr>
            <w:r>
              <w:rPr>
                <w:w w:val="101"/>
                <w:sz w:val="23"/>
              </w:rPr>
              <w:t>0</w:t>
            </w:r>
          </w:p>
        </w:tc>
        <w:tc>
          <w:tcPr>
            <w:tcW w:w="403" w:type="dxa"/>
            <w:tcBorders>
              <w:top w:val="single" w:sz="19" w:space="0" w:color="C5E0B3"/>
              <w:left w:val="single" w:sz="4" w:space="0" w:color="000000"/>
              <w:bottom w:val="single" w:sz="4" w:space="0" w:color="000000"/>
              <w:right w:val="single" w:sz="4" w:space="0" w:color="000000"/>
            </w:tcBorders>
            <w:shd w:val="clear" w:color="auto" w:fill="E2EFD9"/>
          </w:tcPr>
          <w:p>
            <w:pPr>
              <w:pStyle w:val="TableParagraph"/>
              <w:spacing w:line="262" w:lineRule="exact"/>
              <w:ind w:left="134"/>
              <w:rPr>
                <w:sz w:val="23"/>
              </w:rPr>
            </w:pPr>
            <w:r>
              <w:rPr>
                <w:w w:val="101"/>
                <w:sz w:val="23"/>
              </w:rPr>
              <w:t>0</w:t>
            </w:r>
          </w:p>
        </w:tc>
        <w:tc>
          <w:tcPr>
            <w:tcW w:w="1186" w:type="dxa"/>
            <w:tcBorders>
              <w:top w:val="single" w:sz="19" w:space="0" w:color="C5E0B3"/>
              <w:left w:val="single" w:sz="4" w:space="0" w:color="000000"/>
              <w:bottom w:val="single" w:sz="4" w:space="0" w:color="000000"/>
              <w:right w:val="single" w:sz="4" w:space="0" w:color="000000"/>
            </w:tcBorders>
            <w:shd w:val="clear" w:color="auto" w:fill="E2EFD9"/>
          </w:tcPr>
          <w:p>
            <w:pPr>
              <w:pStyle w:val="TableParagraph"/>
              <w:spacing w:line="262" w:lineRule="exact"/>
              <w:ind w:left="175" w:right="175"/>
              <w:jc w:val="center"/>
              <w:rPr>
                <w:sz w:val="23"/>
              </w:rPr>
            </w:pPr>
            <w:r>
              <w:rPr>
                <w:sz w:val="23"/>
              </w:rPr>
              <w:t>30</w:t>
            </w:r>
          </w:p>
        </w:tc>
        <w:tc>
          <w:tcPr>
            <w:tcW w:w="1190" w:type="dxa"/>
            <w:tcBorders>
              <w:top w:val="single" w:sz="19" w:space="0" w:color="C5E0B3"/>
              <w:left w:val="single" w:sz="4" w:space="0" w:color="000000"/>
              <w:bottom w:val="single" w:sz="4" w:space="0" w:color="000000"/>
              <w:right w:val="single" w:sz="4" w:space="0" w:color="000000"/>
            </w:tcBorders>
            <w:shd w:val="clear" w:color="auto" w:fill="E2EFD9"/>
          </w:tcPr>
          <w:p>
            <w:pPr>
              <w:pStyle w:val="TableParagraph"/>
              <w:spacing w:line="262" w:lineRule="exact"/>
              <w:ind w:left="180" w:right="180"/>
              <w:jc w:val="center"/>
              <w:rPr>
                <w:sz w:val="23"/>
              </w:rPr>
            </w:pPr>
            <w:r>
              <w:rPr>
                <w:sz w:val="23"/>
              </w:rPr>
              <w:t>35</w:t>
            </w:r>
          </w:p>
        </w:tc>
        <w:tc>
          <w:tcPr>
            <w:tcW w:w="1186" w:type="dxa"/>
            <w:tcBorders>
              <w:top w:val="single" w:sz="19" w:space="0" w:color="C5E0B3"/>
              <w:left w:val="single" w:sz="4" w:space="0" w:color="000000"/>
              <w:bottom w:val="single" w:sz="4" w:space="0" w:color="000000"/>
              <w:right w:val="single" w:sz="4" w:space="0" w:color="000000"/>
            </w:tcBorders>
            <w:shd w:val="clear" w:color="auto" w:fill="E2EFD9"/>
          </w:tcPr>
          <w:p>
            <w:pPr>
              <w:pStyle w:val="TableParagraph"/>
              <w:spacing w:line="262" w:lineRule="exact"/>
              <w:ind w:left="173" w:right="175"/>
              <w:jc w:val="center"/>
              <w:rPr>
                <w:sz w:val="23"/>
              </w:rPr>
            </w:pPr>
            <w:r>
              <w:rPr>
                <w:sz w:val="23"/>
              </w:rPr>
              <w:t>20</w:t>
            </w:r>
          </w:p>
        </w:tc>
      </w:tr>
      <w:tr>
        <w:trPr>
          <w:trHeight w:val="317" w:hRule="exact"/>
        </w:trPr>
        <w:tc>
          <w:tcPr>
            <w:tcW w:w="1694" w:type="dxa"/>
            <w:vMerge/>
            <w:tcBorders>
              <w:right w:val="single" w:sz="4" w:space="0" w:color="000000"/>
            </w:tcBorders>
            <w:shd w:val="clear" w:color="auto" w:fill="70AD47"/>
          </w:tcPr>
          <w:p>
            <w:pPr/>
          </w:p>
        </w:tc>
        <w:tc>
          <w:tcPr>
            <w:tcW w:w="859" w:type="dxa"/>
            <w:vMerge w:val="restart"/>
            <w:tcBorders>
              <w:left w:val="single" w:sz="4" w:space="0" w:color="000000"/>
              <w:right w:val="single" w:sz="4" w:space="0" w:color="000000"/>
            </w:tcBorders>
            <w:shd w:val="clear" w:color="auto" w:fill="E2EFD9"/>
          </w:tcPr>
          <w:p>
            <w:pPr/>
          </w:p>
        </w:tc>
        <w:tc>
          <w:tcPr>
            <w:tcW w:w="1262" w:type="dxa"/>
            <w:tcBorders>
              <w:left w:val="single" w:sz="4" w:space="0" w:color="000000"/>
              <w:bottom w:val="single" w:sz="4" w:space="0" w:color="000000"/>
              <w:right w:val="single" w:sz="4" w:space="0" w:color="000000"/>
            </w:tcBorders>
            <w:shd w:val="clear" w:color="auto" w:fill="E2EFD9"/>
          </w:tcPr>
          <w:p>
            <w:pPr/>
          </w:p>
        </w:tc>
        <w:tc>
          <w:tcPr>
            <w:tcW w:w="1147"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05"/>
              <w:rPr>
                <w:sz w:val="23"/>
              </w:rPr>
            </w:pPr>
            <w:r>
              <w:rPr>
                <w:sz w:val="23"/>
              </w:rPr>
              <w:t>% Total</w:t>
            </w:r>
          </w:p>
        </w:tc>
        <w:tc>
          <w:tcPr>
            <w:tcW w:w="403"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29"/>
              <w:rPr>
                <w:sz w:val="23"/>
              </w:rPr>
            </w:pPr>
            <w:r>
              <w:rPr>
                <w:w w:val="101"/>
                <w:sz w:val="23"/>
              </w:rPr>
              <w:t>0</w:t>
            </w:r>
          </w:p>
        </w:tc>
        <w:tc>
          <w:tcPr>
            <w:tcW w:w="403"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34"/>
              <w:rPr>
                <w:sz w:val="23"/>
              </w:rPr>
            </w:pPr>
            <w:r>
              <w:rPr>
                <w:w w:val="101"/>
                <w:sz w:val="23"/>
              </w:rPr>
              <w:t>0</w:t>
            </w:r>
          </w:p>
        </w:tc>
        <w:tc>
          <w:tcPr>
            <w:tcW w:w="1186"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77" w:right="171"/>
              <w:jc w:val="center"/>
              <w:rPr>
                <w:sz w:val="23"/>
              </w:rPr>
            </w:pPr>
            <w:r>
              <w:rPr>
                <w:sz w:val="23"/>
              </w:rPr>
              <w:t>7.14%</w:t>
            </w:r>
          </w:p>
        </w:tc>
        <w:tc>
          <w:tcPr>
            <w:tcW w:w="1190"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80" w:right="179"/>
              <w:jc w:val="center"/>
              <w:rPr>
                <w:sz w:val="23"/>
              </w:rPr>
            </w:pPr>
            <w:r>
              <w:rPr>
                <w:sz w:val="23"/>
              </w:rPr>
              <w:t>8.33%</w:t>
            </w:r>
          </w:p>
        </w:tc>
        <w:tc>
          <w:tcPr>
            <w:tcW w:w="1186"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74" w:right="175"/>
              <w:jc w:val="center"/>
              <w:rPr>
                <w:sz w:val="23"/>
              </w:rPr>
            </w:pPr>
            <w:r>
              <w:rPr>
                <w:sz w:val="23"/>
              </w:rPr>
              <w:t>4.76%</w:t>
            </w:r>
          </w:p>
        </w:tc>
      </w:tr>
      <w:tr>
        <w:trPr>
          <w:trHeight w:val="317" w:hRule="exact"/>
        </w:trPr>
        <w:tc>
          <w:tcPr>
            <w:tcW w:w="1694" w:type="dxa"/>
            <w:vMerge/>
            <w:tcBorders>
              <w:right w:val="single" w:sz="4" w:space="0" w:color="000000"/>
            </w:tcBorders>
            <w:shd w:val="clear" w:color="auto" w:fill="70AD47"/>
          </w:tcPr>
          <w:p>
            <w:pPr/>
          </w:p>
        </w:tc>
        <w:tc>
          <w:tcPr>
            <w:tcW w:w="859" w:type="dxa"/>
            <w:vMerge/>
            <w:tcBorders>
              <w:left w:val="single" w:sz="4" w:space="0" w:color="000000"/>
              <w:right w:val="single" w:sz="4" w:space="0" w:color="000000"/>
            </w:tcBorders>
            <w:shd w:val="clear" w:color="auto" w:fill="E2EFD9"/>
          </w:tcPr>
          <w:p>
            <w:pPr/>
          </w:p>
        </w:tc>
        <w:tc>
          <w:tcPr>
            <w:tcW w:w="1262" w:type="dxa"/>
            <w:tcBorders>
              <w:top w:val="single" w:sz="4" w:space="0" w:color="000000"/>
              <w:left w:val="single" w:sz="4" w:space="0" w:color="000000"/>
              <w:right w:val="single" w:sz="4" w:space="0" w:color="000000"/>
            </w:tcBorders>
            <w:shd w:val="clear" w:color="auto" w:fill="E2EFD9"/>
          </w:tcPr>
          <w:p>
            <w:pPr>
              <w:pStyle w:val="TableParagraph"/>
              <w:spacing w:before="14"/>
              <w:ind w:left="83" w:right="86"/>
              <w:jc w:val="center"/>
              <w:rPr>
                <w:sz w:val="23"/>
              </w:rPr>
            </w:pPr>
            <w:r>
              <w:rPr>
                <w:sz w:val="23"/>
              </w:rPr>
              <w:t>Femenino</w:t>
            </w:r>
          </w:p>
        </w:tc>
        <w:tc>
          <w:tcPr>
            <w:tcW w:w="1147"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left="105"/>
              <w:rPr>
                <w:sz w:val="23"/>
              </w:rPr>
            </w:pPr>
            <w:r>
              <w:rPr>
                <w:sz w:val="23"/>
              </w:rPr>
              <w:t>Cantidad</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left="129"/>
              <w:rPr>
                <w:sz w:val="23"/>
              </w:rPr>
            </w:pPr>
            <w:r>
              <w:rPr>
                <w:w w:val="101"/>
                <w:sz w:val="23"/>
              </w:rPr>
              <w:t>0</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left="134"/>
              <w:rPr>
                <w:sz w:val="23"/>
              </w:rPr>
            </w:pPr>
            <w:r>
              <w:rPr>
                <w:w w:val="101"/>
                <w:sz w:val="23"/>
              </w:rPr>
              <w:t>0</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left="175" w:right="175"/>
              <w:jc w:val="center"/>
              <w:rPr>
                <w:sz w:val="23"/>
              </w:rPr>
            </w:pPr>
            <w:r>
              <w:rPr>
                <w:sz w:val="23"/>
              </w:rPr>
              <w:t>52</w:t>
            </w:r>
          </w:p>
        </w:tc>
        <w:tc>
          <w:tcPr>
            <w:tcW w:w="1190"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left="180" w:right="180"/>
              <w:jc w:val="center"/>
              <w:rPr>
                <w:sz w:val="23"/>
              </w:rPr>
            </w:pPr>
            <w:r>
              <w:rPr>
                <w:sz w:val="23"/>
              </w:rPr>
              <w:t>92</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left="173" w:right="175"/>
              <w:jc w:val="center"/>
              <w:rPr>
                <w:sz w:val="23"/>
              </w:rPr>
            </w:pPr>
            <w:r>
              <w:rPr>
                <w:sz w:val="23"/>
              </w:rPr>
              <w:t>28</w:t>
            </w:r>
          </w:p>
        </w:tc>
      </w:tr>
      <w:tr>
        <w:trPr>
          <w:trHeight w:val="315" w:hRule="exact"/>
        </w:trPr>
        <w:tc>
          <w:tcPr>
            <w:tcW w:w="1694" w:type="dxa"/>
            <w:vMerge/>
            <w:tcBorders>
              <w:right w:val="single" w:sz="4" w:space="0" w:color="000000"/>
            </w:tcBorders>
            <w:shd w:val="clear" w:color="auto" w:fill="70AD47"/>
          </w:tcPr>
          <w:p>
            <w:pPr/>
          </w:p>
        </w:tc>
        <w:tc>
          <w:tcPr>
            <w:tcW w:w="859" w:type="dxa"/>
            <w:vMerge/>
            <w:tcBorders>
              <w:left w:val="single" w:sz="4" w:space="0" w:color="000000"/>
              <w:bottom w:val="single" w:sz="2" w:space="0" w:color="000000"/>
              <w:right w:val="single" w:sz="4" w:space="0" w:color="000000"/>
            </w:tcBorders>
            <w:shd w:val="clear" w:color="auto" w:fill="E2EFD9"/>
          </w:tcPr>
          <w:p>
            <w:pPr/>
          </w:p>
        </w:tc>
        <w:tc>
          <w:tcPr>
            <w:tcW w:w="1262" w:type="dxa"/>
            <w:tcBorders>
              <w:left w:val="single" w:sz="4" w:space="0" w:color="000000"/>
              <w:bottom w:val="single" w:sz="2" w:space="0" w:color="000000"/>
              <w:right w:val="single" w:sz="4" w:space="0" w:color="000000"/>
            </w:tcBorders>
            <w:shd w:val="clear" w:color="auto" w:fill="E2EFD9"/>
          </w:tcPr>
          <w:p>
            <w:pPr/>
          </w:p>
        </w:tc>
        <w:tc>
          <w:tcPr>
            <w:tcW w:w="1147" w:type="dxa"/>
            <w:tcBorders>
              <w:top w:val="single" w:sz="19" w:space="0" w:color="E2EFD9"/>
              <w:left w:val="single" w:sz="4" w:space="0" w:color="000000"/>
              <w:bottom w:val="single" w:sz="2" w:space="0" w:color="000000"/>
              <w:right w:val="single" w:sz="4" w:space="0" w:color="000000"/>
            </w:tcBorders>
            <w:shd w:val="clear" w:color="auto" w:fill="C5E0B3"/>
          </w:tcPr>
          <w:p>
            <w:pPr>
              <w:pStyle w:val="TableParagraph"/>
              <w:spacing w:line="260" w:lineRule="exact"/>
              <w:ind w:left="105"/>
              <w:rPr>
                <w:sz w:val="23"/>
              </w:rPr>
            </w:pPr>
            <w:r>
              <w:rPr>
                <w:sz w:val="23"/>
              </w:rPr>
              <w:t>% Total</w:t>
            </w:r>
          </w:p>
        </w:tc>
        <w:tc>
          <w:tcPr>
            <w:tcW w:w="403" w:type="dxa"/>
            <w:tcBorders>
              <w:top w:val="single" w:sz="19" w:space="0" w:color="E2EFD9"/>
              <w:left w:val="single" w:sz="4" w:space="0" w:color="000000"/>
              <w:bottom w:val="single" w:sz="2" w:space="0" w:color="000000"/>
              <w:right w:val="single" w:sz="4" w:space="0" w:color="000000"/>
            </w:tcBorders>
            <w:shd w:val="clear" w:color="auto" w:fill="C5E0B3"/>
          </w:tcPr>
          <w:p>
            <w:pPr>
              <w:pStyle w:val="TableParagraph"/>
              <w:spacing w:line="260" w:lineRule="exact"/>
              <w:ind w:left="129"/>
              <w:rPr>
                <w:sz w:val="23"/>
              </w:rPr>
            </w:pPr>
            <w:r>
              <w:rPr>
                <w:w w:val="101"/>
                <w:sz w:val="23"/>
              </w:rPr>
              <w:t>0</w:t>
            </w:r>
          </w:p>
        </w:tc>
        <w:tc>
          <w:tcPr>
            <w:tcW w:w="403" w:type="dxa"/>
            <w:tcBorders>
              <w:top w:val="single" w:sz="19" w:space="0" w:color="E2EFD9"/>
              <w:left w:val="single" w:sz="4" w:space="0" w:color="000000"/>
              <w:bottom w:val="single" w:sz="2" w:space="0" w:color="000000"/>
              <w:right w:val="single" w:sz="4" w:space="0" w:color="000000"/>
            </w:tcBorders>
            <w:shd w:val="clear" w:color="auto" w:fill="C5E0B3"/>
          </w:tcPr>
          <w:p>
            <w:pPr>
              <w:pStyle w:val="TableParagraph"/>
              <w:spacing w:line="260" w:lineRule="exact"/>
              <w:ind w:left="134"/>
              <w:rPr>
                <w:sz w:val="23"/>
              </w:rPr>
            </w:pPr>
            <w:r>
              <w:rPr>
                <w:w w:val="101"/>
                <w:sz w:val="23"/>
              </w:rPr>
              <w:t>0</w:t>
            </w:r>
          </w:p>
        </w:tc>
        <w:tc>
          <w:tcPr>
            <w:tcW w:w="1186" w:type="dxa"/>
            <w:tcBorders>
              <w:top w:val="single" w:sz="19" w:space="0" w:color="E2EFD9"/>
              <w:left w:val="single" w:sz="4" w:space="0" w:color="000000"/>
              <w:bottom w:val="single" w:sz="2" w:space="0" w:color="000000"/>
              <w:right w:val="single" w:sz="4" w:space="0" w:color="000000"/>
            </w:tcBorders>
            <w:shd w:val="clear" w:color="auto" w:fill="C5E0B3"/>
          </w:tcPr>
          <w:p>
            <w:pPr>
              <w:pStyle w:val="TableParagraph"/>
              <w:spacing w:line="260" w:lineRule="exact"/>
              <w:ind w:left="177" w:right="172"/>
              <w:jc w:val="center"/>
              <w:rPr>
                <w:sz w:val="23"/>
              </w:rPr>
            </w:pPr>
            <w:r>
              <w:rPr>
                <w:sz w:val="23"/>
              </w:rPr>
              <w:t>12.38%</w:t>
            </w:r>
          </w:p>
        </w:tc>
        <w:tc>
          <w:tcPr>
            <w:tcW w:w="1190" w:type="dxa"/>
            <w:tcBorders>
              <w:top w:val="single" w:sz="19" w:space="0" w:color="E2EFD9"/>
              <w:left w:val="single" w:sz="4" w:space="0" w:color="000000"/>
              <w:bottom w:val="single" w:sz="2" w:space="0" w:color="000000"/>
              <w:right w:val="single" w:sz="4" w:space="0" w:color="000000"/>
            </w:tcBorders>
            <w:shd w:val="clear" w:color="auto" w:fill="C5E0B3"/>
          </w:tcPr>
          <w:p>
            <w:pPr>
              <w:pStyle w:val="TableParagraph"/>
              <w:spacing w:line="260" w:lineRule="exact"/>
              <w:ind w:left="180" w:right="180"/>
              <w:jc w:val="center"/>
              <w:rPr>
                <w:b/>
                <w:sz w:val="23"/>
              </w:rPr>
            </w:pPr>
            <w:r>
              <w:rPr>
                <w:b/>
                <w:sz w:val="23"/>
              </w:rPr>
              <w:t>21.90%</w:t>
            </w:r>
          </w:p>
        </w:tc>
        <w:tc>
          <w:tcPr>
            <w:tcW w:w="1186" w:type="dxa"/>
            <w:tcBorders>
              <w:top w:val="single" w:sz="19" w:space="0" w:color="E2EFD9"/>
              <w:left w:val="single" w:sz="4" w:space="0" w:color="000000"/>
              <w:bottom w:val="single" w:sz="2" w:space="0" w:color="000000"/>
              <w:right w:val="single" w:sz="4" w:space="0" w:color="000000"/>
            </w:tcBorders>
            <w:shd w:val="clear" w:color="auto" w:fill="C5E0B3"/>
          </w:tcPr>
          <w:p>
            <w:pPr>
              <w:pStyle w:val="TableParagraph"/>
              <w:spacing w:line="260" w:lineRule="exact"/>
              <w:ind w:left="174" w:right="175"/>
              <w:jc w:val="center"/>
              <w:rPr>
                <w:sz w:val="23"/>
              </w:rPr>
            </w:pPr>
            <w:r>
              <w:rPr>
                <w:sz w:val="23"/>
              </w:rPr>
              <w:t>6.66%</w:t>
            </w:r>
          </w:p>
        </w:tc>
      </w:tr>
      <w:tr>
        <w:trPr>
          <w:trHeight w:val="319" w:hRule="exact"/>
        </w:trPr>
        <w:tc>
          <w:tcPr>
            <w:tcW w:w="1694" w:type="dxa"/>
            <w:vMerge/>
            <w:tcBorders>
              <w:right w:val="single" w:sz="4" w:space="0" w:color="000000"/>
            </w:tcBorders>
            <w:shd w:val="clear" w:color="auto" w:fill="70AD47"/>
          </w:tcPr>
          <w:p>
            <w:pPr/>
          </w:p>
        </w:tc>
        <w:tc>
          <w:tcPr>
            <w:tcW w:w="2122" w:type="dxa"/>
            <w:gridSpan w:val="2"/>
            <w:tcBorders>
              <w:top w:val="single" w:sz="2" w:space="0" w:color="000000"/>
              <w:left w:val="single" w:sz="4" w:space="0" w:color="000000"/>
              <w:right w:val="single" w:sz="4" w:space="0" w:color="000000"/>
            </w:tcBorders>
            <w:shd w:val="clear" w:color="auto" w:fill="E2EFD9"/>
          </w:tcPr>
          <w:p>
            <w:pPr>
              <w:pStyle w:val="TableParagraph"/>
              <w:spacing w:before="14"/>
              <w:ind w:left="105"/>
              <w:rPr>
                <w:sz w:val="23"/>
              </w:rPr>
            </w:pPr>
            <w:r>
              <w:rPr>
                <w:sz w:val="23"/>
              </w:rPr>
              <w:t>TOTAL</w:t>
            </w:r>
          </w:p>
        </w:tc>
        <w:tc>
          <w:tcPr>
            <w:tcW w:w="1147"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3" w:lineRule="exact"/>
              <w:ind w:left="105"/>
              <w:rPr>
                <w:sz w:val="23"/>
              </w:rPr>
            </w:pPr>
            <w:r>
              <w:rPr>
                <w:sz w:val="23"/>
              </w:rPr>
              <w:t>Cantidad</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3" w:lineRule="exact"/>
              <w:ind w:left="129"/>
              <w:rPr>
                <w:sz w:val="23"/>
              </w:rPr>
            </w:pPr>
            <w:r>
              <w:rPr>
                <w:w w:val="101"/>
                <w:sz w:val="23"/>
              </w:rPr>
              <w:t>0</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3" w:lineRule="exact"/>
              <w:ind w:left="134"/>
              <w:rPr>
                <w:sz w:val="23"/>
              </w:rPr>
            </w:pPr>
            <w:r>
              <w:rPr>
                <w:w w:val="101"/>
                <w:sz w:val="23"/>
              </w:rPr>
              <w:t>0</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3" w:lineRule="exact"/>
              <w:ind w:left="175" w:right="175"/>
              <w:jc w:val="center"/>
              <w:rPr>
                <w:sz w:val="23"/>
              </w:rPr>
            </w:pPr>
            <w:r>
              <w:rPr>
                <w:sz w:val="23"/>
              </w:rPr>
              <w:t>82</w:t>
            </w:r>
          </w:p>
        </w:tc>
        <w:tc>
          <w:tcPr>
            <w:tcW w:w="1190"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3" w:lineRule="exact"/>
              <w:ind w:left="180" w:right="171"/>
              <w:jc w:val="center"/>
              <w:rPr>
                <w:sz w:val="23"/>
              </w:rPr>
            </w:pPr>
            <w:r>
              <w:rPr>
                <w:sz w:val="23"/>
              </w:rPr>
              <w:t>127</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3" w:lineRule="exact"/>
              <w:ind w:left="173" w:right="175"/>
              <w:jc w:val="center"/>
              <w:rPr>
                <w:sz w:val="23"/>
              </w:rPr>
            </w:pPr>
            <w:r>
              <w:rPr>
                <w:sz w:val="23"/>
              </w:rPr>
              <w:t>48</w:t>
            </w:r>
          </w:p>
        </w:tc>
      </w:tr>
      <w:tr>
        <w:trPr>
          <w:trHeight w:val="350" w:hRule="exact"/>
        </w:trPr>
        <w:tc>
          <w:tcPr>
            <w:tcW w:w="1694" w:type="dxa"/>
            <w:vMerge/>
            <w:tcBorders>
              <w:bottom w:val="single" w:sz="4" w:space="0" w:color="000000"/>
              <w:right w:val="single" w:sz="4" w:space="0" w:color="000000"/>
            </w:tcBorders>
            <w:shd w:val="clear" w:color="auto" w:fill="70AD47"/>
          </w:tcPr>
          <w:p>
            <w:pPr/>
          </w:p>
        </w:tc>
        <w:tc>
          <w:tcPr>
            <w:tcW w:w="2122" w:type="dxa"/>
            <w:gridSpan w:val="2"/>
            <w:tcBorders>
              <w:left w:val="single" w:sz="4" w:space="0" w:color="000000"/>
              <w:bottom w:val="single" w:sz="4" w:space="0" w:color="000000"/>
              <w:right w:val="single" w:sz="4" w:space="0" w:color="000000"/>
            </w:tcBorders>
            <w:shd w:val="clear" w:color="auto" w:fill="E2EFD9"/>
          </w:tcPr>
          <w:p>
            <w:pPr/>
          </w:p>
        </w:tc>
        <w:tc>
          <w:tcPr>
            <w:tcW w:w="1147"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05"/>
              <w:rPr>
                <w:sz w:val="23"/>
              </w:rPr>
            </w:pPr>
            <w:r>
              <w:rPr>
                <w:sz w:val="23"/>
              </w:rPr>
              <w:t>% Total</w:t>
            </w:r>
          </w:p>
        </w:tc>
        <w:tc>
          <w:tcPr>
            <w:tcW w:w="403"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29"/>
              <w:rPr>
                <w:sz w:val="23"/>
              </w:rPr>
            </w:pPr>
            <w:r>
              <w:rPr>
                <w:w w:val="101"/>
                <w:sz w:val="23"/>
              </w:rPr>
              <w:t>0</w:t>
            </w:r>
          </w:p>
        </w:tc>
        <w:tc>
          <w:tcPr>
            <w:tcW w:w="403"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34"/>
              <w:rPr>
                <w:sz w:val="23"/>
              </w:rPr>
            </w:pPr>
            <w:r>
              <w:rPr>
                <w:w w:val="101"/>
                <w:sz w:val="23"/>
              </w:rPr>
              <w:t>0</w:t>
            </w:r>
          </w:p>
        </w:tc>
        <w:tc>
          <w:tcPr>
            <w:tcW w:w="1186"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77" w:right="172"/>
              <w:jc w:val="center"/>
              <w:rPr>
                <w:sz w:val="23"/>
              </w:rPr>
            </w:pPr>
            <w:r>
              <w:rPr>
                <w:sz w:val="23"/>
              </w:rPr>
              <w:t>19.52%</w:t>
            </w:r>
          </w:p>
        </w:tc>
        <w:tc>
          <w:tcPr>
            <w:tcW w:w="1190"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80" w:right="180"/>
              <w:jc w:val="center"/>
              <w:rPr>
                <w:sz w:val="23"/>
              </w:rPr>
            </w:pPr>
            <w:r>
              <w:rPr>
                <w:sz w:val="23"/>
              </w:rPr>
              <w:t>30.23%</w:t>
            </w:r>
          </w:p>
        </w:tc>
        <w:tc>
          <w:tcPr>
            <w:tcW w:w="1186"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74" w:right="175"/>
              <w:jc w:val="center"/>
              <w:rPr>
                <w:sz w:val="23"/>
              </w:rPr>
            </w:pPr>
            <w:r>
              <w:rPr>
                <w:sz w:val="23"/>
              </w:rPr>
              <w:t>11.42%</w:t>
            </w:r>
          </w:p>
        </w:tc>
      </w:tr>
      <w:tr>
        <w:trPr>
          <w:trHeight w:val="331" w:hRule="exact"/>
        </w:trPr>
        <w:tc>
          <w:tcPr>
            <w:tcW w:w="1694" w:type="dxa"/>
            <w:vMerge w:val="restart"/>
            <w:tcBorders>
              <w:top w:val="single" w:sz="4" w:space="0" w:color="000000"/>
              <w:right w:val="single" w:sz="4" w:space="0" w:color="000000"/>
            </w:tcBorders>
            <w:shd w:val="clear" w:color="auto" w:fill="70AD47"/>
          </w:tcPr>
          <w:p>
            <w:pPr>
              <w:pStyle w:val="TableParagraph"/>
              <w:spacing w:line="260" w:lineRule="exact"/>
              <w:ind w:left="100"/>
              <w:rPr>
                <w:b/>
                <w:sz w:val="23"/>
              </w:rPr>
            </w:pPr>
            <w:r>
              <w:rPr>
                <w:b/>
                <w:sz w:val="23"/>
              </w:rPr>
              <w:t>Adulto</w:t>
            </w:r>
          </w:p>
        </w:tc>
        <w:tc>
          <w:tcPr>
            <w:tcW w:w="859" w:type="dxa"/>
            <w:tcBorders>
              <w:top w:val="single" w:sz="4" w:space="0" w:color="000000"/>
              <w:left w:val="single" w:sz="4" w:space="0" w:color="000000"/>
              <w:right w:val="single" w:sz="4" w:space="0" w:color="000000"/>
            </w:tcBorders>
            <w:shd w:val="clear" w:color="auto" w:fill="E2EFD9"/>
          </w:tcPr>
          <w:p>
            <w:pPr>
              <w:pStyle w:val="TableParagraph"/>
              <w:spacing w:line="260" w:lineRule="exact"/>
              <w:ind w:left="105"/>
              <w:rPr>
                <w:sz w:val="23"/>
              </w:rPr>
            </w:pPr>
            <w:r>
              <w:rPr>
                <w:sz w:val="23"/>
              </w:rPr>
              <w:t>SEXO</w:t>
            </w:r>
          </w:p>
        </w:tc>
        <w:tc>
          <w:tcPr>
            <w:tcW w:w="1262" w:type="dxa"/>
            <w:tcBorders>
              <w:top w:val="single" w:sz="4" w:space="0" w:color="000000"/>
              <w:left w:val="single" w:sz="4" w:space="0" w:color="000000"/>
              <w:right w:val="single" w:sz="4" w:space="0" w:color="000000"/>
            </w:tcBorders>
            <w:shd w:val="clear" w:color="auto" w:fill="E2EFD9"/>
          </w:tcPr>
          <w:p>
            <w:pPr>
              <w:pStyle w:val="TableParagraph"/>
              <w:spacing w:line="260" w:lineRule="exact"/>
              <w:ind w:left="90" w:right="86"/>
              <w:jc w:val="center"/>
              <w:rPr>
                <w:sz w:val="23"/>
              </w:rPr>
            </w:pPr>
            <w:r>
              <w:rPr>
                <w:sz w:val="23"/>
              </w:rPr>
              <w:t>Masculino</w:t>
            </w:r>
          </w:p>
        </w:tc>
        <w:tc>
          <w:tcPr>
            <w:tcW w:w="1147"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05"/>
              <w:rPr>
                <w:sz w:val="23"/>
              </w:rPr>
            </w:pPr>
            <w:r>
              <w:rPr>
                <w:sz w:val="23"/>
              </w:rPr>
              <w:t>Cantidad</w:t>
            </w:r>
          </w:p>
        </w:tc>
        <w:tc>
          <w:tcPr>
            <w:tcW w:w="40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29"/>
              <w:rPr>
                <w:sz w:val="23"/>
              </w:rPr>
            </w:pPr>
            <w:r>
              <w:rPr>
                <w:w w:val="101"/>
                <w:sz w:val="23"/>
              </w:rPr>
              <w:t>0</w:t>
            </w:r>
          </w:p>
        </w:tc>
        <w:tc>
          <w:tcPr>
            <w:tcW w:w="40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34"/>
              <w:rPr>
                <w:sz w:val="23"/>
              </w:rPr>
            </w:pPr>
            <w:r>
              <w:rPr>
                <w:w w:val="101"/>
                <w:sz w:val="23"/>
              </w:rPr>
              <w:t>0</w:t>
            </w:r>
          </w:p>
        </w:tc>
        <w:tc>
          <w:tcPr>
            <w:tcW w:w="118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75" w:right="175"/>
              <w:jc w:val="center"/>
              <w:rPr>
                <w:sz w:val="23"/>
              </w:rPr>
            </w:pPr>
            <w:r>
              <w:rPr>
                <w:sz w:val="23"/>
              </w:rPr>
              <w:t>38</w:t>
            </w:r>
          </w:p>
        </w:tc>
        <w:tc>
          <w:tcPr>
            <w:tcW w:w="1190"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80" w:right="180"/>
              <w:jc w:val="center"/>
              <w:rPr>
                <w:sz w:val="23"/>
              </w:rPr>
            </w:pPr>
            <w:r>
              <w:rPr>
                <w:sz w:val="23"/>
              </w:rPr>
              <w:t>50</w:t>
            </w:r>
          </w:p>
        </w:tc>
        <w:tc>
          <w:tcPr>
            <w:tcW w:w="118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73" w:right="175"/>
              <w:jc w:val="center"/>
              <w:rPr>
                <w:sz w:val="23"/>
              </w:rPr>
            </w:pPr>
            <w:r>
              <w:rPr>
                <w:sz w:val="23"/>
              </w:rPr>
              <w:t>15</w:t>
            </w:r>
          </w:p>
        </w:tc>
      </w:tr>
      <w:tr>
        <w:trPr>
          <w:trHeight w:val="312" w:hRule="exact"/>
        </w:trPr>
        <w:tc>
          <w:tcPr>
            <w:tcW w:w="1694" w:type="dxa"/>
            <w:vMerge/>
            <w:tcBorders>
              <w:right w:val="single" w:sz="4" w:space="0" w:color="000000"/>
            </w:tcBorders>
            <w:shd w:val="clear" w:color="auto" w:fill="70AD47"/>
          </w:tcPr>
          <w:p>
            <w:pPr/>
          </w:p>
        </w:tc>
        <w:tc>
          <w:tcPr>
            <w:tcW w:w="859" w:type="dxa"/>
            <w:vMerge w:val="restart"/>
            <w:tcBorders>
              <w:left w:val="single" w:sz="4" w:space="0" w:color="000000"/>
              <w:right w:val="single" w:sz="4" w:space="0" w:color="000000"/>
            </w:tcBorders>
            <w:shd w:val="clear" w:color="auto" w:fill="E2EFD9"/>
          </w:tcPr>
          <w:p>
            <w:pPr/>
          </w:p>
        </w:tc>
        <w:tc>
          <w:tcPr>
            <w:tcW w:w="1262" w:type="dxa"/>
            <w:tcBorders>
              <w:left w:val="single" w:sz="4" w:space="0" w:color="000000"/>
              <w:bottom w:val="single" w:sz="4" w:space="0" w:color="000000"/>
              <w:right w:val="single" w:sz="4" w:space="0" w:color="000000"/>
            </w:tcBorders>
            <w:shd w:val="clear" w:color="auto" w:fill="E2EFD9"/>
          </w:tcPr>
          <w:p>
            <w:pPr/>
          </w:p>
        </w:tc>
        <w:tc>
          <w:tcPr>
            <w:tcW w:w="1147"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105"/>
              <w:rPr>
                <w:sz w:val="23"/>
              </w:rPr>
            </w:pPr>
            <w:r>
              <w:rPr>
                <w:sz w:val="23"/>
              </w:rPr>
              <w:t>% Total</w:t>
            </w:r>
          </w:p>
        </w:tc>
        <w:tc>
          <w:tcPr>
            <w:tcW w:w="403"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129"/>
              <w:rPr>
                <w:sz w:val="23"/>
              </w:rPr>
            </w:pPr>
            <w:r>
              <w:rPr>
                <w:w w:val="101"/>
                <w:sz w:val="23"/>
              </w:rPr>
              <w:t>0</w:t>
            </w:r>
          </w:p>
        </w:tc>
        <w:tc>
          <w:tcPr>
            <w:tcW w:w="403"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134"/>
              <w:rPr>
                <w:sz w:val="23"/>
              </w:rPr>
            </w:pPr>
            <w:r>
              <w:rPr>
                <w:w w:val="101"/>
                <w:sz w:val="23"/>
              </w:rPr>
              <w:t>0</w:t>
            </w:r>
          </w:p>
        </w:tc>
        <w:tc>
          <w:tcPr>
            <w:tcW w:w="1186"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177" w:right="171"/>
              <w:jc w:val="center"/>
              <w:rPr>
                <w:sz w:val="23"/>
              </w:rPr>
            </w:pPr>
            <w:r>
              <w:rPr>
                <w:sz w:val="23"/>
              </w:rPr>
              <w:t>9.04%</w:t>
            </w:r>
          </w:p>
        </w:tc>
        <w:tc>
          <w:tcPr>
            <w:tcW w:w="1190"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180" w:right="180"/>
              <w:jc w:val="center"/>
              <w:rPr>
                <w:sz w:val="23"/>
              </w:rPr>
            </w:pPr>
            <w:r>
              <w:rPr>
                <w:sz w:val="23"/>
              </w:rPr>
              <w:t>11.90%</w:t>
            </w:r>
          </w:p>
        </w:tc>
        <w:tc>
          <w:tcPr>
            <w:tcW w:w="1186" w:type="dxa"/>
            <w:tcBorders>
              <w:top w:val="single" w:sz="4" w:space="0" w:color="000000"/>
              <w:left w:val="single" w:sz="4" w:space="0" w:color="000000"/>
              <w:bottom w:val="single" w:sz="4" w:space="0" w:color="000000"/>
              <w:right w:val="single" w:sz="4" w:space="0" w:color="000000"/>
            </w:tcBorders>
            <w:shd w:val="clear" w:color="auto" w:fill="C5E0B3"/>
          </w:tcPr>
          <w:p>
            <w:pPr>
              <w:pStyle w:val="TableParagraph"/>
              <w:spacing w:line="260" w:lineRule="exact"/>
              <w:ind w:left="174" w:right="175"/>
              <w:jc w:val="center"/>
              <w:rPr>
                <w:sz w:val="23"/>
              </w:rPr>
            </w:pPr>
            <w:r>
              <w:rPr>
                <w:sz w:val="23"/>
              </w:rPr>
              <w:t>3.57%</w:t>
            </w:r>
          </w:p>
        </w:tc>
      </w:tr>
      <w:tr>
        <w:trPr>
          <w:trHeight w:val="300" w:hRule="exact"/>
        </w:trPr>
        <w:tc>
          <w:tcPr>
            <w:tcW w:w="1694" w:type="dxa"/>
            <w:vMerge/>
            <w:tcBorders>
              <w:right w:val="single" w:sz="4" w:space="0" w:color="000000"/>
            </w:tcBorders>
            <w:shd w:val="clear" w:color="auto" w:fill="70AD47"/>
          </w:tcPr>
          <w:p>
            <w:pPr/>
          </w:p>
        </w:tc>
        <w:tc>
          <w:tcPr>
            <w:tcW w:w="859" w:type="dxa"/>
            <w:vMerge/>
            <w:tcBorders>
              <w:left w:val="single" w:sz="4" w:space="0" w:color="000000"/>
              <w:right w:val="single" w:sz="4" w:space="0" w:color="000000"/>
            </w:tcBorders>
            <w:shd w:val="clear" w:color="auto" w:fill="E2EFD9"/>
          </w:tcPr>
          <w:p>
            <w:pPr/>
          </w:p>
        </w:tc>
        <w:tc>
          <w:tcPr>
            <w:tcW w:w="1262" w:type="dxa"/>
            <w:tcBorders>
              <w:top w:val="single" w:sz="4" w:space="0" w:color="000000"/>
              <w:left w:val="single" w:sz="4" w:space="0" w:color="000000"/>
              <w:right w:val="single" w:sz="4" w:space="0" w:color="000000"/>
            </w:tcBorders>
            <w:shd w:val="clear" w:color="auto" w:fill="E2EFD9"/>
          </w:tcPr>
          <w:p>
            <w:pPr>
              <w:pStyle w:val="TableParagraph"/>
              <w:spacing w:line="260" w:lineRule="exact"/>
              <w:ind w:left="83" w:right="86"/>
              <w:jc w:val="center"/>
              <w:rPr>
                <w:sz w:val="23"/>
              </w:rPr>
            </w:pPr>
            <w:r>
              <w:rPr>
                <w:sz w:val="23"/>
              </w:rPr>
              <w:t>Femenino</w:t>
            </w:r>
          </w:p>
        </w:tc>
        <w:tc>
          <w:tcPr>
            <w:tcW w:w="1147"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05"/>
              <w:rPr>
                <w:sz w:val="23"/>
              </w:rPr>
            </w:pPr>
            <w:r>
              <w:rPr>
                <w:sz w:val="23"/>
              </w:rPr>
              <w:t>Cantidad</w:t>
            </w:r>
          </w:p>
        </w:tc>
        <w:tc>
          <w:tcPr>
            <w:tcW w:w="40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29"/>
              <w:rPr>
                <w:sz w:val="23"/>
              </w:rPr>
            </w:pPr>
            <w:r>
              <w:rPr>
                <w:w w:val="101"/>
                <w:sz w:val="23"/>
              </w:rPr>
              <w:t>0</w:t>
            </w:r>
          </w:p>
        </w:tc>
        <w:tc>
          <w:tcPr>
            <w:tcW w:w="40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34"/>
              <w:rPr>
                <w:sz w:val="23"/>
              </w:rPr>
            </w:pPr>
            <w:r>
              <w:rPr>
                <w:w w:val="101"/>
                <w:sz w:val="23"/>
              </w:rPr>
              <w:t>0</w:t>
            </w:r>
          </w:p>
        </w:tc>
        <w:tc>
          <w:tcPr>
            <w:tcW w:w="118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75" w:right="175"/>
              <w:jc w:val="center"/>
              <w:rPr>
                <w:sz w:val="23"/>
              </w:rPr>
            </w:pPr>
            <w:r>
              <w:rPr>
                <w:sz w:val="23"/>
              </w:rPr>
              <w:t>34</w:t>
            </w:r>
          </w:p>
        </w:tc>
        <w:tc>
          <w:tcPr>
            <w:tcW w:w="1190"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80" w:right="180"/>
              <w:jc w:val="center"/>
              <w:rPr>
                <w:sz w:val="23"/>
              </w:rPr>
            </w:pPr>
            <w:r>
              <w:rPr>
                <w:sz w:val="23"/>
              </w:rPr>
              <w:t>66</w:t>
            </w:r>
          </w:p>
        </w:tc>
        <w:tc>
          <w:tcPr>
            <w:tcW w:w="118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73" w:right="175"/>
              <w:jc w:val="center"/>
              <w:rPr>
                <w:sz w:val="23"/>
              </w:rPr>
            </w:pPr>
            <w:r>
              <w:rPr>
                <w:sz w:val="23"/>
              </w:rPr>
              <w:t>13</w:t>
            </w:r>
          </w:p>
        </w:tc>
      </w:tr>
      <w:tr>
        <w:trPr>
          <w:trHeight w:val="336" w:hRule="exact"/>
        </w:trPr>
        <w:tc>
          <w:tcPr>
            <w:tcW w:w="1694" w:type="dxa"/>
            <w:vMerge/>
            <w:tcBorders>
              <w:right w:val="single" w:sz="4" w:space="0" w:color="000000"/>
            </w:tcBorders>
            <w:shd w:val="clear" w:color="auto" w:fill="70AD47"/>
          </w:tcPr>
          <w:p>
            <w:pPr/>
          </w:p>
        </w:tc>
        <w:tc>
          <w:tcPr>
            <w:tcW w:w="859" w:type="dxa"/>
            <w:vMerge/>
            <w:tcBorders>
              <w:left w:val="single" w:sz="4" w:space="0" w:color="000000"/>
              <w:bottom w:val="single" w:sz="2" w:space="0" w:color="000000"/>
              <w:right w:val="single" w:sz="4" w:space="0" w:color="000000"/>
            </w:tcBorders>
            <w:shd w:val="clear" w:color="auto" w:fill="E2EFD9"/>
          </w:tcPr>
          <w:p>
            <w:pPr/>
          </w:p>
        </w:tc>
        <w:tc>
          <w:tcPr>
            <w:tcW w:w="1262" w:type="dxa"/>
            <w:tcBorders>
              <w:left w:val="single" w:sz="4" w:space="0" w:color="000000"/>
              <w:bottom w:val="single" w:sz="2" w:space="0" w:color="000000"/>
              <w:right w:val="single" w:sz="4" w:space="0" w:color="000000"/>
            </w:tcBorders>
            <w:shd w:val="clear" w:color="auto" w:fill="E2EFD9"/>
          </w:tcPr>
          <w:p>
            <w:pPr/>
          </w:p>
        </w:tc>
        <w:tc>
          <w:tcPr>
            <w:tcW w:w="1147"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ind w:left="105"/>
              <w:rPr>
                <w:sz w:val="23"/>
              </w:rPr>
            </w:pPr>
            <w:r>
              <w:rPr>
                <w:sz w:val="23"/>
              </w:rPr>
              <w:t>% Total</w:t>
            </w:r>
          </w:p>
        </w:tc>
        <w:tc>
          <w:tcPr>
            <w:tcW w:w="403"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ind w:left="129"/>
              <w:rPr>
                <w:sz w:val="23"/>
              </w:rPr>
            </w:pPr>
            <w:r>
              <w:rPr>
                <w:w w:val="101"/>
                <w:sz w:val="23"/>
              </w:rPr>
              <w:t>0</w:t>
            </w:r>
          </w:p>
        </w:tc>
        <w:tc>
          <w:tcPr>
            <w:tcW w:w="403"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ind w:left="134"/>
              <w:rPr>
                <w:sz w:val="23"/>
              </w:rPr>
            </w:pPr>
            <w:r>
              <w:rPr>
                <w:w w:val="101"/>
                <w:sz w:val="23"/>
              </w:rPr>
              <w:t>0</w:t>
            </w:r>
          </w:p>
        </w:tc>
        <w:tc>
          <w:tcPr>
            <w:tcW w:w="1186"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ind w:left="177" w:right="171"/>
              <w:jc w:val="center"/>
              <w:rPr>
                <w:sz w:val="23"/>
              </w:rPr>
            </w:pPr>
            <w:r>
              <w:rPr>
                <w:sz w:val="23"/>
              </w:rPr>
              <w:t>8.09%</w:t>
            </w:r>
          </w:p>
        </w:tc>
        <w:tc>
          <w:tcPr>
            <w:tcW w:w="1190"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ind w:left="180" w:right="180"/>
              <w:jc w:val="center"/>
              <w:rPr>
                <w:sz w:val="23"/>
              </w:rPr>
            </w:pPr>
            <w:r>
              <w:rPr>
                <w:sz w:val="23"/>
              </w:rPr>
              <w:t>15.71%</w:t>
            </w:r>
          </w:p>
        </w:tc>
        <w:tc>
          <w:tcPr>
            <w:tcW w:w="1186"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ind w:left="174" w:right="175"/>
              <w:jc w:val="center"/>
              <w:rPr>
                <w:sz w:val="23"/>
              </w:rPr>
            </w:pPr>
            <w:r>
              <w:rPr>
                <w:sz w:val="23"/>
              </w:rPr>
              <w:t>3.09%</w:t>
            </w:r>
          </w:p>
        </w:tc>
      </w:tr>
      <w:tr>
        <w:trPr>
          <w:trHeight w:val="297" w:hRule="exact"/>
        </w:trPr>
        <w:tc>
          <w:tcPr>
            <w:tcW w:w="1694" w:type="dxa"/>
            <w:vMerge/>
            <w:tcBorders>
              <w:right w:val="single" w:sz="4" w:space="0" w:color="000000"/>
            </w:tcBorders>
            <w:shd w:val="clear" w:color="auto" w:fill="70AD47"/>
          </w:tcPr>
          <w:p>
            <w:pPr/>
          </w:p>
        </w:tc>
        <w:tc>
          <w:tcPr>
            <w:tcW w:w="2122" w:type="dxa"/>
            <w:gridSpan w:val="2"/>
            <w:tcBorders>
              <w:top w:val="single" w:sz="2" w:space="0" w:color="000000"/>
              <w:left w:val="single" w:sz="4" w:space="0" w:color="000000"/>
              <w:right w:val="single" w:sz="4" w:space="0" w:color="000000"/>
            </w:tcBorders>
            <w:shd w:val="clear" w:color="auto" w:fill="E2EFD9"/>
          </w:tcPr>
          <w:p>
            <w:pPr>
              <w:pStyle w:val="TableParagraph"/>
              <w:spacing w:line="260" w:lineRule="exact"/>
              <w:ind w:left="105"/>
              <w:rPr>
                <w:sz w:val="23"/>
              </w:rPr>
            </w:pPr>
            <w:r>
              <w:rPr>
                <w:sz w:val="23"/>
              </w:rPr>
              <w:t>TOTAL</w:t>
            </w:r>
          </w:p>
        </w:tc>
        <w:tc>
          <w:tcPr>
            <w:tcW w:w="1147"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05"/>
              <w:rPr>
                <w:sz w:val="23"/>
              </w:rPr>
            </w:pPr>
            <w:r>
              <w:rPr>
                <w:sz w:val="23"/>
              </w:rPr>
              <w:t>Cantidad</w:t>
            </w:r>
          </w:p>
        </w:tc>
        <w:tc>
          <w:tcPr>
            <w:tcW w:w="403"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29"/>
              <w:rPr>
                <w:sz w:val="23"/>
              </w:rPr>
            </w:pPr>
            <w:r>
              <w:rPr>
                <w:w w:val="101"/>
                <w:sz w:val="23"/>
              </w:rPr>
              <w:t>0</w:t>
            </w:r>
          </w:p>
        </w:tc>
        <w:tc>
          <w:tcPr>
            <w:tcW w:w="403"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34"/>
              <w:rPr>
                <w:sz w:val="23"/>
              </w:rPr>
            </w:pPr>
            <w:r>
              <w:rPr>
                <w:w w:val="101"/>
                <w:sz w:val="23"/>
              </w:rPr>
              <w:t>0</w:t>
            </w:r>
          </w:p>
        </w:tc>
        <w:tc>
          <w:tcPr>
            <w:tcW w:w="1186"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75" w:right="175"/>
              <w:jc w:val="center"/>
              <w:rPr>
                <w:sz w:val="23"/>
              </w:rPr>
            </w:pPr>
            <w:r>
              <w:rPr>
                <w:sz w:val="23"/>
              </w:rPr>
              <w:t>72</w:t>
            </w:r>
          </w:p>
        </w:tc>
        <w:tc>
          <w:tcPr>
            <w:tcW w:w="1190"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80" w:right="171"/>
              <w:jc w:val="center"/>
              <w:rPr>
                <w:sz w:val="23"/>
              </w:rPr>
            </w:pPr>
            <w:r>
              <w:rPr>
                <w:sz w:val="23"/>
              </w:rPr>
              <w:t>116</w:t>
            </w:r>
          </w:p>
        </w:tc>
        <w:tc>
          <w:tcPr>
            <w:tcW w:w="1186" w:type="dxa"/>
            <w:tcBorders>
              <w:top w:val="single" w:sz="2" w:space="0" w:color="000000"/>
              <w:left w:val="single" w:sz="4" w:space="0" w:color="000000"/>
              <w:bottom w:val="single" w:sz="4" w:space="0" w:color="000000"/>
              <w:right w:val="single" w:sz="4" w:space="0" w:color="000000"/>
            </w:tcBorders>
            <w:shd w:val="clear" w:color="auto" w:fill="E2EFD9"/>
          </w:tcPr>
          <w:p>
            <w:pPr>
              <w:pStyle w:val="TableParagraph"/>
              <w:spacing w:line="260" w:lineRule="exact"/>
              <w:ind w:left="173" w:right="175"/>
              <w:jc w:val="center"/>
              <w:rPr>
                <w:sz w:val="23"/>
              </w:rPr>
            </w:pPr>
            <w:r>
              <w:rPr>
                <w:sz w:val="23"/>
              </w:rPr>
              <w:t>28</w:t>
            </w:r>
          </w:p>
        </w:tc>
      </w:tr>
      <w:tr>
        <w:trPr>
          <w:trHeight w:val="339" w:hRule="exact"/>
        </w:trPr>
        <w:tc>
          <w:tcPr>
            <w:tcW w:w="1694" w:type="dxa"/>
            <w:vMerge/>
            <w:tcBorders>
              <w:bottom w:val="single" w:sz="4" w:space="0" w:color="000000"/>
              <w:right w:val="single" w:sz="4" w:space="0" w:color="000000"/>
            </w:tcBorders>
            <w:shd w:val="clear" w:color="auto" w:fill="70AD47"/>
          </w:tcPr>
          <w:p>
            <w:pPr/>
          </w:p>
        </w:tc>
        <w:tc>
          <w:tcPr>
            <w:tcW w:w="2122" w:type="dxa"/>
            <w:gridSpan w:val="2"/>
            <w:tcBorders>
              <w:left w:val="single" w:sz="4" w:space="0" w:color="000000"/>
              <w:bottom w:val="single" w:sz="4" w:space="0" w:color="000000"/>
              <w:right w:val="single" w:sz="4" w:space="0" w:color="000000"/>
            </w:tcBorders>
            <w:shd w:val="clear" w:color="auto" w:fill="E2EFD9"/>
          </w:tcPr>
          <w:p>
            <w:pPr/>
          </w:p>
        </w:tc>
        <w:tc>
          <w:tcPr>
            <w:tcW w:w="1147"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2" w:lineRule="exact"/>
              <w:ind w:left="105"/>
              <w:rPr>
                <w:sz w:val="23"/>
              </w:rPr>
            </w:pPr>
            <w:r>
              <w:rPr>
                <w:sz w:val="23"/>
              </w:rPr>
              <w:t>% Total</w:t>
            </w:r>
          </w:p>
        </w:tc>
        <w:tc>
          <w:tcPr>
            <w:tcW w:w="403"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2" w:lineRule="exact"/>
              <w:ind w:left="129"/>
              <w:rPr>
                <w:sz w:val="23"/>
              </w:rPr>
            </w:pPr>
            <w:r>
              <w:rPr>
                <w:w w:val="101"/>
                <w:sz w:val="23"/>
              </w:rPr>
              <w:t>0</w:t>
            </w:r>
          </w:p>
        </w:tc>
        <w:tc>
          <w:tcPr>
            <w:tcW w:w="403"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2" w:lineRule="exact"/>
              <w:ind w:left="134"/>
              <w:rPr>
                <w:sz w:val="23"/>
              </w:rPr>
            </w:pPr>
            <w:r>
              <w:rPr>
                <w:w w:val="101"/>
                <w:sz w:val="23"/>
              </w:rPr>
              <w:t>0</w:t>
            </w:r>
          </w:p>
        </w:tc>
        <w:tc>
          <w:tcPr>
            <w:tcW w:w="1186"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2" w:lineRule="exact"/>
              <w:ind w:left="177" w:right="172"/>
              <w:jc w:val="center"/>
              <w:rPr>
                <w:sz w:val="23"/>
              </w:rPr>
            </w:pPr>
            <w:r>
              <w:rPr>
                <w:sz w:val="23"/>
              </w:rPr>
              <w:t>17.14%</w:t>
            </w:r>
          </w:p>
        </w:tc>
        <w:tc>
          <w:tcPr>
            <w:tcW w:w="1190"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2" w:lineRule="exact"/>
              <w:ind w:left="180" w:right="180"/>
              <w:jc w:val="center"/>
              <w:rPr>
                <w:sz w:val="23"/>
              </w:rPr>
            </w:pPr>
            <w:r>
              <w:rPr>
                <w:sz w:val="23"/>
              </w:rPr>
              <w:t>27.61%</w:t>
            </w:r>
          </w:p>
        </w:tc>
        <w:tc>
          <w:tcPr>
            <w:tcW w:w="1186" w:type="dxa"/>
            <w:tcBorders>
              <w:top w:val="single" w:sz="16" w:space="0" w:color="E2EFD9"/>
              <w:left w:val="single" w:sz="4" w:space="0" w:color="000000"/>
              <w:bottom w:val="single" w:sz="4" w:space="0" w:color="000000"/>
              <w:right w:val="single" w:sz="4" w:space="0" w:color="000000"/>
            </w:tcBorders>
            <w:shd w:val="clear" w:color="auto" w:fill="C5E0B3"/>
          </w:tcPr>
          <w:p>
            <w:pPr>
              <w:pStyle w:val="TableParagraph"/>
              <w:spacing w:line="262" w:lineRule="exact"/>
              <w:ind w:left="174" w:right="175"/>
              <w:jc w:val="center"/>
              <w:rPr>
                <w:sz w:val="23"/>
              </w:rPr>
            </w:pPr>
            <w:r>
              <w:rPr>
                <w:sz w:val="23"/>
              </w:rPr>
              <w:t>6.66%</w:t>
            </w:r>
          </w:p>
        </w:tc>
      </w:tr>
      <w:tr>
        <w:trPr>
          <w:trHeight w:val="300" w:hRule="exact"/>
        </w:trPr>
        <w:tc>
          <w:tcPr>
            <w:tcW w:w="1694" w:type="dxa"/>
            <w:vMerge w:val="restart"/>
            <w:tcBorders>
              <w:top w:val="single" w:sz="4" w:space="0" w:color="000000"/>
              <w:right w:val="single" w:sz="4" w:space="0" w:color="000000"/>
            </w:tcBorders>
            <w:shd w:val="clear" w:color="auto" w:fill="70AD47"/>
          </w:tcPr>
          <w:p>
            <w:pPr>
              <w:pStyle w:val="TableParagraph"/>
              <w:spacing w:line="255" w:lineRule="exact"/>
              <w:ind w:left="100"/>
              <w:rPr>
                <w:b/>
                <w:sz w:val="23"/>
              </w:rPr>
            </w:pPr>
            <w:r>
              <w:rPr>
                <w:b/>
                <w:sz w:val="23"/>
              </w:rPr>
              <w:t>Adulto Mayor</w:t>
            </w:r>
          </w:p>
        </w:tc>
        <w:tc>
          <w:tcPr>
            <w:tcW w:w="859" w:type="dxa"/>
            <w:tcBorders>
              <w:top w:val="single" w:sz="4" w:space="0" w:color="000000"/>
              <w:left w:val="single" w:sz="4" w:space="0" w:color="000000"/>
              <w:right w:val="single" w:sz="4" w:space="0" w:color="000000"/>
            </w:tcBorders>
            <w:shd w:val="clear" w:color="auto" w:fill="E2EFD9"/>
          </w:tcPr>
          <w:p>
            <w:pPr>
              <w:pStyle w:val="TableParagraph"/>
              <w:spacing w:line="255" w:lineRule="exact"/>
              <w:ind w:left="105"/>
              <w:rPr>
                <w:sz w:val="23"/>
              </w:rPr>
            </w:pPr>
            <w:r>
              <w:rPr>
                <w:sz w:val="23"/>
              </w:rPr>
              <w:t>SEXO</w:t>
            </w:r>
          </w:p>
        </w:tc>
        <w:tc>
          <w:tcPr>
            <w:tcW w:w="1262" w:type="dxa"/>
            <w:tcBorders>
              <w:top w:val="single" w:sz="4" w:space="0" w:color="000000"/>
              <w:left w:val="single" w:sz="4" w:space="0" w:color="000000"/>
              <w:right w:val="single" w:sz="4" w:space="0" w:color="000000"/>
            </w:tcBorders>
            <w:shd w:val="clear" w:color="auto" w:fill="E2EFD9"/>
          </w:tcPr>
          <w:p>
            <w:pPr>
              <w:pStyle w:val="TableParagraph"/>
              <w:spacing w:line="255" w:lineRule="exact"/>
              <w:ind w:left="90" w:right="86"/>
              <w:jc w:val="center"/>
              <w:rPr>
                <w:sz w:val="23"/>
              </w:rPr>
            </w:pPr>
            <w:r>
              <w:rPr>
                <w:sz w:val="23"/>
              </w:rPr>
              <w:t>Masculino</w:t>
            </w:r>
          </w:p>
        </w:tc>
        <w:tc>
          <w:tcPr>
            <w:tcW w:w="1147"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41" w:lineRule="exact"/>
              <w:ind w:left="105"/>
              <w:rPr>
                <w:sz w:val="23"/>
              </w:rPr>
            </w:pPr>
            <w:r>
              <w:rPr>
                <w:sz w:val="23"/>
              </w:rPr>
              <w:t>Cantidad</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41" w:lineRule="exact"/>
              <w:ind w:left="129"/>
              <w:rPr>
                <w:sz w:val="23"/>
              </w:rPr>
            </w:pPr>
            <w:r>
              <w:rPr>
                <w:w w:val="101"/>
                <w:sz w:val="23"/>
              </w:rPr>
              <w:t>0</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41" w:lineRule="exact"/>
              <w:ind w:left="134"/>
              <w:rPr>
                <w:sz w:val="23"/>
              </w:rPr>
            </w:pPr>
            <w:r>
              <w:rPr>
                <w:w w:val="101"/>
                <w:sz w:val="23"/>
              </w:rPr>
              <w:t>0</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41" w:lineRule="exact"/>
              <w:jc w:val="center"/>
              <w:rPr>
                <w:sz w:val="23"/>
              </w:rPr>
            </w:pPr>
            <w:r>
              <w:rPr>
                <w:w w:val="101"/>
                <w:sz w:val="23"/>
              </w:rPr>
              <w:t>4</w:t>
            </w:r>
          </w:p>
        </w:tc>
        <w:tc>
          <w:tcPr>
            <w:tcW w:w="1190"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41" w:lineRule="exact"/>
              <w:ind w:left="180" w:right="180"/>
              <w:jc w:val="center"/>
              <w:rPr>
                <w:sz w:val="23"/>
              </w:rPr>
            </w:pPr>
            <w:r>
              <w:rPr>
                <w:sz w:val="23"/>
              </w:rPr>
              <w:t>15</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41" w:lineRule="exact"/>
              <w:jc w:val="center"/>
              <w:rPr>
                <w:sz w:val="23"/>
              </w:rPr>
            </w:pPr>
            <w:r>
              <w:rPr>
                <w:w w:val="101"/>
                <w:sz w:val="23"/>
              </w:rPr>
              <w:t>0</w:t>
            </w:r>
          </w:p>
        </w:tc>
      </w:tr>
      <w:tr>
        <w:trPr>
          <w:trHeight w:val="324" w:hRule="exact"/>
        </w:trPr>
        <w:tc>
          <w:tcPr>
            <w:tcW w:w="1694" w:type="dxa"/>
            <w:vMerge/>
            <w:tcBorders>
              <w:right w:val="single" w:sz="4" w:space="0" w:color="000000"/>
            </w:tcBorders>
            <w:shd w:val="clear" w:color="auto" w:fill="70AD47"/>
          </w:tcPr>
          <w:p>
            <w:pPr/>
          </w:p>
        </w:tc>
        <w:tc>
          <w:tcPr>
            <w:tcW w:w="859" w:type="dxa"/>
            <w:vMerge w:val="restart"/>
            <w:tcBorders>
              <w:left w:val="single" w:sz="4" w:space="0" w:color="000000"/>
              <w:right w:val="single" w:sz="4" w:space="0" w:color="000000"/>
            </w:tcBorders>
            <w:shd w:val="clear" w:color="auto" w:fill="E2EFD9"/>
          </w:tcPr>
          <w:p>
            <w:pPr/>
          </w:p>
        </w:tc>
        <w:tc>
          <w:tcPr>
            <w:tcW w:w="1262" w:type="dxa"/>
            <w:tcBorders>
              <w:left w:val="single" w:sz="4" w:space="0" w:color="000000"/>
              <w:bottom w:val="single" w:sz="4" w:space="0" w:color="000000"/>
              <w:right w:val="single" w:sz="4" w:space="0" w:color="000000"/>
            </w:tcBorders>
            <w:shd w:val="clear" w:color="auto" w:fill="E2EFD9"/>
          </w:tcPr>
          <w:p>
            <w:pPr/>
          </w:p>
        </w:tc>
        <w:tc>
          <w:tcPr>
            <w:tcW w:w="1147" w:type="dxa"/>
            <w:tcBorders>
              <w:top w:val="single" w:sz="22"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05"/>
              <w:rPr>
                <w:sz w:val="23"/>
              </w:rPr>
            </w:pPr>
            <w:r>
              <w:rPr>
                <w:sz w:val="23"/>
              </w:rPr>
              <w:t>% Total</w:t>
            </w:r>
          </w:p>
        </w:tc>
        <w:tc>
          <w:tcPr>
            <w:tcW w:w="403" w:type="dxa"/>
            <w:tcBorders>
              <w:top w:val="single" w:sz="22"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29"/>
              <w:rPr>
                <w:sz w:val="23"/>
              </w:rPr>
            </w:pPr>
            <w:r>
              <w:rPr>
                <w:w w:val="101"/>
                <w:sz w:val="23"/>
              </w:rPr>
              <w:t>0</w:t>
            </w:r>
          </w:p>
        </w:tc>
        <w:tc>
          <w:tcPr>
            <w:tcW w:w="403" w:type="dxa"/>
            <w:tcBorders>
              <w:top w:val="single" w:sz="22"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34"/>
              <w:rPr>
                <w:sz w:val="23"/>
              </w:rPr>
            </w:pPr>
            <w:r>
              <w:rPr>
                <w:w w:val="101"/>
                <w:sz w:val="23"/>
              </w:rPr>
              <w:t>0</w:t>
            </w:r>
          </w:p>
        </w:tc>
        <w:tc>
          <w:tcPr>
            <w:tcW w:w="1186" w:type="dxa"/>
            <w:tcBorders>
              <w:top w:val="single" w:sz="22"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77" w:right="171"/>
              <w:jc w:val="center"/>
              <w:rPr>
                <w:sz w:val="23"/>
              </w:rPr>
            </w:pPr>
            <w:r>
              <w:rPr>
                <w:sz w:val="23"/>
              </w:rPr>
              <w:t>0.95%</w:t>
            </w:r>
          </w:p>
        </w:tc>
        <w:tc>
          <w:tcPr>
            <w:tcW w:w="1190" w:type="dxa"/>
            <w:tcBorders>
              <w:top w:val="single" w:sz="22"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80" w:right="179"/>
              <w:jc w:val="center"/>
              <w:rPr>
                <w:sz w:val="23"/>
              </w:rPr>
            </w:pPr>
            <w:r>
              <w:rPr>
                <w:sz w:val="23"/>
              </w:rPr>
              <w:t>3.57%</w:t>
            </w:r>
          </w:p>
        </w:tc>
        <w:tc>
          <w:tcPr>
            <w:tcW w:w="1186" w:type="dxa"/>
            <w:tcBorders>
              <w:top w:val="single" w:sz="22" w:space="0" w:color="E2EFD9"/>
              <w:left w:val="single" w:sz="4" w:space="0" w:color="000000"/>
              <w:bottom w:val="single" w:sz="4" w:space="0" w:color="000000"/>
              <w:right w:val="single" w:sz="4" w:space="0" w:color="000000"/>
            </w:tcBorders>
            <w:shd w:val="clear" w:color="auto" w:fill="C5E0B3"/>
          </w:tcPr>
          <w:p>
            <w:pPr>
              <w:pStyle w:val="TableParagraph"/>
              <w:spacing w:line="264" w:lineRule="exact"/>
              <w:ind w:left="174" w:right="175"/>
              <w:jc w:val="center"/>
              <w:rPr>
                <w:sz w:val="23"/>
              </w:rPr>
            </w:pPr>
            <w:r>
              <w:rPr>
                <w:sz w:val="23"/>
              </w:rPr>
              <w:t>0.00%</w:t>
            </w:r>
          </w:p>
        </w:tc>
      </w:tr>
      <w:tr>
        <w:trPr>
          <w:trHeight w:val="317" w:hRule="exact"/>
        </w:trPr>
        <w:tc>
          <w:tcPr>
            <w:tcW w:w="1694" w:type="dxa"/>
            <w:vMerge/>
            <w:tcBorders>
              <w:right w:val="single" w:sz="4" w:space="0" w:color="000000"/>
            </w:tcBorders>
            <w:shd w:val="clear" w:color="auto" w:fill="70AD47"/>
          </w:tcPr>
          <w:p>
            <w:pPr/>
          </w:p>
        </w:tc>
        <w:tc>
          <w:tcPr>
            <w:tcW w:w="859" w:type="dxa"/>
            <w:vMerge/>
            <w:tcBorders>
              <w:left w:val="single" w:sz="4" w:space="0" w:color="000000"/>
              <w:right w:val="single" w:sz="4" w:space="0" w:color="000000"/>
            </w:tcBorders>
            <w:shd w:val="clear" w:color="auto" w:fill="E2EFD9"/>
          </w:tcPr>
          <w:p>
            <w:pPr/>
          </w:p>
        </w:tc>
        <w:tc>
          <w:tcPr>
            <w:tcW w:w="1262" w:type="dxa"/>
            <w:tcBorders>
              <w:top w:val="single" w:sz="4" w:space="0" w:color="000000"/>
              <w:left w:val="single" w:sz="4" w:space="0" w:color="000000"/>
              <w:right w:val="single" w:sz="4" w:space="0" w:color="000000"/>
            </w:tcBorders>
            <w:shd w:val="clear" w:color="auto" w:fill="E2EFD9"/>
          </w:tcPr>
          <w:p>
            <w:pPr>
              <w:pStyle w:val="TableParagraph"/>
              <w:spacing w:before="14"/>
              <w:ind w:left="83" w:right="86"/>
              <w:jc w:val="center"/>
              <w:rPr>
                <w:sz w:val="23"/>
              </w:rPr>
            </w:pPr>
            <w:r>
              <w:rPr>
                <w:sz w:val="23"/>
              </w:rPr>
              <w:t>Femenino</w:t>
            </w:r>
          </w:p>
        </w:tc>
        <w:tc>
          <w:tcPr>
            <w:tcW w:w="1147"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left="105"/>
              <w:rPr>
                <w:sz w:val="23"/>
              </w:rPr>
            </w:pPr>
            <w:r>
              <w:rPr>
                <w:sz w:val="23"/>
              </w:rPr>
              <w:t>Cantidad</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left="129"/>
              <w:rPr>
                <w:sz w:val="23"/>
              </w:rPr>
            </w:pPr>
            <w:r>
              <w:rPr>
                <w:w w:val="101"/>
                <w:sz w:val="23"/>
              </w:rPr>
              <w:t>0</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left="134"/>
              <w:rPr>
                <w:sz w:val="23"/>
              </w:rPr>
            </w:pPr>
            <w:r>
              <w:rPr>
                <w:w w:val="101"/>
                <w:sz w:val="23"/>
              </w:rPr>
              <w:t>0</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jc w:val="center"/>
              <w:rPr>
                <w:sz w:val="23"/>
              </w:rPr>
            </w:pPr>
            <w:r>
              <w:rPr>
                <w:w w:val="101"/>
                <w:sz w:val="23"/>
              </w:rPr>
              <w:t>0</w:t>
            </w:r>
          </w:p>
        </w:tc>
        <w:tc>
          <w:tcPr>
            <w:tcW w:w="1190"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ind w:right="2"/>
              <w:jc w:val="center"/>
              <w:rPr>
                <w:sz w:val="23"/>
              </w:rPr>
            </w:pPr>
            <w:r>
              <w:rPr>
                <w:w w:val="101"/>
                <w:sz w:val="23"/>
              </w:rPr>
              <w:t>9</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jc w:val="center"/>
              <w:rPr>
                <w:sz w:val="23"/>
              </w:rPr>
            </w:pPr>
            <w:r>
              <w:rPr>
                <w:w w:val="101"/>
                <w:sz w:val="23"/>
              </w:rPr>
              <w:t>4</w:t>
            </w:r>
          </w:p>
        </w:tc>
      </w:tr>
      <w:tr>
        <w:trPr>
          <w:trHeight w:val="317" w:hRule="exact"/>
        </w:trPr>
        <w:tc>
          <w:tcPr>
            <w:tcW w:w="1694" w:type="dxa"/>
            <w:vMerge/>
            <w:tcBorders>
              <w:right w:val="single" w:sz="4" w:space="0" w:color="000000"/>
            </w:tcBorders>
            <w:shd w:val="clear" w:color="auto" w:fill="70AD47"/>
          </w:tcPr>
          <w:p>
            <w:pPr/>
          </w:p>
        </w:tc>
        <w:tc>
          <w:tcPr>
            <w:tcW w:w="859" w:type="dxa"/>
            <w:vMerge/>
            <w:tcBorders>
              <w:left w:val="single" w:sz="4" w:space="0" w:color="000000"/>
              <w:bottom w:val="single" w:sz="4" w:space="0" w:color="000000"/>
              <w:right w:val="single" w:sz="4" w:space="0" w:color="000000"/>
            </w:tcBorders>
            <w:shd w:val="clear" w:color="auto" w:fill="E2EFD9"/>
          </w:tcPr>
          <w:p>
            <w:pPr/>
          </w:p>
        </w:tc>
        <w:tc>
          <w:tcPr>
            <w:tcW w:w="1262" w:type="dxa"/>
            <w:tcBorders>
              <w:left w:val="single" w:sz="4" w:space="0" w:color="000000"/>
              <w:bottom w:val="single" w:sz="4" w:space="0" w:color="000000"/>
              <w:right w:val="single" w:sz="4" w:space="0" w:color="000000"/>
            </w:tcBorders>
            <w:shd w:val="clear" w:color="auto" w:fill="E2EFD9"/>
          </w:tcPr>
          <w:p>
            <w:pPr/>
          </w:p>
        </w:tc>
        <w:tc>
          <w:tcPr>
            <w:tcW w:w="1147" w:type="dxa"/>
            <w:tcBorders>
              <w:top w:val="single" w:sz="14" w:space="0" w:color="E2EFD9"/>
              <w:left w:val="single" w:sz="4" w:space="0" w:color="000000"/>
              <w:bottom w:val="single" w:sz="4" w:space="0" w:color="000000"/>
              <w:right w:val="single" w:sz="4" w:space="0" w:color="000000"/>
            </w:tcBorders>
            <w:shd w:val="clear" w:color="auto" w:fill="C5E0B3"/>
          </w:tcPr>
          <w:p>
            <w:pPr>
              <w:pStyle w:val="TableParagraph"/>
              <w:spacing w:before="2"/>
              <w:ind w:left="105"/>
              <w:rPr>
                <w:sz w:val="23"/>
              </w:rPr>
            </w:pPr>
            <w:r>
              <w:rPr>
                <w:sz w:val="23"/>
              </w:rPr>
              <w:t>% Total</w:t>
            </w:r>
          </w:p>
        </w:tc>
        <w:tc>
          <w:tcPr>
            <w:tcW w:w="403" w:type="dxa"/>
            <w:tcBorders>
              <w:top w:val="single" w:sz="14" w:space="0" w:color="E2EFD9"/>
              <w:left w:val="single" w:sz="4" w:space="0" w:color="000000"/>
              <w:bottom w:val="single" w:sz="4" w:space="0" w:color="000000"/>
              <w:right w:val="single" w:sz="4" w:space="0" w:color="000000"/>
            </w:tcBorders>
            <w:shd w:val="clear" w:color="auto" w:fill="C5E0B3"/>
          </w:tcPr>
          <w:p>
            <w:pPr>
              <w:pStyle w:val="TableParagraph"/>
              <w:spacing w:before="2"/>
              <w:ind w:left="129"/>
              <w:rPr>
                <w:sz w:val="23"/>
              </w:rPr>
            </w:pPr>
            <w:r>
              <w:rPr>
                <w:w w:val="101"/>
                <w:sz w:val="23"/>
              </w:rPr>
              <w:t>0</w:t>
            </w:r>
          </w:p>
        </w:tc>
        <w:tc>
          <w:tcPr>
            <w:tcW w:w="403" w:type="dxa"/>
            <w:tcBorders>
              <w:top w:val="single" w:sz="14" w:space="0" w:color="E2EFD9"/>
              <w:left w:val="single" w:sz="4" w:space="0" w:color="000000"/>
              <w:bottom w:val="single" w:sz="4" w:space="0" w:color="000000"/>
              <w:right w:val="single" w:sz="4" w:space="0" w:color="000000"/>
            </w:tcBorders>
            <w:shd w:val="clear" w:color="auto" w:fill="C5E0B3"/>
          </w:tcPr>
          <w:p>
            <w:pPr>
              <w:pStyle w:val="TableParagraph"/>
              <w:spacing w:before="2"/>
              <w:ind w:left="134"/>
              <w:rPr>
                <w:sz w:val="23"/>
              </w:rPr>
            </w:pPr>
            <w:r>
              <w:rPr>
                <w:w w:val="101"/>
                <w:sz w:val="23"/>
              </w:rPr>
              <w:t>0</w:t>
            </w:r>
          </w:p>
        </w:tc>
        <w:tc>
          <w:tcPr>
            <w:tcW w:w="1186" w:type="dxa"/>
            <w:tcBorders>
              <w:top w:val="single" w:sz="14" w:space="0" w:color="E2EFD9"/>
              <w:left w:val="single" w:sz="4" w:space="0" w:color="000000"/>
              <w:bottom w:val="single" w:sz="4" w:space="0" w:color="000000"/>
              <w:right w:val="single" w:sz="4" w:space="0" w:color="000000"/>
            </w:tcBorders>
            <w:shd w:val="clear" w:color="auto" w:fill="C5E0B3"/>
          </w:tcPr>
          <w:p>
            <w:pPr>
              <w:pStyle w:val="TableParagraph"/>
              <w:spacing w:before="2"/>
              <w:ind w:left="177" w:right="171"/>
              <w:jc w:val="center"/>
              <w:rPr>
                <w:sz w:val="23"/>
              </w:rPr>
            </w:pPr>
            <w:r>
              <w:rPr>
                <w:sz w:val="23"/>
              </w:rPr>
              <w:t>0.00%</w:t>
            </w:r>
          </w:p>
        </w:tc>
        <w:tc>
          <w:tcPr>
            <w:tcW w:w="1190" w:type="dxa"/>
            <w:tcBorders>
              <w:top w:val="single" w:sz="14" w:space="0" w:color="E2EFD9"/>
              <w:left w:val="single" w:sz="4" w:space="0" w:color="000000"/>
              <w:bottom w:val="single" w:sz="4" w:space="0" w:color="000000"/>
              <w:right w:val="single" w:sz="4" w:space="0" w:color="000000"/>
            </w:tcBorders>
            <w:shd w:val="clear" w:color="auto" w:fill="C5E0B3"/>
          </w:tcPr>
          <w:p>
            <w:pPr>
              <w:pStyle w:val="TableParagraph"/>
              <w:spacing w:before="2"/>
              <w:ind w:left="180" w:right="179"/>
              <w:jc w:val="center"/>
              <w:rPr>
                <w:sz w:val="23"/>
              </w:rPr>
            </w:pPr>
            <w:r>
              <w:rPr>
                <w:sz w:val="23"/>
              </w:rPr>
              <w:t>2.14%</w:t>
            </w:r>
          </w:p>
        </w:tc>
        <w:tc>
          <w:tcPr>
            <w:tcW w:w="1186" w:type="dxa"/>
            <w:tcBorders>
              <w:top w:val="single" w:sz="14" w:space="0" w:color="E2EFD9"/>
              <w:left w:val="single" w:sz="4" w:space="0" w:color="000000"/>
              <w:bottom w:val="single" w:sz="4" w:space="0" w:color="000000"/>
              <w:right w:val="single" w:sz="4" w:space="0" w:color="000000"/>
            </w:tcBorders>
            <w:shd w:val="clear" w:color="auto" w:fill="C5E0B3"/>
          </w:tcPr>
          <w:p>
            <w:pPr>
              <w:pStyle w:val="TableParagraph"/>
              <w:spacing w:before="2"/>
              <w:ind w:left="174" w:right="175"/>
              <w:jc w:val="center"/>
              <w:rPr>
                <w:sz w:val="23"/>
              </w:rPr>
            </w:pPr>
            <w:r>
              <w:rPr>
                <w:sz w:val="23"/>
              </w:rPr>
              <w:t>95.00%</w:t>
            </w:r>
          </w:p>
        </w:tc>
      </w:tr>
      <w:tr>
        <w:trPr>
          <w:trHeight w:val="317" w:hRule="exact"/>
        </w:trPr>
        <w:tc>
          <w:tcPr>
            <w:tcW w:w="1694" w:type="dxa"/>
            <w:vMerge/>
            <w:tcBorders>
              <w:right w:val="single" w:sz="4" w:space="0" w:color="000000"/>
            </w:tcBorders>
            <w:shd w:val="clear" w:color="auto" w:fill="70AD47"/>
          </w:tcPr>
          <w:p>
            <w:pPr/>
          </w:p>
        </w:tc>
        <w:tc>
          <w:tcPr>
            <w:tcW w:w="2122" w:type="dxa"/>
            <w:gridSpan w:val="2"/>
            <w:tcBorders>
              <w:top w:val="single" w:sz="4" w:space="0" w:color="000000"/>
              <w:left w:val="single" w:sz="4" w:space="0" w:color="000000"/>
              <w:right w:val="single" w:sz="4" w:space="0" w:color="000000"/>
            </w:tcBorders>
            <w:shd w:val="clear" w:color="auto" w:fill="E2EFD9"/>
          </w:tcPr>
          <w:p>
            <w:pPr>
              <w:pStyle w:val="TableParagraph"/>
              <w:spacing w:before="10"/>
              <w:ind w:left="105"/>
              <w:rPr>
                <w:sz w:val="23"/>
              </w:rPr>
            </w:pPr>
            <w:r>
              <w:rPr>
                <w:sz w:val="23"/>
              </w:rPr>
              <w:t>TOTAL</w:t>
            </w:r>
          </w:p>
        </w:tc>
        <w:tc>
          <w:tcPr>
            <w:tcW w:w="1147"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0" w:lineRule="exact"/>
              <w:ind w:left="105"/>
              <w:rPr>
                <w:sz w:val="23"/>
              </w:rPr>
            </w:pPr>
            <w:r>
              <w:rPr>
                <w:sz w:val="23"/>
              </w:rPr>
              <w:t>Cantidad</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0" w:lineRule="exact"/>
              <w:ind w:left="129"/>
              <w:rPr>
                <w:sz w:val="23"/>
              </w:rPr>
            </w:pPr>
            <w:r>
              <w:rPr>
                <w:w w:val="101"/>
                <w:sz w:val="23"/>
              </w:rPr>
              <w:t>0</w:t>
            </w:r>
          </w:p>
        </w:tc>
        <w:tc>
          <w:tcPr>
            <w:tcW w:w="403"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0" w:lineRule="exact"/>
              <w:ind w:left="134"/>
              <w:rPr>
                <w:sz w:val="23"/>
              </w:rPr>
            </w:pPr>
            <w:r>
              <w:rPr>
                <w:w w:val="101"/>
                <w:sz w:val="23"/>
              </w:rPr>
              <w:t>0</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0" w:lineRule="exact"/>
              <w:jc w:val="center"/>
              <w:rPr>
                <w:sz w:val="23"/>
              </w:rPr>
            </w:pPr>
            <w:r>
              <w:rPr>
                <w:w w:val="101"/>
                <w:sz w:val="23"/>
              </w:rPr>
              <w:t>4</w:t>
            </w:r>
          </w:p>
        </w:tc>
        <w:tc>
          <w:tcPr>
            <w:tcW w:w="1190"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0" w:lineRule="exact"/>
              <w:ind w:left="180" w:right="180"/>
              <w:jc w:val="center"/>
              <w:rPr>
                <w:sz w:val="23"/>
              </w:rPr>
            </w:pPr>
            <w:r>
              <w:rPr>
                <w:sz w:val="23"/>
              </w:rPr>
              <w:t>24</w:t>
            </w:r>
          </w:p>
        </w:tc>
        <w:tc>
          <w:tcPr>
            <w:tcW w:w="1186" w:type="dxa"/>
            <w:tcBorders>
              <w:top w:val="single" w:sz="15" w:space="0" w:color="C5E0B3"/>
              <w:left w:val="single" w:sz="4" w:space="0" w:color="000000"/>
              <w:bottom w:val="single" w:sz="4" w:space="0" w:color="000000"/>
              <w:right w:val="single" w:sz="4" w:space="0" w:color="000000"/>
            </w:tcBorders>
            <w:shd w:val="clear" w:color="auto" w:fill="E2EFD9"/>
          </w:tcPr>
          <w:p>
            <w:pPr>
              <w:pStyle w:val="TableParagraph"/>
              <w:spacing w:line="260" w:lineRule="exact"/>
              <w:jc w:val="center"/>
              <w:rPr>
                <w:sz w:val="23"/>
              </w:rPr>
            </w:pPr>
            <w:r>
              <w:rPr>
                <w:w w:val="101"/>
                <w:sz w:val="23"/>
              </w:rPr>
              <w:t>4</w:t>
            </w:r>
          </w:p>
        </w:tc>
      </w:tr>
      <w:tr>
        <w:trPr>
          <w:trHeight w:val="336" w:hRule="exact"/>
        </w:trPr>
        <w:tc>
          <w:tcPr>
            <w:tcW w:w="1694" w:type="dxa"/>
            <w:vMerge/>
            <w:tcBorders>
              <w:right w:val="single" w:sz="4" w:space="0" w:color="000000"/>
            </w:tcBorders>
            <w:shd w:val="clear" w:color="auto" w:fill="70AD47"/>
          </w:tcPr>
          <w:p>
            <w:pPr/>
          </w:p>
        </w:tc>
        <w:tc>
          <w:tcPr>
            <w:tcW w:w="2122" w:type="dxa"/>
            <w:gridSpan w:val="2"/>
            <w:tcBorders>
              <w:left w:val="single" w:sz="4" w:space="0" w:color="000000"/>
              <w:bottom w:val="single" w:sz="4" w:space="0" w:color="000000"/>
              <w:right w:val="single" w:sz="4" w:space="0" w:color="000000"/>
            </w:tcBorders>
            <w:shd w:val="clear" w:color="auto" w:fill="E2EFD9"/>
          </w:tcPr>
          <w:p>
            <w:pPr/>
          </w:p>
        </w:tc>
        <w:tc>
          <w:tcPr>
            <w:tcW w:w="1147"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05"/>
              <w:rPr>
                <w:sz w:val="23"/>
              </w:rPr>
            </w:pPr>
            <w:r>
              <w:rPr>
                <w:sz w:val="23"/>
              </w:rPr>
              <w:t>% Total</w:t>
            </w:r>
          </w:p>
        </w:tc>
        <w:tc>
          <w:tcPr>
            <w:tcW w:w="403"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29"/>
              <w:rPr>
                <w:sz w:val="23"/>
              </w:rPr>
            </w:pPr>
            <w:r>
              <w:rPr>
                <w:w w:val="101"/>
                <w:sz w:val="23"/>
              </w:rPr>
              <w:t>0</w:t>
            </w:r>
          </w:p>
        </w:tc>
        <w:tc>
          <w:tcPr>
            <w:tcW w:w="403"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34"/>
              <w:rPr>
                <w:sz w:val="23"/>
              </w:rPr>
            </w:pPr>
            <w:r>
              <w:rPr>
                <w:w w:val="101"/>
                <w:sz w:val="23"/>
              </w:rPr>
              <w:t>0</w:t>
            </w:r>
          </w:p>
        </w:tc>
        <w:tc>
          <w:tcPr>
            <w:tcW w:w="1186"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77" w:right="171"/>
              <w:jc w:val="center"/>
              <w:rPr>
                <w:sz w:val="23"/>
              </w:rPr>
            </w:pPr>
            <w:r>
              <w:rPr>
                <w:sz w:val="23"/>
              </w:rPr>
              <w:t>0.95%</w:t>
            </w:r>
          </w:p>
        </w:tc>
        <w:tc>
          <w:tcPr>
            <w:tcW w:w="1190"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80" w:right="179"/>
              <w:jc w:val="center"/>
              <w:rPr>
                <w:sz w:val="23"/>
              </w:rPr>
            </w:pPr>
            <w:r>
              <w:rPr>
                <w:sz w:val="23"/>
              </w:rPr>
              <w:t>5.71%</w:t>
            </w:r>
          </w:p>
        </w:tc>
        <w:tc>
          <w:tcPr>
            <w:tcW w:w="1186" w:type="dxa"/>
            <w:tcBorders>
              <w:top w:val="single" w:sz="19" w:space="0" w:color="E2EFD9"/>
              <w:left w:val="single" w:sz="4" w:space="0" w:color="000000"/>
              <w:bottom w:val="single" w:sz="4" w:space="0" w:color="000000"/>
              <w:right w:val="single" w:sz="4" w:space="0" w:color="000000"/>
            </w:tcBorders>
            <w:shd w:val="clear" w:color="auto" w:fill="C5E0B3"/>
          </w:tcPr>
          <w:p>
            <w:pPr>
              <w:pStyle w:val="TableParagraph"/>
              <w:spacing w:line="260" w:lineRule="exact"/>
              <w:ind w:left="174" w:right="175"/>
              <w:jc w:val="center"/>
              <w:rPr>
                <w:sz w:val="23"/>
              </w:rPr>
            </w:pPr>
            <w:r>
              <w:rPr>
                <w:sz w:val="23"/>
              </w:rPr>
              <w:t>0.95%</w:t>
            </w:r>
          </w:p>
        </w:tc>
      </w:tr>
    </w:tbl>
    <w:p>
      <w:pPr>
        <w:pStyle w:val="BodyText"/>
        <w:spacing w:before="1"/>
        <w:rPr>
          <w:sz w:val="16"/>
        </w:rPr>
      </w:pPr>
    </w:p>
    <w:p>
      <w:pPr>
        <w:pStyle w:val="BodyText"/>
        <w:spacing w:line="364" w:lineRule="auto" w:before="74"/>
        <w:ind w:left="196" w:right="898"/>
        <w:jc w:val="both"/>
      </w:pPr>
      <w:r>
        <w:rPr/>
        <w:t>La tabla No. 14. Indica el perfil </w:t>
      </w:r>
      <w:r>
        <w:rPr>
          <w:spacing w:val="2"/>
        </w:rPr>
        <w:t>del </w:t>
      </w:r>
      <w:r>
        <w:rPr/>
        <w:t>visitante en cuanto a la primer variable de estudio, en </w:t>
      </w:r>
      <w:r>
        <w:rPr>
          <w:spacing w:val="-5"/>
        </w:rPr>
        <w:t>la </w:t>
      </w:r>
      <w:r>
        <w:rPr/>
        <w:t>cual </w:t>
      </w:r>
      <w:r>
        <w:rPr>
          <w:spacing w:val="3"/>
        </w:rPr>
        <w:t>se </w:t>
      </w:r>
      <w:r>
        <w:rPr/>
        <w:t>refleja que las mujeres jóvenes de 15 a 30 años de edad con un 21.90% son  las que </w:t>
      </w:r>
      <w:r>
        <w:rPr>
          <w:spacing w:val="-3"/>
        </w:rPr>
        <w:t>más </w:t>
      </w:r>
      <w:r>
        <w:rPr/>
        <w:t>conocimiento tienen con respecto a la temática ambiental y los que menos información poseen son los adultos</w:t>
      </w:r>
      <w:r>
        <w:rPr>
          <w:spacing w:val="52"/>
        </w:rPr>
        <w:t> </w:t>
      </w:r>
      <w:r>
        <w:rPr/>
        <w:t>mayores.</w:t>
      </w:r>
    </w:p>
    <w:p>
      <w:pPr>
        <w:pStyle w:val="BodyText"/>
        <w:spacing w:line="364" w:lineRule="auto" w:before="120"/>
        <w:ind w:left="196" w:right="900"/>
        <w:jc w:val="both"/>
      </w:pPr>
      <w:r>
        <w:rPr/>
        <w:t>Con respecto a las Actividades Ambientales, se encontró que son los hombres quienes más actividades realizan a favor del ambiente. Sin embargo, realizando un análisis general de los resultados arrojados en la tabla No. 13. la media (3.25) indica que la participación es aún muy incipiente.</w:t>
      </w:r>
    </w:p>
    <w:p>
      <w:pPr>
        <w:spacing w:after="0" w:line="364" w:lineRule="auto"/>
        <w:jc w:val="both"/>
        <w:sectPr>
          <w:pgSz w:w="11910" w:h="16840"/>
          <w:pgMar w:header="1066" w:footer="1715" w:top="1460" w:bottom="1900" w:left="1460" w:right="200"/>
        </w:sectPr>
      </w:pPr>
    </w:p>
    <w:p>
      <w:pPr>
        <w:pStyle w:val="BodyText"/>
        <w:rPr>
          <w:sz w:val="20"/>
        </w:rPr>
      </w:pPr>
    </w:p>
    <w:p>
      <w:pPr>
        <w:pStyle w:val="BodyText"/>
        <w:spacing w:before="10"/>
        <w:rPr>
          <w:sz w:val="17"/>
        </w:rPr>
      </w:pPr>
    </w:p>
    <w:p>
      <w:pPr>
        <w:pStyle w:val="Heading2"/>
        <w:ind w:left="2673" w:right="512"/>
        <w:jc w:val="left"/>
      </w:pPr>
      <w:r>
        <w:rPr/>
        <w:t>Tabla No. 15. Actividades ambientales</w:t>
      </w:r>
    </w:p>
    <w:p>
      <w:pPr>
        <w:pStyle w:val="BodyText"/>
        <w:spacing w:before="4"/>
        <w:rPr>
          <w:b/>
          <w:sz w:val="24"/>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24"/>
        <w:gridCol w:w="941"/>
        <w:gridCol w:w="1358"/>
        <w:gridCol w:w="1200"/>
        <w:gridCol w:w="398"/>
        <w:gridCol w:w="1061"/>
        <w:gridCol w:w="1109"/>
        <w:gridCol w:w="1066"/>
        <w:gridCol w:w="403"/>
      </w:tblGrid>
      <w:tr>
        <w:trPr>
          <w:trHeight w:val="269" w:hRule="exact"/>
        </w:trPr>
        <w:tc>
          <w:tcPr>
            <w:tcW w:w="1824" w:type="dxa"/>
            <w:vMerge w:val="restart"/>
            <w:shd w:val="clear" w:color="auto" w:fill="70AD47"/>
          </w:tcPr>
          <w:p>
            <w:pPr>
              <w:pStyle w:val="TableParagraph"/>
              <w:spacing w:before="155"/>
              <w:ind w:left="604"/>
              <w:rPr>
                <w:b/>
                <w:sz w:val="21"/>
              </w:rPr>
            </w:pPr>
            <w:r>
              <w:rPr>
                <w:b/>
                <w:sz w:val="21"/>
              </w:rPr>
              <w:t>EDAD</w:t>
            </w:r>
          </w:p>
        </w:tc>
        <w:tc>
          <w:tcPr>
            <w:tcW w:w="7536" w:type="dxa"/>
            <w:gridSpan w:val="8"/>
            <w:tcBorders>
              <w:bottom w:val="single" w:sz="4" w:space="0" w:color="000000"/>
            </w:tcBorders>
            <w:shd w:val="clear" w:color="auto" w:fill="70AD47"/>
          </w:tcPr>
          <w:p>
            <w:pPr>
              <w:pStyle w:val="TableParagraph"/>
              <w:tabs>
                <w:tab w:pos="4247" w:val="left" w:leader="none"/>
              </w:tabs>
              <w:spacing w:before="6"/>
              <w:ind w:left="1329"/>
              <w:rPr>
                <w:b/>
                <w:sz w:val="21"/>
              </w:rPr>
            </w:pPr>
            <w:r>
              <w:rPr>
                <w:b/>
                <w:sz w:val="21"/>
              </w:rPr>
              <w:t>Variable</w:t>
              <w:tab/>
              <w:t>Actividades</w:t>
            </w:r>
            <w:r>
              <w:rPr>
                <w:b/>
                <w:spacing w:val="38"/>
                <w:sz w:val="21"/>
              </w:rPr>
              <w:t> </w:t>
            </w:r>
            <w:r>
              <w:rPr>
                <w:b/>
                <w:sz w:val="21"/>
              </w:rPr>
              <w:t>Ambientales</w:t>
            </w:r>
          </w:p>
        </w:tc>
      </w:tr>
      <w:tr>
        <w:trPr>
          <w:trHeight w:val="300" w:hRule="exact"/>
        </w:trPr>
        <w:tc>
          <w:tcPr>
            <w:tcW w:w="1824" w:type="dxa"/>
            <w:vMerge/>
            <w:tcBorders>
              <w:bottom w:val="single" w:sz="4" w:space="0" w:color="000000"/>
            </w:tcBorders>
            <w:shd w:val="clear" w:color="auto" w:fill="70AD47"/>
          </w:tcPr>
          <w:p>
            <w:pPr/>
          </w:p>
        </w:tc>
        <w:tc>
          <w:tcPr>
            <w:tcW w:w="3499" w:type="dxa"/>
            <w:gridSpan w:val="3"/>
            <w:tcBorders>
              <w:top w:val="single" w:sz="10" w:space="0" w:color="70AD47"/>
              <w:left w:val="single" w:sz="44" w:space="0" w:color="70AD47"/>
              <w:bottom w:val="single" w:sz="8" w:space="0" w:color="E2EFD9"/>
              <w:right w:val="single" w:sz="4" w:space="0" w:color="000000"/>
            </w:tcBorders>
            <w:shd w:val="clear" w:color="auto" w:fill="C5E0B3"/>
          </w:tcPr>
          <w:p>
            <w:pPr>
              <w:pStyle w:val="TableParagraph"/>
              <w:spacing w:before="28"/>
              <w:ind w:left="1077"/>
              <w:rPr>
                <w:sz w:val="21"/>
              </w:rPr>
            </w:pPr>
            <w:r>
              <w:rPr>
                <w:sz w:val="21"/>
              </w:rPr>
              <w:t>Escala Likert</w:t>
            </w:r>
          </w:p>
        </w:tc>
        <w:tc>
          <w:tcPr>
            <w:tcW w:w="398" w:type="dxa"/>
            <w:tcBorders>
              <w:top w:val="single" w:sz="10" w:space="0" w:color="70AD47"/>
              <w:left w:val="single" w:sz="4" w:space="0" w:color="000000"/>
              <w:bottom w:val="single" w:sz="8" w:space="0" w:color="E2EFD9"/>
              <w:right w:val="single" w:sz="4" w:space="0" w:color="000000"/>
            </w:tcBorders>
            <w:shd w:val="clear" w:color="auto" w:fill="C5E0B3"/>
          </w:tcPr>
          <w:p>
            <w:pPr>
              <w:pStyle w:val="TableParagraph"/>
              <w:spacing w:before="28"/>
              <w:jc w:val="center"/>
              <w:rPr>
                <w:sz w:val="21"/>
              </w:rPr>
            </w:pPr>
            <w:r>
              <w:rPr>
                <w:w w:val="102"/>
                <w:sz w:val="21"/>
              </w:rPr>
              <w:t>1</w:t>
            </w:r>
          </w:p>
        </w:tc>
        <w:tc>
          <w:tcPr>
            <w:tcW w:w="1061" w:type="dxa"/>
            <w:tcBorders>
              <w:top w:val="single" w:sz="10" w:space="0" w:color="70AD47"/>
              <w:left w:val="single" w:sz="4" w:space="0" w:color="000000"/>
              <w:bottom w:val="single" w:sz="8" w:space="0" w:color="E2EFD9"/>
              <w:right w:val="single" w:sz="4" w:space="0" w:color="000000"/>
            </w:tcBorders>
            <w:shd w:val="clear" w:color="auto" w:fill="C5E0B3"/>
          </w:tcPr>
          <w:p>
            <w:pPr>
              <w:pStyle w:val="TableParagraph"/>
              <w:spacing w:before="28"/>
              <w:ind w:left="18"/>
              <w:jc w:val="center"/>
              <w:rPr>
                <w:sz w:val="21"/>
              </w:rPr>
            </w:pPr>
            <w:r>
              <w:rPr>
                <w:w w:val="102"/>
                <w:sz w:val="21"/>
              </w:rPr>
              <w:t>2</w:t>
            </w:r>
          </w:p>
        </w:tc>
        <w:tc>
          <w:tcPr>
            <w:tcW w:w="1109" w:type="dxa"/>
            <w:tcBorders>
              <w:top w:val="single" w:sz="10" w:space="0" w:color="70AD47"/>
              <w:left w:val="single" w:sz="4" w:space="0" w:color="000000"/>
              <w:bottom w:val="single" w:sz="4" w:space="0" w:color="000000"/>
              <w:right w:val="single" w:sz="4" w:space="0" w:color="000000"/>
            </w:tcBorders>
            <w:shd w:val="clear" w:color="auto" w:fill="C5E0B3"/>
          </w:tcPr>
          <w:p>
            <w:pPr>
              <w:pStyle w:val="TableParagraph"/>
              <w:spacing w:before="28"/>
              <w:ind w:left="9"/>
              <w:jc w:val="center"/>
              <w:rPr>
                <w:sz w:val="21"/>
              </w:rPr>
            </w:pPr>
            <w:r>
              <w:rPr>
                <w:w w:val="102"/>
                <w:sz w:val="21"/>
              </w:rPr>
              <w:t>3</w:t>
            </w:r>
          </w:p>
        </w:tc>
        <w:tc>
          <w:tcPr>
            <w:tcW w:w="1066" w:type="dxa"/>
            <w:tcBorders>
              <w:top w:val="single" w:sz="10" w:space="0" w:color="70AD47"/>
              <w:left w:val="single" w:sz="4" w:space="0" w:color="000000"/>
              <w:bottom w:val="single" w:sz="8" w:space="0" w:color="E2EFD9"/>
              <w:right w:val="single" w:sz="4" w:space="0" w:color="000000"/>
            </w:tcBorders>
            <w:shd w:val="clear" w:color="auto" w:fill="C5E0B3"/>
          </w:tcPr>
          <w:p>
            <w:pPr>
              <w:pStyle w:val="TableParagraph"/>
              <w:spacing w:before="28"/>
              <w:ind w:left="4"/>
              <w:jc w:val="center"/>
              <w:rPr>
                <w:sz w:val="21"/>
              </w:rPr>
            </w:pPr>
            <w:r>
              <w:rPr>
                <w:w w:val="102"/>
                <w:sz w:val="21"/>
              </w:rPr>
              <w:t>4</w:t>
            </w:r>
          </w:p>
        </w:tc>
        <w:tc>
          <w:tcPr>
            <w:tcW w:w="403" w:type="dxa"/>
            <w:tcBorders>
              <w:top w:val="single" w:sz="10" w:space="0" w:color="70AD47"/>
              <w:left w:val="single" w:sz="4" w:space="0" w:color="000000"/>
              <w:bottom w:val="single" w:sz="8" w:space="0" w:color="E2EFD9"/>
              <w:right w:val="single" w:sz="4" w:space="0" w:color="000000"/>
            </w:tcBorders>
            <w:shd w:val="clear" w:color="auto" w:fill="C5E0B3"/>
          </w:tcPr>
          <w:p>
            <w:pPr>
              <w:pStyle w:val="TableParagraph"/>
              <w:spacing w:before="28"/>
              <w:ind w:right="137"/>
              <w:jc w:val="right"/>
              <w:rPr>
                <w:sz w:val="21"/>
              </w:rPr>
            </w:pPr>
            <w:r>
              <w:rPr>
                <w:w w:val="102"/>
                <w:sz w:val="21"/>
              </w:rPr>
              <w:t>5</w:t>
            </w:r>
          </w:p>
        </w:tc>
      </w:tr>
      <w:tr>
        <w:trPr>
          <w:trHeight w:val="310" w:hRule="exact"/>
        </w:trPr>
        <w:tc>
          <w:tcPr>
            <w:tcW w:w="1824" w:type="dxa"/>
            <w:vMerge w:val="restart"/>
            <w:tcBorders>
              <w:top w:val="single" w:sz="4" w:space="0" w:color="000000"/>
              <w:right w:val="single" w:sz="4" w:space="0" w:color="000000"/>
            </w:tcBorders>
            <w:shd w:val="clear" w:color="auto" w:fill="70AD47"/>
          </w:tcPr>
          <w:p>
            <w:pPr>
              <w:pStyle w:val="TableParagraph"/>
              <w:rPr>
                <w:b/>
                <w:sz w:val="20"/>
              </w:rPr>
            </w:pPr>
          </w:p>
          <w:p>
            <w:pPr>
              <w:pStyle w:val="TableParagraph"/>
              <w:rPr>
                <w:b/>
                <w:sz w:val="20"/>
              </w:rPr>
            </w:pPr>
          </w:p>
          <w:p>
            <w:pPr>
              <w:pStyle w:val="TableParagraph"/>
              <w:spacing w:before="2"/>
              <w:rPr>
                <w:b/>
                <w:sz w:val="27"/>
              </w:rPr>
            </w:pPr>
          </w:p>
          <w:p>
            <w:pPr>
              <w:pStyle w:val="TableParagraph"/>
              <w:ind w:left="600"/>
              <w:rPr>
                <w:b/>
                <w:sz w:val="21"/>
              </w:rPr>
            </w:pPr>
            <w:r>
              <w:rPr>
                <w:b/>
                <w:sz w:val="21"/>
              </w:rPr>
              <w:t>Joven</w:t>
            </w:r>
          </w:p>
        </w:tc>
        <w:tc>
          <w:tcPr>
            <w:tcW w:w="941" w:type="dxa"/>
            <w:vMerge w:val="restart"/>
            <w:tcBorders>
              <w:top w:val="single" w:sz="8" w:space="0" w:color="C5E0B3"/>
              <w:left w:val="single" w:sz="42" w:space="0" w:color="70AD47"/>
              <w:right w:val="single" w:sz="4" w:space="0" w:color="000000"/>
            </w:tcBorders>
            <w:shd w:val="clear" w:color="auto" w:fill="E2EFD9"/>
          </w:tcPr>
          <w:p>
            <w:pPr>
              <w:pStyle w:val="TableParagraph"/>
              <w:rPr>
                <w:b/>
                <w:sz w:val="20"/>
              </w:rPr>
            </w:pPr>
          </w:p>
          <w:p>
            <w:pPr>
              <w:pStyle w:val="TableParagraph"/>
              <w:spacing w:before="3"/>
              <w:rPr>
                <w:b/>
                <w:sz w:val="21"/>
              </w:rPr>
            </w:pPr>
          </w:p>
          <w:p>
            <w:pPr>
              <w:pStyle w:val="TableParagraph"/>
              <w:ind w:left="124"/>
              <w:rPr>
                <w:sz w:val="21"/>
              </w:rPr>
            </w:pPr>
            <w:r>
              <w:rPr>
                <w:sz w:val="21"/>
              </w:rPr>
              <w:t>SEXO</w:t>
            </w:r>
          </w:p>
        </w:tc>
        <w:tc>
          <w:tcPr>
            <w:tcW w:w="1358" w:type="dxa"/>
            <w:vMerge w:val="restart"/>
            <w:tcBorders>
              <w:top w:val="single" w:sz="8" w:space="0" w:color="C5E0B3"/>
              <w:left w:val="single" w:sz="4" w:space="0" w:color="000000"/>
              <w:right w:val="single" w:sz="4" w:space="0" w:color="000000"/>
            </w:tcBorders>
            <w:shd w:val="clear" w:color="auto" w:fill="E2EFD9"/>
          </w:tcPr>
          <w:p>
            <w:pPr>
              <w:pStyle w:val="TableParagraph"/>
              <w:spacing w:before="172"/>
              <w:ind w:left="191"/>
              <w:rPr>
                <w:sz w:val="21"/>
              </w:rPr>
            </w:pPr>
            <w:r>
              <w:rPr>
                <w:sz w:val="21"/>
              </w:rPr>
              <w:t>Masculino</w:t>
            </w:r>
          </w:p>
        </w:tc>
        <w:tc>
          <w:tcPr>
            <w:tcW w:w="1200" w:type="dxa"/>
            <w:tcBorders>
              <w:top w:val="single" w:sz="8" w:space="0" w:color="C5E0B3"/>
              <w:left w:val="single" w:sz="4" w:space="0" w:color="000000"/>
              <w:bottom w:val="single" w:sz="11" w:space="0" w:color="C5E0B3"/>
              <w:right w:val="single" w:sz="4" w:space="0" w:color="000000"/>
            </w:tcBorders>
            <w:shd w:val="clear" w:color="auto" w:fill="E2EFD9"/>
          </w:tcPr>
          <w:p>
            <w:pPr>
              <w:pStyle w:val="TableParagraph"/>
              <w:spacing w:before="23"/>
              <w:ind w:left="167"/>
              <w:rPr>
                <w:sz w:val="21"/>
              </w:rPr>
            </w:pPr>
            <w:r>
              <w:rPr>
                <w:sz w:val="21"/>
              </w:rPr>
              <w:t>Cantidad</w:t>
            </w:r>
          </w:p>
        </w:tc>
        <w:tc>
          <w:tcPr>
            <w:tcW w:w="398" w:type="dxa"/>
            <w:tcBorders>
              <w:top w:val="single" w:sz="8" w:space="0" w:color="C5E0B3"/>
              <w:left w:val="single" w:sz="4" w:space="0" w:color="000000"/>
              <w:bottom w:val="single" w:sz="11" w:space="0" w:color="C5E0B3"/>
              <w:right w:val="single" w:sz="4" w:space="0" w:color="000000"/>
            </w:tcBorders>
            <w:shd w:val="clear" w:color="auto" w:fill="E2EFD9"/>
          </w:tcPr>
          <w:p>
            <w:pPr>
              <w:pStyle w:val="TableParagraph"/>
              <w:spacing w:before="23"/>
              <w:jc w:val="center"/>
              <w:rPr>
                <w:sz w:val="21"/>
              </w:rPr>
            </w:pPr>
            <w:r>
              <w:rPr>
                <w:w w:val="102"/>
                <w:sz w:val="21"/>
              </w:rPr>
              <w:t>0</w:t>
            </w:r>
          </w:p>
        </w:tc>
        <w:tc>
          <w:tcPr>
            <w:tcW w:w="1061" w:type="dxa"/>
            <w:tcBorders>
              <w:top w:val="single" w:sz="8" w:space="0" w:color="C5E0B3"/>
              <w:left w:val="single" w:sz="4" w:space="0" w:color="000000"/>
              <w:bottom w:val="single" w:sz="11" w:space="0" w:color="C5E0B3"/>
              <w:right w:val="single" w:sz="4" w:space="0" w:color="000000"/>
            </w:tcBorders>
            <w:shd w:val="clear" w:color="auto" w:fill="E2EFD9"/>
          </w:tcPr>
          <w:p>
            <w:pPr>
              <w:pStyle w:val="TableParagraph"/>
              <w:spacing w:before="23"/>
              <w:ind w:left="155" w:right="142"/>
              <w:jc w:val="center"/>
              <w:rPr>
                <w:sz w:val="21"/>
              </w:rPr>
            </w:pPr>
            <w:r>
              <w:rPr>
                <w:sz w:val="21"/>
              </w:rPr>
              <w:t>14</w:t>
            </w:r>
          </w:p>
        </w:tc>
        <w:tc>
          <w:tcPr>
            <w:tcW w:w="1109" w:type="dxa"/>
            <w:tcBorders>
              <w:top w:val="single" w:sz="8" w:space="0" w:color="C5E0B3"/>
              <w:left w:val="single" w:sz="4" w:space="0" w:color="000000"/>
              <w:bottom w:val="single" w:sz="11" w:space="0" w:color="C5E0B3"/>
              <w:right w:val="single" w:sz="4" w:space="0" w:color="000000"/>
            </w:tcBorders>
            <w:shd w:val="clear" w:color="auto" w:fill="FFFF00"/>
          </w:tcPr>
          <w:p>
            <w:pPr>
              <w:pStyle w:val="TableParagraph"/>
              <w:spacing w:before="23"/>
              <w:ind w:left="174" w:right="170"/>
              <w:jc w:val="center"/>
              <w:rPr>
                <w:sz w:val="21"/>
              </w:rPr>
            </w:pPr>
            <w:r>
              <w:rPr>
                <w:sz w:val="21"/>
              </w:rPr>
              <w:t>56</w:t>
            </w:r>
          </w:p>
        </w:tc>
        <w:tc>
          <w:tcPr>
            <w:tcW w:w="1066" w:type="dxa"/>
            <w:tcBorders>
              <w:top w:val="single" w:sz="8" w:space="0" w:color="C5E0B3"/>
              <w:left w:val="single" w:sz="4" w:space="0" w:color="000000"/>
              <w:bottom w:val="single" w:sz="11" w:space="0" w:color="C5E0B3"/>
              <w:right w:val="single" w:sz="4" w:space="0" w:color="000000"/>
            </w:tcBorders>
            <w:shd w:val="clear" w:color="auto" w:fill="E2EFD9"/>
          </w:tcPr>
          <w:p>
            <w:pPr>
              <w:pStyle w:val="TableParagraph"/>
              <w:spacing w:before="23"/>
              <w:ind w:left="155" w:right="146"/>
              <w:jc w:val="center"/>
              <w:rPr>
                <w:sz w:val="21"/>
              </w:rPr>
            </w:pPr>
            <w:r>
              <w:rPr>
                <w:sz w:val="21"/>
              </w:rPr>
              <w:t>15</w:t>
            </w:r>
          </w:p>
        </w:tc>
        <w:tc>
          <w:tcPr>
            <w:tcW w:w="403" w:type="dxa"/>
            <w:tcBorders>
              <w:top w:val="single" w:sz="8" w:space="0" w:color="C5E0B3"/>
              <w:left w:val="single" w:sz="4" w:space="0" w:color="000000"/>
              <w:bottom w:val="single" w:sz="11" w:space="0" w:color="C5E0B3"/>
              <w:right w:val="single" w:sz="4" w:space="0" w:color="000000"/>
            </w:tcBorders>
            <w:shd w:val="clear" w:color="auto" w:fill="E2EFD9"/>
          </w:tcPr>
          <w:p>
            <w:pPr>
              <w:pStyle w:val="TableParagraph"/>
              <w:spacing w:before="23"/>
              <w:ind w:right="137"/>
              <w:jc w:val="right"/>
              <w:rPr>
                <w:sz w:val="21"/>
              </w:rPr>
            </w:pPr>
            <w:r>
              <w:rPr>
                <w:w w:val="102"/>
                <w:sz w:val="21"/>
              </w:rPr>
              <w:t>0</w:t>
            </w:r>
          </w:p>
        </w:tc>
      </w:tr>
      <w:tr>
        <w:trPr>
          <w:trHeight w:val="298" w:hRule="exact"/>
        </w:trPr>
        <w:tc>
          <w:tcPr>
            <w:tcW w:w="1824" w:type="dxa"/>
            <w:vMerge/>
            <w:tcBorders>
              <w:right w:val="single" w:sz="4" w:space="0" w:color="000000"/>
            </w:tcBorders>
            <w:shd w:val="clear" w:color="auto" w:fill="70AD47"/>
          </w:tcPr>
          <w:p>
            <w:pPr/>
          </w:p>
        </w:tc>
        <w:tc>
          <w:tcPr>
            <w:tcW w:w="941" w:type="dxa"/>
            <w:vMerge/>
            <w:tcBorders>
              <w:left w:val="single" w:sz="42" w:space="0" w:color="70AD47"/>
              <w:right w:val="single" w:sz="4" w:space="0" w:color="000000"/>
            </w:tcBorders>
            <w:shd w:val="clear" w:color="auto" w:fill="E2EFD9"/>
          </w:tcPr>
          <w:p>
            <w:pPr/>
          </w:p>
        </w:tc>
        <w:tc>
          <w:tcPr>
            <w:tcW w:w="1358" w:type="dxa"/>
            <w:vMerge/>
            <w:tcBorders>
              <w:left w:val="single" w:sz="4" w:space="0" w:color="000000"/>
              <w:bottom w:val="single" w:sz="4" w:space="0" w:color="000000"/>
              <w:right w:val="single" w:sz="4" w:space="0" w:color="000000"/>
            </w:tcBorders>
            <w:shd w:val="clear" w:color="auto" w:fill="E2EFD9"/>
          </w:tcPr>
          <w:p>
            <w:pPr/>
          </w:p>
        </w:tc>
        <w:tc>
          <w:tcPr>
            <w:tcW w:w="1200" w:type="dxa"/>
            <w:tcBorders>
              <w:top w:val="single" w:sz="10" w:space="0" w:color="E2EFD9"/>
              <w:left w:val="single" w:sz="4" w:space="0" w:color="000000"/>
              <w:bottom w:val="single" w:sz="8" w:space="0" w:color="E2EFD9"/>
              <w:right w:val="single" w:sz="4" w:space="0" w:color="000000"/>
            </w:tcBorders>
            <w:shd w:val="clear" w:color="auto" w:fill="C5E0B3"/>
          </w:tcPr>
          <w:p>
            <w:pPr>
              <w:pStyle w:val="TableParagraph"/>
              <w:spacing w:before="9"/>
              <w:ind w:left="230"/>
              <w:rPr>
                <w:sz w:val="21"/>
              </w:rPr>
            </w:pPr>
            <w:r>
              <w:rPr>
                <w:sz w:val="21"/>
              </w:rPr>
              <w:t>% Total</w:t>
            </w:r>
          </w:p>
        </w:tc>
        <w:tc>
          <w:tcPr>
            <w:tcW w:w="398" w:type="dxa"/>
            <w:tcBorders>
              <w:top w:val="single" w:sz="10" w:space="0" w:color="E2EFD9"/>
              <w:left w:val="single" w:sz="4" w:space="0" w:color="000000"/>
              <w:bottom w:val="single" w:sz="8" w:space="0" w:color="E2EFD9"/>
              <w:right w:val="single" w:sz="4" w:space="0" w:color="000000"/>
            </w:tcBorders>
            <w:shd w:val="clear" w:color="auto" w:fill="C5E0B3"/>
          </w:tcPr>
          <w:p>
            <w:pPr>
              <w:pStyle w:val="TableParagraph"/>
              <w:spacing w:before="9"/>
              <w:jc w:val="center"/>
              <w:rPr>
                <w:sz w:val="21"/>
              </w:rPr>
            </w:pPr>
            <w:r>
              <w:rPr>
                <w:w w:val="102"/>
                <w:sz w:val="21"/>
              </w:rPr>
              <w:t>0</w:t>
            </w:r>
          </w:p>
        </w:tc>
        <w:tc>
          <w:tcPr>
            <w:tcW w:w="1061" w:type="dxa"/>
            <w:tcBorders>
              <w:top w:val="single" w:sz="10" w:space="0" w:color="E2EFD9"/>
              <w:left w:val="single" w:sz="4" w:space="0" w:color="000000"/>
              <w:bottom w:val="single" w:sz="8" w:space="0" w:color="E2EFD9"/>
              <w:right w:val="single" w:sz="4" w:space="0" w:color="000000"/>
            </w:tcBorders>
            <w:shd w:val="clear" w:color="auto" w:fill="C5E0B3"/>
          </w:tcPr>
          <w:p>
            <w:pPr>
              <w:pStyle w:val="TableParagraph"/>
              <w:spacing w:before="9"/>
              <w:ind w:left="155" w:right="143"/>
              <w:jc w:val="center"/>
              <w:rPr>
                <w:sz w:val="21"/>
              </w:rPr>
            </w:pPr>
            <w:r>
              <w:rPr>
                <w:sz w:val="21"/>
              </w:rPr>
              <w:t>3.33%</w:t>
            </w:r>
          </w:p>
        </w:tc>
        <w:tc>
          <w:tcPr>
            <w:tcW w:w="1109" w:type="dxa"/>
            <w:tcBorders>
              <w:top w:val="single" w:sz="10" w:space="0" w:color="FFFF00"/>
              <w:left w:val="single" w:sz="4" w:space="0" w:color="000000"/>
              <w:bottom w:val="single" w:sz="8" w:space="0" w:color="E2EFD9"/>
              <w:right w:val="single" w:sz="4" w:space="0" w:color="000000"/>
            </w:tcBorders>
            <w:shd w:val="clear" w:color="auto" w:fill="C5E0B3"/>
          </w:tcPr>
          <w:p>
            <w:pPr>
              <w:pStyle w:val="TableParagraph"/>
              <w:spacing w:before="4"/>
              <w:ind w:left="175" w:right="168"/>
              <w:jc w:val="center"/>
              <w:rPr>
                <w:b/>
                <w:sz w:val="21"/>
              </w:rPr>
            </w:pPr>
            <w:r>
              <w:rPr>
                <w:b/>
                <w:sz w:val="21"/>
              </w:rPr>
              <w:t>13.33%</w:t>
            </w:r>
          </w:p>
        </w:tc>
        <w:tc>
          <w:tcPr>
            <w:tcW w:w="1066" w:type="dxa"/>
            <w:tcBorders>
              <w:top w:val="single" w:sz="10" w:space="0" w:color="E2EFD9"/>
              <w:left w:val="single" w:sz="4" w:space="0" w:color="000000"/>
              <w:bottom w:val="single" w:sz="8" w:space="0" w:color="E2EFD9"/>
              <w:right w:val="single" w:sz="4" w:space="0" w:color="000000"/>
            </w:tcBorders>
            <w:shd w:val="clear" w:color="auto" w:fill="C5E0B3"/>
          </w:tcPr>
          <w:p>
            <w:pPr>
              <w:pStyle w:val="TableParagraph"/>
              <w:spacing w:before="9"/>
              <w:ind w:left="150" w:right="147"/>
              <w:jc w:val="center"/>
              <w:rPr>
                <w:sz w:val="21"/>
              </w:rPr>
            </w:pPr>
            <w:r>
              <w:rPr>
                <w:sz w:val="21"/>
              </w:rPr>
              <w:t>3.57%</w:t>
            </w:r>
          </w:p>
        </w:tc>
        <w:tc>
          <w:tcPr>
            <w:tcW w:w="403" w:type="dxa"/>
            <w:tcBorders>
              <w:top w:val="single" w:sz="10" w:space="0" w:color="E2EFD9"/>
              <w:left w:val="single" w:sz="4" w:space="0" w:color="000000"/>
              <w:bottom w:val="single" w:sz="8" w:space="0" w:color="E2EFD9"/>
              <w:right w:val="single" w:sz="4" w:space="0" w:color="000000"/>
            </w:tcBorders>
            <w:shd w:val="clear" w:color="auto" w:fill="C5E0B3"/>
          </w:tcPr>
          <w:p>
            <w:pPr>
              <w:pStyle w:val="TableParagraph"/>
              <w:spacing w:before="9"/>
              <w:ind w:right="137"/>
              <w:jc w:val="right"/>
              <w:rPr>
                <w:sz w:val="21"/>
              </w:rPr>
            </w:pPr>
            <w:r>
              <w:rPr>
                <w:w w:val="102"/>
                <w:sz w:val="21"/>
              </w:rPr>
              <w:t>0</w:t>
            </w:r>
          </w:p>
        </w:tc>
      </w:tr>
      <w:tr>
        <w:trPr>
          <w:trHeight w:val="288" w:hRule="exact"/>
        </w:trPr>
        <w:tc>
          <w:tcPr>
            <w:tcW w:w="1824" w:type="dxa"/>
            <w:vMerge/>
            <w:tcBorders>
              <w:right w:val="single" w:sz="4" w:space="0" w:color="000000"/>
            </w:tcBorders>
            <w:shd w:val="clear" w:color="auto" w:fill="70AD47"/>
          </w:tcPr>
          <w:p>
            <w:pPr/>
          </w:p>
        </w:tc>
        <w:tc>
          <w:tcPr>
            <w:tcW w:w="941" w:type="dxa"/>
            <w:vMerge/>
            <w:tcBorders>
              <w:left w:val="single" w:sz="42" w:space="0" w:color="70AD47"/>
              <w:right w:val="single" w:sz="4" w:space="0" w:color="000000"/>
            </w:tcBorders>
            <w:shd w:val="clear" w:color="auto" w:fill="E2EFD9"/>
          </w:tcPr>
          <w:p>
            <w:pPr/>
          </w:p>
        </w:tc>
        <w:tc>
          <w:tcPr>
            <w:tcW w:w="1358" w:type="dxa"/>
            <w:vMerge w:val="restart"/>
            <w:tcBorders>
              <w:top w:val="single" w:sz="4" w:space="0" w:color="000000"/>
              <w:left w:val="single" w:sz="4" w:space="0" w:color="000000"/>
              <w:right w:val="single" w:sz="4" w:space="0" w:color="000000"/>
            </w:tcBorders>
            <w:shd w:val="clear" w:color="auto" w:fill="E2EFD9"/>
          </w:tcPr>
          <w:p>
            <w:pPr>
              <w:pStyle w:val="TableParagraph"/>
              <w:spacing w:before="170"/>
              <w:ind w:left="196"/>
              <w:rPr>
                <w:sz w:val="21"/>
              </w:rPr>
            </w:pPr>
            <w:r>
              <w:rPr>
                <w:sz w:val="21"/>
              </w:rPr>
              <w:t>Femenino</w:t>
            </w:r>
          </w:p>
        </w:tc>
        <w:tc>
          <w:tcPr>
            <w:tcW w:w="1200"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4"/>
              <w:ind w:left="167"/>
              <w:rPr>
                <w:sz w:val="21"/>
              </w:rPr>
            </w:pPr>
            <w:r>
              <w:rPr>
                <w:sz w:val="21"/>
              </w:rPr>
              <w:t>Cantidad</w:t>
            </w:r>
          </w:p>
        </w:tc>
        <w:tc>
          <w:tcPr>
            <w:tcW w:w="398"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4"/>
              <w:jc w:val="center"/>
              <w:rPr>
                <w:sz w:val="21"/>
              </w:rPr>
            </w:pPr>
            <w:r>
              <w:rPr>
                <w:w w:val="102"/>
                <w:sz w:val="21"/>
              </w:rPr>
              <w:t>0</w:t>
            </w:r>
          </w:p>
        </w:tc>
        <w:tc>
          <w:tcPr>
            <w:tcW w:w="1061"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4"/>
              <w:ind w:left="155" w:right="142"/>
              <w:jc w:val="center"/>
              <w:rPr>
                <w:sz w:val="21"/>
              </w:rPr>
            </w:pPr>
            <w:r>
              <w:rPr>
                <w:sz w:val="21"/>
              </w:rPr>
              <w:t>10</w:t>
            </w:r>
          </w:p>
        </w:tc>
        <w:tc>
          <w:tcPr>
            <w:tcW w:w="1109"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4"/>
              <w:ind w:left="174" w:right="170"/>
              <w:jc w:val="center"/>
              <w:rPr>
                <w:sz w:val="21"/>
              </w:rPr>
            </w:pPr>
            <w:r>
              <w:rPr>
                <w:sz w:val="21"/>
              </w:rPr>
              <w:t>48</w:t>
            </w:r>
          </w:p>
        </w:tc>
        <w:tc>
          <w:tcPr>
            <w:tcW w:w="1066"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4"/>
              <w:ind w:left="155" w:right="146"/>
              <w:jc w:val="center"/>
              <w:rPr>
                <w:sz w:val="21"/>
              </w:rPr>
            </w:pPr>
            <w:r>
              <w:rPr>
                <w:sz w:val="21"/>
              </w:rPr>
              <w:t>29</w:t>
            </w:r>
          </w:p>
        </w:tc>
        <w:tc>
          <w:tcPr>
            <w:tcW w:w="403"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4"/>
              <w:ind w:right="137"/>
              <w:jc w:val="right"/>
              <w:rPr>
                <w:sz w:val="21"/>
              </w:rPr>
            </w:pPr>
            <w:r>
              <w:rPr>
                <w:w w:val="102"/>
                <w:sz w:val="21"/>
              </w:rPr>
              <w:t>0</w:t>
            </w:r>
          </w:p>
        </w:tc>
      </w:tr>
      <w:tr>
        <w:trPr>
          <w:trHeight w:val="310" w:hRule="exact"/>
        </w:trPr>
        <w:tc>
          <w:tcPr>
            <w:tcW w:w="1824" w:type="dxa"/>
            <w:vMerge/>
            <w:tcBorders>
              <w:right w:val="single" w:sz="4" w:space="0" w:color="000000"/>
            </w:tcBorders>
            <w:shd w:val="clear" w:color="auto" w:fill="70AD47"/>
          </w:tcPr>
          <w:p>
            <w:pPr/>
          </w:p>
        </w:tc>
        <w:tc>
          <w:tcPr>
            <w:tcW w:w="941" w:type="dxa"/>
            <w:vMerge/>
            <w:tcBorders>
              <w:left w:val="single" w:sz="42" w:space="0" w:color="70AD47"/>
              <w:bottom w:val="single" w:sz="2" w:space="0" w:color="000000"/>
              <w:right w:val="single" w:sz="4" w:space="0" w:color="000000"/>
            </w:tcBorders>
            <w:shd w:val="clear" w:color="auto" w:fill="E2EFD9"/>
          </w:tcPr>
          <w:p>
            <w:pPr/>
          </w:p>
        </w:tc>
        <w:tc>
          <w:tcPr>
            <w:tcW w:w="1358" w:type="dxa"/>
            <w:vMerge/>
            <w:tcBorders>
              <w:left w:val="single" w:sz="4" w:space="0" w:color="000000"/>
              <w:bottom w:val="single" w:sz="2" w:space="0" w:color="000000"/>
              <w:right w:val="single" w:sz="4" w:space="0" w:color="000000"/>
            </w:tcBorders>
            <w:shd w:val="clear" w:color="auto" w:fill="E2EFD9"/>
          </w:tcPr>
          <w:p>
            <w:pPr/>
          </w:p>
        </w:tc>
        <w:tc>
          <w:tcPr>
            <w:tcW w:w="1200" w:type="dxa"/>
            <w:tcBorders>
              <w:top w:val="single" w:sz="14" w:space="0" w:color="E2EFD9"/>
              <w:left w:val="single" w:sz="4" w:space="0" w:color="000000"/>
              <w:bottom w:val="single" w:sz="10" w:space="0" w:color="E2EFD9"/>
              <w:right w:val="single" w:sz="4" w:space="0" w:color="000000"/>
            </w:tcBorders>
            <w:shd w:val="clear" w:color="auto" w:fill="C5E0B3"/>
          </w:tcPr>
          <w:p>
            <w:pPr>
              <w:pStyle w:val="TableParagraph"/>
              <w:spacing w:before="19"/>
              <w:ind w:left="230"/>
              <w:rPr>
                <w:sz w:val="21"/>
              </w:rPr>
            </w:pPr>
            <w:r>
              <w:rPr>
                <w:sz w:val="21"/>
              </w:rPr>
              <w:t>% Total</w:t>
            </w:r>
          </w:p>
        </w:tc>
        <w:tc>
          <w:tcPr>
            <w:tcW w:w="398" w:type="dxa"/>
            <w:tcBorders>
              <w:top w:val="single" w:sz="14" w:space="0" w:color="E2EFD9"/>
              <w:left w:val="single" w:sz="4" w:space="0" w:color="000000"/>
              <w:bottom w:val="single" w:sz="10" w:space="0" w:color="E2EFD9"/>
              <w:right w:val="single" w:sz="4" w:space="0" w:color="000000"/>
            </w:tcBorders>
            <w:shd w:val="clear" w:color="auto" w:fill="C5E0B3"/>
          </w:tcPr>
          <w:p>
            <w:pPr>
              <w:pStyle w:val="TableParagraph"/>
              <w:spacing w:before="19"/>
              <w:jc w:val="center"/>
              <w:rPr>
                <w:sz w:val="21"/>
              </w:rPr>
            </w:pPr>
            <w:r>
              <w:rPr>
                <w:w w:val="102"/>
                <w:sz w:val="21"/>
              </w:rPr>
              <w:t>0</w:t>
            </w:r>
          </w:p>
        </w:tc>
        <w:tc>
          <w:tcPr>
            <w:tcW w:w="1061" w:type="dxa"/>
            <w:tcBorders>
              <w:top w:val="single" w:sz="14" w:space="0" w:color="E2EFD9"/>
              <w:left w:val="single" w:sz="4" w:space="0" w:color="000000"/>
              <w:bottom w:val="single" w:sz="10" w:space="0" w:color="E2EFD9"/>
              <w:right w:val="single" w:sz="4" w:space="0" w:color="000000"/>
            </w:tcBorders>
            <w:shd w:val="clear" w:color="auto" w:fill="C5E0B3"/>
          </w:tcPr>
          <w:p>
            <w:pPr>
              <w:pStyle w:val="TableParagraph"/>
              <w:spacing w:before="19"/>
              <w:ind w:left="155" w:right="143"/>
              <w:jc w:val="center"/>
              <w:rPr>
                <w:sz w:val="21"/>
              </w:rPr>
            </w:pPr>
            <w:r>
              <w:rPr>
                <w:sz w:val="21"/>
              </w:rPr>
              <w:t>2.38%</w:t>
            </w:r>
          </w:p>
        </w:tc>
        <w:tc>
          <w:tcPr>
            <w:tcW w:w="1109" w:type="dxa"/>
            <w:tcBorders>
              <w:top w:val="single" w:sz="14" w:space="0" w:color="E2EFD9"/>
              <w:left w:val="single" w:sz="4" w:space="0" w:color="000000"/>
              <w:bottom w:val="single" w:sz="9" w:space="0" w:color="E2EFD9"/>
              <w:right w:val="single" w:sz="4" w:space="0" w:color="000000"/>
            </w:tcBorders>
            <w:shd w:val="clear" w:color="auto" w:fill="C5E0B3"/>
          </w:tcPr>
          <w:p>
            <w:pPr>
              <w:pStyle w:val="TableParagraph"/>
              <w:spacing w:before="19"/>
              <w:ind w:left="173" w:right="170"/>
              <w:jc w:val="center"/>
              <w:rPr>
                <w:sz w:val="21"/>
              </w:rPr>
            </w:pPr>
            <w:r>
              <w:rPr>
                <w:sz w:val="21"/>
              </w:rPr>
              <w:t>11.42%</w:t>
            </w:r>
          </w:p>
        </w:tc>
        <w:tc>
          <w:tcPr>
            <w:tcW w:w="1066" w:type="dxa"/>
            <w:tcBorders>
              <w:top w:val="single" w:sz="14" w:space="0" w:color="E2EFD9"/>
              <w:left w:val="single" w:sz="4" w:space="0" w:color="000000"/>
              <w:bottom w:val="single" w:sz="10" w:space="0" w:color="E2EFD9"/>
              <w:right w:val="single" w:sz="4" w:space="0" w:color="000000"/>
            </w:tcBorders>
            <w:shd w:val="clear" w:color="auto" w:fill="C5E0B3"/>
          </w:tcPr>
          <w:p>
            <w:pPr>
              <w:pStyle w:val="TableParagraph"/>
              <w:spacing w:before="19"/>
              <w:ind w:left="150" w:right="147"/>
              <w:jc w:val="center"/>
              <w:rPr>
                <w:sz w:val="21"/>
              </w:rPr>
            </w:pPr>
            <w:r>
              <w:rPr>
                <w:sz w:val="21"/>
              </w:rPr>
              <w:t>6.90%</w:t>
            </w:r>
          </w:p>
        </w:tc>
        <w:tc>
          <w:tcPr>
            <w:tcW w:w="403" w:type="dxa"/>
            <w:tcBorders>
              <w:top w:val="single" w:sz="14" w:space="0" w:color="E2EFD9"/>
              <w:left w:val="single" w:sz="4" w:space="0" w:color="000000"/>
              <w:bottom w:val="single" w:sz="10" w:space="0" w:color="E2EFD9"/>
              <w:right w:val="single" w:sz="4" w:space="0" w:color="000000"/>
            </w:tcBorders>
            <w:shd w:val="clear" w:color="auto" w:fill="C5E0B3"/>
          </w:tcPr>
          <w:p>
            <w:pPr>
              <w:pStyle w:val="TableParagraph"/>
              <w:spacing w:before="19"/>
              <w:ind w:right="137"/>
              <w:jc w:val="right"/>
              <w:rPr>
                <w:sz w:val="21"/>
              </w:rPr>
            </w:pPr>
            <w:r>
              <w:rPr>
                <w:w w:val="102"/>
                <w:sz w:val="21"/>
              </w:rPr>
              <w:t>0</w:t>
            </w:r>
          </w:p>
        </w:tc>
      </w:tr>
      <w:tr>
        <w:trPr>
          <w:trHeight w:val="290" w:hRule="exact"/>
        </w:trPr>
        <w:tc>
          <w:tcPr>
            <w:tcW w:w="1824" w:type="dxa"/>
            <w:vMerge/>
            <w:tcBorders>
              <w:right w:val="single" w:sz="4" w:space="0" w:color="000000"/>
            </w:tcBorders>
            <w:shd w:val="clear" w:color="auto" w:fill="70AD47"/>
          </w:tcPr>
          <w:p>
            <w:pPr/>
          </w:p>
        </w:tc>
        <w:tc>
          <w:tcPr>
            <w:tcW w:w="2299" w:type="dxa"/>
            <w:gridSpan w:val="2"/>
            <w:vMerge w:val="restart"/>
            <w:tcBorders>
              <w:top w:val="single" w:sz="2" w:space="0" w:color="000000"/>
              <w:left w:val="single" w:sz="4" w:space="0" w:color="000000"/>
              <w:right w:val="single" w:sz="4" w:space="0" w:color="000000"/>
            </w:tcBorders>
            <w:shd w:val="clear" w:color="auto" w:fill="E2EFD9"/>
          </w:tcPr>
          <w:p>
            <w:pPr>
              <w:pStyle w:val="TableParagraph"/>
              <w:spacing w:before="170"/>
              <w:ind w:left="785" w:right="786"/>
              <w:jc w:val="center"/>
              <w:rPr>
                <w:sz w:val="21"/>
              </w:rPr>
            </w:pPr>
            <w:r>
              <w:rPr>
                <w:sz w:val="21"/>
              </w:rPr>
              <w:t>TOTAL</w:t>
            </w:r>
          </w:p>
        </w:tc>
        <w:tc>
          <w:tcPr>
            <w:tcW w:w="1200"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2"/>
              <w:ind w:left="167"/>
              <w:rPr>
                <w:sz w:val="21"/>
              </w:rPr>
            </w:pPr>
            <w:r>
              <w:rPr>
                <w:sz w:val="21"/>
              </w:rPr>
              <w:t>Cantidad</w:t>
            </w:r>
          </w:p>
        </w:tc>
        <w:tc>
          <w:tcPr>
            <w:tcW w:w="398"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2"/>
              <w:jc w:val="center"/>
              <w:rPr>
                <w:sz w:val="21"/>
              </w:rPr>
            </w:pPr>
            <w:r>
              <w:rPr>
                <w:w w:val="102"/>
                <w:sz w:val="21"/>
              </w:rPr>
              <w:t>0</w:t>
            </w:r>
          </w:p>
        </w:tc>
        <w:tc>
          <w:tcPr>
            <w:tcW w:w="1061"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2"/>
              <w:ind w:left="155" w:right="142"/>
              <w:jc w:val="center"/>
              <w:rPr>
                <w:sz w:val="21"/>
              </w:rPr>
            </w:pPr>
            <w:r>
              <w:rPr>
                <w:sz w:val="21"/>
              </w:rPr>
              <w:t>24</w:t>
            </w:r>
          </w:p>
        </w:tc>
        <w:tc>
          <w:tcPr>
            <w:tcW w:w="1109"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2"/>
              <w:ind w:left="170" w:right="170"/>
              <w:jc w:val="center"/>
              <w:rPr>
                <w:sz w:val="21"/>
              </w:rPr>
            </w:pPr>
            <w:r>
              <w:rPr>
                <w:sz w:val="21"/>
              </w:rPr>
              <w:t>104</w:t>
            </w:r>
          </w:p>
        </w:tc>
        <w:tc>
          <w:tcPr>
            <w:tcW w:w="1066"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2"/>
              <w:ind w:left="155" w:right="146"/>
              <w:jc w:val="center"/>
              <w:rPr>
                <w:sz w:val="21"/>
              </w:rPr>
            </w:pPr>
            <w:r>
              <w:rPr>
                <w:sz w:val="21"/>
              </w:rPr>
              <w:t>44</w:t>
            </w:r>
          </w:p>
        </w:tc>
        <w:tc>
          <w:tcPr>
            <w:tcW w:w="403" w:type="dxa"/>
            <w:tcBorders>
              <w:top w:val="single" w:sz="10" w:space="0" w:color="C5E0B3"/>
              <w:left w:val="single" w:sz="4" w:space="0" w:color="000000"/>
              <w:bottom w:val="single" w:sz="4" w:space="0" w:color="000000"/>
              <w:right w:val="single" w:sz="4" w:space="0" w:color="000000"/>
            </w:tcBorders>
            <w:shd w:val="clear" w:color="auto" w:fill="E2EFD9"/>
          </w:tcPr>
          <w:p>
            <w:pPr>
              <w:pStyle w:val="TableParagraph"/>
              <w:spacing w:before="12"/>
              <w:ind w:right="137"/>
              <w:jc w:val="right"/>
              <w:rPr>
                <w:sz w:val="21"/>
              </w:rPr>
            </w:pPr>
            <w:r>
              <w:rPr>
                <w:w w:val="102"/>
                <w:sz w:val="21"/>
              </w:rPr>
              <w:t>0</w:t>
            </w:r>
          </w:p>
        </w:tc>
      </w:tr>
      <w:tr>
        <w:trPr>
          <w:trHeight w:val="324" w:hRule="exact"/>
        </w:trPr>
        <w:tc>
          <w:tcPr>
            <w:tcW w:w="1824" w:type="dxa"/>
            <w:vMerge/>
            <w:tcBorders>
              <w:bottom w:val="single" w:sz="4" w:space="0" w:color="000000"/>
              <w:right w:val="single" w:sz="4" w:space="0" w:color="000000"/>
            </w:tcBorders>
            <w:shd w:val="clear" w:color="auto" w:fill="70AD47"/>
          </w:tcPr>
          <w:p>
            <w:pPr/>
          </w:p>
        </w:tc>
        <w:tc>
          <w:tcPr>
            <w:tcW w:w="2299" w:type="dxa"/>
            <w:gridSpan w:val="2"/>
            <w:vMerge/>
            <w:tcBorders>
              <w:left w:val="single" w:sz="4" w:space="0" w:color="000000"/>
              <w:bottom w:val="single" w:sz="4" w:space="0" w:color="000000"/>
              <w:right w:val="single" w:sz="4" w:space="0" w:color="000000"/>
            </w:tcBorders>
            <w:shd w:val="clear" w:color="auto" w:fill="E2EFD9"/>
          </w:tcPr>
          <w:p>
            <w:pPr/>
          </w:p>
        </w:tc>
        <w:tc>
          <w:tcPr>
            <w:tcW w:w="1200" w:type="dxa"/>
            <w:tcBorders>
              <w:top w:val="single" w:sz="14" w:space="0" w:color="E2EFD9"/>
              <w:left w:val="single" w:sz="4" w:space="0" w:color="000000"/>
              <w:bottom w:val="single" w:sz="15" w:space="0" w:color="E2EFD9"/>
              <w:right w:val="single" w:sz="4" w:space="0" w:color="000000"/>
            </w:tcBorders>
            <w:shd w:val="clear" w:color="auto" w:fill="C5E0B3"/>
          </w:tcPr>
          <w:p>
            <w:pPr>
              <w:pStyle w:val="TableParagraph"/>
              <w:spacing w:before="19"/>
              <w:ind w:left="230"/>
              <w:rPr>
                <w:sz w:val="21"/>
              </w:rPr>
            </w:pPr>
            <w:r>
              <w:rPr>
                <w:sz w:val="21"/>
              </w:rPr>
              <w:t>% Total</w:t>
            </w:r>
          </w:p>
        </w:tc>
        <w:tc>
          <w:tcPr>
            <w:tcW w:w="398" w:type="dxa"/>
            <w:tcBorders>
              <w:top w:val="single" w:sz="14" w:space="0" w:color="E2EFD9"/>
              <w:left w:val="single" w:sz="4" w:space="0" w:color="000000"/>
              <w:bottom w:val="single" w:sz="15" w:space="0" w:color="E2EFD9"/>
              <w:right w:val="single" w:sz="4" w:space="0" w:color="000000"/>
            </w:tcBorders>
            <w:shd w:val="clear" w:color="auto" w:fill="C5E0B3"/>
          </w:tcPr>
          <w:p>
            <w:pPr>
              <w:pStyle w:val="TableParagraph"/>
              <w:spacing w:before="19"/>
              <w:jc w:val="center"/>
              <w:rPr>
                <w:sz w:val="21"/>
              </w:rPr>
            </w:pPr>
            <w:r>
              <w:rPr>
                <w:w w:val="102"/>
                <w:sz w:val="21"/>
              </w:rPr>
              <w:t>0</w:t>
            </w:r>
          </w:p>
        </w:tc>
        <w:tc>
          <w:tcPr>
            <w:tcW w:w="1061" w:type="dxa"/>
            <w:tcBorders>
              <w:top w:val="single" w:sz="14" w:space="0" w:color="E2EFD9"/>
              <w:left w:val="single" w:sz="4" w:space="0" w:color="000000"/>
              <w:bottom w:val="single" w:sz="15" w:space="0" w:color="E2EFD9"/>
              <w:right w:val="single" w:sz="4" w:space="0" w:color="000000"/>
            </w:tcBorders>
            <w:shd w:val="clear" w:color="auto" w:fill="C5E0B3"/>
          </w:tcPr>
          <w:p>
            <w:pPr>
              <w:pStyle w:val="TableParagraph"/>
              <w:spacing w:before="19"/>
              <w:ind w:left="155" w:right="143"/>
              <w:jc w:val="center"/>
              <w:rPr>
                <w:sz w:val="21"/>
              </w:rPr>
            </w:pPr>
            <w:r>
              <w:rPr>
                <w:sz w:val="21"/>
              </w:rPr>
              <w:t>5.71%</w:t>
            </w:r>
          </w:p>
        </w:tc>
        <w:tc>
          <w:tcPr>
            <w:tcW w:w="1109" w:type="dxa"/>
            <w:tcBorders>
              <w:top w:val="single" w:sz="14" w:space="0" w:color="E2EFD9"/>
              <w:left w:val="single" w:sz="4" w:space="0" w:color="000000"/>
              <w:bottom w:val="single" w:sz="15" w:space="0" w:color="E2EFD9"/>
              <w:right w:val="single" w:sz="4" w:space="0" w:color="000000"/>
            </w:tcBorders>
            <w:shd w:val="clear" w:color="auto" w:fill="C5E0B3"/>
          </w:tcPr>
          <w:p>
            <w:pPr>
              <w:pStyle w:val="TableParagraph"/>
              <w:spacing w:before="19"/>
              <w:ind w:left="173" w:right="170"/>
              <w:jc w:val="center"/>
              <w:rPr>
                <w:sz w:val="21"/>
              </w:rPr>
            </w:pPr>
            <w:r>
              <w:rPr>
                <w:sz w:val="21"/>
              </w:rPr>
              <w:t>24.76%</w:t>
            </w:r>
          </w:p>
        </w:tc>
        <w:tc>
          <w:tcPr>
            <w:tcW w:w="1066" w:type="dxa"/>
            <w:tcBorders>
              <w:top w:val="single" w:sz="14" w:space="0" w:color="E2EFD9"/>
              <w:left w:val="single" w:sz="4" w:space="0" w:color="000000"/>
              <w:bottom w:val="single" w:sz="15" w:space="0" w:color="E2EFD9"/>
              <w:right w:val="single" w:sz="4" w:space="0" w:color="000000"/>
            </w:tcBorders>
            <w:shd w:val="clear" w:color="auto" w:fill="C5E0B3"/>
          </w:tcPr>
          <w:p>
            <w:pPr>
              <w:pStyle w:val="TableParagraph"/>
              <w:spacing w:before="19"/>
              <w:ind w:left="155" w:right="147"/>
              <w:jc w:val="center"/>
              <w:rPr>
                <w:sz w:val="21"/>
              </w:rPr>
            </w:pPr>
            <w:r>
              <w:rPr>
                <w:sz w:val="21"/>
              </w:rPr>
              <w:t>10.47</w:t>
            </w:r>
          </w:p>
        </w:tc>
        <w:tc>
          <w:tcPr>
            <w:tcW w:w="403" w:type="dxa"/>
            <w:tcBorders>
              <w:top w:val="single" w:sz="14" w:space="0" w:color="E2EFD9"/>
              <w:left w:val="single" w:sz="4" w:space="0" w:color="000000"/>
              <w:bottom w:val="single" w:sz="15" w:space="0" w:color="E2EFD9"/>
              <w:right w:val="single" w:sz="4" w:space="0" w:color="000000"/>
            </w:tcBorders>
            <w:shd w:val="clear" w:color="auto" w:fill="C5E0B3"/>
          </w:tcPr>
          <w:p>
            <w:pPr>
              <w:pStyle w:val="TableParagraph"/>
              <w:spacing w:before="19"/>
              <w:ind w:right="137"/>
              <w:jc w:val="right"/>
              <w:rPr>
                <w:sz w:val="21"/>
              </w:rPr>
            </w:pPr>
            <w:r>
              <w:rPr>
                <w:w w:val="102"/>
                <w:sz w:val="21"/>
              </w:rPr>
              <w:t>0</w:t>
            </w:r>
          </w:p>
        </w:tc>
      </w:tr>
      <w:tr>
        <w:trPr>
          <w:trHeight w:val="284" w:hRule="exact"/>
        </w:trPr>
        <w:tc>
          <w:tcPr>
            <w:tcW w:w="1824" w:type="dxa"/>
            <w:vMerge w:val="restart"/>
            <w:tcBorders>
              <w:top w:val="single" w:sz="4" w:space="0" w:color="000000"/>
              <w:right w:val="single" w:sz="4" w:space="0" w:color="000000"/>
            </w:tcBorders>
            <w:shd w:val="clear" w:color="auto" w:fill="70AD47"/>
          </w:tcPr>
          <w:p>
            <w:pPr>
              <w:pStyle w:val="TableParagraph"/>
              <w:rPr>
                <w:b/>
                <w:sz w:val="20"/>
              </w:rPr>
            </w:pPr>
          </w:p>
          <w:p>
            <w:pPr>
              <w:pStyle w:val="TableParagraph"/>
              <w:rPr>
                <w:b/>
                <w:sz w:val="20"/>
              </w:rPr>
            </w:pPr>
          </w:p>
          <w:p>
            <w:pPr>
              <w:pStyle w:val="TableParagraph"/>
              <w:spacing w:before="11"/>
              <w:rPr>
                <w:b/>
                <w:sz w:val="25"/>
              </w:rPr>
            </w:pPr>
          </w:p>
          <w:p>
            <w:pPr>
              <w:pStyle w:val="TableParagraph"/>
              <w:ind w:left="571"/>
              <w:rPr>
                <w:b/>
                <w:sz w:val="21"/>
              </w:rPr>
            </w:pPr>
            <w:r>
              <w:rPr>
                <w:b/>
                <w:sz w:val="21"/>
              </w:rPr>
              <w:t>Adulto</w:t>
            </w:r>
          </w:p>
        </w:tc>
        <w:tc>
          <w:tcPr>
            <w:tcW w:w="941" w:type="dxa"/>
            <w:vMerge w:val="restart"/>
            <w:tcBorders>
              <w:top w:val="single" w:sz="4" w:space="0" w:color="000000"/>
              <w:left w:val="single" w:sz="42" w:space="0" w:color="70AD47"/>
              <w:right w:val="single" w:sz="4" w:space="0" w:color="000000"/>
            </w:tcBorders>
            <w:shd w:val="clear" w:color="auto" w:fill="E2EFD9"/>
          </w:tcPr>
          <w:p>
            <w:pPr>
              <w:pStyle w:val="TableParagraph"/>
              <w:rPr>
                <w:b/>
                <w:sz w:val="20"/>
              </w:rPr>
            </w:pPr>
          </w:p>
          <w:p>
            <w:pPr>
              <w:pStyle w:val="TableParagraph"/>
              <w:spacing w:before="1"/>
              <w:rPr>
                <w:b/>
                <w:sz w:val="20"/>
              </w:rPr>
            </w:pPr>
          </w:p>
          <w:p>
            <w:pPr>
              <w:pStyle w:val="TableParagraph"/>
              <w:ind w:left="124"/>
              <w:rPr>
                <w:sz w:val="21"/>
              </w:rPr>
            </w:pPr>
            <w:r>
              <w:rPr>
                <w:sz w:val="21"/>
              </w:rPr>
              <w:t>SEXO</w:t>
            </w:r>
          </w:p>
        </w:tc>
        <w:tc>
          <w:tcPr>
            <w:tcW w:w="1358" w:type="dxa"/>
            <w:vMerge w:val="restart"/>
            <w:tcBorders>
              <w:top w:val="single" w:sz="4" w:space="0" w:color="000000"/>
              <w:left w:val="single" w:sz="4" w:space="0" w:color="000000"/>
              <w:right w:val="single" w:sz="4" w:space="0" w:color="000000"/>
            </w:tcBorders>
            <w:shd w:val="clear" w:color="auto" w:fill="E2EFD9"/>
          </w:tcPr>
          <w:p>
            <w:pPr>
              <w:pStyle w:val="TableParagraph"/>
              <w:spacing w:before="163"/>
              <w:ind w:left="191"/>
              <w:rPr>
                <w:sz w:val="21"/>
              </w:rPr>
            </w:pPr>
            <w:r>
              <w:rPr>
                <w:sz w:val="21"/>
              </w:rPr>
              <w:t>Masculino</w:t>
            </w:r>
          </w:p>
        </w:tc>
        <w:tc>
          <w:tcPr>
            <w:tcW w:w="1200"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4"/>
              <w:ind w:left="167"/>
              <w:rPr>
                <w:sz w:val="21"/>
              </w:rPr>
            </w:pPr>
            <w:r>
              <w:rPr>
                <w:sz w:val="21"/>
              </w:rPr>
              <w:t>Cantidad</w:t>
            </w:r>
          </w:p>
        </w:tc>
        <w:tc>
          <w:tcPr>
            <w:tcW w:w="398"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4"/>
              <w:jc w:val="center"/>
              <w:rPr>
                <w:sz w:val="21"/>
              </w:rPr>
            </w:pPr>
            <w:r>
              <w:rPr>
                <w:w w:val="102"/>
                <w:sz w:val="21"/>
              </w:rPr>
              <w:t>0</w:t>
            </w:r>
          </w:p>
        </w:tc>
        <w:tc>
          <w:tcPr>
            <w:tcW w:w="106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4"/>
              <w:ind w:left="155" w:right="142"/>
              <w:jc w:val="center"/>
              <w:rPr>
                <w:sz w:val="21"/>
              </w:rPr>
            </w:pPr>
            <w:r>
              <w:rPr>
                <w:sz w:val="21"/>
              </w:rPr>
              <w:t>39</w:t>
            </w:r>
          </w:p>
        </w:tc>
        <w:tc>
          <w:tcPr>
            <w:tcW w:w="1109"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4"/>
              <w:ind w:left="174" w:right="170"/>
              <w:jc w:val="center"/>
              <w:rPr>
                <w:sz w:val="21"/>
              </w:rPr>
            </w:pPr>
            <w:r>
              <w:rPr>
                <w:sz w:val="21"/>
              </w:rPr>
              <w:t>34</w:t>
            </w:r>
          </w:p>
        </w:tc>
        <w:tc>
          <w:tcPr>
            <w:tcW w:w="106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4"/>
              <w:ind w:left="155" w:right="146"/>
              <w:jc w:val="center"/>
              <w:rPr>
                <w:sz w:val="21"/>
              </w:rPr>
            </w:pPr>
            <w:r>
              <w:rPr>
                <w:sz w:val="21"/>
              </w:rPr>
              <w:t>30</w:t>
            </w:r>
          </w:p>
        </w:tc>
        <w:tc>
          <w:tcPr>
            <w:tcW w:w="40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4"/>
              <w:ind w:right="137"/>
              <w:jc w:val="right"/>
              <w:rPr>
                <w:sz w:val="21"/>
              </w:rPr>
            </w:pPr>
            <w:r>
              <w:rPr>
                <w:w w:val="102"/>
                <w:sz w:val="21"/>
              </w:rPr>
              <w:t>0</w:t>
            </w:r>
          </w:p>
        </w:tc>
      </w:tr>
      <w:tr>
        <w:trPr>
          <w:trHeight w:val="322" w:hRule="exact"/>
        </w:trPr>
        <w:tc>
          <w:tcPr>
            <w:tcW w:w="1824" w:type="dxa"/>
            <w:vMerge/>
            <w:tcBorders>
              <w:right w:val="single" w:sz="4" w:space="0" w:color="000000"/>
            </w:tcBorders>
            <w:shd w:val="clear" w:color="auto" w:fill="70AD47"/>
          </w:tcPr>
          <w:p>
            <w:pPr/>
          </w:p>
        </w:tc>
        <w:tc>
          <w:tcPr>
            <w:tcW w:w="941" w:type="dxa"/>
            <w:vMerge/>
            <w:tcBorders>
              <w:left w:val="single" w:sz="42" w:space="0" w:color="70AD47"/>
              <w:right w:val="single" w:sz="4" w:space="0" w:color="000000"/>
            </w:tcBorders>
            <w:shd w:val="clear" w:color="auto" w:fill="E2EFD9"/>
          </w:tcPr>
          <w:p>
            <w:pPr/>
          </w:p>
        </w:tc>
        <w:tc>
          <w:tcPr>
            <w:tcW w:w="1358" w:type="dxa"/>
            <w:vMerge/>
            <w:tcBorders>
              <w:left w:val="single" w:sz="4" w:space="0" w:color="000000"/>
              <w:bottom w:val="single" w:sz="4" w:space="0" w:color="000000"/>
              <w:right w:val="single" w:sz="4" w:space="0" w:color="000000"/>
            </w:tcBorders>
            <w:shd w:val="clear" w:color="auto" w:fill="E2EFD9"/>
          </w:tcPr>
          <w:p>
            <w:pPr/>
          </w:p>
        </w:tc>
        <w:tc>
          <w:tcPr>
            <w:tcW w:w="1200" w:type="dxa"/>
            <w:tcBorders>
              <w:top w:val="single" w:sz="10" w:space="0" w:color="E2EFD9"/>
              <w:left w:val="single" w:sz="44" w:space="0" w:color="E2EFD9"/>
              <w:bottom w:val="single" w:sz="11" w:space="0" w:color="E2EFD9"/>
              <w:right w:val="single" w:sz="4" w:space="0" w:color="000000"/>
            </w:tcBorders>
            <w:shd w:val="clear" w:color="auto" w:fill="C5E0B3"/>
          </w:tcPr>
          <w:p>
            <w:pPr>
              <w:pStyle w:val="TableParagraph"/>
              <w:spacing w:before="26"/>
              <w:ind w:left="179"/>
              <w:rPr>
                <w:sz w:val="21"/>
              </w:rPr>
            </w:pPr>
            <w:r>
              <w:rPr>
                <w:sz w:val="21"/>
              </w:rPr>
              <w:t>% Total</w:t>
            </w:r>
          </w:p>
        </w:tc>
        <w:tc>
          <w:tcPr>
            <w:tcW w:w="398" w:type="dxa"/>
            <w:tcBorders>
              <w:top w:val="single" w:sz="10" w:space="0" w:color="E2EFD9"/>
              <w:left w:val="single" w:sz="4" w:space="0" w:color="000000"/>
              <w:bottom w:val="single" w:sz="11" w:space="0" w:color="E2EFD9"/>
              <w:right w:val="single" w:sz="4" w:space="0" w:color="000000"/>
            </w:tcBorders>
            <w:shd w:val="clear" w:color="auto" w:fill="C5E0B3"/>
          </w:tcPr>
          <w:p>
            <w:pPr>
              <w:pStyle w:val="TableParagraph"/>
              <w:spacing w:before="26"/>
              <w:jc w:val="center"/>
              <w:rPr>
                <w:sz w:val="21"/>
              </w:rPr>
            </w:pPr>
            <w:r>
              <w:rPr>
                <w:w w:val="102"/>
                <w:sz w:val="21"/>
              </w:rPr>
              <w:t>0</w:t>
            </w:r>
          </w:p>
        </w:tc>
        <w:tc>
          <w:tcPr>
            <w:tcW w:w="1061" w:type="dxa"/>
            <w:tcBorders>
              <w:top w:val="single" w:sz="10" w:space="0" w:color="E2EFD9"/>
              <w:left w:val="single" w:sz="4" w:space="0" w:color="000000"/>
              <w:bottom w:val="single" w:sz="11" w:space="0" w:color="E2EFD9"/>
              <w:right w:val="single" w:sz="4" w:space="0" w:color="000000"/>
            </w:tcBorders>
            <w:shd w:val="clear" w:color="auto" w:fill="C5E0B3"/>
          </w:tcPr>
          <w:p>
            <w:pPr>
              <w:pStyle w:val="TableParagraph"/>
              <w:spacing w:before="26"/>
              <w:ind w:left="155" w:right="143"/>
              <w:jc w:val="center"/>
              <w:rPr>
                <w:sz w:val="21"/>
              </w:rPr>
            </w:pPr>
            <w:r>
              <w:rPr>
                <w:sz w:val="21"/>
              </w:rPr>
              <w:t>9.28%</w:t>
            </w:r>
          </w:p>
        </w:tc>
        <w:tc>
          <w:tcPr>
            <w:tcW w:w="1109" w:type="dxa"/>
            <w:tcBorders>
              <w:top w:val="single" w:sz="10" w:space="0" w:color="E2EFD9"/>
              <w:left w:val="single" w:sz="4" w:space="0" w:color="000000"/>
              <w:bottom w:val="single" w:sz="11" w:space="0" w:color="E2EFD9"/>
              <w:right w:val="single" w:sz="4" w:space="0" w:color="000000"/>
            </w:tcBorders>
            <w:shd w:val="clear" w:color="auto" w:fill="C5E0B3"/>
          </w:tcPr>
          <w:p>
            <w:pPr>
              <w:pStyle w:val="TableParagraph"/>
              <w:spacing w:before="26"/>
              <w:ind w:left="173" w:right="170"/>
              <w:jc w:val="center"/>
              <w:rPr>
                <w:sz w:val="21"/>
              </w:rPr>
            </w:pPr>
            <w:r>
              <w:rPr>
                <w:sz w:val="21"/>
              </w:rPr>
              <w:t>8.09%</w:t>
            </w:r>
          </w:p>
        </w:tc>
        <w:tc>
          <w:tcPr>
            <w:tcW w:w="1066" w:type="dxa"/>
            <w:tcBorders>
              <w:top w:val="single" w:sz="10" w:space="0" w:color="E2EFD9"/>
              <w:left w:val="single" w:sz="4" w:space="0" w:color="000000"/>
              <w:bottom w:val="single" w:sz="11" w:space="0" w:color="E2EFD9"/>
              <w:right w:val="single" w:sz="4" w:space="0" w:color="000000"/>
            </w:tcBorders>
            <w:shd w:val="clear" w:color="auto" w:fill="C5E0B3"/>
          </w:tcPr>
          <w:p>
            <w:pPr>
              <w:pStyle w:val="TableParagraph"/>
              <w:spacing w:before="26"/>
              <w:ind w:left="150" w:right="147"/>
              <w:jc w:val="center"/>
              <w:rPr>
                <w:sz w:val="21"/>
              </w:rPr>
            </w:pPr>
            <w:r>
              <w:rPr>
                <w:sz w:val="21"/>
              </w:rPr>
              <w:t>7.14%</w:t>
            </w:r>
          </w:p>
        </w:tc>
        <w:tc>
          <w:tcPr>
            <w:tcW w:w="403" w:type="dxa"/>
            <w:tcBorders>
              <w:top w:val="single" w:sz="10" w:space="0" w:color="E2EFD9"/>
              <w:left w:val="single" w:sz="4" w:space="0" w:color="000000"/>
              <w:bottom w:val="single" w:sz="11" w:space="0" w:color="E2EFD9"/>
              <w:right w:val="single" w:sz="4" w:space="0" w:color="000000"/>
            </w:tcBorders>
            <w:shd w:val="clear" w:color="auto" w:fill="C5E0B3"/>
          </w:tcPr>
          <w:p>
            <w:pPr>
              <w:pStyle w:val="TableParagraph"/>
              <w:spacing w:before="26"/>
              <w:ind w:right="137"/>
              <w:jc w:val="right"/>
              <w:rPr>
                <w:sz w:val="21"/>
              </w:rPr>
            </w:pPr>
            <w:r>
              <w:rPr>
                <w:w w:val="102"/>
                <w:sz w:val="21"/>
              </w:rPr>
              <w:t>0</w:t>
            </w:r>
          </w:p>
        </w:tc>
      </w:tr>
      <w:tr>
        <w:trPr>
          <w:trHeight w:val="279" w:hRule="exact"/>
        </w:trPr>
        <w:tc>
          <w:tcPr>
            <w:tcW w:w="1824" w:type="dxa"/>
            <w:vMerge/>
            <w:tcBorders>
              <w:right w:val="single" w:sz="4" w:space="0" w:color="000000"/>
            </w:tcBorders>
            <w:shd w:val="clear" w:color="auto" w:fill="70AD47"/>
          </w:tcPr>
          <w:p>
            <w:pPr/>
          </w:p>
        </w:tc>
        <w:tc>
          <w:tcPr>
            <w:tcW w:w="941" w:type="dxa"/>
            <w:vMerge/>
            <w:tcBorders>
              <w:left w:val="single" w:sz="42" w:space="0" w:color="70AD47"/>
              <w:right w:val="single" w:sz="4" w:space="0" w:color="000000"/>
            </w:tcBorders>
            <w:shd w:val="clear" w:color="auto" w:fill="E2EFD9"/>
          </w:tcPr>
          <w:p>
            <w:pPr/>
          </w:p>
        </w:tc>
        <w:tc>
          <w:tcPr>
            <w:tcW w:w="1358" w:type="dxa"/>
            <w:vMerge w:val="restart"/>
            <w:tcBorders>
              <w:top w:val="single" w:sz="4" w:space="0" w:color="000000"/>
              <w:left w:val="single" w:sz="4" w:space="0" w:color="000000"/>
              <w:right w:val="single" w:sz="4" w:space="0" w:color="000000"/>
            </w:tcBorders>
            <w:shd w:val="clear" w:color="auto" w:fill="E2EFD9"/>
          </w:tcPr>
          <w:p>
            <w:pPr>
              <w:pStyle w:val="TableParagraph"/>
              <w:spacing w:before="163"/>
              <w:ind w:left="196"/>
              <w:rPr>
                <w:sz w:val="21"/>
              </w:rPr>
            </w:pPr>
            <w:r>
              <w:rPr>
                <w:sz w:val="21"/>
              </w:rPr>
              <w:t>Femenino</w:t>
            </w:r>
          </w:p>
        </w:tc>
        <w:tc>
          <w:tcPr>
            <w:tcW w:w="1200"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9"/>
              <w:ind w:left="167"/>
              <w:rPr>
                <w:sz w:val="21"/>
              </w:rPr>
            </w:pPr>
            <w:r>
              <w:rPr>
                <w:sz w:val="21"/>
              </w:rPr>
              <w:t>Cantidad</w:t>
            </w:r>
          </w:p>
        </w:tc>
        <w:tc>
          <w:tcPr>
            <w:tcW w:w="398"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9"/>
              <w:jc w:val="center"/>
              <w:rPr>
                <w:sz w:val="21"/>
              </w:rPr>
            </w:pPr>
            <w:r>
              <w:rPr>
                <w:w w:val="102"/>
                <w:sz w:val="21"/>
              </w:rPr>
              <w:t>0</w:t>
            </w:r>
          </w:p>
        </w:tc>
        <w:tc>
          <w:tcPr>
            <w:tcW w:w="106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9"/>
              <w:ind w:left="155" w:right="142"/>
              <w:jc w:val="center"/>
              <w:rPr>
                <w:sz w:val="21"/>
              </w:rPr>
            </w:pPr>
            <w:r>
              <w:rPr>
                <w:sz w:val="21"/>
              </w:rPr>
              <w:t>45</w:t>
            </w:r>
          </w:p>
        </w:tc>
        <w:tc>
          <w:tcPr>
            <w:tcW w:w="1109"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9"/>
              <w:ind w:left="174" w:right="170"/>
              <w:jc w:val="center"/>
              <w:rPr>
                <w:sz w:val="21"/>
              </w:rPr>
            </w:pPr>
            <w:r>
              <w:rPr>
                <w:sz w:val="21"/>
              </w:rPr>
              <w:t>42</w:t>
            </w:r>
          </w:p>
        </w:tc>
        <w:tc>
          <w:tcPr>
            <w:tcW w:w="106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9"/>
              <w:ind w:left="155" w:right="146"/>
              <w:jc w:val="center"/>
              <w:rPr>
                <w:sz w:val="21"/>
              </w:rPr>
            </w:pPr>
            <w:r>
              <w:rPr>
                <w:sz w:val="21"/>
              </w:rPr>
              <w:t>26</w:t>
            </w:r>
          </w:p>
        </w:tc>
        <w:tc>
          <w:tcPr>
            <w:tcW w:w="40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9"/>
              <w:ind w:right="137"/>
              <w:jc w:val="right"/>
              <w:rPr>
                <w:sz w:val="21"/>
              </w:rPr>
            </w:pPr>
            <w:r>
              <w:rPr>
                <w:w w:val="102"/>
                <w:sz w:val="21"/>
              </w:rPr>
              <w:t>0</w:t>
            </w:r>
          </w:p>
        </w:tc>
      </w:tr>
      <w:tr>
        <w:trPr>
          <w:trHeight w:val="309" w:hRule="exact"/>
        </w:trPr>
        <w:tc>
          <w:tcPr>
            <w:tcW w:w="1824" w:type="dxa"/>
            <w:vMerge/>
            <w:tcBorders>
              <w:right w:val="single" w:sz="4" w:space="0" w:color="000000"/>
            </w:tcBorders>
            <w:shd w:val="clear" w:color="auto" w:fill="70AD47"/>
          </w:tcPr>
          <w:p>
            <w:pPr/>
          </w:p>
        </w:tc>
        <w:tc>
          <w:tcPr>
            <w:tcW w:w="941" w:type="dxa"/>
            <w:vMerge/>
            <w:tcBorders>
              <w:left w:val="single" w:sz="42" w:space="0" w:color="70AD47"/>
              <w:bottom w:val="single" w:sz="4" w:space="0" w:color="000000"/>
              <w:right w:val="single" w:sz="4" w:space="0" w:color="000000"/>
            </w:tcBorders>
            <w:shd w:val="clear" w:color="auto" w:fill="E2EFD9"/>
          </w:tcPr>
          <w:p>
            <w:pPr/>
          </w:p>
        </w:tc>
        <w:tc>
          <w:tcPr>
            <w:tcW w:w="1358" w:type="dxa"/>
            <w:vMerge/>
            <w:tcBorders>
              <w:left w:val="single" w:sz="4" w:space="0" w:color="000000"/>
              <w:bottom w:val="single" w:sz="4" w:space="0" w:color="000000"/>
              <w:right w:val="single" w:sz="4" w:space="0" w:color="000000"/>
            </w:tcBorders>
            <w:shd w:val="clear" w:color="auto" w:fill="E2EFD9"/>
          </w:tcPr>
          <w:p>
            <w:pPr/>
          </w:p>
        </w:tc>
        <w:tc>
          <w:tcPr>
            <w:tcW w:w="1200" w:type="dxa"/>
            <w:tcBorders>
              <w:top w:val="single" w:sz="8" w:space="0" w:color="E2EFD9"/>
              <w:left w:val="single" w:sz="44" w:space="0" w:color="E2EFD9"/>
              <w:bottom w:val="single" w:sz="10" w:space="0" w:color="E2EFD9"/>
              <w:right w:val="single" w:sz="4" w:space="0" w:color="000000"/>
            </w:tcBorders>
            <w:shd w:val="clear" w:color="auto" w:fill="C5E0B3"/>
          </w:tcPr>
          <w:p>
            <w:pPr>
              <w:pStyle w:val="TableParagraph"/>
              <w:spacing w:before="27"/>
              <w:ind w:left="179"/>
              <w:rPr>
                <w:sz w:val="21"/>
              </w:rPr>
            </w:pPr>
            <w:r>
              <w:rPr>
                <w:sz w:val="21"/>
              </w:rPr>
              <w:t>% Total</w:t>
            </w:r>
          </w:p>
        </w:tc>
        <w:tc>
          <w:tcPr>
            <w:tcW w:w="398" w:type="dxa"/>
            <w:tcBorders>
              <w:top w:val="single" w:sz="8" w:space="0" w:color="E2EFD9"/>
              <w:left w:val="single" w:sz="4" w:space="0" w:color="000000"/>
              <w:bottom w:val="single" w:sz="10" w:space="0" w:color="E2EFD9"/>
              <w:right w:val="single" w:sz="4" w:space="0" w:color="000000"/>
            </w:tcBorders>
            <w:shd w:val="clear" w:color="auto" w:fill="C5E0B3"/>
          </w:tcPr>
          <w:p>
            <w:pPr>
              <w:pStyle w:val="TableParagraph"/>
              <w:spacing w:before="27"/>
              <w:jc w:val="center"/>
              <w:rPr>
                <w:sz w:val="21"/>
              </w:rPr>
            </w:pPr>
            <w:r>
              <w:rPr>
                <w:w w:val="102"/>
                <w:sz w:val="21"/>
              </w:rPr>
              <w:t>0</w:t>
            </w:r>
          </w:p>
        </w:tc>
        <w:tc>
          <w:tcPr>
            <w:tcW w:w="1061" w:type="dxa"/>
            <w:tcBorders>
              <w:top w:val="single" w:sz="8" w:space="0" w:color="E2EFD9"/>
              <w:left w:val="single" w:sz="4" w:space="0" w:color="000000"/>
              <w:bottom w:val="single" w:sz="10" w:space="0" w:color="E2EFD9"/>
              <w:right w:val="single" w:sz="4" w:space="0" w:color="000000"/>
            </w:tcBorders>
            <w:shd w:val="clear" w:color="auto" w:fill="C5E0B3"/>
          </w:tcPr>
          <w:p>
            <w:pPr>
              <w:pStyle w:val="TableParagraph"/>
              <w:spacing w:before="27"/>
              <w:ind w:left="155" w:right="143"/>
              <w:jc w:val="center"/>
              <w:rPr>
                <w:sz w:val="21"/>
              </w:rPr>
            </w:pPr>
            <w:r>
              <w:rPr>
                <w:sz w:val="21"/>
              </w:rPr>
              <w:t>10.71%</w:t>
            </w:r>
          </w:p>
        </w:tc>
        <w:tc>
          <w:tcPr>
            <w:tcW w:w="1109" w:type="dxa"/>
            <w:tcBorders>
              <w:top w:val="single" w:sz="8" w:space="0" w:color="E2EFD9"/>
              <w:left w:val="single" w:sz="4" w:space="0" w:color="000000"/>
              <w:bottom w:val="single" w:sz="10" w:space="0" w:color="E2EFD9"/>
              <w:right w:val="single" w:sz="4" w:space="0" w:color="000000"/>
            </w:tcBorders>
            <w:shd w:val="clear" w:color="auto" w:fill="C5E0B3"/>
          </w:tcPr>
          <w:p>
            <w:pPr>
              <w:pStyle w:val="TableParagraph"/>
              <w:spacing w:before="27"/>
              <w:ind w:left="173" w:right="170"/>
              <w:jc w:val="center"/>
              <w:rPr>
                <w:sz w:val="21"/>
              </w:rPr>
            </w:pPr>
            <w:r>
              <w:rPr>
                <w:sz w:val="21"/>
              </w:rPr>
              <w:t>10%</w:t>
            </w:r>
          </w:p>
        </w:tc>
        <w:tc>
          <w:tcPr>
            <w:tcW w:w="1066" w:type="dxa"/>
            <w:tcBorders>
              <w:top w:val="single" w:sz="8" w:space="0" w:color="E2EFD9"/>
              <w:left w:val="single" w:sz="4" w:space="0" w:color="000000"/>
              <w:bottom w:val="single" w:sz="10" w:space="0" w:color="E2EFD9"/>
              <w:right w:val="single" w:sz="4" w:space="0" w:color="000000"/>
            </w:tcBorders>
            <w:shd w:val="clear" w:color="auto" w:fill="C5E0B3"/>
          </w:tcPr>
          <w:p>
            <w:pPr>
              <w:pStyle w:val="TableParagraph"/>
              <w:spacing w:before="27"/>
              <w:ind w:left="150" w:right="147"/>
              <w:jc w:val="center"/>
              <w:rPr>
                <w:sz w:val="21"/>
              </w:rPr>
            </w:pPr>
            <w:r>
              <w:rPr>
                <w:sz w:val="21"/>
              </w:rPr>
              <w:t>6.19%</w:t>
            </w:r>
          </w:p>
        </w:tc>
        <w:tc>
          <w:tcPr>
            <w:tcW w:w="403" w:type="dxa"/>
            <w:tcBorders>
              <w:top w:val="single" w:sz="8" w:space="0" w:color="E2EFD9"/>
              <w:left w:val="single" w:sz="4" w:space="0" w:color="000000"/>
              <w:bottom w:val="single" w:sz="10" w:space="0" w:color="E2EFD9"/>
              <w:right w:val="single" w:sz="4" w:space="0" w:color="000000"/>
            </w:tcBorders>
            <w:shd w:val="clear" w:color="auto" w:fill="C5E0B3"/>
          </w:tcPr>
          <w:p>
            <w:pPr>
              <w:pStyle w:val="TableParagraph"/>
              <w:spacing w:before="27"/>
              <w:ind w:right="137"/>
              <w:jc w:val="right"/>
              <w:rPr>
                <w:sz w:val="21"/>
              </w:rPr>
            </w:pPr>
            <w:r>
              <w:rPr>
                <w:w w:val="102"/>
                <w:sz w:val="21"/>
              </w:rPr>
              <w:t>0</w:t>
            </w:r>
          </w:p>
        </w:tc>
      </w:tr>
      <w:tr>
        <w:trPr>
          <w:trHeight w:val="300" w:hRule="exact"/>
        </w:trPr>
        <w:tc>
          <w:tcPr>
            <w:tcW w:w="1824" w:type="dxa"/>
            <w:vMerge/>
            <w:tcBorders>
              <w:right w:val="single" w:sz="4" w:space="0" w:color="000000"/>
            </w:tcBorders>
            <w:shd w:val="clear" w:color="auto" w:fill="70AD47"/>
          </w:tcPr>
          <w:p>
            <w:pPr/>
          </w:p>
        </w:tc>
        <w:tc>
          <w:tcPr>
            <w:tcW w:w="2299" w:type="dxa"/>
            <w:gridSpan w:val="2"/>
            <w:vMerge w:val="restart"/>
            <w:tcBorders>
              <w:top w:val="single" w:sz="4" w:space="0" w:color="000000"/>
              <w:left w:val="single" w:sz="4" w:space="0" w:color="000000"/>
              <w:right w:val="single" w:sz="4" w:space="0" w:color="000000"/>
            </w:tcBorders>
            <w:shd w:val="clear" w:color="auto" w:fill="E2EFD9"/>
          </w:tcPr>
          <w:p>
            <w:pPr>
              <w:pStyle w:val="TableParagraph"/>
              <w:spacing w:before="170"/>
              <w:ind w:left="785" w:right="786"/>
              <w:jc w:val="center"/>
              <w:rPr>
                <w:sz w:val="21"/>
              </w:rPr>
            </w:pPr>
            <w:r>
              <w:rPr>
                <w:sz w:val="21"/>
              </w:rPr>
              <w:t>TOTAL</w:t>
            </w:r>
          </w:p>
        </w:tc>
        <w:tc>
          <w:tcPr>
            <w:tcW w:w="1200"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16"/>
              <w:ind w:left="167"/>
              <w:rPr>
                <w:sz w:val="21"/>
              </w:rPr>
            </w:pPr>
            <w:r>
              <w:rPr>
                <w:sz w:val="21"/>
              </w:rPr>
              <w:t>Cantidad</w:t>
            </w:r>
          </w:p>
        </w:tc>
        <w:tc>
          <w:tcPr>
            <w:tcW w:w="398"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16"/>
              <w:jc w:val="center"/>
              <w:rPr>
                <w:sz w:val="21"/>
              </w:rPr>
            </w:pPr>
            <w:r>
              <w:rPr>
                <w:w w:val="102"/>
                <w:sz w:val="21"/>
              </w:rPr>
              <w:t>0</w:t>
            </w:r>
          </w:p>
        </w:tc>
        <w:tc>
          <w:tcPr>
            <w:tcW w:w="1061"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16"/>
              <w:ind w:left="155" w:right="142"/>
              <w:jc w:val="center"/>
              <w:rPr>
                <w:sz w:val="21"/>
              </w:rPr>
            </w:pPr>
            <w:r>
              <w:rPr>
                <w:sz w:val="21"/>
              </w:rPr>
              <w:t>84</w:t>
            </w:r>
          </w:p>
        </w:tc>
        <w:tc>
          <w:tcPr>
            <w:tcW w:w="1109"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16"/>
              <w:ind w:left="174" w:right="170"/>
              <w:jc w:val="center"/>
              <w:rPr>
                <w:sz w:val="21"/>
              </w:rPr>
            </w:pPr>
            <w:r>
              <w:rPr>
                <w:sz w:val="21"/>
              </w:rPr>
              <w:t>76</w:t>
            </w:r>
          </w:p>
        </w:tc>
        <w:tc>
          <w:tcPr>
            <w:tcW w:w="1066"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16"/>
              <w:ind w:left="155" w:right="146"/>
              <w:jc w:val="center"/>
              <w:rPr>
                <w:sz w:val="21"/>
              </w:rPr>
            </w:pPr>
            <w:r>
              <w:rPr>
                <w:sz w:val="21"/>
              </w:rPr>
              <w:t>56</w:t>
            </w:r>
          </w:p>
        </w:tc>
        <w:tc>
          <w:tcPr>
            <w:tcW w:w="403"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16"/>
              <w:ind w:right="137"/>
              <w:jc w:val="right"/>
              <w:rPr>
                <w:sz w:val="21"/>
              </w:rPr>
            </w:pPr>
            <w:r>
              <w:rPr>
                <w:w w:val="102"/>
                <w:sz w:val="21"/>
              </w:rPr>
              <w:t>0</w:t>
            </w:r>
          </w:p>
        </w:tc>
      </w:tr>
      <w:tr>
        <w:trPr>
          <w:trHeight w:val="288" w:hRule="exact"/>
        </w:trPr>
        <w:tc>
          <w:tcPr>
            <w:tcW w:w="1824" w:type="dxa"/>
            <w:vMerge/>
            <w:tcBorders>
              <w:bottom w:val="single" w:sz="4" w:space="0" w:color="000000"/>
              <w:right w:val="single" w:sz="4" w:space="0" w:color="000000"/>
            </w:tcBorders>
            <w:shd w:val="clear" w:color="auto" w:fill="70AD47"/>
          </w:tcPr>
          <w:p>
            <w:pPr/>
          </w:p>
        </w:tc>
        <w:tc>
          <w:tcPr>
            <w:tcW w:w="2299" w:type="dxa"/>
            <w:gridSpan w:val="2"/>
            <w:vMerge/>
            <w:tcBorders>
              <w:left w:val="single" w:sz="4" w:space="0" w:color="000000"/>
              <w:bottom w:val="single" w:sz="4" w:space="0" w:color="000000"/>
              <w:right w:val="single" w:sz="4" w:space="0" w:color="000000"/>
            </w:tcBorders>
            <w:shd w:val="clear" w:color="auto" w:fill="E2EFD9"/>
          </w:tcPr>
          <w:p>
            <w:pPr/>
          </w:p>
        </w:tc>
        <w:tc>
          <w:tcPr>
            <w:tcW w:w="1200" w:type="dxa"/>
            <w:tcBorders>
              <w:top w:val="single" w:sz="8" w:space="0" w:color="E2EFD9"/>
              <w:left w:val="single" w:sz="4" w:space="0" w:color="000000"/>
              <w:bottom w:val="single" w:sz="12" w:space="0" w:color="E2EFD9"/>
              <w:right w:val="single" w:sz="4" w:space="0" w:color="000000"/>
            </w:tcBorders>
            <w:shd w:val="clear" w:color="auto" w:fill="C5E0B3"/>
          </w:tcPr>
          <w:p>
            <w:pPr>
              <w:pStyle w:val="TableParagraph"/>
              <w:spacing w:before="14"/>
              <w:ind w:left="230"/>
              <w:rPr>
                <w:sz w:val="21"/>
              </w:rPr>
            </w:pPr>
            <w:r>
              <w:rPr>
                <w:sz w:val="21"/>
              </w:rPr>
              <w:t>% Total</w:t>
            </w:r>
          </w:p>
        </w:tc>
        <w:tc>
          <w:tcPr>
            <w:tcW w:w="398" w:type="dxa"/>
            <w:tcBorders>
              <w:top w:val="single" w:sz="8" w:space="0" w:color="E2EFD9"/>
              <w:left w:val="single" w:sz="4" w:space="0" w:color="000000"/>
              <w:bottom w:val="single" w:sz="12" w:space="0" w:color="E2EFD9"/>
              <w:right w:val="single" w:sz="4" w:space="0" w:color="000000"/>
            </w:tcBorders>
            <w:shd w:val="clear" w:color="auto" w:fill="C5E0B3"/>
          </w:tcPr>
          <w:p>
            <w:pPr>
              <w:pStyle w:val="TableParagraph"/>
              <w:spacing w:before="14"/>
              <w:jc w:val="center"/>
              <w:rPr>
                <w:sz w:val="21"/>
              </w:rPr>
            </w:pPr>
            <w:r>
              <w:rPr>
                <w:w w:val="102"/>
                <w:sz w:val="21"/>
              </w:rPr>
              <w:t>0</w:t>
            </w:r>
          </w:p>
        </w:tc>
        <w:tc>
          <w:tcPr>
            <w:tcW w:w="1061" w:type="dxa"/>
            <w:tcBorders>
              <w:top w:val="single" w:sz="8" w:space="0" w:color="E2EFD9"/>
              <w:left w:val="single" w:sz="4" w:space="0" w:color="000000"/>
              <w:bottom w:val="single" w:sz="12" w:space="0" w:color="E2EFD9"/>
              <w:right w:val="single" w:sz="4" w:space="0" w:color="000000"/>
            </w:tcBorders>
            <w:shd w:val="clear" w:color="auto" w:fill="C5E0B3"/>
          </w:tcPr>
          <w:p>
            <w:pPr>
              <w:pStyle w:val="TableParagraph"/>
              <w:spacing w:before="14"/>
              <w:ind w:left="155" w:right="142"/>
              <w:jc w:val="center"/>
              <w:rPr>
                <w:sz w:val="21"/>
              </w:rPr>
            </w:pPr>
            <w:r>
              <w:rPr>
                <w:sz w:val="21"/>
              </w:rPr>
              <w:t>20%</w:t>
            </w:r>
          </w:p>
        </w:tc>
        <w:tc>
          <w:tcPr>
            <w:tcW w:w="1109" w:type="dxa"/>
            <w:tcBorders>
              <w:top w:val="single" w:sz="8" w:space="0" w:color="E2EFD9"/>
              <w:left w:val="single" w:sz="4" w:space="0" w:color="000000"/>
              <w:bottom w:val="single" w:sz="12" w:space="0" w:color="E2EFD9"/>
              <w:right w:val="single" w:sz="4" w:space="0" w:color="000000"/>
            </w:tcBorders>
            <w:shd w:val="clear" w:color="auto" w:fill="C5E0B3"/>
          </w:tcPr>
          <w:p>
            <w:pPr>
              <w:pStyle w:val="TableParagraph"/>
              <w:spacing w:before="14"/>
              <w:ind w:left="173" w:right="170"/>
              <w:jc w:val="center"/>
              <w:rPr>
                <w:sz w:val="21"/>
              </w:rPr>
            </w:pPr>
            <w:r>
              <w:rPr>
                <w:sz w:val="21"/>
              </w:rPr>
              <w:t>18.09%</w:t>
            </w:r>
          </w:p>
        </w:tc>
        <w:tc>
          <w:tcPr>
            <w:tcW w:w="1066" w:type="dxa"/>
            <w:tcBorders>
              <w:top w:val="single" w:sz="8" w:space="0" w:color="E2EFD9"/>
              <w:left w:val="single" w:sz="4" w:space="0" w:color="000000"/>
              <w:bottom w:val="single" w:sz="12" w:space="0" w:color="E2EFD9"/>
              <w:right w:val="single" w:sz="4" w:space="0" w:color="000000"/>
            </w:tcBorders>
            <w:shd w:val="clear" w:color="auto" w:fill="C5E0B3"/>
          </w:tcPr>
          <w:p>
            <w:pPr>
              <w:pStyle w:val="TableParagraph"/>
              <w:spacing w:before="14"/>
              <w:ind w:left="155" w:right="147"/>
              <w:jc w:val="center"/>
              <w:rPr>
                <w:sz w:val="21"/>
              </w:rPr>
            </w:pPr>
            <w:r>
              <w:rPr>
                <w:sz w:val="21"/>
              </w:rPr>
              <w:t>13.33%</w:t>
            </w:r>
          </w:p>
        </w:tc>
        <w:tc>
          <w:tcPr>
            <w:tcW w:w="403" w:type="dxa"/>
            <w:tcBorders>
              <w:top w:val="single" w:sz="8" w:space="0" w:color="E2EFD9"/>
              <w:left w:val="single" w:sz="4" w:space="0" w:color="000000"/>
              <w:bottom w:val="single" w:sz="12" w:space="0" w:color="E2EFD9"/>
              <w:right w:val="single" w:sz="4" w:space="0" w:color="000000"/>
            </w:tcBorders>
            <w:shd w:val="clear" w:color="auto" w:fill="C5E0B3"/>
          </w:tcPr>
          <w:p>
            <w:pPr>
              <w:pStyle w:val="TableParagraph"/>
              <w:spacing w:before="14"/>
              <w:ind w:right="137"/>
              <w:jc w:val="right"/>
              <w:rPr>
                <w:sz w:val="21"/>
              </w:rPr>
            </w:pPr>
            <w:r>
              <w:rPr>
                <w:w w:val="102"/>
                <w:sz w:val="21"/>
              </w:rPr>
              <w:t>0</w:t>
            </w:r>
          </w:p>
        </w:tc>
      </w:tr>
      <w:tr>
        <w:trPr>
          <w:trHeight w:val="319" w:hRule="exact"/>
        </w:trPr>
        <w:tc>
          <w:tcPr>
            <w:tcW w:w="1824" w:type="dxa"/>
            <w:vMerge w:val="restart"/>
            <w:tcBorders>
              <w:top w:val="single" w:sz="4" w:space="0" w:color="000000"/>
              <w:right w:val="single" w:sz="4" w:space="0" w:color="000000"/>
            </w:tcBorders>
            <w:shd w:val="clear" w:color="auto" w:fill="70AD47"/>
          </w:tcPr>
          <w:p>
            <w:pPr>
              <w:pStyle w:val="TableParagraph"/>
              <w:rPr>
                <w:b/>
                <w:sz w:val="20"/>
              </w:rPr>
            </w:pPr>
          </w:p>
          <w:p>
            <w:pPr>
              <w:pStyle w:val="TableParagraph"/>
              <w:rPr>
                <w:b/>
                <w:sz w:val="20"/>
              </w:rPr>
            </w:pPr>
          </w:p>
          <w:p>
            <w:pPr>
              <w:pStyle w:val="TableParagraph"/>
              <w:spacing w:before="7"/>
              <w:rPr>
                <w:b/>
                <w:sz w:val="27"/>
              </w:rPr>
            </w:pPr>
          </w:p>
          <w:p>
            <w:pPr>
              <w:pStyle w:val="TableParagraph"/>
              <w:ind w:left="225"/>
              <w:rPr>
                <w:b/>
                <w:sz w:val="21"/>
              </w:rPr>
            </w:pPr>
            <w:r>
              <w:rPr>
                <w:b/>
                <w:sz w:val="21"/>
              </w:rPr>
              <w:t>Adulto Mayor</w:t>
            </w:r>
          </w:p>
        </w:tc>
        <w:tc>
          <w:tcPr>
            <w:tcW w:w="941" w:type="dxa"/>
            <w:vMerge w:val="restart"/>
            <w:tcBorders>
              <w:top w:val="single" w:sz="4" w:space="0" w:color="000000"/>
              <w:left w:val="single" w:sz="42" w:space="0" w:color="70AD47"/>
              <w:right w:val="single" w:sz="4" w:space="0" w:color="000000"/>
            </w:tcBorders>
            <w:shd w:val="clear" w:color="auto" w:fill="E2EFD9"/>
          </w:tcPr>
          <w:p>
            <w:pPr>
              <w:pStyle w:val="TableParagraph"/>
              <w:rPr>
                <w:b/>
                <w:sz w:val="20"/>
              </w:rPr>
            </w:pPr>
          </w:p>
          <w:p>
            <w:pPr>
              <w:pStyle w:val="TableParagraph"/>
              <w:spacing w:before="1"/>
              <w:rPr>
                <w:b/>
                <w:sz w:val="22"/>
              </w:rPr>
            </w:pPr>
          </w:p>
          <w:p>
            <w:pPr>
              <w:pStyle w:val="TableParagraph"/>
              <w:ind w:left="124"/>
              <w:rPr>
                <w:sz w:val="21"/>
              </w:rPr>
            </w:pPr>
            <w:r>
              <w:rPr>
                <w:sz w:val="21"/>
              </w:rPr>
              <w:t>SEXO</w:t>
            </w:r>
          </w:p>
        </w:tc>
        <w:tc>
          <w:tcPr>
            <w:tcW w:w="1358" w:type="dxa"/>
            <w:vMerge w:val="restart"/>
            <w:tcBorders>
              <w:top w:val="single" w:sz="4" w:space="0" w:color="000000"/>
              <w:left w:val="single" w:sz="4" w:space="0" w:color="000000"/>
              <w:right w:val="single" w:sz="4" w:space="0" w:color="000000"/>
            </w:tcBorders>
            <w:shd w:val="clear" w:color="auto" w:fill="E2EFD9"/>
          </w:tcPr>
          <w:p>
            <w:pPr>
              <w:pStyle w:val="TableParagraph"/>
              <w:spacing w:before="3"/>
              <w:rPr>
                <w:b/>
                <w:sz w:val="16"/>
              </w:rPr>
            </w:pPr>
          </w:p>
          <w:p>
            <w:pPr>
              <w:pStyle w:val="TableParagraph"/>
              <w:ind w:left="191"/>
              <w:rPr>
                <w:sz w:val="21"/>
              </w:rPr>
            </w:pPr>
            <w:r>
              <w:rPr>
                <w:sz w:val="21"/>
              </w:rPr>
              <w:t>Masculino</w:t>
            </w:r>
          </w:p>
        </w:tc>
        <w:tc>
          <w:tcPr>
            <w:tcW w:w="1200"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33"/>
              <w:ind w:left="167"/>
              <w:rPr>
                <w:sz w:val="21"/>
              </w:rPr>
            </w:pPr>
            <w:r>
              <w:rPr>
                <w:sz w:val="21"/>
              </w:rPr>
              <w:t>Cantidad</w:t>
            </w:r>
          </w:p>
        </w:tc>
        <w:tc>
          <w:tcPr>
            <w:tcW w:w="398"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33"/>
              <w:jc w:val="center"/>
              <w:rPr>
                <w:sz w:val="21"/>
              </w:rPr>
            </w:pPr>
            <w:r>
              <w:rPr>
                <w:w w:val="102"/>
                <w:sz w:val="21"/>
              </w:rPr>
              <w:t>0</w:t>
            </w:r>
          </w:p>
        </w:tc>
        <w:tc>
          <w:tcPr>
            <w:tcW w:w="1061"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33"/>
              <w:ind w:left="155" w:right="142"/>
              <w:jc w:val="center"/>
              <w:rPr>
                <w:sz w:val="21"/>
              </w:rPr>
            </w:pPr>
            <w:r>
              <w:rPr>
                <w:sz w:val="21"/>
              </w:rPr>
              <w:t>15</w:t>
            </w:r>
          </w:p>
        </w:tc>
        <w:tc>
          <w:tcPr>
            <w:tcW w:w="1109"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33"/>
              <w:ind w:left="9"/>
              <w:jc w:val="center"/>
              <w:rPr>
                <w:sz w:val="21"/>
              </w:rPr>
            </w:pPr>
            <w:r>
              <w:rPr>
                <w:w w:val="102"/>
                <w:sz w:val="21"/>
              </w:rPr>
              <w:t>0</w:t>
            </w:r>
          </w:p>
        </w:tc>
        <w:tc>
          <w:tcPr>
            <w:tcW w:w="1066"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33"/>
              <w:ind w:left="4"/>
              <w:jc w:val="center"/>
              <w:rPr>
                <w:sz w:val="21"/>
              </w:rPr>
            </w:pPr>
            <w:r>
              <w:rPr>
                <w:w w:val="102"/>
                <w:sz w:val="21"/>
              </w:rPr>
              <w:t>4</w:t>
            </w:r>
          </w:p>
        </w:tc>
        <w:tc>
          <w:tcPr>
            <w:tcW w:w="403" w:type="dxa"/>
            <w:tcBorders>
              <w:top w:val="single" w:sz="8" w:space="0" w:color="C5E0B3"/>
              <w:left w:val="single" w:sz="4" w:space="0" w:color="000000"/>
              <w:bottom w:val="single" w:sz="10" w:space="0" w:color="C5E0B3"/>
              <w:right w:val="single" w:sz="4" w:space="0" w:color="000000"/>
            </w:tcBorders>
            <w:shd w:val="clear" w:color="auto" w:fill="E2EFD9"/>
          </w:tcPr>
          <w:p>
            <w:pPr>
              <w:pStyle w:val="TableParagraph"/>
              <w:spacing w:before="33"/>
              <w:ind w:right="137"/>
              <w:jc w:val="right"/>
              <w:rPr>
                <w:sz w:val="21"/>
              </w:rPr>
            </w:pPr>
            <w:r>
              <w:rPr>
                <w:w w:val="102"/>
                <w:sz w:val="21"/>
              </w:rPr>
              <w:t>0</w:t>
            </w:r>
          </w:p>
        </w:tc>
      </w:tr>
      <w:tr>
        <w:trPr>
          <w:trHeight w:val="312" w:hRule="exact"/>
        </w:trPr>
        <w:tc>
          <w:tcPr>
            <w:tcW w:w="1824" w:type="dxa"/>
            <w:vMerge/>
            <w:tcBorders>
              <w:right w:val="single" w:sz="4" w:space="0" w:color="000000"/>
            </w:tcBorders>
            <w:shd w:val="clear" w:color="auto" w:fill="70AD47"/>
          </w:tcPr>
          <w:p>
            <w:pPr/>
          </w:p>
        </w:tc>
        <w:tc>
          <w:tcPr>
            <w:tcW w:w="941" w:type="dxa"/>
            <w:vMerge/>
            <w:tcBorders>
              <w:left w:val="single" w:sz="42" w:space="0" w:color="70AD47"/>
              <w:right w:val="single" w:sz="4" w:space="0" w:color="000000"/>
            </w:tcBorders>
            <w:shd w:val="clear" w:color="auto" w:fill="E2EFD9"/>
          </w:tcPr>
          <w:p>
            <w:pPr/>
          </w:p>
        </w:tc>
        <w:tc>
          <w:tcPr>
            <w:tcW w:w="1358" w:type="dxa"/>
            <w:vMerge/>
            <w:tcBorders>
              <w:left w:val="single" w:sz="4" w:space="0" w:color="000000"/>
              <w:bottom w:val="single" w:sz="4" w:space="0" w:color="000000"/>
              <w:right w:val="single" w:sz="4" w:space="0" w:color="000000"/>
            </w:tcBorders>
            <w:shd w:val="clear" w:color="auto" w:fill="E2EFD9"/>
          </w:tcPr>
          <w:p>
            <w:pPr/>
          </w:p>
        </w:tc>
        <w:tc>
          <w:tcPr>
            <w:tcW w:w="1200" w:type="dxa"/>
            <w:tcBorders>
              <w:top w:val="single" w:sz="12" w:space="0" w:color="E2EFD9"/>
              <w:left w:val="single" w:sz="44" w:space="0" w:color="E2EFD9"/>
              <w:bottom w:val="single" w:sz="10" w:space="0" w:color="E2EFD9"/>
              <w:right w:val="single" w:sz="4" w:space="0" w:color="000000"/>
            </w:tcBorders>
            <w:shd w:val="clear" w:color="auto" w:fill="C5E0B3"/>
          </w:tcPr>
          <w:p>
            <w:pPr>
              <w:pStyle w:val="TableParagraph"/>
              <w:spacing w:before="16"/>
              <w:ind w:left="179"/>
              <w:rPr>
                <w:sz w:val="21"/>
              </w:rPr>
            </w:pPr>
            <w:r>
              <w:rPr>
                <w:sz w:val="21"/>
              </w:rPr>
              <w:t>% Total</w:t>
            </w:r>
          </w:p>
        </w:tc>
        <w:tc>
          <w:tcPr>
            <w:tcW w:w="398" w:type="dxa"/>
            <w:tcBorders>
              <w:top w:val="single" w:sz="12" w:space="0" w:color="E2EFD9"/>
              <w:left w:val="single" w:sz="4" w:space="0" w:color="000000"/>
              <w:bottom w:val="single" w:sz="10" w:space="0" w:color="E2EFD9"/>
              <w:right w:val="single" w:sz="4" w:space="0" w:color="000000"/>
            </w:tcBorders>
            <w:shd w:val="clear" w:color="auto" w:fill="C5E0B3"/>
          </w:tcPr>
          <w:p>
            <w:pPr>
              <w:pStyle w:val="TableParagraph"/>
              <w:spacing w:before="16"/>
              <w:jc w:val="center"/>
              <w:rPr>
                <w:sz w:val="21"/>
              </w:rPr>
            </w:pPr>
            <w:r>
              <w:rPr>
                <w:w w:val="102"/>
                <w:sz w:val="21"/>
              </w:rPr>
              <w:t>0</w:t>
            </w:r>
          </w:p>
        </w:tc>
        <w:tc>
          <w:tcPr>
            <w:tcW w:w="1061" w:type="dxa"/>
            <w:tcBorders>
              <w:top w:val="single" w:sz="12" w:space="0" w:color="E2EFD9"/>
              <w:left w:val="single" w:sz="4" w:space="0" w:color="000000"/>
              <w:bottom w:val="single" w:sz="10" w:space="0" w:color="E2EFD9"/>
              <w:right w:val="single" w:sz="4" w:space="0" w:color="000000"/>
            </w:tcBorders>
            <w:shd w:val="clear" w:color="auto" w:fill="C5E0B3"/>
          </w:tcPr>
          <w:p>
            <w:pPr>
              <w:pStyle w:val="TableParagraph"/>
              <w:spacing w:before="16"/>
              <w:ind w:left="155" w:right="143"/>
              <w:jc w:val="center"/>
              <w:rPr>
                <w:sz w:val="21"/>
              </w:rPr>
            </w:pPr>
            <w:r>
              <w:rPr>
                <w:sz w:val="21"/>
              </w:rPr>
              <w:t>3.57%</w:t>
            </w:r>
          </w:p>
        </w:tc>
        <w:tc>
          <w:tcPr>
            <w:tcW w:w="1109" w:type="dxa"/>
            <w:tcBorders>
              <w:top w:val="single" w:sz="12" w:space="0" w:color="E2EFD9"/>
              <w:left w:val="single" w:sz="4" w:space="0" w:color="000000"/>
              <w:bottom w:val="single" w:sz="10" w:space="0" w:color="E2EFD9"/>
              <w:right w:val="single" w:sz="4" w:space="0" w:color="000000"/>
            </w:tcBorders>
            <w:shd w:val="clear" w:color="auto" w:fill="C5E0B3"/>
          </w:tcPr>
          <w:p>
            <w:pPr>
              <w:pStyle w:val="TableParagraph"/>
              <w:spacing w:before="16"/>
              <w:ind w:left="9"/>
              <w:jc w:val="center"/>
              <w:rPr>
                <w:sz w:val="21"/>
              </w:rPr>
            </w:pPr>
            <w:r>
              <w:rPr>
                <w:w w:val="102"/>
                <w:sz w:val="21"/>
              </w:rPr>
              <w:t>0</w:t>
            </w:r>
          </w:p>
        </w:tc>
        <w:tc>
          <w:tcPr>
            <w:tcW w:w="1066" w:type="dxa"/>
            <w:tcBorders>
              <w:top w:val="single" w:sz="12" w:space="0" w:color="E2EFD9"/>
              <w:left w:val="single" w:sz="4" w:space="0" w:color="000000"/>
              <w:bottom w:val="single" w:sz="10" w:space="0" w:color="E2EFD9"/>
              <w:right w:val="single" w:sz="4" w:space="0" w:color="000000"/>
            </w:tcBorders>
            <w:shd w:val="clear" w:color="auto" w:fill="C5E0B3"/>
          </w:tcPr>
          <w:p>
            <w:pPr>
              <w:pStyle w:val="TableParagraph"/>
              <w:spacing w:before="16"/>
              <w:ind w:left="150" w:right="147"/>
              <w:jc w:val="center"/>
              <w:rPr>
                <w:sz w:val="21"/>
              </w:rPr>
            </w:pPr>
            <w:r>
              <w:rPr>
                <w:sz w:val="21"/>
              </w:rPr>
              <w:t>0.95%</w:t>
            </w:r>
          </w:p>
        </w:tc>
        <w:tc>
          <w:tcPr>
            <w:tcW w:w="403" w:type="dxa"/>
            <w:tcBorders>
              <w:top w:val="single" w:sz="12" w:space="0" w:color="E2EFD9"/>
              <w:left w:val="single" w:sz="4" w:space="0" w:color="000000"/>
              <w:bottom w:val="single" w:sz="10" w:space="0" w:color="E2EFD9"/>
              <w:right w:val="single" w:sz="4" w:space="0" w:color="000000"/>
            </w:tcBorders>
            <w:shd w:val="clear" w:color="auto" w:fill="C5E0B3"/>
          </w:tcPr>
          <w:p>
            <w:pPr>
              <w:pStyle w:val="TableParagraph"/>
              <w:spacing w:before="16"/>
              <w:ind w:right="137"/>
              <w:jc w:val="right"/>
              <w:rPr>
                <w:sz w:val="21"/>
              </w:rPr>
            </w:pPr>
            <w:r>
              <w:rPr>
                <w:w w:val="102"/>
                <w:sz w:val="21"/>
              </w:rPr>
              <w:t>0</w:t>
            </w:r>
          </w:p>
        </w:tc>
      </w:tr>
      <w:tr>
        <w:trPr>
          <w:trHeight w:val="278" w:hRule="exact"/>
        </w:trPr>
        <w:tc>
          <w:tcPr>
            <w:tcW w:w="1824" w:type="dxa"/>
            <w:vMerge/>
            <w:tcBorders>
              <w:right w:val="single" w:sz="4" w:space="0" w:color="000000"/>
            </w:tcBorders>
            <w:shd w:val="clear" w:color="auto" w:fill="70AD47"/>
          </w:tcPr>
          <w:p>
            <w:pPr/>
          </w:p>
        </w:tc>
        <w:tc>
          <w:tcPr>
            <w:tcW w:w="941" w:type="dxa"/>
            <w:vMerge/>
            <w:tcBorders>
              <w:left w:val="single" w:sz="42" w:space="0" w:color="70AD47"/>
              <w:right w:val="single" w:sz="4" w:space="0" w:color="000000"/>
            </w:tcBorders>
            <w:shd w:val="clear" w:color="auto" w:fill="E2EFD9"/>
          </w:tcPr>
          <w:p>
            <w:pPr/>
          </w:p>
        </w:tc>
        <w:tc>
          <w:tcPr>
            <w:tcW w:w="1358" w:type="dxa"/>
            <w:vMerge w:val="restart"/>
            <w:tcBorders>
              <w:top w:val="single" w:sz="4" w:space="0" w:color="000000"/>
              <w:left w:val="single" w:sz="4" w:space="0" w:color="000000"/>
              <w:right w:val="single" w:sz="4" w:space="0" w:color="000000"/>
            </w:tcBorders>
            <w:shd w:val="clear" w:color="auto" w:fill="E2EFD9"/>
          </w:tcPr>
          <w:p>
            <w:pPr>
              <w:pStyle w:val="TableParagraph"/>
              <w:spacing w:before="161"/>
              <w:ind w:left="196"/>
              <w:rPr>
                <w:sz w:val="21"/>
              </w:rPr>
            </w:pPr>
            <w:r>
              <w:rPr>
                <w:sz w:val="21"/>
              </w:rPr>
              <w:t>Femenino</w:t>
            </w:r>
          </w:p>
        </w:tc>
        <w:tc>
          <w:tcPr>
            <w:tcW w:w="1200"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left="167"/>
              <w:rPr>
                <w:sz w:val="21"/>
              </w:rPr>
            </w:pPr>
            <w:r>
              <w:rPr>
                <w:sz w:val="21"/>
              </w:rPr>
              <w:t>Cantidad</w:t>
            </w:r>
          </w:p>
        </w:tc>
        <w:tc>
          <w:tcPr>
            <w:tcW w:w="398"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jc w:val="center"/>
              <w:rPr>
                <w:sz w:val="21"/>
              </w:rPr>
            </w:pPr>
            <w:r>
              <w:rPr>
                <w:w w:val="102"/>
                <w:sz w:val="21"/>
              </w:rPr>
              <w:t>0</w:t>
            </w:r>
          </w:p>
        </w:tc>
        <w:tc>
          <w:tcPr>
            <w:tcW w:w="106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left="18"/>
              <w:jc w:val="center"/>
              <w:rPr>
                <w:sz w:val="21"/>
              </w:rPr>
            </w:pPr>
            <w:r>
              <w:rPr>
                <w:w w:val="102"/>
                <w:sz w:val="21"/>
              </w:rPr>
              <w:t>5</w:t>
            </w:r>
          </w:p>
        </w:tc>
        <w:tc>
          <w:tcPr>
            <w:tcW w:w="1109"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left="9"/>
              <w:jc w:val="center"/>
              <w:rPr>
                <w:sz w:val="21"/>
              </w:rPr>
            </w:pPr>
            <w:r>
              <w:rPr>
                <w:w w:val="102"/>
                <w:sz w:val="21"/>
              </w:rPr>
              <w:t>4</w:t>
            </w:r>
          </w:p>
        </w:tc>
        <w:tc>
          <w:tcPr>
            <w:tcW w:w="106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left="4"/>
              <w:jc w:val="center"/>
              <w:rPr>
                <w:sz w:val="21"/>
              </w:rPr>
            </w:pPr>
            <w:r>
              <w:rPr>
                <w:w w:val="102"/>
                <w:sz w:val="21"/>
              </w:rPr>
              <w:t>4</w:t>
            </w:r>
          </w:p>
        </w:tc>
        <w:tc>
          <w:tcPr>
            <w:tcW w:w="40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right="137"/>
              <w:jc w:val="right"/>
              <w:rPr>
                <w:sz w:val="21"/>
              </w:rPr>
            </w:pPr>
            <w:r>
              <w:rPr>
                <w:w w:val="102"/>
                <w:sz w:val="21"/>
              </w:rPr>
              <w:t>0</w:t>
            </w:r>
          </w:p>
        </w:tc>
      </w:tr>
      <w:tr>
        <w:trPr>
          <w:trHeight w:val="322" w:hRule="exact"/>
        </w:trPr>
        <w:tc>
          <w:tcPr>
            <w:tcW w:w="1824" w:type="dxa"/>
            <w:vMerge/>
            <w:tcBorders>
              <w:right w:val="single" w:sz="4" w:space="0" w:color="000000"/>
            </w:tcBorders>
            <w:shd w:val="clear" w:color="auto" w:fill="70AD47"/>
          </w:tcPr>
          <w:p>
            <w:pPr/>
          </w:p>
        </w:tc>
        <w:tc>
          <w:tcPr>
            <w:tcW w:w="941" w:type="dxa"/>
            <w:vMerge/>
            <w:tcBorders>
              <w:left w:val="single" w:sz="42" w:space="0" w:color="70AD47"/>
              <w:bottom w:val="single" w:sz="4" w:space="0" w:color="000000"/>
              <w:right w:val="single" w:sz="4" w:space="0" w:color="000000"/>
            </w:tcBorders>
            <w:shd w:val="clear" w:color="auto" w:fill="E2EFD9"/>
          </w:tcPr>
          <w:p>
            <w:pPr/>
          </w:p>
        </w:tc>
        <w:tc>
          <w:tcPr>
            <w:tcW w:w="1358" w:type="dxa"/>
            <w:vMerge/>
            <w:tcBorders>
              <w:left w:val="single" w:sz="4" w:space="0" w:color="000000"/>
              <w:bottom w:val="single" w:sz="4" w:space="0" w:color="000000"/>
              <w:right w:val="single" w:sz="4" w:space="0" w:color="000000"/>
            </w:tcBorders>
            <w:shd w:val="clear" w:color="auto" w:fill="E2EFD9"/>
          </w:tcPr>
          <w:p>
            <w:pPr/>
          </w:p>
        </w:tc>
        <w:tc>
          <w:tcPr>
            <w:tcW w:w="1200" w:type="dxa"/>
            <w:tcBorders>
              <w:top w:val="single" w:sz="10" w:space="0" w:color="E2EFD9"/>
              <w:left w:val="single" w:sz="44" w:space="0" w:color="E2EFD9"/>
              <w:bottom w:val="single" w:sz="10" w:space="0" w:color="E2EFD9"/>
              <w:right w:val="single" w:sz="4" w:space="0" w:color="000000"/>
            </w:tcBorders>
            <w:shd w:val="clear" w:color="auto" w:fill="C5E0B3"/>
          </w:tcPr>
          <w:p>
            <w:pPr>
              <w:pStyle w:val="TableParagraph"/>
              <w:spacing w:before="24"/>
              <w:ind w:left="179"/>
              <w:rPr>
                <w:sz w:val="21"/>
              </w:rPr>
            </w:pPr>
            <w:r>
              <w:rPr>
                <w:sz w:val="21"/>
              </w:rPr>
              <w:t>% Total</w:t>
            </w:r>
          </w:p>
        </w:tc>
        <w:tc>
          <w:tcPr>
            <w:tcW w:w="398" w:type="dxa"/>
            <w:tcBorders>
              <w:top w:val="single" w:sz="10" w:space="0" w:color="E2EFD9"/>
              <w:left w:val="single" w:sz="4" w:space="0" w:color="000000"/>
              <w:bottom w:val="single" w:sz="10" w:space="0" w:color="E2EFD9"/>
              <w:right w:val="single" w:sz="4" w:space="0" w:color="000000"/>
            </w:tcBorders>
            <w:shd w:val="clear" w:color="auto" w:fill="C5E0B3"/>
          </w:tcPr>
          <w:p>
            <w:pPr>
              <w:pStyle w:val="TableParagraph"/>
              <w:spacing w:before="24"/>
              <w:jc w:val="center"/>
              <w:rPr>
                <w:sz w:val="21"/>
              </w:rPr>
            </w:pPr>
            <w:r>
              <w:rPr>
                <w:w w:val="102"/>
                <w:sz w:val="21"/>
              </w:rPr>
              <w:t>0</w:t>
            </w:r>
          </w:p>
        </w:tc>
        <w:tc>
          <w:tcPr>
            <w:tcW w:w="1061" w:type="dxa"/>
            <w:tcBorders>
              <w:top w:val="single" w:sz="10" w:space="0" w:color="E2EFD9"/>
              <w:left w:val="single" w:sz="4" w:space="0" w:color="000000"/>
              <w:bottom w:val="single" w:sz="10" w:space="0" w:color="E2EFD9"/>
              <w:right w:val="single" w:sz="4" w:space="0" w:color="000000"/>
            </w:tcBorders>
            <w:shd w:val="clear" w:color="auto" w:fill="C5E0B3"/>
          </w:tcPr>
          <w:p>
            <w:pPr>
              <w:pStyle w:val="TableParagraph"/>
              <w:spacing w:before="24"/>
              <w:ind w:left="155" w:right="143"/>
              <w:jc w:val="center"/>
              <w:rPr>
                <w:sz w:val="21"/>
              </w:rPr>
            </w:pPr>
            <w:r>
              <w:rPr>
                <w:sz w:val="21"/>
              </w:rPr>
              <w:t>1.19%</w:t>
            </w:r>
          </w:p>
        </w:tc>
        <w:tc>
          <w:tcPr>
            <w:tcW w:w="1109" w:type="dxa"/>
            <w:tcBorders>
              <w:top w:val="single" w:sz="10" w:space="0" w:color="E2EFD9"/>
              <w:left w:val="single" w:sz="4" w:space="0" w:color="000000"/>
              <w:bottom w:val="single" w:sz="10" w:space="0" w:color="E2EFD9"/>
              <w:right w:val="single" w:sz="4" w:space="0" w:color="000000"/>
            </w:tcBorders>
            <w:shd w:val="clear" w:color="auto" w:fill="C5E0B3"/>
          </w:tcPr>
          <w:p>
            <w:pPr>
              <w:pStyle w:val="TableParagraph"/>
              <w:spacing w:before="24"/>
              <w:ind w:left="173" w:right="170"/>
              <w:jc w:val="center"/>
              <w:rPr>
                <w:sz w:val="21"/>
              </w:rPr>
            </w:pPr>
            <w:r>
              <w:rPr>
                <w:sz w:val="21"/>
              </w:rPr>
              <w:t>0.95%</w:t>
            </w:r>
          </w:p>
        </w:tc>
        <w:tc>
          <w:tcPr>
            <w:tcW w:w="1066" w:type="dxa"/>
            <w:tcBorders>
              <w:top w:val="single" w:sz="10" w:space="0" w:color="E2EFD9"/>
              <w:left w:val="single" w:sz="4" w:space="0" w:color="000000"/>
              <w:bottom w:val="single" w:sz="10" w:space="0" w:color="E2EFD9"/>
              <w:right w:val="single" w:sz="4" w:space="0" w:color="000000"/>
            </w:tcBorders>
            <w:shd w:val="clear" w:color="auto" w:fill="C5E0B3"/>
          </w:tcPr>
          <w:p>
            <w:pPr>
              <w:pStyle w:val="TableParagraph"/>
              <w:spacing w:before="24"/>
              <w:ind w:left="150" w:right="147"/>
              <w:jc w:val="center"/>
              <w:rPr>
                <w:sz w:val="21"/>
              </w:rPr>
            </w:pPr>
            <w:r>
              <w:rPr>
                <w:sz w:val="21"/>
              </w:rPr>
              <w:t>0.95%</w:t>
            </w:r>
          </w:p>
        </w:tc>
        <w:tc>
          <w:tcPr>
            <w:tcW w:w="403" w:type="dxa"/>
            <w:tcBorders>
              <w:top w:val="single" w:sz="10" w:space="0" w:color="E2EFD9"/>
              <w:left w:val="single" w:sz="4" w:space="0" w:color="000000"/>
              <w:bottom w:val="single" w:sz="10" w:space="0" w:color="E2EFD9"/>
              <w:right w:val="single" w:sz="4" w:space="0" w:color="000000"/>
            </w:tcBorders>
            <w:shd w:val="clear" w:color="auto" w:fill="C5E0B3"/>
          </w:tcPr>
          <w:p>
            <w:pPr>
              <w:pStyle w:val="TableParagraph"/>
              <w:spacing w:before="24"/>
              <w:ind w:right="137"/>
              <w:jc w:val="right"/>
              <w:rPr>
                <w:sz w:val="21"/>
              </w:rPr>
            </w:pPr>
            <w:r>
              <w:rPr>
                <w:w w:val="102"/>
                <w:sz w:val="21"/>
              </w:rPr>
              <w:t>0</w:t>
            </w:r>
          </w:p>
        </w:tc>
      </w:tr>
      <w:tr>
        <w:trPr>
          <w:trHeight w:val="274" w:hRule="exact"/>
        </w:trPr>
        <w:tc>
          <w:tcPr>
            <w:tcW w:w="1824" w:type="dxa"/>
            <w:vMerge/>
            <w:tcBorders>
              <w:right w:val="single" w:sz="4" w:space="0" w:color="000000"/>
            </w:tcBorders>
            <w:shd w:val="clear" w:color="auto" w:fill="70AD47"/>
          </w:tcPr>
          <w:p>
            <w:pPr/>
          </w:p>
        </w:tc>
        <w:tc>
          <w:tcPr>
            <w:tcW w:w="2299" w:type="dxa"/>
            <w:gridSpan w:val="2"/>
            <w:vMerge w:val="restart"/>
            <w:tcBorders>
              <w:top w:val="single" w:sz="4" w:space="0" w:color="000000"/>
              <w:left w:val="single" w:sz="4" w:space="0" w:color="000000"/>
              <w:right w:val="single" w:sz="4" w:space="0" w:color="000000"/>
            </w:tcBorders>
            <w:shd w:val="clear" w:color="auto" w:fill="E2EFD9"/>
          </w:tcPr>
          <w:p>
            <w:pPr>
              <w:pStyle w:val="TableParagraph"/>
              <w:spacing w:before="161"/>
              <w:ind w:left="785" w:right="786"/>
              <w:jc w:val="center"/>
              <w:rPr>
                <w:sz w:val="21"/>
              </w:rPr>
            </w:pPr>
            <w:r>
              <w:rPr>
                <w:sz w:val="21"/>
              </w:rPr>
              <w:t>TOTAL</w:t>
            </w:r>
          </w:p>
        </w:tc>
        <w:tc>
          <w:tcPr>
            <w:tcW w:w="1200"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left="167"/>
              <w:rPr>
                <w:sz w:val="21"/>
              </w:rPr>
            </w:pPr>
            <w:r>
              <w:rPr>
                <w:sz w:val="21"/>
              </w:rPr>
              <w:t>Cantidad</w:t>
            </w:r>
          </w:p>
        </w:tc>
        <w:tc>
          <w:tcPr>
            <w:tcW w:w="398"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jc w:val="center"/>
              <w:rPr>
                <w:sz w:val="21"/>
              </w:rPr>
            </w:pPr>
            <w:r>
              <w:rPr>
                <w:w w:val="102"/>
                <w:sz w:val="21"/>
              </w:rPr>
              <w:t>0</w:t>
            </w:r>
          </w:p>
        </w:tc>
        <w:tc>
          <w:tcPr>
            <w:tcW w:w="1061"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left="155" w:right="142"/>
              <w:jc w:val="center"/>
              <w:rPr>
                <w:sz w:val="21"/>
              </w:rPr>
            </w:pPr>
            <w:r>
              <w:rPr>
                <w:sz w:val="21"/>
              </w:rPr>
              <w:t>20</w:t>
            </w:r>
          </w:p>
        </w:tc>
        <w:tc>
          <w:tcPr>
            <w:tcW w:w="1109"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left="9"/>
              <w:jc w:val="center"/>
              <w:rPr>
                <w:sz w:val="21"/>
              </w:rPr>
            </w:pPr>
            <w:r>
              <w:rPr>
                <w:w w:val="102"/>
                <w:sz w:val="21"/>
              </w:rPr>
              <w:t>4</w:t>
            </w:r>
          </w:p>
        </w:tc>
        <w:tc>
          <w:tcPr>
            <w:tcW w:w="1066"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left="4"/>
              <w:jc w:val="center"/>
              <w:rPr>
                <w:sz w:val="21"/>
              </w:rPr>
            </w:pPr>
            <w:r>
              <w:rPr>
                <w:w w:val="102"/>
                <w:sz w:val="21"/>
              </w:rPr>
              <w:t>8</w:t>
            </w:r>
          </w:p>
        </w:tc>
        <w:tc>
          <w:tcPr>
            <w:tcW w:w="403" w:type="dxa"/>
            <w:tcBorders>
              <w:top w:val="single" w:sz="4" w:space="0" w:color="000000"/>
              <w:left w:val="single" w:sz="4" w:space="0" w:color="000000"/>
              <w:bottom w:val="single" w:sz="4" w:space="0" w:color="000000"/>
              <w:right w:val="single" w:sz="4" w:space="0" w:color="000000"/>
            </w:tcBorders>
            <w:shd w:val="clear" w:color="auto" w:fill="E2EFD9"/>
          </w:tcPr>
          <w:p>
            <w:pPr>
              <w:pStyle w:val="TableParagraph"/>
              <w:spacing w:before="12"/>
              <w:ind w:right="137"/>
              <w:jc w:val="right"/>
              <w:rPr>
                <w:sz w:val="21"/>
              </w:rPr>
            </w:pPr>
            <w:r>
              <w:rPr>
                <w:w w:val="102"/>
                <w:sz w:val="21"/>
              </w:rPr>
              <w:t>0</w:t>
            </w:r>
          </w:p>
        </w:tc>
      </w:tr>
      <w:tr>
        <w:trPr>
          <w:trHeight w:val="312" w:hRule="exact"/>
        </w:trPr>
        <w:tc>
          <w:tcPr>
            <w:tcW w:w="1824" w:type="dxa"/>
            <w:vMerge/>
            <w:tcBorders>
              <w:right w:val="single" w:sz="4" w:space="0" w:color="000000"/>
            </w:tcBorders>
            <w:shd w:val="clear" w:color="auto" w:fill="70AD47"/>
          </w:tcPr>
          <w:p>
            <w:pPr/>
          </w:p>
        </w:tc>
        <w:tc>
          <w:tcPr>
            <w:tcW w:w="2299" w:type="dxa"/>
            <w:gridSpan w:val="2"/>
            <w:vMerge/>
            <w:tcBorders>
              <w:left w:val="single" w:sz="4" w:space="0" w:color="000000"/>
              <w:bottom w:val="single" w:sz="2" w:space="0" w:color="000000"/>
              <w:right w:val="single" w:sz="4" w:space="0" w:color="000000"/>
            </w:tcBorders>
            <w:shd w:val="clear" w:color="auto" w:fill="E2EFD9"/>
          </w:tcPr>
          <w:p>
            <w:pPr/>
          </w:p>
        </w:tc>
        <w:tc>
          <w:tcPr>
            <w:tcW w:w="1200"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3"/>
              <w:ind w:left="230"/>
              <w:rPr>
                <w:sz w:val="21"/>
              </w:rPr>
            </w:pPr>
            <w:r>
              <w:rPr>
                <w:sz w:val="21"/>
              </w:rPr>
              <w:t>% Total</w:t>
            </w:r>
          </w:p>
        </w:tc>
        <w:tc>
          <w:tcPr>
            <w:tcW w:w="398"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3"/>
              <w:jc w:val="center"/>
              <w:rPr>
                <w:sz w:val="21"/>
              </w:rPr>
            </w:pPr>
            <w:r>
              <w:rPr>
                <w:w w:val="102"/>
                <w:sz w:val="21"/>
              </w:rPr>
              <w:t>0</w:t>
            </w:r>
          </w:p>
        </w:tc>
        <w:tc>
          <w:tcPr>
            <w:tcW w:w="1061"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3"/>
              <w:ind w:left="155" w:right="143"/>
              <w:jc w:val="center"/>
              <w:rPr>
                <w:sz w:val="21"/>
              </w:rPr>
            </w:pPr>
            <w:r>
              <w:rPr>
                <w:sz w:val="21"/>
              </w:rPr>
              <w:t>4.76%</w:t>
            </w:r>
          </w:p>
        </w:tc>
        <w:tc>
          <w:tcPr>
            <w:tcW w:w="1109"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3"/>
              <w:ind w:left="173" w:right="170"/>
              <w:jc w:val="center"/>
              <w:rPr>
                <w:sz w:val="21"/>
              </w:rPr>
            </w:pPr>
            <w:r>
              <w:rPr>
                <w:sz w:val="21"/>
              </w:rPr>
              <w:t>0.95%</w:t>
            </w:r>
          </w:p>
        </w:tc>
        <w:tc>
          <w:tcPr>
            <w:tcW w:w="1066"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3"/>
              <w:ind w:left="150" w:right="147"/>
              <w:jc w:val="center"/>
              <w:rPr>
                <w:sz w:val="21"/>
              </w:rPr>
            </w:pPr>
            <w:r>
              <w:rPr>
                <w:sz w:val="21"/>
              </w:rPr>
              <w:t>1.90%</w:t>
            </w:r>
          </w:p>
        </w:tc>
        <w:tc>
          <w:tcPr>
            <w:tcW w:w="403" w:type="dxa"/>
            <w:tcBorders>
              <w:top w:val="single" w:sz="14" w:space="0" w:color="E2EFD9"/>
              <w:left w:val="single" w:sz="4" w:space="0" w:color="000000"/>
              <w:bottom w:val="single" w:sz="2" w:space="0" w:color="000000"/>
              <w:right w:val="single" w:sz="4" w:space="0" w:color="000000"/>
            </w:tcBorders>
            <w:shd w:val="clear" w:color="auto" w:fill="C5E0B3"/>
          </w:tcPr>
          <w:p>
            <w:pPr>
              <w:pStyle w:val="TableParagraph"/>
              <w:spacing w:before="23"/>
              <w:ind w:right="137"/>
              <w:jc w:val="right"/>
              <w:rPr>
                <w:sz w:val="21"/>
              </w:rPr>
            </w:pPr>
            <w:r>
              <w:rPr>
                <w:w w:val="102"/>
                <w:sz w:val="21"/>
              </w:rPr>
              <w:t>0</w:t>
            </w:r>
          </w:p>
        </w:tc>
      </w:tr>
    </w:tbl>
    <w:p>
      <w:pPr>
        <w:pStyle w:val="BodyText"/>
        <w:spacing w:before="4"/>
        <w:rPr>
          <w:b/>
          <w:sz w:val="16"/>
        </w:rPr>
      </w:pPr>
    </w:p>
    <w:p>
      <w:pPr>
        <w:pStyle w:val="BodyText"/>
        <w:spacing w:line="364" w:lineRule="auto" w:before="74"/>
        <w:ind w:left="215" w:right="512"/>
      </w:pPr>
      <w:r>
        <w:rPr/>
        <w:t>En lo referente a las Estrategias de Acción ambiental, los adultos son los que más información poseen al respecto con un 48.57%, seguido de los jóvenes con el  25.71%.</w:t>
      </w:r>
    </w:p>
    <w:p>
      <w:pPr>
        <w:pStyle w:val="Heading2"/>
        <w:spacing w:before="120"/>
        <w:ind w:left="2217" w:right="512"/>
        <w:jc w:val="left"/>
      </w:pPr>
      <w:r>
        <w:rPr/>
        <w:t>Tabla No. 16. Estrategias de Acción</w:t>
      </w:r>
      <w:r>
        <w:rPr>
          <w:spacing w:val="53"/>
        </w:rPr>
        <w:t> </w:t>
      </w:r>
      <w:r>
        <w:rPr/>
        <w:t>Ambiental</w:t>
      </w:r>
    </w:p>
    <w:p>
      <w:pPr>
        <w:pStyle w:val="BodyText"/>
        <w:spacing w:before="10"/>
        <w:rPr>
          <w:b/>
          <w:sz w:val="2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1"/>
        <w:gridCol w:w="917"/>
        <w:gridCol w:w="1315"/>
        <w:gridCol w:w="1166"/>
        <w:gridCol w:w="389"/>
        <w:gridCol w:w="907"/>
        <w:gridCol w:w="912"/>
        <w:gridCol w:w="1075"/>
        <w:gridCol w:w="907"/>
      </w:tblGrid>
      <w:tr>
        <w:trPr>
          <w:trHeight w:val="274" w:hRule="exact"/>
        </w:trPr>
        <w:tc>
          <w:tcPr>
            <w:tcW w:w="1771" w:type="dxa"/>
            <w:tcBorders>
              <w:bottom w:val="nil"/>
            </w:tcBorders>
            <w:shd w:val="clear" w:color="auto" w:fill="70AD47"/>
          </w:tcPr>
          <w:p>
            <w:pPr>
              <w:pStyle w:val="TableParagraph"/>
              <w:spacing w:line="218" w:lineRule="exact"/>
              <w:ind w:left="95"/>
              <w:rPr>
                <w:b/>
                <w:sz w:val="19"/>
              </w:rPr>
            </w:pPr>
            <w:r>
              <w:rPr>
                <w:b/>
                <w:w w:val="105"/>
                <w:sz w:val="19"/>
              </w:rPr>
              <w:t>EDAD</w:t>
            </w:r>
          </w:p>
        </w:tc>
        <w:tc>
          <w:tcPr>
            <w:tcW w:w="3398" w:type="dxa"/>
            <w:gridSpan w:val="3"/>
            <w:shd w:val="clear" w:color="auto" w:fill="70AD47"/>
          </w:tcPr>
          <w:p>
            <w:pPr>
              <w:pStyle w:val="TableParagraph"/>
              <w:spacing w:line="218" w:lineRule="exact"/>
              <w:ind w:left="100"/>
              <w:rPr>
                <w:b/>
                <w:sz w:val="19"/>
              </w:rPr>
            </w:pPr>
            <w:r>
              <w:rPr>
                <w:b/>
                <w:w w:val="105"/>
                <w:sz w:val="19"/>
              </w:rPr>
              <w:t>Variable</w:t>
            </w:r>
          </w:p>
        </w:tc>
        <w:tc>
          <w:tcPr>
            <w:tcW w:w="4190" w:type="dxa"/>
            <w:gridSpan w:val="5"/>
            <w:shd w:val="clear" w:color="auto" w:fill="70AD47"/>
          </w:tcPr>
          <w:p>
            <w:pPr>
              <w:pStyle w:val="TableParagraph"/>
              <w:spacing w:line="218" w:lineRule="exact"/>
              <w:ind w:left="100"/>
              <w:rPr>
                <w:b/>
                <w:sz w:val="19"/>
              </w:rPr>
            </w:pPr>
            <w:r>
              <w:rPr>
                <w:b/>
                <w:w w:val="105"/>
                <w:sz w:val="19"/>
              </w:rPr>
              <w:t>Estrategias de Acción Ambiental</w:t>
            </w:r>
          </w:p>
        </w:tc>
      </w:tr>
      <w:tr>
        <w:trPr>
          <w:trHeight w:val="360" w:hRule="exact"/>
        </w:trPr>
        <w:tc>
          <w:tcPr>
            <w:tcW w:w="1771" w:type="dxa"/>
            <w:tcBorders>
              <w:top w:val="nil"/>
              <w:left w:val="nil"/>
            </w:tcBorders>
            <w:shd w:val="clear" w:color="auto" w:fill="70AD47"/>
          </w:tcPr>
          <w:p>
            <w:pPr/>
          </w:p>
        </w:tc>
        <w:tc>
          <w:tcPr>
            <w:tcW w:w="3398" w:type="dxa"/>
            <w:gridSpan w:val="3"/>
            <w:tcBorders>
              <w:top w:val="single" w:sz="34" w:space="0" w:color="70AD47"/>
            </w:tcBorders>
            <w:shd w:val="clear" w:color="auto" w:fill="C5E0B3"/>
          </w:tcPr>
          <w:p>
            <w:pPr>
              <w:pStyle w:val="TableParagraph"/>
              <w:spacing w:before="4"/>
              <w:ind w:left="100"/>
              <w:rPr>
                <w:sz w:val="19"/>
              </w:rPr>
            </w:pPr>
            <w:r>
              <w:rPr>
                <w:w w:val="105"/>
                <w:sz w:val="19"/>
              </w:rPr>
              <w:t>Escala Likert</w:t>
            </w:r>
          </w:p>
        </w:tc>
        <w:tc>
          <w:tcPr>
            <w:tcW w:w="389" w:type="dxa"/>
            <w:tcBorders>
              <w:top w:val="single" w:sz="34" w:space="0" w:color="70AD47"/>
            </w:tcBorders>
            <w:shd w:val="clear" w:color="auto" w:fill="C5E0B3"/>
          </w:tcPr>
          <w:p>
            <w:pPr>
              <w:pStyle w:val="TableParagraph"/>
              <w:spacing w:before="4"/>
              <w:ind w:left="100"/>
              <w:rPr>
                <w:sz w:val="19"/>
              </w:rPr>
            </w:pPr>
            <w:r>
              <w:rPr>
                <w:w w:val="103"/>
                <w:sz w:val="19"/>
              </w:rPr>
              <w:t>1</w:t>
            </w:r>
          </w:p>
        </w:tc>
        <w:tc>
          <w:tcPr>
            <w:tcW w:w="907" w:type="dxa"/>
            <w:tcBorders>
              <w:top w:val="single" w:sz="34" w:space="0" w:color="70AD47"/>
            </w:tcBorders>
            <w:shd w:val="clear" w:color="auto" w:fill="C5E0B3"/>
          </w:tcPr>
          <w:p>
            <w:pPr>
              <w:pStyle w:val="TableParagraph"/>
              <w:spacing w:before="4"/>
              <w:ind w:left="105"/>
              <w:rPr>
                <w:sz w:val="19"/>
              </w:rPr>
            </w:pPr>
            <w:r>
              <w:rPr>
                <w:w w:val="103"/>
                <w:sz w:val="19"/>
              </w:rPr>
              <w:t>2</w:t>
            </w:r>
          </w:p>
        </w:tc>
        <w:tc>
          <w:tcPr>
            <w:tcW w:w="912" w:type="dxa"/>
            <w:tcBorders>
              <w:top w:val="single" w:sz="34" w:space="0" w:color="70AD47"/>
            </w:tcBorders>
            <w:shd w:val="clear" w:color="auto" w:fill="C5E0B3"/>
          </w:tcPr>
          <w:p>
            <w:pPr>
              <w:pStyle w:val="TableParagraph"/>
              <w:spacing w:before="4"/>
              <w:ind w:left="105"/>
              <w:rPr>
                <w:sz w:val="19"/>
              </w:rPr>
            </w:pPr>
            <w:r>
              <w:rPr>
                <w:w w:val="103"/>
                <w:sz w:val="19"/>
              </w:rPr>
              <w:t>3</w:t>
            </w:r>
          </w:p>
        </w:tc>
        <w:tc>
          <w:tcPr>
            <w:tcW w:w="1075" w:type="dxa"/>
            <w:tcBorders>
              <w:top w:val="single" w:sz="34" w:space="0" w:color="70AD47"/>
            </w:tcBorders>
            <w:shd w:val="clear" w:color="auto" w:fill="C5E0B3"/>
          </w:tcPr>
          <w:p>
            <w:pPr>
              <w:pStyle w:val="TableParagraph"/>
              <w:spacing w:before="4"/>
              <w:ind w:left="100"/>
              <w:rPr>
                <w:sz w:val="19"/>
              </w:rPr>
            </w:pPr>
            <w:r>
              <w:rPr>
                <w:w w:val="103"/>
                <w:sz w:val="19"/>
              </w:rPr>
              <w:t>4</w:t>
            </w:r>
          </w:p>
        </w:tc>
        <w:tc>
          <w:tcPr>
            <w:tcW w:w="907" w:type="dxa"/>
            <w:tcBorders>
              <w:top w:val="single" w:sz="34" w:space="0" w:color="70AD47"/>
            </w:tcBorders>
            <w:shd w:val="clear" w:color="auto" w:fill="C5E0B3"/>
          </w:tcPr>
          <w:p>
            <w:pPr>
              <w:pStyle w:val="TableParagraph"/>
              <w:spacing w:before="4"/>
              <w:ind w:left="95"/>
              <w:rPr>
                <w:sz w:val="19"/>
              </w:rPr>
            </w:pPr>
            <w:r>
              <w:rPr>
                <w:w w:val="103"/>
                <w:sz w:val="19"/>
              </w:rPr>
              <w:t>5</w:t>
            </w:r>
          </w:p>
        </w:tc>
      </w:tr>
      <w:tr>
        <w:trPr>
          <w:trHeight w:val="274" w:hRule="exact"/>
        </w:trPr>
        <w:tc>
          <w:tcPr>
            <w:tcW w:w="1771" w:type="dxa"/>
            <w:vMerge w:val="restart"/>
            <w:tcBorders>
              <w:left w:val="nil"/>
            </w:tcBorders>
            <w:shd w:val="clear" w:color="auto" w:fill="70AD47"/>
          </w:tcPr>
          <w:p>
            <w:pPr>
              <w:pStyle w:val="TableParagraph"/>
              <w:spacing w:line="218" w:lineRule="exact"/>
              <w:ind w:left="100"/>
              <w:rPr>
                <w:b/>
                <w:sz w:val="19"/>
              </w:rPr>
            </w:pPr>
            <w:r>
              <w:rPr>
                <w:b/>
                <w:w w:val="105"/>
                <w:sz w:val="19"/>
              </w:rPr>
              <w:t>Joven</w:t>
            </w:r>
          </w:p>
        </w:tc>
        <w:tc>
          <w:tcPr>
            <w:tcW w:w="917" w:type="dxa"/>
            <w:tcBorders>
              <w:bottom w:val="nil"/>
            </w:tcBorders>
            <w:shd w:val="clear" w:color="auto" w:fill="E2EFD9"/>
          </w:tcPr>
          <w:p>
            <w:pPr>
              <w:pStyle w:val="TableParagraph"/>
              <w:spacing w:line="218" w:lineRule="exact"/>
              <w:ind w:left="100"/>
              <w:rPr>
                <w:sz w:val="19"/>
              </w:rPr>
            </w:pPr>
            <w:r>
              <w:rPr>
                <w:w w:val="105"/>
                <w:sz w:val="19"/>
              </w:rPr>
              <w:t>SEXO</w:t>
            </w:r>
          </w:p>
        </w:tc>
        <w:tc>
          <w:tcPr>
            <w:tcW w:w="1315" w:type="dxa"/>
            <w:tcBorders>
              <w:bottom w:val="nil"/>
            </w:tcBorders>
            <w:shd w:val="clear" w:color="auto" w:fill="E2EFD9"/>
          </w:tcPr>
          <w:p>
            <w:pPr>
              <w:pStyle w:val="TableParagraph"/>
              <w:spacing w:line="218" w:lineRule="exact"/>
              <w:ind w:left="100"/>
              <w:rPr>
                <w:sz w:val="19"/>
              </w:rPr>
            </w:pPr>
            <w:r>
              <w:rPr>
                <w:w w:val="105"/>
                <w:sz w:val="19"/>
              </w:rPr>
              <w:t>Masculino</w:t>
            </w:r>
          </w:p>
        </w:tc>
        <w:tc>
          <w:tcPr>
            <w:tcW w:w="1166" w:type="dxa"/>
            <w:shd w:val="clear" w:color="auto" w:fill="E2EFD9"/>
          </w:tcPr>
          <w:p>
            <w:pPr>
              <w:pStyle w:val="TableParagraph"/>
              <w:spacing w:line="218" w:lineRule="exact"/>
              <w:ind w:left="105"/>
              <w:rPr>
                <w:sz w:val="19"/>
              </w:rPr>
            </w:pPr>
            <w:r>
              <w:rPr>
                <w:w w:val="105"/>
                <w:sz w:val="19"/>
              </w:rPr>
              <w:t>Cantidad</w:t>
            </w:r>
          </w:p>
        </w:tc>
        <w:tc>
          <w:tcPr>
            <w:tcW w:w="389" w:type="dxa"/>
            <w:shd w:val="clear" w:color="auto" w:fill="E2EFD9"/>
          </w:tcPr>
          <w:p>
            <w:pPr>
              <w:pStyle w:val="TableParagraph"/>
              <w:spacing w:line="218" w:lineRule="exact"/>
              <w:ind w:left="100"/>
              <w:rPr>
                <w:sz w:val="19"/>
              </w:rPr>
            </w:pPr>
            <w:r>
              <w:rPr>
                <w:w w:val="103"/>
                <w:sz w:val="19"/>
              </w:rPr>
              <w:t>0</w:t>
            </w:r>
          </w:p>
        </w:tc>
        <w:tc>
          <w:tcPr>
            <w:tcW w:w="907" w:type="dxa"/>
            <w:shd w:val="clear" w:color="auto" w:fill="E2EFD9"/>
          </w:tcPr>
          <w:p>
            <w:pPr>
              <w:pStyle w:val="TableParagraph"/>
              <w:spacing w:line="218" w:lineRule="exact"/>
              <w:ind w:left="105"/>
              <w:rPr>
                <w:sz w:val="19"/>
              </w:rPr>
            </w:pPr>
            <w:r>
              <w:rPr>
                <w:w w:val="105"/>
                <w:sz w:val="19"/>
              </w:rPr>
              <w:t>14</w:t>
            </w:r>
          </w:p>
        </w:tc>
        <w:tc>
          <w:tcPr>
            <w:tcW w:w="912" w:type="dxa"/>
            <w:shd w:val="clear" w:color="auto" w:fill="E2EFD9"/>
          </w:tcPr>
          <w:p>
            <w:pPr>
              <w:pStyle w:val="TableParagraph"/>
              <w:spacing w:line="218" w:lineRule="exact"/>
              <w:ind w:left="105"/>
              <w:rPr>
                <w:sz w:val="19"/>
              </w:rPr>
            </w:pPr>
            <w:r>
              <w:rPr>
                <w:w w:val="105"/>
                <w:sz w:val="19"/>
              </w:rPr>
              <w:t>20</w:t>
            </w:r>
          </w:p>
        </w:tc>
        <w:tc>
          <w:tcPr>
            <w:tcW w:w="1075" w:type="dxa"/>
            <w:shd w:val="clear" w:color="auto" w:fill="E2EFD9"/>
          </w:tcPr>
          <w:p>
            <w:pPr>
              <w:pStyle w:val="TableParagraph"/>
              <w:spacing w:line="218" w:lineRule="exact"/>
              <w:ind w:left="100"/>
              <w:rPr>
                <w:sz w:val="19"/>
              </w:rPr>
            </w:pPr>
            <w:r>
              <w:rPr>
                <w:w w:val="105"/>
                <w:sz w:val="19"/>
              </w:rPr>
              <w:t>39</w:t>
            </w:r>
          </w:p>
        </w:tc>
        <w:tc>
          <w:tcPr>
            <w:tcW w:w="907" w:type="dxa"/>
            <w:shd w:val="clear" w:color="auto" w:fill="E2EFD9"/>
          </w:tcPr>
          <w:p>
            <w:pPr>
              <w:pStyle w:val="TableParagraph"/>
              <w:spacing w:line="218" w:lineRule="exact"/>
              <w:ind w:left="95"/>
              <w:rPr>
                <w:sz w:val="19"/>
              </w:rPr>
            </w:pPr>
            <w:r>
              <w:rPr>
                <w:w w:val="105"/>
                <w:sz w:val="19"/>
              </w:rPr>
              <w:t>12</w:t>
            </w:r>
          </w:p>
        </w:tc>
      </w:tr>
      <w:tr>
        <w:trPr>
          <w:trHeight w:val="355" w:hRule="exact"/>
        </w:trPr>
        <w:tc>
          <w:tcPr>
            <w:tcW w:w="1771" w:type="dxa"/>
            <w:vMerge/>
            <w:tcBorders>
              <w:left w:val="nil"/>
            </w:tcBorders>
            <w:shd w:val="clear" w:color="auto" w:fill="70AD47"/>
          </w:tcPr>
          <w:p>
            <w:pPr/>
          </w:p>
        </w:tc>
        <w:tc>
          <w:tcPr>
            <w:tcW w:w="917" w:type="dxa"/>
            <w:vMerge w:val="restart"/>
            <w:tcBorders>
              <w:top w:val="nil"/>
            </w:tcBorders>
            <w:shd w:val="clear" w:color="auto" w:fill="E2EFD9"/>
          </w:tcPr>
          <w:p>
            <w:pPr/>
          </w:p>
        </w:tc>
        <w:tc>
          <w:tcPr>
            <w:tcW w:w="1315" w:type="dxa"/>
            <w:tcBorders>
              <w:top w:val="nil"/>
            </w:tcBorders>
            <w:shd w:val="clear" w:color="auto" w:fill="E2EFD9"/>
          </w:tcPr>
          <w:p>
            <w:pPr/>
          </w:p>
        </w:tc>
        <w:tc>
          <w:tcPr>
            <w:tcW w:w="1166" w:type="dxa"/>
            <w:tcBorders>
              <w:top w:val="single" w:sz="34" w:space="0" w:color="E2EFD9"/>
            </w:tcBorders>
            <w:shd w:val="clear" w:color="auto" w:fill="C5E0B3"/>
          </w:tcPr>
          <w:p>
            <w:pPr>
              <w:pStyle w:val="TableParagraph"/>
              <w:spacing w:line="218" w:lineRule="exact"/>
              <w:ind w:left="105"/>
              <w:rPr>
                <w:sz w:val="19"/>
              </w:rPr>
            </w:pPr>
            <w:r>
              <w:rPr>
                <w:w w:val="105"/>
                <w:sz w:val="19"/>
              </w:rPr>
              <w:t>% Total</w:t>
            </w:r>
          </w:p>
        </w:tc>
        <w:tc>
          <w:tcPr>
            <w:tcW w:w="389" w:type="dxa"/>
            <w:tcBorders>
              <w:top w:val="single" w:sz="34" w:space="0" w:color="E2EFD9"/>
            </w:tcBorders>
            <w:shd w:val="clear" w:color="auto" w:fill="C5E0B3"/>
          </w:tcPr>
          <w:p>
            <w:pPr>
              <w:pStyle w:val="TableParagraph"/>
              <w:spacing w:line="218" w:lineRule="exact"/>
              <w:ind w:left="100"/>
              <w:rPr>
                <w:sz w:val="19"/>
              </w:rPr>
            </w:pPr>
            <w:r>
              <w:rPr>
                <w:w w:val="103"/>
                <w:sz w:val="19"/>
              </w:rPr>
              <w:t>0</w:t>
            </w:r>
          </w:p>
        </w:tc>
        <w:tc>
          <w:tcPr>
            <w:tcW w:w="907" w:type="dxa"/>
            <w:tcBorders>
              <w:top w:val="single" w:sz="34" w:space="0" w:color="E2EFD9"/>
            </w:tcBorders>
            <w:shd w:val="clear" w:color="auto" w:fill="C5E0B3"/>
          </w:tcPr>
          <w:p>
            <w:pPr>
              <w:pStyle w:val="TableParagraph"/>
              <w:spacing w:line="218" w:lineRule="exact"/>
              <w:ind w:left="105"/>
              <w:rPr>
                <w:sz w:val="19"/>
              </w:rPr>
            </w:pPr>
            <w:r>
              <w:rPr>
                <w:w w:val="105"/>
                <w:sz w:val="19"/>
              </w:rPr>
              <w:t>3.33%</w:t>
            </w:r>
          </w:p>
        </w:tc>
        <w:tc>
          <w:tcPr>
            <w:tcW w:w="912" w:type="dxa"/>
            <w:tcBorders>
              <w:top w:val="single" w:sz="34" w:space="0" w:color="E2EFD9"/>
            </w:tcBorders>
            <w:shd w:val="clear" w:color="auto" w:fill="C5E0B3"/>
          </w:tcPr>
          <w:p>
            <w:pPr>
              <w:pStyle w:val="TableParagraph"/>
              <w:spacing w:line="218" w:lineRule="exact"/>
              <w:ind w:left="105"/>
              <w:rPr>
                <w:sz w:val="19"/>
              </w:rPr>
            </w:pPr>
            <w:r>
              <w:rPr>
                <w:w w:val="105"/>
                <w:sz w:val="19"/>
              </w:rPr>
              <w:t>4.76%</w:t>
            </w:r>
          </w:p>
        </w:tc>
        <w:tc>
          <w:tcPr>
            <w:tcW w:w="1075" w:type="dxa"/>
            <w:tcBorders>
              <w:top w:val="single" w:sz="34" w:space="0" w:color="E2EFD9"/>
            </w:tcBorders>
            <w:shd w:val="clear" w:color="auto" w:fill="C5E0B3"/>
          </w:tcPr>
          <w:p>
            <w:pPr>
              <w:pStyle w:val="TableParagraph"/>
              <w:spacing w:line="218" w:lineRule="exact"/>
              <w:ind w:left="100"/>
              <w:rPr>
                <w:sz w:val="19"/>
              </w:rPr>
            </w:pPr>
            <w:r>
              <w:rPr>
                <w:w w:val="105"/>
                <w:sz w:val="19"/>
              </w:rPr>
              <w:t>9.28%</w:t>
            </w:r>
          </w:p>
        </w:tc>
        <w:tc>
          <w:tcPr>
            <w:tcW w:w="907" w:type="dxa"/>
            <w:tcBorders>
              <w:top w:val="single" w:sz="34" w:space="0" w:color="E2EFD9"/>
            </w:tcBorders>
            <w:shd w:val="clear" w:color="auto" w:fill="C5E0B3"/>
          </w:tcPr>
          <w:p>
            <w:pPr>
              <w:pStyle w:val="TableParagraph"/>
              <w:spacing w:line="218" w:lineRule="exact"/>
              <w:ind w:left="95"/>
              <w:rPr>
                <w:sz w:val="19"/>
              </w:rPr>
            </w:pPr>
            <w:r>
              <w:rPr>
                <w:w w:val="105"/>
                <w:sz w:val="19"/>
              </w:rPr>
              <w:t>2.85%</w:t>
            </w:r>
          </w:p>
        </w:tc>
      </w:tr>
      <w:tr>
        <w:trPr>
          <w:trHeight w:val="322" w:hRule="exact"/>
        </w:trPr>
        <w:tc>
          <w:tcPr>
            <w:tcW w:w="1771" w:type="dxa"/>
            <w:vMerge/>
            <w:tcBorders>
              <w:left w:val="nil"/>
            </w:tcBorders>
            <w:shd w:val="clear" w:color="auto" w:fill="70AD47"/>
          </w:tcPr>
          <w:p>
            <w:pPr/>
          </w:p>
        </w:tc>
        <w:tc>
          <w:tcPr>
            <w:tcW w:w="917" w:type="dxa"/>
            <w:vMerge/>
            <w:shd w:val="clear" w:color="auto" w:fill="E2EFD9"/>
          </w:tcPr>
          <w:p>
            <w:pPr/>
          </w:p>
        </w:tc>
        <w:tc>
          <w:tcPr>
            <w:tcW w:w="1315" w:type="dxa"/>
            <w:vMerge w:val="restart"/>
            <w:shd w:val="clear" w:color="auto" w:fill="E2EFD9"/>
          </w:tcPr>
          <w:p>
            <w:pPr>
              <w:pStyle w:val="TableParagraph"/>
              <w:spacing w:line="218" w:lineRule="exact"/>
              <w:ind w:left="100"/>
              <w:rPr>
                <w:sz w:val="19"/>
              </w:rPr>
            </w:pPr>
            <w:r>
              <w:rPr>
                <w:w w:val="105"/>
                <w:sz w:val="19"/>
              </w:rPr>
              <w:t>Femenino</w:t>
            </w:r>
          </w:p>
        </w:tc>
        <w:tc>
          <w:tcPr>
            <w:tcW w:w="1166" w:type="dxa"/>
            <w:shd w:val="clear" w:color="auto" w:fill="E2EFD9"/>
          </w:tcPr>
          <w:p>
            <w:pPr>
              <w:pStyle w:val="TableParagraph"/>
              <w:spacing w:line="218" w:lineRule="exact"/>
              <w:ind w:left="105"/>
              <w:rPr>
                <w:sz w:val="19"/>
              </w:rPr>
            </w:pPr>
            <w:r>
              <w:rPr>
                <w:w w:val="105"/>
                <w:sz w:val="19"/>
              </w:rPr>
              <w:t>Cantidad</w:t>
            </w:r>
          </w:p>
        </w:tc>
        <w:tc>
          <w:tcPr>
            <w:tcW w:w="389" w:type="dxa"/>
            <w:shd w:val="clear" w:color="auto" w:fill="E2EFD9"/>
          </w:tcPr>
          <w:p>
            <w:pPr>
              <w:pStyle w:val="TableParagraph"/>
              <w:spacing w:line="218" w:lineRule="exact"/>
              <w:ind w:left="100"/>
              <w:rPr>
                <w:sz w:val="19"/>
              </w:rPr>
            </w:pPr>
            <w:r>
              <w:rPr>
                <w:w w:val="103"/>
                <w:sz w:val="19"/>
              </w:rPr>
              <w:t>0</w:t>
            </w:r>
          </w:p>
        </w:tc>
        <w:tc>
          <w:tcPr>
            <w:tcW w:w="907" w:type="dxa"/>
            <w:shd w:val="clear" w:color="auto" w:fill="E2EFD9"/>
          </w:tcPr>
          <w:p>
            <w:pPr>
              <w:pStyle w:val="TableParagraph"/>
              <w:spacing w:line="218" w:lineRule="exact"/>
              <w:ind w:left="105"/>
              <w:rPr>
                <w:sz w:val="19"/>
              </w:rPr>
            </w:pPr>
            <w:r>
              <w:rPr>
                <w:w w:val="105"/>
                <w:sz w:val="19"/>
              </w:rPr>
              <w:t>10</w:t>
            </w:r>
          </w:p>
        </w:tc>
        <w:tc>
          <w:tcPr>
            <w:tcW w:w="912" w:type="dxa"/>
            <w:shd w:val="clear" w:color="auto" w:fill="E2EFD9"/>
          </w:tcPr>
          <w:p>
            <w:pPr>
              <w:pStyle w:val="TableParagraph"/>
              <w:spacing w:line="218" w:lineRule="exact"/>
              <w:ind w:left="105"/>
              <w:rPr>
                <w:sz w:val="19"/>
              </w:rPr>
            </w:pPr>
            <w:r>
              <w:rPr>
                <w:w w:val="103"/>
                <w:sz w:val="19"/>
              </w:rPr>
              <w:t>8</w:t>
            </w:r>
          </w:p>
        </w:tc>
        <w:tc>
          <w:tcPr>
            <w:tcW w:w="1075" w:type="dxa"/>
            <w:shd w:val="clear" w:color="auto" w:fill="E2EFD9"/>
          </w:tcPr>
          <w:p>
            <w:pPr>
              <w:pStyle w:val="TableParagraph"/>
              <w:spacing w:line="218" w:lineRule="exact"/>
              <w:ind w:left="100"/>
              <w:rPr>
                <w:sz w:val="19"/>
              </w:rPr>
            </w:pPr>
            <w:r>
              <w:rPr>
                <w:w w:val="105"/>
                <w:sz w:val="19"/>
              </w:rPr>
              <w:t>69</w:t>
            </w:r>
          </w:p>
        </w:tc>
        <w:tc>
          <w:tcPr>
            <w:tcW w:w="907" w:type="dxa"/>
            <w:shd w:val="clear" w:color="auto" w:fill="E2EFD9"/>
          </w:tcPr>
          <w:p>
            <w:pPr>
              <w:pStyle w:val="TableParagraph"/>
              <w:spacing w:line="218" w:lineRule="exact"/>
              <w:ind w:left="95"/>
              <w:rPr>
                <w:sz w:val="19"/>
              </w:rPr>
            </w:pPr>
            <w:r>
              <w:rPr>
                <w:w w:val="103"/>
                <w:sz w:val="19"/>
              </w:rPr>
              <w:t>0</w:t>
            </w:r>
          </w:p>
        </w:tc>
      </w:tr>
      <w:tr>
        <w:trPr>
          <w:trHeight w:val="315" w:hRule="exact"/>
        </w:trPr>
        <w:tc>
          <w:tcPr>
            <w:tcW w:w="1771" w:type="dxa"/>
            <w:vMerge/>
            <w:tcBorders>
              <w:left w:val="nil"/>
            </w:tcBorders>
            <w:shd w:val="clear" w:color="auto" w:fill="70AD47"/>
          </w:tcPr>
          <w:p>
            <w:pPr/>
          </w:p>
        </w:tc>
        <w:tc>
          <w:tcPr>
            <w:tcW w:w="917" w:type="dxa"/>
            <w:vMerge/>
            <w:shd w:val="clear" w:color="auto" w:fill="E2EFD9"/>
          </w:tcPr>
          <w:p>
            <w:pPr/>
          </w:p>
        </w:tc>
        <w:tc>
          <w:tcPr>
            <w:tcW w:w="1315" w:type="dxa"/>
            <w:vMerge/>
            <w:shd w:val="clear" w:color="auto" w:fill="E2EFD9"/>
          </w:tcPr>
          <w:p>
            <w:pPr/>
          </w:p>
        </w:tc>
        <w:tc>
          <w:tcPr>
            <w:tcW w:w="1166" w:type="dxa"/>
            <w:shd w:val="clear" w:color="auto" w:fill="C5E0B3"/>
          </w:tcPr>
          <w:p>
            <w:pPr>
              <w:pStyle w:val="TableParagraph"/>
              <w:spacing w:line="218" w:lineRule="exact"/>
              <w:ind w:left="105"/>
              <w:rPr>
                <w:sz w:val="19"/>
              </w:rPr>
            </w:pPr>
            <w:r>
              <w:rPr>
                <w:w w:val="105"/>
                <w:sz w:val="19"/>
              </w:rPr>
              <w:t>% Total</w:t>
            </w:r>
          </w:p>
        </w:tc>
        <w:tc>
          <w:tcPr>
            <w:tcW w:w="389" w:type="dxa"/>
            <w:shd w:val="clear" w:color="auto" w:fill="C5E0B3"/>
          </w:tcPr>
          <w:p>
            <w:pPr>
              <w:pStyle w:val="TableParagraph"/>
              <w:spacing w:line="218" w:lineRule="exact"/>
              <w:ind w:left="100"/>
              <w:rPr>
                <w:sz w:val="19"/>
              </w:rPr>
            </w:pPr>
            <w:r>
              <w:rPr>
                <w:w w:val="103"/>
                <w:sz w:val="19"/>
              </w:rPr>
              <w:t>0</w:t>
            </w:r>
          </w:p>
        </w:tc>
        <w:tc>
          <w:tcPr>
            <w:tcW w:w="907" w:type="dxa"/>
            <w:shd w:val="clear" w:color="auto" w:fill="C5E0B3"/>
          </w:tcPr>
          <w:p>
            <w:pPr>
              <w:pStyle w:val="TableParagraph"/>
              <w:spacing w:line="218" w:lineRule="exact"/>
              <w:ind w:left="105"/>
              <w:rPr>
                <w:sz w:val="19"/>
              </w:rPr>
            </w:pPr>
            <w:r>
              <w:rPr>
                <w:w w:val="105"/>
                <w:sz w:val="19"/>
              </w:rPr>
              <w:t>2.38%</w:t>
            </w:r>
          </w:p>
        </w:tc>
        <w:tc>
          <w:tcPr>
            <w:tcW w:w="912" w:type="dxa"/>
            <w:shd w:val="clear" w:color="auto" w:fill="C5E0B3"/>
          </w:tcPr>
          <w:p>
            <w:pPr>
              <w:pStyle w:val="TableParagraph"/>
              <w:spacing w:line="218" w:lineRule="exact"/>
              <w:ind w:left="105"/>
              <w:rPr>
                <w:sz w:val="19"/>
              </w:rPr>
            </w:pPr>
            <w:r>
              <w:rPr>
                <w:w w:val="105"/>
                <w:sz w:val="19"/>
              </w:rPr>
              <w:t>1.90%</w:t>
            </w:r>
          </w:p>
        </w:tc>
        <w:tc>
          <w:tcPr>
            <w:tcW w:w="1075" w:type="dxa"/>
            <w:shd w:val="clear" w:color="auto" w:fill="C5E0B3"/>
          </w:tcPr>
          <w:p>
            <w:pPr>
              <w:pStyle w:val="TableParagraph"/>
              <w:spacing w:line="218" w:lineRule="exact"/>
              <w:ind w:left="100"/>
              <w:rPr>
                <w:sz w:val="19"/>
              </w:rPr>
            </w:pPr>
            <w:r>
              <w:rPr>
                <w:w w:val="105"/>
                <w:sz w:val="19"/>
              </w:rPr>
              <w:t>16.42%</w:t>
            </w:r>
          </w:p>
        </w:tc>
        <w:tc>
          <w:tcPr>
            <w:tcW w:w="907" w:type="dxa"/>
            <w:shd w:val="clear" w:color="auto" w:fill="C5E0B3"/>
          </w:tcPr>
          <w:p>
            <w:pPr>
              <w:pStyle w:val="TableParagraph"/>
              <w:spacing w:line="218" w:lineRule="exact"/>
              <w:ind w:left="95"/>
              <w:rPr>
                <w:sz w:val="19"/>
              </w:rPr>
            </w:pPr>
            <w:r>
              <w:rPr>
                <w:w w:val="103"/>
                <w:sz w:val="19"/>
              </w:rPr>
              <w:t>0</w:t>
            </w:r>
          </w:p>
        </w:tc>
      </w:tr>
      <w:tr>
        <w:trPr>
          <w:trHeight w:val="273" w:hRule="exact"/>
        </w:trPr>
        <w:tc>
          <w:tcPr>
            <w:tcW w:w="1771" w:type="dxa"/>
            <w:vMerge/>
            <w:tcBorders>
              <w:left w:val="nil"/>
            </w:tcBorders>
            <w:shd w:val="clear" w:color="auto" w:fill="70AD47"/>
          </w:tcPr>
          <w:p>
            <w:pPr/>
          </w:p>
        </w:tc>
        <w:tc>
          <w:tcPr>
            <w:tcW w:w="2232" w:type="dxa"/>
            <w:gridSpan w:val="2"/>
            <w:tcBorders>
              <w:bottom w:val="nil"/>
            </w:tcBorders>
            <w:shd w:val="clear" w:color="auto" w:fill="E2EFD9"/>
          </w:tcPr>
          <w:p>
            <w:pPr>
              <w:pStyle w:val="TableParagraph"/>
              <w:spacing w:before="1"/>
              <w:ind w:left="100"/>
              <w:rPr>
                <w:sz w:val="19"/>
              </w:rPr>
            </w:pPr>
            <w:r>
              <w:rPr>
                <w:w w:val="105"/>
                <w:sz w:val="19"/>
              </w:rPr>
              <w:t>TOTAL</w:t>
            </w:r>
          </w:p>
        </w:tc>
        <w:tc>
          <w:tcPr>
            <w:tcW w:w="1166" w:type="dxa"/>
            <w:shd w:val="clear" w:color="auto" w:fill="E2EFD9"/>
          </w:tcPr>
          <w:p>
            <w:pPr>
              <w:pStyle w:val="TableParagraph"/>
              <w:spacing w:before="1"/>
              <w:ind w:left="105"/>
              <w:rPr>
                <w:sz w:val="19"/>
              </w:rPr>
            </w:pPr>
            <w:r>
              <w:rPr>
                <w:w w:val="105"/>
                <w:sz w:val="19"/>
              </w:rPr>
              <w:t>Cantidad</w:t>
            </w:r>
          </w:p>
        </w:tc>
        <w:tc>
          <w:tcPr>
            <w:tcW w:w="389" w:type="dxa"/>
            <w:shd w:val="clear" w:color="auto" w:fill="E2EFD9"/>
          </w:tcPr>
          <w:p>
            <w:pPr>
              <w:pStyle w:val="TableParagraph"/>
              <w:spacing w:before="1"/>
              <w:ind w:left="100"/>
              <w:rPr>
                <w:sz w:val="19"/>
              </w:rPr>
            </w:pPr>
            <w:r>
              <w:rPr>
                <w:w w:val="103"/>
                <w:sz w:val="19"/>
              </w:rPr>
              <w:t>0</w:t>
            </w:r>
          </w:p>
        </w:tc>
        <w:tc>
          <w:tcPr>
            <w:tcW w:w="907" w:type="dxa"/>
            <w:shd w:val="clear" w:color="auto" w:fill="E2EFD9"/>
          </w:tcPr>
          <w:p>
            <w:pPr>
              <w:pStyle w:val="TableParagraph"/>
              <w:spacing w:before="1"/>
              <w:ind w:left="105"/>
              <w:rPr>
                <w:sz w:val="19"/>
              </w:rPr>
            </w:pPr>
            <w:r>
              <w:rPr>
                <w:w w:val="105"/>
                <w:sz w:val="19"/>
              </w:rPr>
              <w:t>24</w:t>
            </w:r>
          </w:p>
        </w:tc>
        <w:tc>
          <w:tcPr>
            <w:tcW w:w="912" w:type="dxa"/>
            <w:shd w:val="clear" w:color="auto" w:fill="E2EFD9"/>
          </w:tcPr>
          <w:p>
            <w:pPr>
              <w:pStyle w:val="TableParagraph"/>
              <w:spacing w:before="1"/>
              <w:ind w:left="105"/>
              <w:rPr>
                <w:sz w:val="19"/>
              </w:rPr>
            </w:pPr>
            <w:r>
              <w:rPr>
                <w:w w:val="105"/>
                <w:sz w:val="19"/>
              </w:rPr>
              <w:t>28</w:t>
            </w:r>
          </w:p>
        </w:tc>
        <w:tc>
          <w:tcPr>
            <w:tcW w:w="1075" w:type="dxa"/>
            <w:shd w:val="clear" w:color="auto" w:fill="E2EFD9"/>
          </w:tcPr>
          <w:p>
            <w:pPr>
              <w:pStyle w:val="TableParagraph"/>
              <w:spacing w:before="1"/>
              <w:ind w:left="100"/>
              <w:rPr>
                <w:sz w:val="19"/>
              </w:rPr>
            </w:pPr>
            <w:r>
              <w:rPr>
                <w:w w:val="105"/>
                <w:sz w:val="19"/>
              </w:rPr>
              <w:t>108</w:t>
            </w:r>
          </w:p>
        </w:tc>
        <w:tc>
          <w:tcPr>
            <w:tcW w:w="907" w:type="dxa"/>
            <w:shd w:val="clear" w:color="auto" w:fill="E2EFD9"/>
          </w:tcPr>
          <w:p>
            <w:pPr>
              <w:pStyle w:val="TableParagraph"/>
              <w:spacing w:before="1"/>
              <w:ind w:left="95"/>
              <w:rPr>
                <w:sz w:val="19"/>
              </w:rPr>
            </w:pPr>
            <w:r>
              <w:rPr>
                <w:w w:val="105"/>
                <w:sz w:val="19"/>
              </w:rPr>
              <w:t>12</w:t>
            </w:r>
          </w:p>
        </w:tc>
      </w:tr>
      <w:tr>
        <w:trPr>
          <w:trHeight w:val="363" w:hRule="exact"/>
        </w:trPr>
        <w:tc>
          <w:tcPr>
            <w:tcW w:w="1771" w:type="dxa"/>
            <w:vMerge/>
            <w:tcBorders>
              <w:left w:val="nil"/>
            </w:tcBorders>
            <w:shd w:val="clear" w:color="auto" w:fill="70AD47"/>
          </w:tcPr>
          <w:p>
            <w:pPr/>
          </w:p>
        </w:tc>
        <w:tc>
          <w:tcPr>
            <w:tcW w:w="2232" w:type="dxa"/>
            <w:gridSpan w:val="2"/>
            <w:tcBorders>
              <w:top w:val="nil"/>
            </w:tcBorders>
            <w:shd w:val="clear" w:color="auto" w:fill="E2EFD9"/>
          </w:tcPr>
          <w:p>
            <w:pPr/>
          </w:p>
        </w:tc>
        <w:tc>
          <w:tcPr>
            <w:tcW w:w="1166" w:type="dxa"/>
            <w:tcBorders>
              <w:top w:val="single" w:sz="33" w:space="0" w:color="E2EFD9"/>
            </w:tcBorders>
            <w:shd w:val="clear" w:color="auto" w:fill="C5E0B3"/>
          </w:tcPr>
          <w:p>
            <w:pPr>
              <w:pStyle w:val="TableParagraph"/>
              <w:spacing w:before="4"/>
              <w:ind w:left="105"/>
              <w:rPr>
                <w:sz w:val="19"/>
              </w:rPr>
            </w:pPr>
            <w:r>
              <w:rPr>
                <w:w w:val="105"/>
                <w:sz w:val="19"/>
              </w:rPr>
              <w:t>% Total</w:t>
            </w:r>
          </w:p>
        </w:tc>
        <w:tc>
          <w:tcPr>
            <w:tcW w:w="389" w:type="dxa"/>
            <w:tcBorders>
              <w:top w:val="single" w:sz="33" w:space="0" w:color="E2EFD9"/>
            </w:tcBorders>
            <w:shd w:val="clear" w:color="auto" w:fill="C5E0B3"/>
          </w:tcPr>
          <w:p>
            <w:pPr>
              <w:pStyle w:val="TableParagraph"/>
              <w:spacing w:before="4"/>
              <w:ind w:left="100"/>
              <w:rPr>
                <w:sz w:val="19"/>
              </w:rPr>
            </w:pPr>
            <w:r>
              <w:rPr>
                <w:w w:val="103"/>
                <w:sz w:val="19"/>
              </w:rPr>
              <w:t>0</w:t>
            </w:r>
          </w:p>
        </w:tc>
        <w:tc>
          <w:tcPr>
            <w:tcW w:w="907" w:type="dxa"/>
            <w:tcBorders>
              <w:top w:val="single" w:sz="33" w:space="0" w:color="E2EFD9"/>
            </w:tcBorders>
            <w:shd w:val="clear" w:color="auto" w:fill="C5E0B3"/>
          </w:tcPr>
          <w:p>
            <w:pPr>
              <w:pStyle w:val="TableParagraph"/>
              <w:spacing w:before="4"/>
              <w:ind w:left="105"/>
              <w:rPr>
                <w:sz w:val="19"/>
              </w:rPr>
            </w:pPr>
            <w:r>
              <w:rPr>
                <w:w w:val="105"/>
                <w:sz w:val="19"/>
              </w:rPr>
              <w:t>5.71%</w:t>
            </w:r>
          </w:p>
        </w:tc>
        <w:tc>
          <w:tcPr>
            <w:tcW w:w="912" w:type="dxa"/>
            <w:tcBorders>
              <w:top w:val="single" w:sz="33" w:space="0" w:color="E2EFD9"/>
            </w:tcBorders>
            <w:shd w:val="clear" w:color="auto" w:fill="C5E0B3"/>
          </w:tcPr>
          <w:p>
            <w:pPr>
              <w:pStyle w:val="TableParagraph"/>
              <w:spacing w:before="4"/>
              <w:ind w:left="105"/>
              <w:rPr>
                <w:sz w:val="19"/>
              </w:rPr>
            </w:pPr>
            <w:r>
              <w:rPr>
                <w:w w:val="105"/>
                <w:sz w:val="19"/>
              </w:rPr>
              <w:t>6.66%</w:t>
            </w:r>
          </w:p>
        </w:tc>
        <w:tc>
          <w:tcPr>
            <w:tcW w:w="1075" w:type="dxa"/>
            <w:tcBorders>
              <w:top w:val="single" w:sz="33" w:space="0" w:color="E2EFD9"/>
            </w:tcBorders>
            <w:shd w:val="clear" w:color="auto" w:fill="C5E0B3"/>
          </w:tcPr>
          <w:p>
            <w:pPr>
              <w:pStyle w:val="TableParagraph"/>
              <w:spacing w:before="4"/>
              <w:ind w:left="100"/>
              <w:rPr>
                <w:sz w:val="19"/>
              </w:rPr>
            </w:pPr>
            <w:r>
              <w:rPr>
                <w:w w:val="105"/>
                <w:sz w:val="19"/>
              </w:rPr>
              <w:t>25.71%</w:t>
            </w:r>
          </w:p>
        </w:tc>
        <w:tc>
          <w:tcPr>
            <w:tcW w:w="907" w:type="dxa"/>
            <w:tcBorders>
              <w:top w:val="single" w:sz="33" w:space="0" w:color="E2EFD9"/>
            </w:tcBorders>
            <w:shd w:val="clear" w:color="auto" w:fill="C5E0B3"/>
          </w:tcPr>
          <w:p>
            <w:pPr>
              <w:pStyle w:val="TableParagraph"/>
              <w:spacing w:before="4"/>
              <w:ind w:left="95"/>
              <w:rPr>
                <w:sz w:val="19"/>
              </w:rPr>
            </w:pPr>
            <w:r>
              <w:rPr>
                <w:w w:val="105"/>
                <w:sz w:val="19"/>
              </w:rPr>
              <w:t>2.85%</w:t>
            </w:r>
          </w:p>
        </w:tc>
      </w:tr>
      <w:tr>
        <w:trPr>
          <w:trHeight w:val="278" w:hRule="exact"/>
        </w:trPr>
        <w:tc>
          <w:tcPr>
            <w:tcW w:w="1771" w:type="dxa"/>
            <w:vMerge w:val="restart"/>
            <w:tcBorders>
              <w:left w:val="nil"/>
            </w:tcBorders>
            <w:shd w:val="clear" w:color="auto" w:fill="70AD47"/>
          </w:tcPr>
          <w:p>
            <w:pPr>
              <w:pStyle w:val="TableParagraph"/>
              <w:spacing w:line="213" w:lineRule="exact"/>
              <w:ind w:left="100"/>
              <w:rPr>
                <w:b/>
                <w:sz w:val="19"/>
              </w:rPr>
            </w:pPr>
            <w:r>
              <w:rPr>
                <w:b/>
                <w:w w:val="105"/>
                <w:sz w:val="19"/>
              </w:rPr>
              <w:t>Adulto</w:t>
            </w:r>
          </w:p>
        </w:tc>
        <w:tc>
          <w:tcPr>
            <w:tcW w:w="917" w:type="dxa"/>
            <w:tcBorders>
              <w:bottom w:val="nil"/>
            </w:tcBorders>
            <w:shd w:val="clear" w:color="auto" w:fill="E2EFD9"/>
          </w:tcPr>
          <w:p>
            <w:pPr>
              <w:pStyle w:val="TableParagraph"/>
              <w:spacing w:line="213" w:lineRule="exact"/>
              <w:ind w:left="100"/>
              <w:rPr>
                <w:sz w:val="19"/>
              </w:rPr>
            </w:pPr>
            <w:r>
              <w:rPr>
                <w:w w:val="105"/>
                <w:sz w:val="19"/>
              </w:rPr>
              <w:t>SEXO</w:t>
            </w:r>
          </w:p>
        </w:tc>
        <w:tc>
          <w:tcPr>
            <w:tcW w:w="1315" w:type="dxa"/>
            <w:tcBorders>
              <w:bottom w:val="nil"/>
            </w:tcBorders>
            <w:shd w:val="clear" w:color="auto" w:fill="E2EFD9"/>
          </w:tcPr>
          <w:p>
            <w:pPr>
              <w:pStyle w:val="TableParagraph"/>
              <w:spacing w:line="213" w:lineRule="exact"/>
              <w:ind w:left="100"/>
              <w:rPr>
                <w:sz w:val="19"/>
              </w:rPr>
            </w:pPr>
            <w:r>
              <w:rPr>
                <w:w w:val="105"/>
                <w:sz w:val="19"/>
              </w:rPr>
              <w:t>Masculino</w:t>
            </w:r>
          </w:p>
        </w:tc>
        <w:tc>
          <w:tcPr>
            <w:tcW w:w="1166" w:type="dxa"/>
            <w:shd w:val="clear" w:color="auto" w:fill="E2EFD9"/>
          </w:tcPr>
          <w:p>
            <w:pPr>
              <w:pStyle w:val="TableParagraph"/>
              <w:spacing w:line="213" w:lineRule="exact"/>
              <w:ind w:left="105"/>
              <w:rPr>
                <w:sz w:val="19"/>
              </w:rPr>
            </w:pPr>
            <w:r>
              <w:rPr>
                <w:w w:val="105"/>
                <w:sz w:val="19"/>
              </w:rPr>
              <w:t>Cantidad</w:t>
            </w:r>
          </w:p>
        </w:tc>
        <w:tc>
          <w:tcPr>
            <w:tcW w:w="389" w:type="dxa"/>
            <w:shd w:val="clear" w:color="auto" w:fill="E2EFD9"/>
          </w:tcPr>
          <w:p>
            <w:pPr>
              <w:pStyle w:val="TableParagraph"/>
              <w:spacing w:line="213" w:lineRule="exact"/>
              <w:ind w:left="100"/>
              <w:rPr>
                <w:sz w:val="19"/>
              </w:rPr>
            </w:pPr>
            <w:r>
              <w:rPr>
                <w:w w:val="103"/>
                <w:sz w:val="19"/>
              </w:rPr>
              <w:t>0</w:t>
            </w:r>
          </w:p>
        </w:tc>
        <w:tc>
          <w:tcPr>
            <w:tcW w:w="907" w:type="dxa"/>
            <w:shd w:val="clear" w:color="auto" w:fill="E2EFD9"/>
          </w:tcPr>
          <w:p>
            <w:pPr>
              <w:pStyle w:val="TableParagraph"/>
              <w:spacing w:line="213" w:lineRule="exact"/>
              <w:ind w:left="105"/>
              <w:rPr>
                <w:sz w:val="19"/>
              </w:rPr>
            </w:pPr>
            <w:r>
              <w:rPr>
                <w:w w:val="103"/>
                <w:sz w:val="19"/>
              </w:rPr>
              <w:t>3</w:t>
            </w:r>
          </w:p>
        </w:tc>
        <w:tc>
          <w:tcPr>
            <w:tcW w:w="912" w:type="dxa"/>
            <w:shd w:val="clear" w:color="auto" w:fill="E2EFD9"/>
          </w:tcPr>
          <w:p>
            <w:pPr>
              <w:pStyle w:val="TableParagraph"/>
              <w:spacing w:line="213" w:lineRule="exact"/>
              <w:ind w:left="105"/>
              <w:rPr>
                <w:sz w:val="19"/>
              </w:rPr>
            </w:pPr>
            <w:r>
              <w:rPr>
                <w:w w:val="103"/>
                <w:sz w:val="19"/>
              </w:rPr>
              <w:t>0</w:t>
            </w:r>
          </w:p>
        </w:tc>
        <w:tc>
          <w:tcPr>
            <w:tcW w:w="1075" w:type="dxa"/>
            <w:shd w:val="clear" w:color="auto" w:fill="E2EFD9"/>
          </w:tcPr>
          <w:p>
            <w:pPr>
              <w:pStyle w:val="TableParagraph"/>
              <w:spacing w:line="213" w:lineRule="exact"/>
              <w:ind w:left="100"/>
              <w:rPr>
                <w:sz w:val="19"/>
              </w:rPr>
            </w:pPr>
            <w:r>
              <w:rPr>
                <w:w w:val="105"/>
                <w:sz w:val="19"/>
              </w:rPr>
              <w:t>100</w:t>
            </w:r>
          </w:p>
        </w:tc>
        <w:tc>
          <w:tcPr>
            <w:tcW w:w="907" w:type="dxa"/>
            <w:shd w:val="clear" w:color="auto" w:fill="E2EFD9"/>
          </w:tcPr>
          <w:p>
            <w:pPr>
              <w:pStyle w:val="TableParagraph"/>
              <w:spacing w:line="213" w:lineRule="exact"/>
              <w:ind w:left="95"/>
              <w:rPr>
                <w:sz w:val="19"/>
              </w:rPr>
            </w:pPr>
            <w:r>
              <w:rPr>
                <w:w w:val="103"/>
                <w:sz w:val="19"/>
              </w:rPr>
              <w:t>0</w:t>
            </w:r>
          </w:p>
        </w:tc>
      </w:tr>
      <w:tr>
        <w:trPr>
          <w:trHeight w:val="365" w:hRule="exact"/>
        </w:trPr>
        <w:tc>
          <w:tcPr>
            <w:tcW w:w="1771" w:type="dxa"/>
            <w:vMerge/>
            <w:tcBorders>
              <w:left w:val="nil"/>
            </w:tcBorders>
            <w:shd w:val="clear" w:color="auto" w:fill="70AD47"/>
          </w:tcPr>
          <w:p>
            <w:pPr/>
          </w:p>
        </w:tc>
        <w:tc>
          <w:tcPr>
            <w:tcW w:w="917" w:type="dxa"/>
            <w:vMerge w:val="restart"/>
            <w:tcBorders>
              <w:top w:val="nil"/>
            </w:tcBorders>
            <w:shd w:val="clear" w:color="auto" w:fill="E2EFD9"/>
          </w:tcPr>
          <w:p>
            <w:pPr/>
          </w:p>
        </w:tc>
        <w:tc>
          <w:tcPr>
            <w:tcW w:w="1315" w:type="dxa"/>
            <w:tcBorders>
              <w:top w:val="nil"/>
            </w:tcBorders>
            <w:shd w:val="clear" w:color="auto" w:fill="E2EFD9"/>
          </w:tcPr>
          <w:p>
            <w:pPr/>
          </w:p>
        </w:tc>
        <w:tc>
          <w:tcPr>
            <w:tcW w:w="1166" w:type="dxa"/>
            <w:tcBorders>
              <w:top w:val="single" w:sz="38" w:space="0" w:color="E2EFD9"/>
            </w:tcBorders>
            <w:shd w:val="clear" w:color="auto" w:fill="C5E0B3"/>
          </w:tcPr>
          <w:p>
            <w:pPr>
              <w:pStyle w:val="TableParagraph"/>
              <w:spacing w:before="4"/>
              <w:ind w:left="105"/>
              <w:rPr>
                <w:sz w:val="19"/>
              </w:rPr>
            </w:pPr>
            <w:r>
              <w:rPr>
                <w:w w:val="105"/>
                <w:sz w:val="19"/>
              </w:rPr>
              <w:t>% Total</w:t>
            </w:r>
          </w:p>
        </w:tc>
        <w:tc>
          <w:tcPr>
            <w:tcW w:w="389" w:type="dxa"/>
            <w:tcBorders>
              <w:top w:val="single" w:sz="38" w:space="0" w:color="E2EFD9"/>
            </w:tcBorders>
            <w:shd w:val="clear" w:color="auto" w:fill="C5E0B3"/>
          </w:tcPr>
          <w:p>
            <w:pPr>
              <w:pStyle w:val="TableParagraph"/>
              <w:spacing w:before="4"/>
              <w:ind w:left="100"/>
              <w:rPr>
                <w:sz w:val="19"/>
              </w:rPr>
            </w:pPr>
            <w:r>
              <w:rPr>
                <w:w w:val="103"/>
                <w:sz w:val="19"/>
              </w:rPr>
              <w:t>0</w:t>
            </w:r>
          </w:p>
        </w:tc>
        <w:tc>
          <w:tcPr>
            <w:tcW w:w="907" w:type="dxa"/>
            <w:tcBorders>
              <w:top w:val="single" w:sz="38" w:space="0" w:color="E2EFD9"/>
            </w:tcBorders>
            <w:shd w:val="clear" w:color="auto" w:fill="C5E0B3"/>
          </w:tcPr>
          <w:p>
            <w:pPr>
              <w:pStyle w:val="TableParagraph"/>
              <w:spacing w:before="4"/>
              <w:ind w:left="105"/>
              <w:rPr>
                <w:sz w:val="19"/>
              </w:rPr>
            </w:pPr>
            <w:r>
              <w:rPr>
                <w:w w:val="105"/>
                <w:sz w:val="19"/>
              </w:rPr>
              <w:t>0.71%</w:t>
            </w:r>
          </w:p>
        </w:tc>
        <w:tc>
          <w:tcPr>
            <w:tcW w:w="912" w:type="dxa"/>
            <w:tcBorders>
              <w:top w:val="single" w:sz="38" w:space="0" w:color="E2EFD9"/>
            </w:tcBorders>
            <w:shd w:val="clear" w:color="auto" w:fill="C5E0B3"/>
          </w:tcPr>
          <w:p>
            <w:pPr>
              <w:pStyle w:val="TableParagraph"/>
              <w:spacing w:before="4"/>
              <w:ind w:left="105"/>
              <w:rPr>
                <w:sz w:val="19"/>
              </w:rPr>
            </w:pPr>
            <w:r>
              <w:rPr>
                <w:w w:val="103"/>
                <w:sz w:val="19"/>
              </w:rPr>
              <w:t>0</w:t>
            </w:r>
          </w:p>
        </w:tc>
        <w:tc>
          <w:tcPr>
            <w:tcW w:w="1075" w:type="dxa"/>
            <w:tcBorders>
              <w:top w:val="single" w:sz="38" w:space="0" w:color="E2EFD9"/>
            </w:tcBorders>
            <w:shd w:val="clear" w:color="auto" w:fill="C5E0B3"/>
          </w:tcPr>
          <w:p>
            <w:pPr>
              <w:pStyle w:val="TableParagraph"/>
              <w:spacing w:before="4"/>
              <w:ind w:left="100"/>
              <w:rPr>
                <w:sz w:val="19"/>
              </w:rPr>
            </w:pPr>
            <w:r>
              <w:rPr>
                <w:w w:val="105"/>
                <w:sz w:val="19"/>
              </w:rPr>
              <w:t>23.80%</w:t>
            </w:r>
          </w:p>
        </w:tc>
        <w:tc>
          <w:tcPr>
            <w:tcW w:w="907" w:type="dxa"/>
            <w:tcBorders>
              <w:top w:val="single" w:sz="38" w:space="0" w:color="E2EFD9"/>
            </w:tcBorders>
            <w:shd w:val="clear" w:color="auto" w:fill="C5E0B3"/>
          </w:tcPr>
          <w:p>
            <w:pPr>
              <w:pStyle w:val="TableParagraph"/>
              <w:spacing w:before="4"/>
              <w:ind w:left="95"/>
              <w:rPr>
                <w:sz w:val="19"/>
              </w:rPr>
            </w:pPr>
            <w:r>
              <w:rPr>
                <w:w w:val="103"/>
                <w:sz w:val="19"/>
              </w:rPr>
              <w:t>0</w:t>
            </w:r>
          </w:p>
        </w:tc>
      </w:tr>
      <w:tr>
        <w:trPr>
          <w:trHeight w:val="274" w:hRule="exact"/>
        </w:trPr>
        <w:tc>
          <w:tcPr>
            <w:tcW w:w="1771" w:type="dxa"/>
            <w:vMerge/>
            <w:tcBorders>
              <w:left w:val="nil"/>
            </w:tcBorders>
            <w:shd w:val="clear" w:color="auto" w:fill="70AD47"/>
          </w:tcPr>
          <w:p>
            <w:pPr/>
          </w:p>
        </w:tc>
        <w:tc>
          <w:tcPr>
            <w:tcW w:w="917" w:type="dxa"/>
            <w:vMerge/>
            <w:shd w:val="clear" w:color="auto" w:fill="E2EFD9"/>
          </w:tcPr>
          <w:p>
            <w:pPr/>
          </w:p>
        </w:tc>
        <w:tc>
          <w:tcPr>
            <w:tcW w:w="1315" w:type="dxa"/>
            <w:tcBorders>
              <w:bottom w:val="nil"/>
            </w:tcBorders>
            <w:shd w:val="clear" w:color="auto" w:fill="E2EFD9"/>
          </w:tcPr>
          <w:p>
            <w:pPr>
              <w:pStyle w:val="TableParagraph"/>
              <w:spacing w:before="4"/>
              <w:ind w:left="100"/>
              <w:rPr>
                <w:sz w:val="19"/>
              </w:rPr>
            </w:pPr>
            <w:r>
              <w:rPr>
                <w:w w:val="105"/>
                <w:sz w:val="19"/>
              </w:rPr>
              <w:t>Femenino</w:t>
            </w:r>
          </w:p>
        </w:tc>
        <w:tc>
          <w:tcPr>
            <w:tcW w:w="1166" w:type="dxa"/>
            <w:shd w:val="clear" w:color="auto" w:fill="E2EFD9"/>
          </w:tcPr>
          <w:p>
            <w:pPr>
              <w:pStyle w:val="TableParagraph"/>
              <w:spacing w:before="4"/>
              <w:ind w:left="105"/>
              <w:rPr>
                <w:sz w:val="19"/>
              </w:rPr>
            </w:pPr>
            <w:r>
              <w:rPr>
                <w:w w:val="105"/>
                <w:sz w:val="19"/>
              </w:rPr>
              <w:t>Cantidad</w:t>
            </w:r>
          </w:p>
        </w:tc>
        <w:tc>
          <w:tcPr>
            <w:tcW w:w="389" w:type="dxa"/>
            <w:shd w:val="clear" w:color="auto" w:fill="E2EFD9"/>
          </w:tcPr>
          <w:p>
            <w:pPr>
              <w:pStyle w:val="TableParagraph"/>
              <w:spacing w:before="4"/>
              <w:ind w:left="100"/>
              <w:rPr>
                <w:sz w:val="19"/>
              </w:rPr>
            </w:pPr>
            <w:r>
              <w:rPr>
                <w:w w:val="103"/>
                <w:sz w:val="19"/>
              </w:rPr>
              <w:t>0</w:t>
            </w:r>
          </w:p>
        </w:tc>
        <w:tc>
          <w:tcPr>
            <w:tcW w:w="907" w:type="dxa"/>
            <w:shd w:val="clear" w:color="auto" w:fill="E2EFD9"/>
          </w:tcPr>
          <w:p>
            <w:pPr>
              <w:pStyle w:val="TableParagraph"/>
              <w:spacing w:before="4"/>
              <w:ind w:left="105"/>
              <w:rPr>
                <w:sz w:val="19"/>
              </w:rPr>
            </w:pPr>
            <w:r>
              <w:rPr>
                <w:w w:val="103"/>
                <w:sz w:val="19"/>
              </w:rPr>
              <w:t>9</w:t>
            </w:r>
          </w:p>
        </w:tc>
        <w:tc>
          <w:tcPr>
            <w:tcW w:w="912" w:type="dxa"/>
            <w:shd w:val="clear" w:color="auto" w:fill="E2EFD9"/>
          </w:tcPr>
          <w:p>
            <w:pPr>
              <w:pStyle w:val="TableParagraph"/>
              <w:spacing w:before="4"/>
              <w:ind w:left="105"/>
              <w:rPr>
                <w:sz w:val="19"/>
              </w:rPr>
            </w:pPr>
            <w:r>
              <w:rPr>
                <w:w w:val="103"/>
                <w:sz w:val="19"/>
              </w:rPr>
              <w:t>0</w:t>
            </w:r>
          </w:p>
        </w:tc>
        <w:tc>
          <w:tcPr>
            <w:tcW w:w="1075" w:type="dxa"/>
            <w:shd w:val="clear" w:color="auto" w:fill="E2EFD9"/>
          </w:tcPr>
          <w:p>
            <w:pPr>
              <w:pStyle w:val="TableParagraph"/>
              <w:spacing w:before="4"/>
              <w:ind w:left="100"/>
              <w:rPr>
                <w:sz w:val="19"/>
              </w:rPr>
            </w:pPr>
            <w:r>
              <w:rPr>
                <w:w w:val="105"/>
                <w:sz w:val="19"/>
              </w:rPr>
              <w:t>104</w:t>
            </w:r>
          </w:p>
        </w:tc>
        <w:tc>
          <w:tcPr>
            <w:tcW w:w="907" w:type="dxa"/>
            <w:shd w:val="clear" w:color="auto" w:fill="E2EFD9"/>
          </w:tcPr>
          <w:p>
            <w:pPr>
              <w:pStyle w:val="TableParagraph"/>
              <w:spacing w:before="4"/>
              <w:ind w:left="95"/>
              <w:rPr>
                <w:sz w:val="19"/>
              </w:rPr>
            </w:pPr>
            <w:r>
              <w:rPr>
                <w:w w:val="103"/>
                <w:sz w:val="19"/>
              </w:rPr>
              <w:t>0</w:t>
            </w:r>
          </w:p>
        </w:tc>
      </w:tr>
      <w:tr>
        <w:trPr>
          <w:trHeight w:val="360" w:hRule="exact"/>
        </w:trPr>
        <w:tc>
          <w:tcPr>
            <w:tcW w:w="1771" w:type="dxa"/>
            <w:vMerge/>
            <w:tcBorders>
              <w:left w:val="nil"/>
            </w:tcBorders>
            <w:shd w:val="clear" w:color="auto" w:fill="70AD47"/>
          </w:tcPr>
          <w:p>
            <w:pPr/>
          </w:p>
        </w:tc>
        <w:tc>
          <w:tcPr>
            <w:tcW w:w="917" w:type="dxa"/>
            <w:vMerge/>
            <w:shd w:val="clear" w:color="auto" w:fill="E2EFD9"/>
          </w:tcPr>
          <w:p>
            <w:pPr/>
          </w:p>
        </w:tc>
        <w:tc>
          <w:tcPr>
            <w:tcW w:w="1315" w:type="dxa"/>
            <w:tcBorders>
              <w:top w:val="nil"/>
            </w:tcBorders>
            <w:shd w:val="clear" w:color="auto" w:fill="E2EFD9"/>
          </w:tcPr>
          <w:p>
            <w:pPr/>
          </w:p>
        </w:tc>
        <w:tc>
          <w:tcPr>
            <w:tcW w:w="1166" w:type="dxa"/>
            <w:tcBorders>
              <w:top w:val="single" w:sz="34" w:space="0" w:color="E2EFD9"/>
            </w:tcBorders>
            <w:shd w:val="clear" w:color="auto" w:fill="C5E0B3"/>
          </w:tcPr>
          <w:p>
            <w:pPr>
              <w:pStyle w:val="TableParagraph"/>
              <w:spacing w:before="4"/>
              <w:ind w:left="105"/>
              <w:rPr>
                <w:sz w:val="19"/>
              </w:rPr>
            </w:pPr>
            <w:r>
              <w:rPr>
                <w:w w:val="105"/>
                <w:sz w:val="19"/>
              </w:rPr>
              <w:t>% Total</w:t>
            </w:r>
          </w:p>
        </w:tc>
        <w:tc>
          <w:tcPr>
            <w:tcW w:w="389" w:type="dxa"/>
            <w:tcBorders>
              <w:top w:val="single" w:sz="34" w:space="0" w:color="E2EFD9"/>
            </w:tcBorders>
            <w:shd w:val="clear" w:color="auto" w:fill="C5E0B3"/>
          </w:tcPr>
          <w:p>
            <w:pPr>
              <w:pStyle w:val="TableParagraph"/>
              <w:spacing w:before="4"/>
              <w:ind w:left="100"/>
              <w:rPr>
                <w:sz w:val="19"/>
              </w:rPr>
            </w:pPr>
            <w:r>
              <w:rPr>
                <w:w w:val="103"/>
                <w:sz w:val="19"/>
              </w:rPr>
              <w:t>0</w:t>
            </w:r>
          </w:p>
        </w:tc>
        <w:tc>
          <w:tcPr>
            <w:tcW w:w="907" w:type="dxa"/>
            <w:tcBorders>
              <w:top w:val="single" w:sz="34" w:space="0" w:color="E2EFD9"/>
            </w:tcBorders>
            <w:shd w:val="clear" w:color="auto" w:fill="C5E0B3"/>
          </w:tcPr>
          <w:p>
            <w:pPr>
              <w:pStyle w:val="TableParagraph"/>
              <w:spacing w:before="4"/>
              <w:ind w:left="105"/>
              <w:rPr>
                <w:sz w:val="19"/>
              </w:rPr>
            </w:pPr>
            <w:r>
              <w:rPr>
                <w:w w:val="105"/>
                <w:sz w:val="19"/>
              </w:rPr>
              <w:t>2.14%</w:t>
            </w:r>
          </w:p>
        </w:tc>
        <w:tc>
          <w:tcPr>
            <w:tcW w:w="912" w:type="dxa"/>
            <w:tcBorders>
              <w:top w:val="single" w:sz="34" w:space="0" w:color="E2EFD9"/>
            </w:tcBorders>
            <w:shd w:val="clear" w:color="auto" w:fill="C5E0B3"/>
          </w:tcPr>
          <w:p>
            <w:pPr>
              <w:pStyle w:val="TableParagraph"/>
              <w:spacing w:before="4"/>
              <w:ind w:left="105"/>
              <w:rPr>
                <w:sz w:val="19"/>
              </w:rPr>
            </w:pPr>
            <w:r>
              <w:rPr>
                <w:w w:val="103"/>
                <w:sz w:val="19"/>
              </w:rPr>
              <w:t>0</w:t>
            </w:r>
          </w:p>
        </w:tc>
        <w:tc>
          <w:tcPr>
            <w:tcW w:w="1075" w:type="dxa"/>
            <w:tcBorders>
              <w:top w:val="single" w:sz="34" w:space="0" w:color="E2EFD9"/>
            </w:tcBorders>
            <w:shd w:val="clear" w:color="auto" w:fill="C5E0B3"/>
          </w:tcPr>
          <w:p>
            <w:pPr>
              <w:pStyle w:val="TableParagraph"/>
              <w:spacing w:before="4"/>
              <w:ind w:left="100"/>
              <w:rPr>
                <w:b/>
                <w:sz w:val="19"/>
              </w:rPr>
            </w:pPr>
            <w:r>
              <w:rPr>
                <w:b/>
                <w:w w:val="105"/>
                <w:sz w:val="19"/>
              </w:rPr>
              <w:t>24.76%</w:t>
            </w:r>
          </w:p>
        </w:tc>
        <w:tc>
          <w:tcPr>
            <w:tcW w:w="907" w:type="dxa"/>
            <w:tcBorders>
              <w:top w:val="single" w:sz="34" w:space="0" w:color="E2EFD9"/>
            </w:tcBorders>
            <w:shd w:val="clear" w:color="auto" w:fill="C5E0B3"/>
          </w:tcPr>
          <w:p>
            <w:pPr>
              <w:pStyle w:val="TableParagraph"/>
              <w:spacing w:before="4"/>
              <w:ind w:left="95"/>
              <w:rPr>
                <w:sz w:val="19"/>
              </w:rPr>
            </w:pPr>
            <w:r>
              <w:rPr>
                <w:w w:val="103"/>
                <w:sz w:val="19"/>
              </w:rPr>
              <w:t>0</w:t>
            </w:r>
          </w:p>
        </w:tc>
      </w:tr>
      <w:tr>
        <w:trPr>
          <w:trHeight w:val="272" w:hRule="exact"/>
        </w:trPr>
        <w:tc>
          <w:tcPr>
            <w:tcW w:w="1771" w:type="dxa"/>
            <w:vMerge/>
            <w:tcBorders>
              <w:left w:val="nil"/>
            </w:tcBorders>
            <w:shd w:val="clear" w:color="auto" w:fill="70AD47"/>
          </w:tcPr>
          <w:p>
            <w:pPr/>
          </w:p>
        </w:tc>
        <w:tc>
          <w:tcPr>
            <w:tcW w:w="2232" w:type="dxa"/>
            <w:gridSpan w:val="2"/>
            <w:tcBorders>
              <w:bottom w:val="nil"/>
            </w:tcBorders>
            <w:shd w:val="clear" w:color="auto" w:fill="E2EFD9"/>
          </w:tcPr>
          <w:p>
            <w:pPr>
              <w:pStyle w:val="TableParagraph"/>
              <w:spacing w:line="218" w:lineRule="exact"/>
              <w:ind w:left="100"/>
              <w:rPr>
                <w:sz w:val="19"/>
              </w:rPr>
            </w:pPr>
            <w:r>
              <w:rPr>
                <w:w w:val="105"/>
                <w:sz w:val="19"/>
              </w:rPr>
              <w:t>TOTAL</w:t>
            </w:r>
          </w:p>
        </w:tc>
        <w:tc>
          <w:tcPr>
            <w:tcW w:w="1166" w:type="dxa"/>
            <w:shd w:val="clear" w:color="auto" w:fill="E2EFD9"/>
          </w:tcPr>
          <w:p>
            <w:pPr>
              <w:pStyle w:val="TableParagraph"/>
              <w:spacing w:line="218" w:lineRule="exact"/>
              <w:ind w:left="105"/>
              <w:rPr>
                <w:sz w:val="19"/>
              </w:rPr>
            </w:pPr>
            <w:r>
              <w:rPr>
                <w:w w:val="105"/>
                <w:sz w:val="19"/>
              </w:rPr>
              <w:t>Cantidad</w:t>
            </w:r>
          </w:p>
        </w:tc>
        <w:tc>
          <w:tcPr>
            <w:tcW w:w="389" w:type="dxa"/>
            <w:shd w:val="clear" w:color="auto" w:fill="E2EFD9"/>
          </w:tcPr>
          <w:p>
            <w:pPr>
              <w:pStyle w:val="TableParagraph"/>
              <w:spacing w:line="218" w:lineRule="exact"/>
              <w:ind w:left="100"/>
              <w:rPr>
                <w:sz w:val="19"/>
              </w:rPr>
            </w:pPr>
            <w:r>
              <w:rPr>
                <w:w w:val="103"/>
                <w:sz w:val="19"/>
              </w:rPr>
              <w:t>0</w:t>
            </w:r>
          </w:p>
        </w:tc>
        <w:tc>
          <w:tcPr>
            <w:tcW w:w="907" w:type="dxa"/>
            <w:shd w:val="clear" w:color="auto" w:fill="E2EFD9"/>
          </w:tcPr>
          <w:p>
            <w:pPr>
              <w:pStyle w:val="TableParagraph"/>
              <w:spacing w:line="218" w:lineRule="exact"/>
              <w:ind w:left="105"/>
              <w:rPr>
                <w:sz w:val="19"/>
              </w:rPr>
            </w:pPr>
            <w:r>
              <w:rPr>
                <w:w w:val="105"/>
                <w:sz w:val="19"/>
              </w:rPr>
              <w:t>12</w:t>
            </w:r>
          </w:p>
        </w:tc>
        <w:tc>
          <w:tcPr>
            <w:tcW w:w="912" w:type="dxa"/>
            <w:shd w:val="clear" w:color="auto" w:fill="E2EFD9"/>
          </w:tcPr>
          <w:p>
            <w:pPr>
              <w:pStyle w:val="TableParagraph"/>
              <w:spacing w:line="218" w:lineRule="exact"/>
              <w:ind w:left="105"/>
              <w:rPr>
                <w:sz w:val="19"/>
              </w:rPr>
            </w:pPr>
            <w:r>
              <w:rPr>
                <w:w w:val="103"/>
                <w:sz w:val="19"/>
              </w:rPr>
              <w:t>0</w:t>
            </w:r>
          </w:p>
        </w:tc>
        <w:tc>
          <w:tcPr>
            <w:tcW w:w="1075" w:type="dxa"/>
            <w:shd w:val="clear" w:color="auto" w:fill="E2EFD9"/>
          </w:tcPr>
          <w:p>
            <w:pPr>
              <w:pStyle w:val="TableParagraph"/>
              <w:spacing w:line="218" w:lineRule="exact"/>
              <w:ind w:left="100"/>
              <w:rPr>
                <w:sz w:val="19"/>
              </w:rPr>
            </w:pPr>
            <w:r>
              <w:rPr>
                <w:w w:val="105"/>
                <w:sz w:val="19"/>
              </w:rPr>
              <w:t>204</w:t>
            </w:r>
          </w:p>
        </w:tc>
        <w:tc>
          <w:tcPr>
            <w:tcW w:w="907" w:type="dxa"/>
            <w:shd w:val="clear" w:color="auto" w:fill="E2EFD9"/>
          </w:tcPr>
          <w:p>
            <w:pPr>
              <w:pStyle w:val="TableParagraph"/>
              <w:spacing w:line="218" w:lineRule="exact"/>
              <w:ind w:left="95"/>
              <w:rPr>
                <w:sz w:val="19"/>
              </w:rPr>
            </w:pPr>
            <w:r>
              <w:rPr>
                <w:w w:val="103"/>
                <w:sz w:val="19"/>
              </w:rPr>
              <w:t>0</w:t>
            </w:r>
          </w:p>
        </w:tc>
      </w:tr>
      <w:tr>
        <w:trPr>
          <w:trHeight w:val="357" w:hRule="exact"/>
        </w:trPr>
        <w:tc>
          <w:tcPr>
            <w:tcW w:w="1771" w:type="dxa"/>
            <w:vMerge/>
            <w:tcBorders>
              <w:left w:val="nil"/>
            </w:tcBorders>
            <w:shd w:val="clear" w:color="auto" w:fill="70AD47"/>
          </w:tcPr>
          <w:p>
            <w:pPr/>
          </w:p>
        </w:tc>
        <w:tc>
          <w:tcPr>
            <w:tcW w:w="2232" w:type="dxa"/>
            <w:gridSpan w:val="2"/>
            <w:tcBorders>
              <w:top w:val="nil"/>
            </w:tcBorders>
            <w:shd w:val="clear" w:color="auto" w:fill="E2EFD9"/>
          </w:tcPr>
          <w:p>
            <w:pPr/>
          </w:p>
        </w:tc>
        <w:tc>
          <w:tcPr>
            <w:tcW w:w="1166" w:type="dxa"/>
            <w:tcBorders>
              <w:top w:val="single" w:sz="33" w:space="0" w:color="E2EFD9"/>
            </w:tcBorders>
            <w:shd w:val="clear" w:color="auto" w:fill="C5E0B3"/>
          </w:tcPr>
          <w:p>
            <w:pPr>
              <w:pStyle w:val="TableParagraph"/>
              <w:spacing w:before="8"/>
              <w:ind w:left="105"/>
              <w:rPr>
                <w:sz w:val="19"/>
              </w:rPr>
            </w:pPr>
            <w:r>
              <w:rPr>
                <w:w w:val="105"/>
                <w:sz w:val="19"/>
              </w:rPr>
              <w:t>% Total</w:t>
            </w:r>
          </w:p>
        </w:tc>
        <w:tc>
          <w:tcPr>
            <w:tcW w:w="389" w:type="dxa"/>
            <w:tcBorders>
              <w:top w:val="single" w:sz="33" w:space="0" w:color="E2EFD9"/>
            </w:tcBorders>
            <w:shd w:val="clear" w:color="auto" w:fill="C5E0B3"/>
          </w:tcPr>
          <w:p>
            <w:pPr>
              <w:pStyle w:val="TableParagraph"/>
              <w:spacing w:before="8"/>
              <w:ind w:left="100"/>
              <w:rPr>
                <w:sz w:val="19"/>
              </w:rPr>
            </w:pPr>
            <w:r>
              <w:rPr>
                <w:w w:val="103"/>
                <w:sz w:val="19"/>
              </w:rPr>
              <w:t>0</w:t>
            </w:r>
          </w:p>
        </w:tc>
        <w:tc>
          <w:tcPr>
            <w:tcW w:w="907" w:type="dxa"/>
            <w:tcBorders>
              <w:top w:val="single" w:sz="33" w:space="0" w:color="E2EFD9"/>
            </w:tcBorders>
            <w:shd w:val="clear" w:color="auto" w:fill="C5E0B3"/>
          </w:tcPr>
          <w:p>
            <w:pPr>
              <w:pStyle w:val="TableParagraph"/>
              <w:spacing w:before="8"/>
              <w:ind w:left="105"/>
              <w:rPr>
                <w:sz w:val="19"/>
              </w:rPr>
            </w:pPr>
            <w:r>
              <w:rPr>
                <w:w w:val="105"/>
                <w:sz w:val="19"/>
              </w:rPr>
              <w:t>2.85%</w:t>
            </w:r>
          </w:p>
        </w:tc>
        <w:tc>
          <w:tcPr>
            <w:tcW w:w="912" w:type="dxa"/>
            <w:tcBorders>
              <w:top w:val="single" w:sz="33" w:space="0" w:color="E2EFD9"/>
              <w:right w:val="single" w:sz="44" w:space="0" w:color="FFFF00"/>
            </w:tcBorders>
            <w:shd w:val="clear" w:color="auto" w:fill="C5E0B3"/>
          </w:tcPr>
          <w:p>
            <w:pPr>
              <w:pStyle w:val="TableParagraph"/>
              <w:spacing w:before="8"/>
              <w:ind w:left="105"/>
              <w:rPr>
                <w:sz w:val="19"/>
              </w:rPr>
            </w:pPr>
            <w:r>
              <w:rPr>
                <w:w w:val="103"/>
                <w:sz w:val="19"/>
              </w:rPr>
              <w:t>0</w:t>
            </w:r>
          </w:p>
        </w:tc>
        <w:tc>
          <w:tcPr>
            <w:tcW w:w="1075" w:type="dxa"/>
            <w:tcBorders>
              <w:top w:val="single" w:sz="33" w:space="0" w:color="E2EFD9"/>
            </w:tcBorders>
            <w:shd w:val="clear" w:color="auto" w:fill="FFFF00"/>
          </w:tcPr>
          <w:p>
            <w:pPr>
              <w:pStyle w:val="TableParagraph"/>
              <w:spacing w:before="8"/>
              <w:ind w:left="100"/>
              <w:rPr>
                <w:sz w:val="19"/>
              </w:rPr>
            </w:pPr>
            <w:r>
              <w:rPr>
                <w:w w:val="105"/>
                <w:sz w:val="19"/>
              </w:rPr>
              <w:t>48.57%</w:t>
            </w:r>
          </w:p>
        </w:tc>
        <w:tc>
          <w:tcPr>
            <w:tcW w:w="907" w:type="dxa"/>
            <w:tcBorders>
              <w:top w:val="single" w:sz="33" w:space="0" w:color="E2EFD9"/>
              <w:left w:val="single" w:sz="46" w:space="0" w:color="FFFF00"/>
            </w:tcBorders>
            <w:shd w:val="clear" w:color="auto" w:fill="C5E0B3"/>
          </w:tcPr>
          <w:p>
            <w:pPr>
              <w:pStyle w:val="TableParagraph"/>
              <w:spacing w:before="8"/>
              <w:ind w:left="43"/>
              <w:rPr>
                <w:sz w:val="19"/>
              </w:rPr>
            </w:pPr>
            <w:r>
              <w:rPr>
                <w:w w:val="103"/>
                <w:sz w:val="19"/>
              </w:rPr>
              <w:t>0</w:t>
            </w:r>
          </w:p>
        </w:tc>
      </w:tr>
    </w:tbl>
    <w:p>
      <w:pPr>
        <w:spacing w:after="0"/>
        <w:rPr>
          <w:sz w:val="19"/>
        </w:rPr>
        <w:sectPr>
          <w:pgSz w:w="11910" w:h="16840"/>
          <w:pgMar w:header="1066" w:footer="1715" w:top="1460" w:bottom="1900" w:left="1440" w:right="200"/>
        </w:sectPr>
      </w:pPr>
    </w:p>
    <w:p>
      <w:pPr>
        <w:pStyle w:val="BodyText"/>
        <w:rPr>
          <w:b/>
          <w:sz w:val="20"/>
        </w:rPr>
      </w:pPr>
    </w:p>
    <w:p>
      <w:pPr>
        <w:pStyle w:val="BodyText"/>
        <w:spacing w:before="8"/>
        <w:rPr>
          <w:b/>
          <w:sz w:val="24"/>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1"/>
        <w:gridCol w:w="917"/>
        <w:gridCol w:w="1315"/>
        <w:gridCol w:w="1166"/>
        <w:gridCol w:w="389"/>
        <w:gridCol w:w="907"/>
        <w:gridCol w:w="912"/>
        <w:gridCol w:w="1075"/>
        <w:gridCol w:w="907"/>
      </w:tblGrid>
      <w:tr>
        <w:trPr>
          <w:trHeight w:val="281" w:hRule="exact"/>
        </w:trPr>
        <w:tc>
          <w:tcPr>
            <w:tcW w:w="1771" w:type="dxa"/>
            <w:vMerge w:val="restart"/>
            <w:tcBorders>
              <w:left w:val="nil"/>
            </w:tcBorders>
            <w:shd w:val="clear" w:color="auto" w:fill="70AD47"/>
          </w:tcPr>
          <w:p>
            <w:pPr>
              <w:pStyle w:val="TableParagraph"/>
              <w:spacing w:line="218" w:lineRule="exact"/>
              <w:ind w:left="100"/>
              <w:rPr>
                <w:b/>
                <w:sz w:val="19"/>
              </w:rPr>
            </w:pPr>
            <w:r>
              <w:rPr>
                <w:b/>
                <w:w w:val="105"/>
                <w:sz w:val="19"/>
              </w:rPr>
              <w:t>Adulto Mayor</w:t>
            </w:r>
          </w:p>
        </w:tc>
        <w:tc>
          <w:tcPr>
            <w:tcW w:w="917" w:type="dxa"/>
            <w:tcBorders>
              <w:bottom w:val="nil"/>
            </w:tcBorders>
            <w:shd w:val="clear" w:color="auto" w:fill="E2EFD9"/>
          </w:tcPr>
          <w:p>
            <w:pPr>
              <w:pStyle w:val="TableParagraph"/>
              <w:spacing w:line="218" w:lineRule="exact"/>
              <w:ind w:left="100"/>
              <w:rPr>
                <w:sz w:val="19"/>
              </w:rPr>
            </w:pPr>
            <w:r>
              <w:rPr>
                <w:w w:val="105"/>
                <w:sz w:val="19"/>
              </w:rPr>
              <w:t>SEXO</w:t>
            </w:r>
          </w:p>
        </w:tc>
        <w:tc>
          <w:tcPr>
            <w:tcW w:w="1315" w:type="dxa"/>
            <w:tcBorders>
              <w:bottom w:val="nil"/>
            </w:tcBorders>
            <w:shd w:val="clear" w:color="auto" w:fill="E2EFD9"/>
          </w:tcPr>
          <w:p>
            <w:pPr>
              <w:pStyle w:val="TableParagraph"/>
              <w:spacing w:line="218" w:lineRule="exact"/>
              <w:ind w:left="100"/>
              <w:rPr>
                <w:sz w:val="19"/>
              </w:rPr>
            </w:pPr>
            <w:r>
              <w:rPr>
                <w:w w:val="105"/>
                <w:sz w:val="19"/>
              </w:rPr>
              <w:t>Masculino</w:t>
            </w:r>
          </w:p>
        </w:tc>
        <w:tc>
          <w:tcPr>
            <w:tcW w:w="1166" w:type="dxa"/>
            <w:shd w:val="clear" w:color="auto" w:fill="E2EFD9"/>
          </w:tcPr>
          <w:p>
            <w:pPr>
              <w:pStyle w:val="TableParagraph"/>
              <w:spacing w:line="218" w:lineRule="exact"/>
              <w:ind w:left="105"/>
              <w:rPr>
                <w:sz w:val="19"/>
              </w:rPr>
            </w:pPr>
            <w:r>
              <w:rPr>
                <w:w w:val="105"/>
                <w:sz w:val="19"/>
              </w:rPr>
              <w:t>Cantidad</w:t>
            </w:r>
          </w:p>
        </w:tc>
        <w:tc>
          <w:tcPr>
            <w:tcW w:w="389" w:type="dxa"/>
            <w:shd w:val="clear" w:color="auto" w:fill="E2EFD9"/>
          </w:tcPr>
          <w:p>
            <w:pPr>
              <w:pStyle w:val="TableParagraph"/>
              <w:spacing w:line="218" w:lineRule="exact"/>
              <w:ind w:left="100"/>
              <w:rPr>
                <w:sz w:val="19"/>
              </w:rPr>
            </w:pPr>
            <w:r>
              <w:rPr>
                <w:w w:val="103"/>
                <w:sz w:val="19"/>
              </w:rPr>
              <w:t>0</w:t>
            </w:r>
          </w:p>
        </w:tc>
        <w:tc>
          <w:tcPr>
            <w:tcW w:w="907" w:type="dxa"/>
            <w:shd w:val="clear" w:color="auto" w:fill="E2EFD9"/>
          </w:tcPr>
          <w:p>
            <w:pPr>
              <w:pStyle w:val="TableParagraph"/>
              <w:spacing w:line="218" w:lineRule="exact"/>
              <w:ind w:left="105"/>
              <w:rPr>
                <w:sz w:val="19"/>
              </w:rPr>
            </w:pPr>
            <w:r>
              <w:rPr>
                <w:w w:val="103"/>
                <w:sz w:val="19"/>
              </w:rPr>
              <w:t>0</w:t>
            </w:r>
          </w:p>
        </w:tc>
        <w:tc>
          <w:tcPr>
            <w:tcW w:w="912" w:type="dxa"/>
            <w:shd w:val="clear" w:color="auto" w:fill="E2EFD9"/>
          </w:tcPr>
          <w:p>
            <w:pPr>
              <w:pStyle w:val="TableParagraph"/>
              <w:spacing w:line="218" w:lineRule="exact"/>
              <w:ind w:left="105"/>
              <w:rPr>
                <w:sz w:val="19"/>
              </w:rPr>
            </w:pPr>
            <w:r>
              <w:rPr>
                <w:w w:val="103"/>
                <w:sz w:val="19"/>
              </w:rPr>
              <w:t>0</w:t>
            </w:r>
          </w:p>
        </w:tc>
        <w:tc>
          <w:tcPr>
            <w:tcW w:w="1075" w:type="dxa"/>
            <w:shd w:val="clear" w:color="auto" w:fill="E2EFD9"/>
          </w:tcPr>
          <w:p>
            <w:pPr>
              <w:pStyle w:val="TableParagraph"/>
              <w:spacing w:line="218" w:lineRule="exact"/>
              <w:ind w:left="100"/>
              <w:rPr>
                <w:sz w:val="19"/>
              </w:rPr>
            </w:pPr>
            <w:r>
              <w:rPr>
                <w:w w:val="105"/>
                <w:sz w:val="19"/>
              </w:rPr>
              <w:t>19</w:t>
            </w:r>
          </w:p>
        </w:tc>
        <w:tc>
          <w:tcPr>
            <w:tcW w:w="907" w:type="dxa"/>
            <w:shd w:val="clear" w:color="auto" w:fill="E2EFD9"/>
          </w:tcPr>
          <w:p>
            <w:pPr>
              <w:pStyle w:val="TableParagraph"/>
              <w:spacing w:line="218" w:lineRule="exact"/>
              <w:ind w:left="95"/>
              <w:rPr>
                <w:sz w:val="19"/>
              </w:rPr>
            </w:pPr>
            <w:r>
              <w:rPr>
                <w:w w:val="103"/>
                <w:sz w:val="19"/>
              </w:rPr>
              <w:t>0</w:t>
            </w:r>
          </w:p>
        </w:tc>
      </w:tr>
      <w:tr>
        <w:trPr>
          <w:trHeight w:val="362" w:hRule="exact"/>
        </w:trPr>
        <w:tc>
          <w:tcPr>
            <w:tcW w:w="1771" w:type="dxa"/>
            <w:vMerge/>
            <w:tcBorders>
              <w:left w:val="nil"/>
            </w:tcBorders>
            <w:shd w:val="clear" w:color="auto" w:fill="70AD47"/>
          </w:tcPr>
          <w:p>
            <w:pPr/>
          </w:p>
        </w:tc>
        <w:tc>
          <w:tcPr>
            <w:tcW w:w="917" w:type="dxa"/>
            <w:vMerge w:val="restart"/>
            <w:tcBorders>
              <w:top w:val="nil"/>
            </w:tcBorders>
            <w:shd w:val="clear" w:color="auto" w:fill="E2EFD9"/>
          </w:tcPr>
          <w:p>
            <w:pPr/>
          </w:p>
        </w:tc>
        <w:tc>
          <w:tcPr>
            <w:tcW w:w="1315" w:type="dxa"/>
            <w:tcBorders>
              <w:top w:val="nil"/>
            </w:tcBorders>
            <w:shd w:val="clear" w:color="auto" w:fill="E2EFD9"/>
          </w:tcPr>
          <w:p>
            <w:pPr/>
          </w:p>
        </w:tc>
        <w:tc>
          <w:tcPr>
            <w:tcW w:w="1166" w:type="dxa"/>
            <w:tcBorders>
              <w:top w:val="single" w:sz="38" w:space="0" w:color="E2EFD9"/>
            </w:tcBorders>
            <w:shd w:val="clear" w:color="auto" w:fill="C5E0B3"/>
          </w:tcPr>
          <w:p>
            <w:pPr>
              <w:pStyle w:val="TableParagraph"/>
              <w:spacing w:before="6"/>
              <w:ind w:left="105"/>
              <w:rPr>
                <w:sz w:val="19"/>
              </w:rPr>
            </w:pPr>
            <w:r>
              <w:rPr>
                <w:w w:val="105"/>
                <w:sz w:val="19"/>
              </w:rPr>
              <w:t>% Total</w:t>
            </w:r>
          </w:p>
        </w:tc>
        <w:tc>
          <w:tcPr>
            <w:tcW w:w="389" w:type="dxa"/>
            <w:tcBorders>
              <w:top w:val="single" w:sz="38" w:space="0" w:color="E2EFD9"/>
            </w:tcBorders>
            <w:shd w:val="clear" w:color="auto" w:fill="C5E0B3"/>
          </w:tcPr>
          <w:p>
            <w:pPr>
              <w:pStyle w:val="TableParagraph"/>
              <w:spacing w:before="6"/>
              <w:ind w:left="100"/>
              <w:rPr>
                <w:sz w:val="19"/>
              </w:rPr>
            </w:pPr>
            <w:r>
              <w:rPr>
                <w:w w:val="103"/>
                <w:sz w:val="19"/>
              </w:rPr>
              <w:t>0</w:t>
            </w:r>
          </w:p>
        </w:tc>
        <w:tc>
          <w:tcPr>
            <w:tcW w:w="907" w:type="dxa"/>
            <w:tcBorders>
              <w:top w:val="single" w:sz="38" w:space="0" w:color="E2EFD9"/>
            </w:tcBorders>
            <w:shd w:val="clear" w:color="auto" w:fill="C5E0B3"/>
          </w:tcPr>
          <w:p>
            <w:pPr>
              <w:pStyle w:val="TableParagraph"/>
              <w:spacing w:before="6"/>
              <w:ind w:left="105"/>
              <w:rPr>
                <w:sz w:val="19"/>
              </w:rPr>
            </w:pPr>
            <w:r>
              <w:rPr>
                <w:w w:val="103"/>
                <w:sz w:val="19"/>
              </w:rPr>
              <w:t>0</w:t>
            </w:r>
          </w:p>
        </w:tc>
        <w:tc>
          <w:tcPr>
            <w:tcW w:w="912" w:type="dxa"/>
            <w:tcBorders>
              <w:top w:val="single" w:sz="38" w:space="0" w:color="E2EFD9"/>
            </w:tcBorders>
            <w:shd w:val="clear" w:color="auto" w:fill="C5E0B3"/>
          </w:tcPr>
          <w:p>
            <w:pPr>
              <w:pStyle w:val="TableParagraph"/>
              <w:spacing w:before="6"/>
              <w:ind w:left="105"/>
              <w:rPr>
                <w:sz w:val="19"/>
              </w:rPr>
            </w:pPr>
            <w:r>
              <w:rPr>
                <w:w w:val="103"/>
                <w:sz w:val="19"/>
              </w:rPr>
              <w:t>0</w:t>
            </w:r>
          </w:p>
        </w:tc>
        <w:tc>
          <w:tcPr>
            <w:tcW w:w="1075" w:type="dxa"/>
            <w:tcBorders>
              <w:top w:val="single" w:sz="38" w:space="0" w:color="E2EFD9"/>
            </w:tcBorders>
            <w:shd w:val="clear" w:color="auto" w:fill="C5E0B3"/>
          </w:tcPr>
          <w:p>
            <w:pPr>
              <w:pStyle w:val="TableParagraph"/>
              <w:spacing w:before="6"/>
              <w:ind w:left="100"/>
              <w:rPr>
                <w:sz w:val="19"/>
              </w:rPr>
            </w:pPr>
            <w:r>
              <w:rPr>
                <w:w w:val="105"/>
                <w:sz w:val="19"/>
              </w:rPr>
              <w:t>4.52%</w:t>
            </w:r>
          </w:p>
        </w:tc>
        <w:tc>
          <w:tcPr>
            <w:tcW w:w="907" w:type="dxa"/>
            <w:tcBorders>
              <w:top w:val="single" w:sz="38" w:space="0" w:color="E2EFD9"/>
            </w:tcBorders>
            <w:shd w:val="clear" w:color="auto" w:fill="C5E0B3"/>
          </w:tcPr>
          <w:p>
            <w:pPr>
              <w:pStyle w:val="TableParagraph"/>
              <w:spacing w:before="6"/>
              <w:ind w:left="95"/>
              <w:rPr>
                <w:sz w:val="19"/>
              </w:rPr>
            </w:pPr>
            <w:r>
              <w:rPr>
                <w:w w:val="103"/>
                <w:sz w:val="19"/>
              </w:rPr>
              <w:t>0</w:t>
            </w:r>
          </w:p>
        </w:tc>
      </w:tr>
      <w:tr>
        <w:trPr>
          <w:trHeight w:val="276" w:hRule="exact"/>
        </w:trPr>
        <w:tc>
          <w:tcPr>
            <w:tcW w:w="1771" w:type="dxa"/>
            <w:vMerge/>
            <w:tcBorders>
              <w:left w:val="nil"/>
            </w:tcBorders>
            <w:shd w:val="clear" w:color="auto" w:fill="70AD47"/>
          </w:tcPr>
          <w:p>
            <w:pPr/>
          </w:p>
        </w:tc>
        <w:tc>
          <w:tcPr>
            <w:tcW w:w="917" w:type="dxa"/>
            <w:vMerge/>
            <w:shd w:val="clear" w:color="auto" w:fill="E2EFD9"/>
          </w:tcPr>
          <w:p>
            <w:pPr/>
          </w:p>
        </w:tc>
        <w:tc>
          <w:tcPr>
            <w:tcW w:w="1315" w:type="dxa"/>
            <w:tcBorders>
              <w:bottom w:val="nil"/>
            </w:tcBorders>
            <w:shd w:val="clear" w:color="auto" w:fill="E2EFD9"/>
          </w:tcPr>
          <w:p>
            <w:pPr>
              <w:pStyle w:val="TableParagraph"/>
              <w:spacing w:line="218" w:lineRule="exact"/>
              <w:ind w:left="100"/>
              <w:rPr>
                <w:sz w:val="19"/>
              </w:rPr>
            </w:pPr>
            <w:r>
              <w:rPr>
                <w:w w:val="105"/>
                <w:sz w:val="19"/>
              </w:rPr>
              <w:t>Femenino</w:t>
            </w:r>
          </w:p>
        </w:tc>
        <w:tc>
          <w:tcPr>
            <w:tcW w:w="1166" w:type="dxa"/>
            <w:shd w:val="clear" w:color="auto" w:fill="E2EFD9"/>
          </w:tcPr>
          <w:p>
            <w:pPr>
              <w:pStyle w:val="TableParagraph"/>
              <w:spacing w:line="218" w:lineRule="exact"/>
              <w:ind w:left="105"/>
              <w:rPr>
                <w:sz w:val="19"/>
              </w:rPr>
            </w:pPr>
            <w:r>
              <w:rPr>
                <w:w w:val="105"/>
                <w:sz w:val="19"/>
              </w:rPr>
              <w:t>Cantidad</w:t>
            </w:r>
          </w:p>
        </w:tc>
        <w:tc>
          <w:tcPr>
            <w:tcW w:w="389" w:type="dxa"/>
            <w:shd w:val="clear" w:color="auto" w:fill="E2EFD9"/>
          </w:tcPr>
          <w:p>
            <w:pPr>
              <w:pStyle w:val="TableParagraph"/>
              <w:spacing w:line="218" w:lineRule="exact"/>
              <w:ind w:left="100"/>
              <w:rPr>
                <w:sz w:val="19"/>
              </w:rPr>
            </w:pPr>
            <w:r>
              <w:rPr>
                <w:w w:val="103"/>
                <w:sz w:val="19"/>
              </w:rPr>
              <w:t>0</w:t>
            </w:r>
          </w:p>
        </w:tc>
        <w:tc>
          <w:tcPr>
            <w:tcW w:w="907" w:type="dxa"/>
            <w:shd w:val="clear" w:color="auto" w:fill="E2EFD9"/>
          </w:tcPr>
          <w:p>
            <w:pPr>
              <w:pStyle w:val="TableParagraph"/>
              <w:spacing w:line="218" w:lineRule="exact"/>
              <w:ind w:left="105"/>
              <w:rPr>
                <w:sz w:val="19"/>
              </w:rPr>
            </w:pPr>
            <w:r>
              <w:rPr>
                <w:w w:val="103"/>
                <w:sz w:val="19"/>
              </w:rPr>
              <w:t>0</w:t>
            </w:r>
          </w:p>
        </w:tc>
        <w:tc>
          <w:tcPr>
            <w:tcW w:w="912" w:type="dxa"/>
            <w:shd w:val="clear" w:color="auto" w:fill="E2EFD9"/>
          </w:tcPr>
          <w:p>
            <w:pPr>
              <w:pStyle w:val="TableParagraph"/>
              <w:spacing w:line="218" w:lineRule="exact"/>
              <w:ind w:left="105"/>
              <w:rPr>
                <w:sz w:val="19"/>
              </w:rPr>
            </w:pPr>
            <w:r>
              <w:rPr>
                <w:w w:val="103"/>
                <w:sz w:val="19"/>
              </w:rPr>
              <w:t>0</w:t>
            </w:r>
          </w:p>
        </w:tc>
        <w:tc>
          <w:tcPr>
            <w:tcW w:w="1075" w:type="dxa"/>
            <w:shd w:val="clear" w:color="auto" w:fill="E2EFD9"/>
          </w:tcPr>
          <w:p>
            <w:pPr>
              <w:pStyle w:val="TableParagraph"/>
              <w:spacing w:line="218" w:lineRule="exact"/>
              <w:ind w:left="100"/>
              <w:rPr>
                <w:sz w:val="19"/>
              </w:rPr>
            </w:pPr>
            <w:r>
              <w:rPr>
                <w:w w:val="103"/>
                <w:sz w:val="19"/>
              </w:rPr>
              <w:t>9</w:t>
            </w:r>
          </w:p>
        </w:tc>
        <w:tc>
          <w:tcPr>
            <w:tcW w:w="907" w:type="dxa"/>
            <w:shd w:val="clear" w:color="auto" w:fill="E2EFD9"/>
          </w:tcPr>
          <w:p>
            <w:pPr>
              <w:pStyle w:val="TableParagraph"/>
              <w:spacing w:line="218" w:lineRule="exact"/>
              <w:ind w:left="95"/>
              <w:rPr>
                <w:sz w:val="19"/>
              </w:rPr>
            </w:pPr>
            <w:r>
              <w:rPr>
                <w:w w:val="103"/>
                <w:sz w:val="19"/>
              </w:rPr>
              <w:t>4</w:t>
            </w:r>
          </w:p>
        </w:tc>
      </w:tr>
      <w:tr>
        <w:trPr>
          <w:trHeight w:val="358" w:hRule="exact"/>
        </w:trPr>
        <w:tc>
          <w:tcPr>
            <w:tcW w:w="1771" w:type="dxa"/>
            <w:vMerge/>
            <w:tcBorders>
              <w:left w:val="nil"/>
            </w:tcBorders>
            <w:shd w:val="clear" w:color="auto" w:fill="70AD47"/>
          </w:tcPr>
          <w:p>
            <w:pPr/>
          </w:p>
        </w:tc>
        <w:tc>
          <w:tcPr>
            <w:tcW w:w="917" w:type="dxa"/>
            <w:vMerge/>
            <w:shd w:val="clear" w:color="auto" w:fill="E2EFD9"/>
          </w:tcPr>
          <w:p>
            <w:pPr/>
          </w:p>
        </w:tc>
        <w:tc>
          <w:tcPr>
            <w:tcW w:w="1315" w:type="dxa"/>
            <w:tcBorders>
              <w:top w:val="nil"/>
            </w:tcBorders>
            <w:shd w:val="clear" w:color="auto" w:fill="E2EFD9"/>
          </w:tcPr>
          <w:p>
            <w:pPr/>
          </w:p>
        </w:tc>
        <w:tc>
          <w:tcPr>
            <w:tcW w:w="1166" w:type="dxa"/>
            <w:tcBorders>
              <w:top w:val="single" w:sz="33" w:space="0" w:color="E2EFD9"/>
            </w:tcBorders>
            <w:shd w:val="clear" w:color="auto" w:fill="C5E0B3"/>
          </w:tcPr>
          <w:p>
            <w:pPr>
              <w:pStyle w:val="TableParagraph"/>
              <w:spacing w:before="4"/>
              <w:ind w:left="105"/>
              <w:rPr>
                <w:sz w:val="19"/>
              </w:rPr>
            </w:pPr>
            <w:r>
              <w:rPr>
                <w:w w:val="105"/>
                <w:sz w:val="19"/>
              </w:rPr>
              <w:t>% Total</w:t>
            </w:r>
          </w:p>
        </w:tc>
        <w:tc>
          <w:tcPr>
            <w:tcW w:w="389" w:type="dxa"/>
            <w:tcBorders>
              <w:top w:val="single" w:sz="33" w:space="0" w:color="E2EFD9"/>
            </w:tcBorders>
            <w:shd w:val="clear" w:color="auto" w:fill="C5E0B3"/>
          </w:tcPr>
          <w:p>
            <w:pPr>
              <w:pStyle w:val="TableParagraph"/>
              <w:spacing w:before="4"/>
              <w:ind w:left="100"/>
              <w:rPr>
                <w:sz w:val="19"/>
              </w:rPr>
            </w:pPr>
            <w:r>
              <w:rPr>
                <w:w w:val="103"/>
                <w:sz w:val="19"/>
              </w:rPr>
              <w:t>0</w:t>
            </w:r>
          </w:p>
        </w:tc>
        <w:tc>
          <w:tcPr>
            <w:tcW w:w="907" w:type="dxa"/>
            <w:tcBorders>
              <w:top w:val="single" w:sz="33" w:space="0" w:color="E2EFD9"/>
            </w:tcBorders>
            <w:shd w:val="clear" w:color="auto" w:fill="C5E0B3"/>
          </w:tcPr>
          <w:p>
            <w:pPr>
              <w:pStyle w:val="TableParagraph"/>
              <w:spacing w:before="4"/>
              <w:ind w:left="105"/>
              <w:rPr>
                <w:sz w:val="19"/>
              </w:rPr>
            </w:pPr>
            <w:r>
              <w:rPr>
                <w:w w:val="103"/>
                <w:sz w:val="19"/>
              </w:rPr>
              <w:t>0</w:t>
            </w:r>
          </w:p>
        </w:tc>
        <w:tc>
          <w:tcPr>
            <w:tcW w:w="912" w:type="dxa"/>
            <w:tcBorders>
              <w:top w:val="single" w:sz="33" w:space="0" w:color="E2EFD9"/>
            </w:tcBorders>
            <w:shd w:val="clear" w:color="auto" w:fill="C5E0B3"/>
          </w:tcPr>
          <w:p>
            <w:pPr>
              <w:pStyle w:val="TableParagraph"/>
              <w:spacing w:before="4"/>
              <w:ind w:left="105"/>
              <w:rPr>
                <w:sz w:val="19"/>
              </w:rPr>
            </w:pPr>
            <w:r>
              <w:rPr>
                <w:w w:val="103"/>
                <w:sz w:val="19"/>
              </w:rPr>
              <w:t>0</w:t>
            </w:r>
          </w:p>
        </w:tc>
        <w:tc>
          <w:tcPr>
            <w:tcW w:w="1075" w:type="dxa"/>
            <w:tcBorders>
              <w:top w:val="single" w:sz="33" w:space="0" w:color="E2EFD9"/>
            </w:tcBorders>
            <w:shd w:val="clear" w:color="auto" w:fill="C5E0B3"/>
          </w:tcPr>
          <w:p>
            <w:pPr>
              <w:pStyle w:val="TableParagraph"/>
              <w:spacing w:before="4"/>
              <w:ind w:left="100"/>
              <w:rPr>
                <w:sz w:val="19"/>
              </w:rPr>
            </w:pPr>
            <w:r>
              <w:rPr>
                <w:w w:val="105"/>
                <w:sz w:val="19"/>
              </w:rPr>
              <w:t>2.14%</w:t>
            </w:r>
          </w:p>
        </w:tc>
        <w:tc>
          <w:tcPr>
            <w:tcW w:w="907" w:type="dxa"/>
            <w:tcBorders>
              <w:top w:val="single" w:sz="33" w:space="0" w:color="E2EFD9"/>
            </w:tcBorders>
            <w:shd w:val="clear" w:color="auto" w:fill="C5E0B3"/>
          </w:tcPr>
          <w:p>
            <w:pPr>
              <w:pStyle w:val="TableParagraph"/>
              <w:spacing w:before="4"/>
              <w:ind w:left="95"/>
              <w:rPr>
                <w:sz w:val="19"/>
              </w:rPr>
            </w:pPr>
            <w:r>
              <w:rPr>
                <w:w w:val="105"/>
                <w:sz w:val="19"/>
              </w:rPr>
              <w:t>0.95%</w:t>
            </w:r>
          </w:p>
        </w:tc>
      </w:tr>
      <w:tr>
        <w:trPr>
          <w:trHeight w:val="276" w:hRule="exact"/>
        </w:trPr>
        <w:tc>
          <w:tcPr>
            <w:tcW w:w="1771" w:type="dxa"/>
            <w:vMerge/>
            <w:tcBorders>
              <w:left w:val="nil"/>
            </w:tcBorders>
            <w:shd w:val="clear" w:color="auto" w:fill="70AD47"/>
          </w:tcPr>
          <w:p>
            <w:pPr/>
          </w:p>
        </w:tc>
        <w:tc>
          <w:tcPr>
            <w:tcW w:w="2232" w:type="dxa"/>
            <w:gridSpan w:val="2"/>
            <w:tcBorders>
              <w:bottom w:val="nil"/>
            </w:tcBorders>
            <w:shd w:val="clear" w:color="auto" w:fill="E2EFD9"/>
          </w:tcPr>
          <w:p>
            <w:pPr>
              <w:pStyle w:val="TableParagraph"/>
              <w:spacing w:line="218" w:lineRule="exact"/>
              <w:ind w:left="100"/>
              <w:rPr>
                <w:sz w:val="19"/>
              </w:rPr>
            </w:pPr>
            <w:r>
              <w:rPr>
                <w:w w:val="105"/>
                <w:sz w:val="19"/>
              </w:rPr>
              <w:t>TOTAL</w:t>
            </w:r>
          </w:p>
        </w:tc>
        <w:tc>
          <w:tcPr>
            <w:tcW w:w="1166" w:type="dxa"/>
            <w:shd w:val="clear" w:color="auto" w:fill="E2EFD9"/>
          </w:tcPr>
          <w:p>
            <w:pPr>
              <w:pStyle w:val="TableParagraph"/>
              <w:spacing w:line="218" w:lineRule="exact"/>
              <w:ind w:left="105"/>
              <w:rPr>
                <w:sz w:val="19"/>
              </w:rPr>
            </w:pPr>
            <w:r>
              <w:rPr>
                <w:w w:val="105"/>
                <w:sz w:val="19"/>
              </w:rPr>
              <w:t>Cantidad</w:t>
            </w:r>
          </w:p>
        </w:tc>
        <w:tc>
          <w:tcPr>
            <w:tcW w:w="389" w:type="dxa"/>
            <w:shd w:val="clear" w:color="auto" w:fill="E2EFD9"/>
          </w:tcPr>
          <w:p>
            <w:pPr>
              <w:pStyle w:val="TableParagraph"/>
              <w:spacing w:line="218" w:lineRule="exact"/>
              <w:ind w:left="100"/>
              <w:rPr>
                <w:sz w:val="19"/>
              </w:rPr>
            </w:pPr>
            <w:r>
              <w:rPr>
                <w:w w:val="103"/>
                <w:sz w:val="19"/>
              </w:rPr>
              <w:t>0</w:t>
            </w:r>
          </w:p>
        </w:tc>
        <w:tc>
          <w:tcPr>
            <w:tcW w:w="907" w:type="dxa"/>
            <w:shd w:val="clear" w:color="auto" w:fill="E2EFD9"/>
          </w:tcPr>
          <w:p>
            <w:pPr>
              <w:pStyle w:val="TableParagraph"/>
              <w:spacing w:line="218" w:lineRule="exact"/>
              <w:ind w:left="105"/>
              <w:rPr>
                <w:sz w:val="19"/>
              </w:rPr>
            </w:pPr>
            <w:r>
              <w:rPr>
                <w:w w:val="103"/>
                <w:sz w:val="19"/>
              </w:rPr>
              <w:t>0</w:t>
            </w:r>
          </w:p>
        </w:tc>
        <w:tc>
          <w:tcPr>
            <w:tcW w:w="912" w:type="dxa"/>
            <w:shd w:val="clear" w:color="auto" w:fill="E2EFD9"/>
          </w:tcPr>
          <w:p>
            <w:pPr>
              <w:pStyle w:val="TableParagraph"/>
              <w:spacing w:line="218" w:lineRule="exact"/>
              <w:ind w:left="105"/>
              <w:rPr>
                <w:sz w:val="19"/>
              </w:rPr>
            </w:pPr>
            <w:r>
              <w:rPr>
                <w:w w:val="103"/>
                <w:sz w:val="19"/>
              </w:rPr>
              <w:t>0</w:t>
            </w:r>
          </w:p>
        </w:tc>
        <w:tc>
          <w:tcPr>
            <w:tcW w:w="1075" w:type="dxa"/>
            <w:shd w:val="clear" w:color="auto" w:fill="E2EFD9"/>
          </w:tcPr>
          <w:p>
            <w:pPr>
              <w:pStyle w:val="TableParagraph"/>
              <w:spacing w:line="218" w:lineRule="exact"/>
              <w:ind w:left="100"/>
              <w:rPr>
                <w:sz w:val="19"/>
              </w:rPr>
            </w:pPr>
            <w:r>
              <w:rPr>
                <w:w w:val="105"/>
                <w:sz w:val="19"/>
              </w:rPr>
              <w:t>28</w:t>
            </w:r>
          </w:p>
        </w:tc>
        <w:tc>
          <w:tcPr>
            <w:tcW w:w="907" w:type="dxa"/>
            <w:shd w:val="clear" w:color="auto" w:fill="E2EFD9"/>
          </w:tcPr>
          <w:p>
            <w:pPr>
              <w:pStyle w:val="TableParagraph"/>
              <w:spacing w:line="218" w:lineRule="exact"/>
              <w:ind w:left="95"/>
              <w:rPr>
                <w:sz w:val="19"/>
              </w:rPr>
            </w:pPr>
            <w:r>
              <w:rPr>
                <w:w w:val="103"/>
                <w:sz w:val="19"/>
              </w:rPr>
              <w:t>4</w:t>
            </w:r>
          </w:p>
        </w:tc>
      </w:tr>
      <w:tr>
        <w:trPr>
          <w:trHeight w:val="358" w:hRule="exact"/>
        </w:trPr>
        <w:tc>
          <w:tcPr>
            <w:tcW w:w="1771" w:type="dxa"/>
            <w:vMerge/>
            <w:tcBorders>
              <w:left w:val="nil"/>
              <w:bottom w:val="nil"/>
            </w:tcBorders>
            <w:shd w:val="clear" w:color="auto" w:fill="70AD47"/>
          </w:tcPr>
          <w:p>
            <w:pPr/>
          </w:p>
        </w:tc>
        <w:tc>
          <w:tcPr>
            <w:tcW w:w="2232" w:type="dxa"/>
            <w:gridSpan w:val="2"/>
            <w:tcBorders>
              <w:top w:val="nil"/>
            </w:tcBorders>
            <w:shd w:val="clear" w:color="auto" w:fill="E2EFD9"/>
          </w:tcPr>
          <w:p>
            <w:pPr/>
          </w:p>
        </w:tc>
        <w:tc>
          <w:tcPr>
            <w:tcW w:w="1166" w:type="dxa"/>
            <w:tcBorders>
              <w:top w:val="single" w:sz="33" w:space="0" w:color="E2EFD9"/>
            </w:tcBorders>
            <w:shd w:val="clear" w:color="auto" w:fill="C5E0B3"/>
          </w:tcPr>
          <w:p>
            <w:pPr>
              <w:pStyle w:val="TableParagraph"/>
              <w:spacing w:before="4"/>
              <w:ind w:left="105"/>
              <w:rPr>
                <w:sz w:val="19"/>
              </w:rPr>
            </w:pPr>
            <w:r>
              <w:rPr>
                <w:w w:val="105"/>
                <w:sz w:val="19"/>
              </w:rPr>
              <w:t>% Total</w:t>
            </w:r>
          </w:p>
        </w:tc>
        <w:tc>
          <w:tcPr>
            <w:tcW w:w="389" w:type="dxa"/>
            <w:tcBorders>
              <w:top w:val="single" w:sz="33" w:space="0" w:color="E2EFD9"/>
            </w:tcBorders>
            <w:shd w:val="clear" w:color="auto" w:fill="C5E0B3"/>
          </w:tcPr>
          <w:p>
            <w:pPr>
              <w:pStyle w:val="TableParagraph"/>
              <w:spacing w:before="4"/>
              <w:ind w:left="100"/>
              <w:rPr>
                <w:sz w:val="19"/>
              </w:rPr>
            </w:pPr>
            <w:r>
              <w:rPr>
                <w:w w:val="103"/>
                <w:sz w:val="19"/>
              </w:rPr>
              <w:t>0</w:t>
            </w:r>
          </w:p>
        </w:tc>
        <w:tc>
          <w:tcPr>
            <w:tcW w:w="907" w:type="dxa"/>
            <w:tcBorders>
              <w:top w:val="single" w:sz="33" w:space="0" w:color="E2EFD9"/>
            </w:tcBorders>
            <w:shd w:val="clear" w:color="auto" w:fill="C5E0B3"/>
          </w:tcPr>
          <w:p>
            <w:pPr>
              <w:pStyle w:val="TableParagraph"/>
              <w:spacing w:before="4"/>
              <w:ind w:left="105"/>
              <w:rPr>
                <w:sz w:val="19"/>
              </w:rPr>
            </w:pPr>
            <w:r>
              <w:rPr>
                <w:w w:val="103"/>
                <w:sz w:val="19"/>
              </w:rPr>
              <w:t>0</w:t>
            </w:r>
          </w:p>
        </w:tc>
        <w:tc>
          <w:tcPr>
            <w:tcW w:w="912" w:type="dxa"/>
            <w:tcBorders>
              <w:top w:val="single" w:sz="33" w:space="0" w:color="E2EFD9"/>
            </w:tcBorders>
            <w:shd w:val="clear" w:color="auto" w:fill="C5E0B3"/>
          </w:tcPr>
          <w:p>
            <w:pPr>
              <w:pStyle w:val="TableParagraph"/>
              <w:spacing w:before="4"/>
              <w:ind w:left="105"/>
              <w:rPr>
                <w:sz w:val="19"/>
              </w:rPr>
            </w:pPr>
            <w:r>
              <w:rPr>
                <w:w w:val="103"/>
                <w:sz w:val="19"/>
              </w:rPr>
              <w:t>0</w:t>
            </w:r>
          </w:p>
        </w:tc>
        <w:tc>
          <w:tcPr>
            <w:tcW w:w="1075" w:type="dxa"/>
            <w:tcBorders>
              <w:top w:val="single" w:sz="33" w:space="0" w:color="E2EFD9"/>
            </w:tcBorders>
            <w:shd w:val="clear" w:color="auto" w:fill="C5E0B3"/>
          </w:tcPr>
          <w:p>
            <w:pPr>
              <w:pStyle w:val="TableParagraph"/>
              <w:spacing w:before="4"/>
              <w:ind w:left="100"/>
              <w:rPr>
                <w:sz w:val="19"/>
              </w:rPr>
            </w:pPr>
            <w:r>
              <w:rPr>
                <w:w w:val="105"/>
                <w:sz w:val="19"/>
              </w:rPr>
              <w:t>6.66%</w:t>
            </w:r>
          </w:p>
        </w:tc>
        <w:tc>
          <w:tcPr>
            <w:tcW w:w="907" w:type="dxa"/>
            <w:tcBorders>
              <w:top w:val="single" w:sz="33" w:space="0" w:color="E2EFD9"/>
            </w:tcBorders>
            <w:shd w:val="clear" w:color="auto" w:fill="C5E0B3"/>
          </w:tcPr>
          <w:p>
            <w:pPr>
              <w:pStyle w:val="TableParagraph"/>
              <w:spacing w:before="4"/>
              <w:ind w:left="95"/>
              <w:rPr>
                <w:sz w:val="19"/>
              </w:rPr>
            </w:pPr>
            <w:r>
              <w:rPr>
                <w:w w:val="105"/>
                <w:sz w:val="19"/>
              </w:rPr>
              <w:t>0.95%</w:t>
            </w:r>
          </w:p>
        </w:tc>
      </w:tr>
    </w:tbl>
    <w:p>
      <w:pPr>
        <w:pStyle w:val="BodyText"/>
        <w:spacing w:before="6"/>
        <w:rPr>
          <w:b/>
          <w:sz w:val="16"/>
        </w:rPr>
      </w:pPr>
    </w:p>
    <w:p>
      <w:pPr>
        <w:spacing w:before="74"/>
        <w:ind w:left="3033" w:right="512" w:firstLine="0"/>
        <w:jc w:val="left"/>
        <w:rPr>
          <w:b/>
          <w:sz w:val="23"/>
        </w:rPr>
      </w:pPr>
      <w:r>
        <w:rPr>
          <w:b/>
          <w:sz w:val="23"/>
        </w:rPr>
        <w:t>Tabla No. 17. Actitud Ambiental</w:t>
      </w:r>
    </w:p>
    <w:p>
      <w:pPr>
        <w:pStyle w:val="BodyText"/>
        <w:spacing w:before="1"/>
        <w:rPr>
          <w:b/>
          <w:sz w:val="24"/>
        </w:rPr>
      </w:pPr>
    </w:p>
    <w:tbl>
      <w:tblPr>
        <w:tblW w:w="0" w:type="auto"/>
        <w:jc w:val="left"/>
        <w:tblInd w:w="3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4"/>
        <w:gridCol w:w="989"/>
        <w:gridCol w:w="1090"/>
        <w:gridCol w:w="994"/>
        <w:gridCol w:w="979"/>
        <w:gridCol w:w="994"/>
        <w:gridCol w:w="984"/>
        <w:gridCol w:w="989"/>
        <w:gridCol w:w="965"/>
      </w:tblGrid>
      <w:tr>
        <w:trPr>
          <w:trHeight w:val="274" w:hRule="exact"/>
        </w:trPr>
        <w:tc>
          <w:tcPr>
            <w:tcW w:w="974" w:type="dxa"/>
            <w:tcBorders>
              <w:bottom w:val="nil"/>
            </w:tcBorders>
            <w:shd w:val="clear" w:color="auto" w:fill="70AD47"/>
          </w:tcPr>
          <w:p>
            <w:pPr>
              <w:pStyle w:val="TableParagraph"/>
              <w:spacing w:line="218" w:lineRule="exact"/>
              <w:ind w:left="91"/>
              <w:rPr>
                <w:b/>
                <w:sz w:val="19"/>
              </w:rPr>
            </w:pPr>
            <w:r>
              <w:rPr>
                <w:b/>
                <w:w w:val="105"/>
                <w:sz w:val="19"/>
              </w:rPr>
              <w:t>EDAD</w:t>
            </w:r>
          </w:p>
        </w:tc>
        <w:tc>
          <w:tcPr>
            <w:tcW w:w="3072" w:type="dxa"/>
            <w:gridSpan w:val="3"/>
            <w:shd w:val="clear" w:color="auto" w:fill="70AD47"/>
          </w:tcPr>
          <w:p>
            <w:pPr>
              <w:pStyle w:val="TableParagraph"/>
              <w:spacing w:line="218" w:lineRule="exact"/>
              <w:ind w:left="105"/>
              <w:rPr>
                <w:b/>
                <w:sz w:val="19"/>
              </w:rPr>
            </w:pPr>
            <w:r>
              <w:rPr>
                <w:b/>
                <w:w w:val="105"/>
                <w:sz w:val="19"/>
              </w:rPr>
              <w:t>Variable</w:t>
            </w:r>
          </w:p>
        </w:tc>
        <w:tc>
          <w:tcPr>
            <w:tcW w:w="4910" w:type="dxa"/>
            <w:gridSpan w:val="5"/>
            <w:shd w:val="clear" w:color="auto" w:fill="70AD47"/>
          </w:tcPr>
          <w:p>
            <w:pPr>
              <w:pStyle w:val="TableParagraph"/>
              <w:spacing w:line="218" w:lineRule="exact"/>
              <w:ind w:left="100"/>
              <w:rPr>
                <w:b/>
                <w:sz w:val="19"/>
              </w:rPr>
            </w:pPr>
            <w:r>
              <w:rPr>
                <w:b/>
                <w:sz w:val="19"/>
              </w:rPr>
              <w:t>Actitud Ambiental</w:t>
            </w:r>
          </w:p>
        </w:tc>
      </w:tr>
      <w:tr>
        <w:trPr>
          <w:trHeight w:val="360" w:hRule="exact"/>
        </w:trPr>
        <w:tc>
          <w:tcPr>
            <w:tcW w:w="974" w:type="dxa"/>
            <w:tcBorders>
              <w:top w:val="nil"/>
              <w:left w:val="nil"/>
            </w:tcBorders>
            <w:shd w:val="clear" w:color="auto" w:fill="70AD47"/>
          </w:tcPr>
          <w:p>
            <w:pPr/>
          </w:p>
        </w:tc>
        <w:tc>
          <w:tcPr>
            <w:tcW w:w="3072" w:type="dxa"/>
            <w:gridSpan w:val="3"/>
            <w:tcBorders>
              <w:top w:val="single" w:sz="30" w:space="0" w:color="70AD47"/>
            </w:tcBorders>
            <w:shd w:val="clear" w:color="auto" w:fill="C5E0B3"/>
          </w:tcPr>
          <w:p>
            <w:pPr>
              <w:pStyle w:val="TableParagraph"/>
              <w:spacing w:before="4"/>
              <w:ind w:left="105"/>
              <w:rPr>
                <w:sz w:val="19"/>
              </w:rPr>
            </w:pPr>
            <w:r>
              <w:rPr>
                <w:w w:val="105"/>
                <w:sz w:val="19"/>
              </w:rPr>
              <w:t>Escala Likert</w:t>
            </w:r>
          </w:p>
        </w:tc>
        <w:tc>
          <w:tcPr>
            <w:tcW w:w="979" w:type="dxa"/>
            <w:tcBorders>
              <w:top w:val="single" w:sz="30" w:space="0" w:color="70AD47"/>
            </w:tcBorders>
            <w:shd w:val="clear" w:color="auto" w:fill="C5E0B3"/>
          </w:tcPr>
          <w:p>
            <w:pPr>
              <w:pStyle w:val="TableParagraph"/>
              <w:spacing w:before="4"/>
              <w:ind w:left="100"/>
              <w:rPr>
                <w:sz w:val="19"/>
              </w:rPr>
            </w:pPr>
            <w:r>
              <w:rPr>
                <w:w w:val="103"/>
                <w:sz w:val="19"/>
              </w:rPr>
              <w:t>1</w:t>
            </w:r>
          </w:p>
        </w:tc>
        <w:tc>
          <w:tcPr>
            <w:tcW w:w="994" w:type="dxa"/>
            <w:tcBorders>
              <w:top w:val="single" w:sz="30" w:space="0" w:color="70AD47"/>
            </w:tcBorders>
            <w:shd w:val="clear" w:color="auto" w:fill="C5E0B3"/>
          </w:tcPr>
          <w:p>
            <w:pPr>
              <w:pStyle w:val="TableParagraph"/>
              <w:spacing w:before="4"/>
              <w:ind w:left="105"/>
              <w:rPr>
                <w:sz w:val="19"/>
              </w:rPr>
            </w:pPr>
            <w:r>
              <w:rPr>
                <w:w w:val="103"/>
                <w:sz w:val="19"/>
              </w:rPr>
              <w:t>2</w:t>
            </w:r>
          </w:p>
        </w:tc>
        <w:tc>
          <w:tcPr>
            <w:tcW w:w="984" w:type="dxa"/>
            <w:tcBorders>
              <w:top w:val="single" w:sz="30" w:space="0" w:color="70AD47"/>
            </w:tcBorders>
            <w:shd w:val="clear" w:color="auto" w:fill="C5E0B3"/>
          </w:tcPr>
          <w:p>
            <w:pPr>
              <w:pStyle w:val="TableParagraph"/>
              <w:spacing w:before="4"/>
              <w:ind w:left="100"/>
              <w:rPr>
                <w:sz w:val="19"/>
              </w:rPr>
            </w:pPr>
            <w:r>
              <w:rPr>
                <w:w w:val="103"/>
                <w:sz w:val="19"/>
              </w:rPr>
              <w:t>3</w:t>
            </w:r>
          </w:p>
        </w:tc>
        <w:tc>
          <w:tcPr>
            <w:tcW w:w="989" w:type="dxa"/>
            <w:tcBorders>
              <w:top w:val="single" w:sz="30" w:space="0" w:color="70AD47"/>
            </w:tcBorders>
            <w:shd w:val="clear" w:color="auto" w:fill="C5E0B3"/>
          </w:tcPr>
          <w:p>
            <w:pPr>
              <w:pStyle w:val="TableParagraph"/>
              <w:spacing w:before="4"/>
              <w:ind w:left="100"/>
              <w:rPr>
                <w:sz w:val="19"/>
              </w:rPr>
            </w:pPr>
            <w:r>
              <w:rPr>
                <w:w w:val="103"/>
                <w:sz w:val="19"/>
              </w:rPr>
              <w:t>4</w:t>
            </w:r>
          </w:p>
        </w:tc>
        <w:tc>
          <w:tcPr>
            <w:tcW w:w="965" w:type="dxa"/>
            <w:tcBorders>
              <w:top w:val="single" w:sz="30" w:space="0" w:color="70AD47"/>
            </w:tcBorders>
            <w:shd w:val="clear" w:color="auto" w:fill="C5E0B3"/>
          </w:tcPr>
          <w:p>
            <w:pPr>
              <w:pStyle w:val="TableParagraph"/>
              <w:spacing w:before="4"/>
              <w:ind w:left="105"/>
              <w:rPr>
                <w:sz w:val="19"/>
              </w:rPr>
            </w:pPr>
            <w:r>
              <w:rPr>
                <w:w w:val="103"/>
                <w:sz w:val="19"/>
              </w:rPr>
              <w:t>5</w:t>
            </w:r>
          </w:p>
        </w:tc>
      </w:tr>
      <w:tr>
        <w:trPr>
          <w:trHeight w:val="225" w:hRule="exact"/>
        </w:trPr>
        <w:tc>
          <w:tcPr>
            <w:tcW w:w="974" w:type="dxa"/>
            <w:vMerge w:val="restart"/>
            <w:tcBorders>
              <w:left w:val="nil"/>
            </w:tcBorders>
            <w:shd w:val="clear" w:color="auto" w:fill="70AD47"/>
          </w:tcPr>
          <w:p>
            <w:pPr>
              <w:pStyle w:val="TableParagraph"/>
              <w:spacing w:line="218" w:lineRule="exact"/>
              <w:ind w:left="95"/>
              <w:rPr>
                <w:b/>
                <w:sz w:val="19"/>
              </w:rPr>
            </w:pPr>
            <w:r>
              <w:rPr>
                <w:b/>
                <w:w w:val="105"/>
                <w:sz w:val="19"/>
              </w:rPr>
              <w:t>Joven</w:t>
            </w:r>
          </w:p>
        </w:tc>
        <w:tc>
          <w:tcPr>
            <w:tcW w:w="989" w:type="dxa"/>
            <w:tcBorders>
              <w:bottom w:val="nil"/>
            </w:tcBorders>
            <w:shd w:val="clear" w:color="auto" w:fill="E2EFD9"/>
          </w:tcPr>
          <w:p>
            <w:pPr>
              <w:pStyle w:val="TableParagraph"/>
              <w:spacing w:line="218" w:lineRule="exact"/>
              <w:ind w:left="105"/>
              <w:rPr>
                <w:sz w:val="19"/>
              </w:rPr>
            </w:pPr>
            <w:r>
              <w:rPr>
                <w:w w:val="105"/>
                <w:sz w:val="19"/>
              </w:rPr>
              <w:t>SEXO</w:t>
            </w:r>
          </w:p>
        </w:tc>
        <w:tc>
          <w:tcPr>
            <w:tcW w:w="1090" w:type="dxa"/>
            <w:tcBorders>
              <w:bottom w:val="nil"/>
            </w:tcBorders>
            <w:shd w:val="clear" w:color="auto" w:fill="E2EFD9"/>
          </w:tcPr>
          <w:p>
            <w:pPr>
              <w:pStyle w:val="TableParagraph"/>
              <w:spacing w:line="218" w:lineRule="exact"/>
              <w:ind w:left="71" w:right="69"/>
              <w:jc w:val="center"/>
              <w:rPr>
                <w:sz w:val="19"/>
              </w:rPr>
            </w:pPr>
            <w:r>
              <w:rPr>
                <w:w w:val="105"/>
                <w:sz w:val="19"/>
              </w:rPr>
              <w:t>Masculino</w:t>
            </w:r>
          </w:p>
        </w:tc>
        <w:tc>
          <w:tcPr>
            <w:tcW w:w="994" w:type="dxa"/>
            <w:tcBorders>
              <w:bottom w:val="nil"/>
            </w:tcBorders>
            <w:shd w:val="clear" w:color="auto" w:fill="E2EFD9"/>
          </w:tcPr>
          <w:p>
            <w:pPr>
              <w:pStyle w:val="TableParagraph"/>
              <w:spacing w:line="218" w:lineRule="exact"/>
              <w:ind w:left="95"/>
              <w:rPr>
                <w:sz w:val="19"/>
              </w:rPr>
            </w:pPr>
            <w:r>
              <w:rPr>
                <w:w w:val="105"/>
                <w:sz w:val="19"/>
              </w:rPr>
              <w:t>Cantidad</w:t>
            </w:r>
          </w:p>
        </w:tc>
        <w:tc>
          <w:tcPr>
            <w:tcW w:w="979" w:type="dxa"/>
            <w:tcBorders>
              <w:bottom w:val="nil"/>
            </w:tcBorders>
            <w:shd w:val="clear" w:color="auto" w:fill="E2EFD9"/>
          </w:tcPr>
          <w:p>
            <w:pPr>
              <w:pStyle w:val="TableParagraph"/>
              <w:spacing w:line="218" w:lineRule="exact"/>
              <w:ind w:left="100"/>
              <w:rPr>
                <w:sz w:val="19"/>
              </w:rPr>
            </w:pPr>
            <w:r>
              <w:rPr>
                <w:w w:val="103"/>
                <w:sz w:val="19"/>
              </w:rPr>
              <w:t>8</w:t>
            </w:r>
          </w:p>
        </w:tc>
        <w:tc>
          <w:tcPr>
            <w:tcW w:w="994" w:type="dxa"/>
            <w:vMerge w:val="restart"/>
            <w:shd w:val="clear" w:color="auto" w:fill="E2EFD9"/>
          </w:tcPr>
          <w:p>
            <w:pPr>
              <w:pStyle w:val="TableParagraph"/>
              <w:spacing w:line="218" w:lineRule="exact"/>
              <w:ind w:left="105"/>
              <w:rPr>
                <w:sz w:val="19"/>
              </w:rPr>
            </w:pPr>
            <w:r>
              <w:rPr>
                <w:w w:val="105"/>
                <w:sz w:val="19"/>
              </w:rPr>
              <w:t>20</w:t>
            </w:r>
          </w:p>
        </w:tc>
        <w:tc>
          <w:tcPr>
            <w:tcW w:w="984" w:type="dxa"/>
            <w:vMerge w:val="restart"/>
            <w:shd w:val="clear" w:color="auto" w:fill="E2EFD9"/>
          </w:tcPr>
          <w:p>
            <w:pPr>
              <w:pStyle w:val="TableParagraph"/>
              <w:spacing w:line="218" w:lineRule="exact"/>
              <w:ind w:left="100"/>
              <w:rPr>
                <w:sz w:val="19"/>
              </w:rPr>
            </w:pPr>
            <w:r>
              <w:rPr>
                <w:w w:val="105"/>
                <w:sz w:val="19"/>
              </w:rPr>
              <w:t>16</w:t>
            </w:r>
          </w:p>
        </w:tc>
        <w:tc>
          <w:tcPr>
            <w:tcW w:w="989" w:type="dxa"/>
            <w:vMerge w:val="restart"/>
            <w:shd w:val="clear" w:color="auto" w:fill="E2EFD9"/>
          </w:tcPr>
          <w:p>
            <w:pPr>
              <w:pStyle w:val="TableParagraph"/>
              <w:spacing w:line="218" w:lineRule="exact"/>
              <w:ind w:left="100"/>
              <w:rPr>
                <w:sz w:val="19"/>
              </w:rPr>
            </w:pPr>
            <w:r>
              <w:rPr>
                <w:w w:val="105"/>
                <w:sz w:val="19"/>
              </w:rPr>
              <w:t>41</w:t>
            </w:r>
          </w:p>
        </w:tc>
        <w:tc>
          <w:tcPr>
            <w:tcW w:w="965" w:type="dxa"/>
            <w:vMerge w:val="restart"/>
            <w:shd w:val="clear" w:color="auto" w:fill="E2EFD9"/>
          </w:tcPr>
          <w:p>
            <w:pPr>
              <w:pStyle w:val="TableParagraph"/>
              <w:spacing w:line="218" w:lineRule="exact"/>
              <w:ind w:left="105"/>
              <w:rPr>
                <w:sz w:val="19"/>
              </w:rPr>
            </w:pPr>
            <w:r>
              <w:rPr>
                <w:w w:val="103"/>
                <w:sz w:val="19"/>
              </w:rPr>
              <w:t>0</w:t>
            </w:r>
          </w:p>
        </w:tc>
      </w:tr>
      <w:tr>
        <w:trPr>
          <w:trHeight w:val="96" w:hRule="exact"/>
        </w:trPr>
        <w:tc>
          <w:tcPr>
            <w:tcW w:w="974" w:type="dxa"/>
            <w:vMerge/>
            <w:tcBorders>
              <w:left w:val="nil"/>
            </w:tcBorders>
            <w:shd w:val="clear" w:color="auto" w:fill="70AD47"/>
          </w:tcPr>
          <w:p>
            <w:pPr/>
          </w:p>
        </w:tc>
        <w:tc>
          <w:tcPr>
            <w:tcW w:w="989" w:type="dxa"/>
            <w:vMerge w:val="restart"/>
            <w:tcBorders>
              <w:top w:val="nil"/>
            </w:tcBorders>
            <w:shd w:val="clear" w:color="auto" w:fill="E2EFD9"/>
          </w:tcPr>
          <w:p>
            <w:pPr/>
          </w:p>
        </w:tc>
        <w:tc>
          <w:tcPr>
            <w:tcW w:w="1090" w:type="dxa"/>
            <w:vMerge w:val="restart"/>
            <w:tcBorders>
              <w:top w:val="nil"/>
            </w:tcBorders>
            <w:shd w:val="clear" w:color="auto" w:fill="E2EFD9"/>
          </w:tcPr>
          <w:p>
            <w:pPr/>
          </w:p>
        </w:tc>
        <w:tc>
          <w:tcPr>
            <w:tcW w:w="994" w:type="dxa"/>
            <w:tcBorders>
              <w:top w:val="single" w:sz="34" w:space="0" w:color="E2EFD9"/>
            </w:tcBorders>
            <w:shd w:val="clear" w:color="auto" w:fill="C5E0B3"/>
          </w:tcPr>
          <w:p>
            <w:pPr/>
          </w:p>
        </w:tc>
        <w:tc>
          <w:tcPr>
            <w:tcW w:w="979" w:type="dxa"/>
            <w:tcBorders>
              <w:top w:val="single" w:sz="34" w:space="0" w:color="E2EFD9"/>
            </w:tcBorders>
            <w:shd w:val="clear" w:color="auto" w:fill="C5E0B3"/>
          </w:tcPr>
          <w:p>
            <w:pPr/>
          </w:p>
        </w:tc>
        <w:tc>
          <w:tcPr>
            <w:tcW w:w="994" w:type="dxa"/>
            <w:vMerge/>
            <w:shd w:val="clear" w:color="auto" w:fill="E2EFD9"/>
          </w:tcPr>
          <w:p>
            <w:pPr/>
          </w:p>
        </w:tc>
        <w:tc>
          <w:tcPr>
            <w:tcW w:w="984" w:type="dxa"/>
            <w:vMerge/>
            <w:shd w:val="clear" w:color="auto" w:fill="E2EFD9"/>
          </w:tcPr>
          <w:p>
            <w:pPr/>
          </w:p>
        </w:tc>
        <w:tc>
          <w:tcPr>
            <w:tcW w:w="989" w:type="dxa"/>
            <w:vMerge/>
            <w:shd w:val="clear" w:color="auto" w:fill="E2EFD9"/>
          </w:tcPr>
          <w:p>
            <w:pPr/>
          </w:p>
        </w:tc>
        <w:tc>
          <w:tcPr>
            <w:tcW w:w="965" w:type="dxa"/>
            <w:vMerge/>
            <w:shd w:val="clear" w:color="auto" w:fill="E2EFD9"/>
          </w:tcPr>
          <w:p>
            <w:pPr/>
          </w:p>
        </w:tc>
      </w:tr>
      <w:tr>
        <w:trPr>
          <w:trHeight w:val="302" w:hRule="exact"/>
        </w:trPr>
        <w:tc>
          <w:tcPr>
            <w:tcW w:w="974" w:type="dxa"/>
            <w:vMerge/>
            <w:tcBorders>
              <w:left w:val="nil"/>
            </w:tcBorders>
            <w:shd w:val="clear" w:color="auto" w:fill="70AD47"/>
          </w:tcPr>
          <w:p>
            <w:pPr/>
          </w:p>
        </w:tc>
        <w:tc>
          <w:tcPr>
            <w:tcW w:w="989" w:type="dxa"/>
            <w:vMerge/>
            <w:shd w:val="clear" w:color="auto" w:fill="E2EFD9"/>
          </w:tcPr>
          <w:p>
            <w:pPr/>
          </w:p>
        </w:tc>
        <w:tc>
          <w:tcPr>
            <w:tcW w:w="1090" w:type="dxa"/>
            <w:vMerge/>
            <w:shd w:val="clear" w:color="auto" w:fill="E2EFD9"/>
          </w:tcPr>
          <w:p>
            <w:pPr/>
          </w:p>
        </w:tc>
        <w:tc>
          <w:tcPr>
            <w:tcW w:w="994" w:type="dxa"/>
            <w:shd w:val="clear" w:color="auto" w:fill="C5E0B3"/>
          </w:tcPr>
          <w:p>
            <w:pPr>
              <w:pStyle w:val="TableParagraph"/>
              <w:spacing w:line="213" w:lineRule="exact"/>
              <w:ind w:left="95"/>
              <w:rPr>
                <w:sz w:val="19"/>
              </w:rPr>
            </w:pPr>
            <w:r>
              <w:rPr>
                <w:w w:val="105"/>
                <w:sz w:val="19"/>
              </w:rPr>
              <w:t>% Total</w:t>
            </w:r>
          </w:p>
        </w:tc>
        <w:tc>
          <w:tcPr>
            <w:tcW w:w="979" w:type="dxa"/>
            <w:shd w:val="clear" w:color="auto" w:fill="C5E0B3"/>
          </w:tcPr>
          <w:p>
            <w:pPr>
              <w:pStyle w:val="TableParagraph"/>
              <w:spacing w:line="213" w:lineRule="exact"/>
              <w:ind w:left="100"/>
              <w:rPr>
                <w:sz w:val="19"/>
              </w:rPr>
            </w:pPr>
            <w:r>
              <w:rPr>
                <w:w w:val="105"/>
                <w:sz w:val="19"/>
              </w:rPr>
              <w:t>1.90%</w:t>
            </w:r>
          </w:p>
        </w:tc>
        <w:tc>
          <w:tcPr>
            <w:tcW w:w="994" w:type="dxa"/>
            <w:shd w:val="clear" w:color="auto" w:fill="C5E0B3"/>
          </w:tcPr>
          <w:p>
            <w:pPr>
              <w:pStyle w:val="TableParagraph"/>
              <w:spacing w:line="213" w:lineRule="exact"/>
              <w:ind w:left="105"/>
              <w:rPr>
                <w:sz w:val="19"/>
              </w:rPr>
            </w:pPr>
            <w:r>
              <w:rPr>
                <w:w w:val="105"/>
                <w:sz w:val="19"/>
              </w:rPr>
              <w:t>4.76%</w:t>
            </w:r>
          </w:p>
        </w:tc>
        <w:tc>
          <w:tcPr>
            <w:tcW w:w="984" w:type="dxa"/>
            <w:shd w:val="clear" w:color="auto" w:fill="C5E0B3"/>
          </w:tcPr>
          <w:p>
            <w:pPr>
              <w:pStyle w:val="TableParagraph"/>
              <w:spacing w:line="213" w:lineRule="exact"/>
              <w:ind w:left="100"/>
              <w:rPr>
                <w:sz w:val="19"/>
              </w:rPr>
            </w:pPr>
            <w:r>
              <w:rPr>
                <w:w w:val="105"/>
                <w:sz w:val="19"/>
              </w:rPr>
              <w:t>3.80%</w:t>
            </w:r>
          </w:p>
        </w:tc>
        <w:tc>
          <w:tcPr>
            <w:tcW w:w="989" w:type="dxa"/>
            <w:shd w:val="clear" w:color="auto" w:fill="C5E0B3"/>
          </w:tcPr>
          <w:p>
            <w:pPr>
              <w:pStyle w:val="TableParagraph"/>
              <w:spacing w:line="213" w:lineRule="exact"/>
              <w:ind w:left="100"/>
              <w:rPr>
                <w:sz w:val="19"/>
              </w:rPr>
            </w:pPr>
            <w:r>
              <w:rPr>
                <w:w w:val="105"/>
                <w:sz w:val="19"/>
              </w:rPr>
              <w:t>9-76%</w:t>
            </w:r>
          </w:p>
        </w:tc>
        <w:tc>
          <w:tcPr>
            <w:tcW w:w="965" w:type="dxa"/>
            <w:tcBorders>
              <w:top w:val="single" w:sz="38" w:space="0" w:color="E2EFD9"/>
            </w:tcBorders>
            <w:shd w:val="clear" w:color="auto" w:fill="C5E0B3"/>
          </w:tcPr>
          <w:p>
            <w:pPr>
              <w:pStyle w:val="TableParagraph"/>
              <w:spacing w:line="170" w:lineRule="exact"/>
              <w:ind w:left="105"/>
              <w:rPr>
                <w:sz w:val="19"/>
              </w:rPr>
            </w:pPr>
            <w:r>
              <w:rPr>
                <w:w w:val="103"/>
                <w:sz w:val="19"/>
              </w:rPr>
              <w:t>0</w:t>
            </w:r>
          </w:p>
        </w:tc>
      </w:tr>
      <w:tr>
        <w:trPr>
          <w:trHeight w:val="327" w:hRule="exact"/>
        </w:trPr>
        <w:tc>
          <w:tcPr>
            <w:tcW w:w="974" w:type="dxa"/>
            <w:vMerge/>
            <w:tcBorders>
              <w:left w:val="nil"/>
            </w:tcBorders>
            <w:shd w:val="clear" w:color="auto" w:fill="70AD47"/>
          </w:tcPr>
          <w:p>
            <w:pPr/>
          </w:p>
        </w:tc>
        <w:tc>
          <w:tcPr>
            <w:tcW w:w="989" w:type="dxa"/>
            <w:vMerge/>
            <w:shd w:val="clear" w:color="auto" w:fill="E2EFD9"/>
          </w:tcPr>
          <w:p>
            <w:pPr/>
          </w:p>
        </w:tc>
        <w:tc>
          <w:tcPr>
            <w:tcW w:w="1090" w:type="dxa"/>
            <w:tcBorders>
              <w:bottom w:val="nil"/>
            </w:tcBorders>
            <w:shd w:val="clear" w:color="auto" w:fill="E2EFD9"/>
          </w:tcPr>
          <w:p>
            <w:pPr>
              <w:pStyle w:val="TableParagraph"/>
              <w:spacing w:before="9"/>
              <w:ind w:left="60" w:right="69"/>
              <w:jc w:val="center"/>
              <w:rPr>
                <w:sz w:val="19"/>
              </w:rPr>
            </w:pPr>
            <w:r>
              <w:rPr>
                <w:w w:val="105"/>
                <w:sz w:val="19"/>
              </w:rPr>
              <w:t>Femenino</w:t>
            </w:r>
          </w:p>
        </w:tc>
        <w:tc>
          <w:tcPr>
            <w:tcW w:w="994" w:type="dxa"/>
            <w:shd w:val="clear" w:color="auto" w:fill="E2EFD9"/>
          </w:tcPr>
          <w:p>
            <w:pPr>
              <w:pStyle w:val="TableParagraph"/>
              <w:spacing w:before="9"/>
              <w:ind w:left="95"/>
              <w:rPr>
                <w:sz w:val="19"/>
              </w:rPr>
            </w:pPr>
            <w:r>
              <w:rPr>
                <w:w w:val="105"/>
                <w:sz w:val="19"/>
              </w:rPr>
              <w:t>Cantidad</w:t>
            </w:r>
          </w:p>
        </w:tc>
        <w:tc>
          <w:tcPr>
            <w:tcW w:w="979" w:type="dxa"/>
            <w:shd w:val="clear" w:color="auto" w:fill="E2EFD9"/>
          </w:tcPr>
          <w:p>
            <w:pPr>
              <w:pStyle w:val="TableParagraph"/>
              <w:spacing w:before="9"/>
              <w:ind w:left="100"/>
              <w:rPr>
                <w:sz w:val="19"/>
              </w:rPr>
            </w:pPr>
            <w:r>
              <w:rPr>
                <w:w w:val="103"/>
                <w:sz w:val="19"/>
              </w:rPr>
              <w:t>8</w:t>
            </w:r>
          </w:p>
        </w:tc>
        <w:tc>
          <w:tcPr>
            <w:tcW w:w="994" w:type="dxa"/>
            <w:shd w:val="clear" w:color="auto" w:fill="E2EFD9"/>
          </w:tcPr>
          <w:p>
            <w:pPr>
              <w:pStyle w:val="TableParagraph"/>
              <w:spacing w:before="9"/>
              <w:ind w:left="105"/>
              <w:rPr>
                <w:sz w:val="19"/>
              </w:rPr>
            </w:pPr>
            <w:r>
              <w:rPr>
                <w:w w:val="103"/>
                <w:sz w:val="19"/>
              </w:rPr>
              <w:t>8</w:t>
            </w:r>
          </w:p>
        </w:tc>
        <w:tc>
          <w:tcPr>
            <w:tcW w:w="984" w:type="dxa"/>
            <w:shd w:val="clear" w:color="auto" w:fill="E2EFD9"/>
          </w:tcPr>
          <w:p>
            <w:pPr>
              <w:pStyle w:val="TableParagraph"/>
              <w:spacing w:before="9"/>
              <w:ind w:left="100"/>
              <w:rPr>
                <w:sz w:val="19"/>
              </w:rPr>
            </w:pPr>
            <w:r>
              <w:rPr>
                <w:w w:val="105"/>
                <w:sz w:val="19"/>
              </w:rPr>
              <w:t>40</w:t>
            </w:r>
          </w:p>
        </w:tc>
        <w:tc>
          <w:tcPr>
            <w:tcW w:w="989" w:type="dxa"/>
            <w:shd w:val="clear" w:color="auto" w:fill="E2EFD9"/>
          </w:tcPr>
          <w:p>
            <w:pPr>
              <w:pStyle w:val="TableParagraph"/>
              <w:spacing w:before="9"/>
              <w:ind w:left="100"/>
              <w:rPr>
                <w:sz w:val="19"/>
              </w:rPr>
            </w:pPr>
            <w:r>
              <w:rPr>
                <w:w w:val="105"/>
                <w:sz w:val="19"/>
              </w:rPr>
              <w:t>31</w:t>
            </w:r>
          </w:p>
        </w:tc>
        <w:tc>
          <w:tcPr>
            <w:tcW w:w="965" w:type="dxa"/>
            <w:shd w:val="clear" w:color="auto" w:fill="E2EFD9"/>
          </w:tcPr>
          <w:p>
            <w:pPr>
              <w:pStyle w:val="TableParagraph"/>
              <w:spacing w:before="9"/>
              <w:ind w:left="105"/>
              <w:rPr>
                <w:sz w:val="19"/>
              </w:rPr>
            </w:pPr>
            <w:r>
              <w:rPr>
                <w:w w:val="103"/>
                <w:sz w:val="19"/>
              </w:rPr>
              <w:t>0</w:t>
            </w:r>
          </w:p>
        </w:tc>
      </w:tr>
      <w:tr>
        <w:trPr>
          <w:trHeight w:val="312" w:hRule="exact"/>
        </w:trPr>
        <w:tc>
          <w:tcPr>
            <w:tcW w:w="974" w:type="dxa"/>
            <w:vMerge/>
            <w:tcBorders>
              <w:left w:val="nil"/>
            </w:tcBorders>
            <w:shd w:val="clear" w:color="auto" w:fill="70AD47"/>
          </w:tcPr>
          <w:p>
            <w:pPr/>
          </w:p>
        </w:tc>
        <w:tc>
          <w:tcPr>
            <w:tcW w:w="989" w:type="dxa"/>
            <w:vMerge/>
            <w:shd w:val="clear" w:color="auto" w:fill="E2EFD9"/>
          </w:tcPr>
          <w:p>
            <w:pPr/>
          </w:p>
        </w:tc>
        <w:tc>
          <w:tcPr>
            <w:tcW w:w="1090" w:type="dxa"/>
            <w:tcBorders>
              <w:top w:val="nil"/>
            </w:tcBorders>
            <w:shd w:val="clear" w:color="auto" w:fill="E2EFD9"/>
          </w:tcPr>
          <w:p>
            <w:pPr/>
          </w:p>
        </w:tc>
        <w:tc>
          <w:tcPr>
            <w:tcW w:w="994" w:type="dxa"/>
            <w:tcBorders>
              <w:top w:val="single" w:sz="33" w:space="0" w:color="E2EFD9"/>
            </w:tcBorders>
            <w:shd w:val="clear" w:color="auto" w:fill="C5E0B3"/>
          </w:tcPr>
          <w:p>
            <w:pPr>
              <w:pStyle w:val="TableParagraph"/>
              <w:spacing w:line="177" w:lineRule="exact"/>
              <w:ind w:left="95"/>
              <w:rPr>
                <w:sz w:val="19"/>
              </w:rPr>
            </w:pPr>
            <w:r>
              <w:rPr>
                <w:w w:val="105"/>
                <w:sz w:val="19"/>
              </w:rPr>
              <w:t>% Total</w:t>
            </w:r>
          </w:p>
        </w:tc>
        <w:tc>
          <w:tcPr>
            <w:tcW w:w="979" w:type="dxa"/>
            <w:tcBorders>
              <w:top w:val="single" w:sz="33" w:space="0" w:color="E2EFD9"/>
            </w:tcBorders>
            <w:shd w:val="clear" w:color="auto" w:fill="C5E0B3"/>
          </w:tcPr>
          <w:p>
            <w:pPr>
              <w:pStyle w:val="TableParagraph"/>
              <w:spacing w:line="177" w:lineRule="exact"/>
              <w:ind w:left="100"/>
              <w:rPr>
                <w:sz w:val="19"/>
              </w:rPr>
            </w:pPr>
            <w:r>
              <w:rPr>
                <w:w w:val="105"/>
                <w:sz w:val="19"/>
              </w:rPr>
              <w:t>1.90%</w:t>
            </w:r>
          </w:p>
        </w:tc>
        <w:tc>
          <w:tcPr>
            <w:tcW w:w="994" w:type="dxa"/>
            <w:shd w:val="clear" w:color="auto" w:fill="C5E0B3"/>
          </w:tcPr>
          <w:p>
            <w:pPr>
              <w:pStyle w:val="TableParagraph"/>
              <w:spacing w:line="213" w:lineRule="exact"/>
              <w:ind w:left="105"/>
              <w:rPr>
                <w:sz w:val="19"/>
              </w:rPr>
            </w:pPr>
            <w:r>
              <w:rPr>
                <w:w w:val="105"/>
                <w:sz w:val="19"/>
              </w:rPr>
              <w:t>1.90%</w:t>
            </w:r>
          </w:p>
        </w:tc>
        <w:tc>
          <w:tcPr>
            <w:tcW w:w="984" w:type="dxa"/>
            <w:shd w:val="clear" w:color="auto" w:fill="C5E0B3"/>
          </w:tcPr>
          <w:p>
            <w:pPr>
              <w:pStyle w:val="TableParagraph"/>
              <w:spacing w:line="213" w:lineRule="exact"/>
              <w:ind w:left="100"/>
              <w:rPr>
                <w:sz w:val="19"/>
              </w:rPr>
            </w:pPr>
            <w:r>
              <w:rPr>
                <w:w w:val="105"/>
                <w:sz w:val="19"/>
              </w:rPr>
              <w:t>9.52%</w:t>
            </w:r>
          </w:p>
        </w:tc>
        <w:tc>
          <w:tcPr>
            <w:tcW w:w="989" w:type="dxa"/>
            <w:shd w:val="clear" w:color="auto" w:fill="C5E0B3"/>
          </w:tcPr>
          <w:p>
            <w:pPr>
              <w:pStyle w:val="TableParagraph"/>
              <w:spacing w:line="213" w:lineRule="exact"/>
              <w:ind w:left="100"/>
              <w:rPr>
                <w:sz w:val="19"/>
              </w:rPr>
            </w:pPr>
            <w:r>
              <w:rPr>
                <w:w w:val="105"/>
                <w:sz w:val="19"/>
              </w:rPr>
              <w:t>7.38%</w:t>
            </w:r>
          </w:p>
        </w:tc>
        <w:tc>
          <w:tcPr>
            <w:tcW w:w="965" w:type="dxa"/>
            <w:tcBorders>
              <w:top w:val="single" w:sz="33" w:space="0" w:color="E2EFD9"/>
            </w:tcBorders>
            <w:shd w:val="clear" w:color="auto" w:fill="C5E0B3"/>
          </w:tcPr>
          <w:p>
            <w:pPr>
              <w:pStyle w:val="TableParagraph"/>
              <w:spacing w:line="177" w:lineRule="exact"/>
              <w:ind w:left="105"/>
              <w:rPr>
                <w:sz w:val="19"/>
              </w:rPr>
            </w:pPr>
            <w:r>
              <w:rPr>
                <w:w w:val="103"/>
                <w:sz w:val="19"/>
              </w:rPr>
              <w:t>0</w:t>
            </w:r>
          </w:p>
        </w:tc>
      </w:tr>
      <w:tr>
        <w:trPr>
          <w:trHeight w:val="230" w:hRule="exact"/>
        </w:trPr>
        <w:tc>
          <w:tcPr>
            <w:tcW w:w="974" w:type="dxa"/>
            <w:vMerge/>
            <w:tcBorders>
              <w:left w:val="nil"/>
            </w:tcBorders>
            <w:shd w:val="clear" w:color="auto" w:fill="70AD47"/>
          </w:tcPr>
          <w:p>
            <w:pPr/>
          </w:p>
        </w:tc>
        <w:tc>
          <w:tcPr>
            <w:tcW w:w="2078" w:type="dxa"/>
            <w:gridSpan w:val="2"/>
            <w:tcBorders>
              <w:bottom w:val="nil"/>
            </w:tcBorders>
            <w:shd w:val="clear" w:color="auto" w:fill="E2EFD9"/>
          </w:tcPr>
          <w:p>
            <w:pPr>
              <w:pStyle w:val="TableParagraph"/>
              <w:spacing w:line="218" w:lineRule="exact"/>
              <w:ind w:left="105"/>
              <w:rPr>
                <w:sz w:val="19"/>
              </w:rPr>
            </w:pPr>
            <w:r>
              <w:rPr>
                <w:w w:val="105"/>
                <w:sz w:val="19"/>
              </w:rPr>
              <w:t>TOTAL</w:t>
            </w:r>
          </w:p>
        </w:tc>
        <w:tc>
          <w:tcPr>
            <w:tcW w:w="994" w:type="dxa"/>
            <w:tcBorders>
              <w:bottom w:val="nil"/>
            </w:tcBorders>
            <w:shd w:val="clear" w:color="auto" w:fill="E2EFD9"/>
          </w:tcPr>
          <w:p>
            <w:pPr>
              <w:pStyle w:val="TableParagraph"/>
              <w:spacing w:line="218" w:lineRule="exact"/>
              <w:ind w:left="95"/>
              <w:rPr>
                <w:sz w:val="19"/>
              </w:rPr>
            </w:pPr>
            <w:r>
              <w:rPr>
                <w:w w:val="105"/>
                <w:sz w:val="19"/>
              </w:rPr>
              <w:t>Cantidad</w:t>
            </w:r>
          </w:p>
        </w:tc>
        <w:tc>
          <w:tcPr>
            <w:tcW w:w="979" w:type="dxa"/>
            <w:tcBorders>
              <w:bottom w:val="nil"/>
            </w:tcBorders>
            <w:shd w:val="clear" w:color="auto" w:fill="E2EFD9"/>
          </w:tcPr>
          <w:p>
            <w:pPr>
              <w:pStyle w:val="TableParagraph"/>
              <w:spacing w:line="218" w:lineRule="exact"/>
              <w:ind w:left="100"/>
              <w:rPr>
                <w:sz w:val="19"/>
              </w:rPr>
            </w:pPr>
            <w:r>
              <w:rPr>
                <w:w w:val="105"/>
                <w:sz w:val="19"/>
              </w:rPr>
              <w:t>16</w:t>
            </w:r>
          </w:p>
        </w:tc>
        <w:tc>
          <w:tcPr>
            <w:tcW w:w="994" w:type="dxa"/>
            <w:vMerge w:val="restart"/>
            <w:shd w:val="clear" w:color="auto" w:fill="E2EFD9"/>
          </w:tcPr>
          <w:p>
            <w:pPr>
              <w:pStyle w:val="TableParagraph"/>
              <w:spacing w:line="218" w:lineRule="exact"/>
              <w:ind w:left="105"/>
              <w:rPr>
                <w:sz w:val="19"/>
              </w:rPr>
            </w:pPr>
            <w:r>
              <w:rPr>
                <w:w w:val="105"/>
                <w:sz w:val="19"/>
              </w:rPr>
              <w:t>28</w:t>
            </w:r>
          </w:p>
        </w:tc>
        <w:tc>
          <w:tcPr>
            <w:tcW w:w="984" w:type="dxa"/>
            <w:vMerge w:val="restart"/>
            <w:shd w:val="clear" w:color="auto" w:fill="E2EFD9"/>
          </w:tcPr>
          <w:p>
            <w:pPr>
              <w:pStyle w:val="TableParagraph"/>
              <w:spacing w:line="218" w:lineRule="exact"/>
              <w:ind w:left="100"/>
              <w:rPr>
                <w:sz w:val="19"/>
              </w:rPr>
            </w:pPr>
            <w:r>
              <w:rPr>
                <w:w w:val="105"/>
                <w:sz w:val="19"/>
              </w:rPr>
              <w:t>56</w:t>
            </w:r>
          </w:p>
        </w:tc>
        <w:tc>
          <w:tcPr>
            <w:tcW w:w="989" w:type="dxa"/>
            <w:vMerge w:val="restart"/>
            <w:shd w:val="clear" w:color="auto" w:fill="E2EFD9"/>
          </w:tcPr>
          <w:p>
            <w:pPr>
              <w:pStyle w:val="TableParagraph"/>
              <w:spacing w:line="218" w:lineRule="exact"/>
              <w:ind w:left="100"/>
              <w:rPr>
                <w:sz w:val="19"/>
              </w:rPr>
            </w:pPr>
            <w:r>
              <w:rPr>
                <w:w w:val="105"/>
                <w:sz w:val="19"/>
              </w:rPr>
              <w:t>72</w:t>
            </w:r>
          </w:p>
        </w:tc>
        <w:tc>
          <w:tcPr>
            <w:tcW w:w="965" w:type="dxa"/>
            <w:vMerge w:val="restart"/>
            <w:shd w:val="clear" w:color="auto" w:fill="E2EFD9"/>
          </w:tcPr>
          <w:p>
            <w:pPr>
              <w:pStyle w:val="TableParagraph"/>
              <w:spacing w:line="218" w:lineRule="exact"/>
              <w:ind w:left="105"/>
              <w:rPr>
                <w:sz w:val="19"/>
              </w:rPr>
            </w:pPr>
            <w:r>
              <w:rPr>
                <w:w w:val="103"/>
                <w:sz w:val="19"/>
              </w:rPr>
              <w:t>0</w:t>
            </w:r>
          </w:p>
        </w:tc>
      </w:tr>
      <w:tr>
        <w:trPr>
          <w:trHeight w:val="91" w:hRule="exact"/>
        </w:trPr>
        <w:tc>
          <w:tcPr>
            <w:tcW w:w="974" w:type="dxa"/>
            <w:vMerge/>
            <w:tcBorders>
              <w:left w:val="nil"/>
            </w:tcBorders>
            <w:shd w:val="clear" w:color="auto" w:fill="70AD47"/>
          </w:tcPr>
          <w:p>
            <w:pPr/>
          </w:p>
        </w:tc>
        <w:tc>
          <w:tcPr>
            <w:tcW w:w="2078" w:type="dxa"/>
            <w:gridSpan w:val="2"/>
            <w:vMerge w:val="restart"/>
            <w:tcBorders>
              <w:top w:val="nil"/>
            </w:tcBorders>
            <w:shd w:val="clear" w:color="auto" w:fill="E2EFD9"/>
          </w:tcPr>
          <w:p>
            <w:pPr/>
          </w:p>
        </w:tc>
        <w:tc>
          <w:tcPr>
            <w:tcW w:w="994" w:type="dxa"/>
            <w:tcBorders>
              <w:top w:val="single" w:sz="34" w:space="0" w:color="E2EFD9"/>
              <w:bottom w:val="single" w:sz="2" w:space="0" w:color="000000"/>
            </w:tcBorders>
            <w:shd w:val="clear" w:color="auto" w:fill="C5E0B3"/>
          </w:tcPr>
          <w:p>
            <w:pPr/>
          </w:p>
        </w:tc>
        <w:tc>
          <w:tcPr>
            <w:tcW w:w="979" w:type="dxa"/>
            <w:tcBorders>
              <w:top w:val="single" w:sz="34" w:space="0" w:color="E2EFD9"/>
              <w:bottom w:val="single" w:sz="2" w:space="0" w:color="000000"/>
            </w:tcBorders>
            <w:shd w:val="clear" w:color="auto" w:fill="C5E0B3"/>
          </w:tcPr>
          <w:p>
            <w:pPr/>
          </w:p>
        </w:tc>
        <w:tc>
          <w:tcPr>
            <w:tcW w:w="994" w:type="dxa"/>
            <w:vMerge/>
            <w:tcBorders>
              <w:bottom w:val="single" w:sz="2" w:space="0" w:color="000000"/>
            </w:tcBorders>
            <w:shd w:val="clear" w:color="auto" w:fill="E2EFD9"/>
          </w:tcPr>
          <w:p>
            <w:pPr/>
          </w:p>
        </w:tc>
        <w:tc>
          <w:tcPr>
            <w:tcW w:w="984" w:type="dxa"/>
            <w:vMerge/>
            <w:tcBorders>
              <w:bottom w:val="single" w:sz="2" w:space="0" w:color="000000"/>
            </w:tcBorders>
            <w:shd w:val="clear" w:color="auto" w:fill="E2EFD9"/>
          </w:tcPr>
          <w:p>
            <w:pPr/>
          </w:p>
        </w:tc>
        <w:tc>
          <w:tcPr>
            <w:tcW w:w="989" w:type="dxa"/>
            <w:vMerge/>
            <w:tcBorders>
              <w:bottom w:val="single" w:sz="2" w:space="0" w:color="000000"/>
            </w:tcBorders>
            <w:shd w:val="clear" w:color="auto" w:fill="E2EFD9"/>
          </w:tcPr>
          <w:p>
            <w:pPr/>
          </w:p>
        </w:tc>
        <w:tc>
          <w:tcPr>
            <w:tcW w:w="965" w:type="dxa"/>
            <w:vMerge/>
            <w:tcBorders>
              <w:bottom w:val="single" w:sz="2" w:space="0" w:color="000000"/>
            </w:tcBorders>
            <w:shd w:val="clear" w:color="auto" w:fill="E2EFD9"/>
          </w:tcPr>
          <w:p>
            <w:pPr/>
          </w:p>
        </w:tc>
      </w:tr>
      <w:tr>
        <w:trPr>
          <w:trHeight w:val="312" w:hRule="exact"/>
        </w:trPr>
        <w:tc>
          <w:tcPr>
            <w:tcW w:w="974" w:type="dxa"/>
            <w:vMerge/>
            <w:tcBorders>
              <w:left w:val="nil"/>
            </w:tcBorders>
            <w:shd w:val="clear" w:color="auto" w:fill="70AD47"/>
          </w:tcPr>
          <w:p>
            <w:pPr/>
          </w:p>
        </w:tc>
        <w:tc>
          <w:tcPr>
            <w:tcW w:w="2078" w:type="dxa"/>
            <w:gridSpan w:val="2"/>
            <w:vMerge/>
            <w:shd w:val="clear" w:color="auto" w:fill="E2EFD9"/>
          </w:tcPr>
          <w:p>
            <w:pPr/>
          </w:p>
        </w:tc>
        <w:tc>
          <w:tcPr>
            <w:tcW w:w="994" w:type="dxa"/>
            <w:tcBorders>
              <w:top w:val="single" w:sz="2" w:space="0" w:color="000000"/>
            </w:tcBorders>
            <w:shd w:val="clear" w:color="auto" w:fill="C5E0B3"/>
          </w:tcPr>
          <w:p>
            <w:pPr>
              <w:pStyle w:val="TableParagraph"/>
              <w:spacing w:line="215" w:lineRule="exact"/>
              <w:ind w:left="95"/>
              <w:rPr>
                <w:sz w:val="19"/>
              </w:rPr>
            </w:pPr>
            <w:r>
              <w:rPr>
                <w:w w:val="105"/>
                <w:sz w:val="19"/>
              </w:rPr>
              <w:t>% Total</w:t>
            </w:r>
          </w:p>
        </w:tc>
        <w:tc>
          <w:tcPr>
            <w:tcW w:w="979" w:type="dxa"/>
            <w:tcBorders>
              <w:top w:val="single" w:sz="2" w:space="0" w:color="000000"/>
            </w:tcBorders>
            <w:shd w:val="clear" w:color="auto" w:fill="C5E0B3"/>
          </w:tcPr>
          <w:p>
            <w:pPr>
              <w:pStyle w:val="TableParagraph"/>
              <w:spacing w:line="215" w:lineRule="exact"/>
              <w:ind w:left="100"/>
              <w:rPr>
                <w:sz w:val="19"/>
              </w:rPr>
            </w:pPr>
            <w:r>
              <w:rPr>
                <w:w w:val="105"/>
                <w:sz w:val="19"/>
              </w:rPr>
              <w:t>3.80%</w:t>
            </w:r>
          </w:p>
        </w:tc>
        <w:tc>
          <w:tcPr>
            <w:tcW w:w="994" w:type="dxa"/>
            <w:tcBorders>
              <w:top w:val="single" w:sz="2" w:space="0" w:color="000000"/>
            </w:tcBorders>
            <w:shd w:val="clear" w:color="auto" w:fill="C5E0B3"/>
          </w:tcPr>
          <w:p>
            <w:pPr>
              <w:pStyle w:val="TableParagraph"/>
              <w:spacing w:line="215" w:lineRule="exact"/>
              <w:ind w:left="105"/>
              <w:rPr>
                <w:sz w:val="19"/>
              </w:rPr>
            </w:pPr>
            <w:r>
              <w:rPr>
                <w:w w:val="105"/>
                <w:sz w:val="19"/>
              </w:rPr>
              <w:t>6.66%</w:t>
            </w:r>
          </w:p>
        </w:tc>
        <w:tc>
          <w:tcPr>
            <w:tcW w:w="984" w:type="dxa"/>
            <w:tcBorders>
              <w:top w:val="single" w:sz="2" w:space="0" w:color="000000"/>
            </w:tcBorders>
            <w:shd w:val="clear" w:color="auto" w:fill="C5E0B3"/>
          </w:tcPr>
          <w:p>
            <w:pPr>
              <w:pStyle w:val="TableParagraph"/>
              <w:spacing w:line="215" w:lineRule="exact"/>
              <w:ind w:left="100"/>
              <w:rPr>
                <w:sz w:val="19"/>
              </w:rPr>
            </w:pPr>
            <w:r>
              <w:rPr>
                <w:w w:val="105"/>
                <w:sz w:val="19"/>
              </w:rPr>
              <w:t>13.33%</w:t>
            </w:r>
          </w:p>
        </w:tc>
        <w:tc>
          <w:tcPr>
            <w:tcW w:w="989" w:type="dxa"/>
            <w:tcBorders>
              <w:top w:val="single" w:sz="2" w:space="0" w:color="000000"/>
            </w:tcBorders>
            <w:shd w:val="clear" w:color="auto" w:fill="C5E0B3"/>
          </w:tcPr>
          <w:p>
            <w:pPr>
              <w:pStyle w:val="TableParagraph"/>
              <w:spacing w:line="215" w:lineRule="exact"/>
              <w:ind w:left="100"/>
              <w:rPr>
                <w:sz w:val="19"/>
              </w:rPr>
            </w:pPr>
            <w:r>
              <w:rPr>
                <w:w w:val="105"/>
                <w:sz w:val="19"/>
              </w:rPr>
              <w:t>17.14%</w:t>
            </w:r>
          </w:p>
        </w:tc>
        <w:tc>
          <w:tcPr>
            <w:tcW w:w="965" w:type="dxa"/>
            <w:tcBorders>
              <w:top w:val="single" w:sz="34" w:space="0" w:color="E2EFD9"/>
            </w:tcBorders>
            <w:shd w:val="clear" w:color="auto" w:fill="C5E0B3"/>
          </w:tcPr>
          <w:p>
            <w:pPr>
              <w:pStyle w:val="TableParagraph"/>
              <w:spacing w:line="175" w:lineRule="exact"/>
              <w:ind w:left="105"/>
              <w:rPr>
                <w:sz w:val="19"/>
              </w:rPr>
            </w:pPr>
            <w:r>
              <w:rPr>
                <w:w w:val="103"/>
                <w:sz w:val="19"/>
              </w:rPr>
              <w:t>0</w:t>
            </w:r>
          </w:p>
        </w:tc>
      </w:tr>
      <w:tr>
        <w:trPr>
          <w:trHeight w:val="226" w:hRule="exact"/>
        </w:trPr>
        <w:tc>
          <w:tcPr>
            <w:tcW w:w="974" w:type="dxa"/>
            <w:vMerge w:val="restart"/>
            <w:tcBorders>
              <w:left w:val="nil"/>
            </w:tcBorders>
            <w:shd w:val="clear" w:color="auto" w:fill="70AD47"/>
          </w:tcPr>
          <w:p>
            <w:pPr>
              <w:pStyle w:val="TableParagraph"/>
              <w:spacing w:line="218" w:lineRule="exact"/>
              <w:ind w:left="95"/>
              <w:rPr>
                <w:b/>
                <w:sz w:val="19"/>
              </w:rPr>
            </w:pPr>
            <w:r>
              <w:rPr>
                <w:b/>
                <w:w w:val="105"/>
                <w:sz w:val="19"/>
              </w:rPr>
              <w:t>Adulto</w:t>
            </w:r>
          </w:p>
        </w:tc>
        <w:tc>
          <w:tcPr>
            <w:tcW w:w="989" w:type="dxa"/>
            <w:tcBorders>
              <w:bottom w:val="nil"/>
            </w:tcBorders>
            <w:shd w:val="clear" w:color="auto" w:fill="E2EFD9"/>
          </w:tcPr>
          <w:p>
            <w:pPr>
              <w:pStyle w:val="TableParagraph"/>
              <w:spacing w:line="218" w:lineRule="exact"/>
              <w:ind w:left="105"/>
              <w:rPr>
                <w:sz w:val="19"/>
              </w:rPr>
            </w:pPr>
            <w:r>
              <w:rPr>
                <w:w w:val="105"/>
                <w:sz w:val="19"/>
              </w:rPr>
              <w:t>SEXO</w:t>
            </w:r>
          </w:p>
        </w:tc>
        <w:tc>
          <w:tcPr>
            <w:tcW w:w="1090" w:type="dxa"/>
            <w:tcBorders>
              <w:bottom w:val="nil"/>
            </w:tcBorders>
            <w:shd w:val="clear" w:color="auto" w:fill="E2EFD9"/>
          </w:tcPr>
          <w:p>
            <w:pPr>
              <w:pStyle w:val="TableParagraph"/>
              <w:spacing w:line="218" w:lineRule="exact"/>
              <w:ind w:left="71" w:right="69"/>
              <w:jc w:val="center"/>
              <w:rPr>
                <w:sz w:val="19"/>
              </w:rPr>
            </w:pPr>
            <w:r>
              <w:rPr>
                <w:w w:val="105"/>
                <w:sz w:val="19"/>
              </w:rPr>
              <w:t>Masculino</w:t>
            </w:r>
          </w:p>
        </w:tc>
        <w:tc>
          <w:tcPr>
            <w:tcW w:w="994" w:type="dxa"/>
            <w:tcBorders>
              <w:bottom w:val="nil"/>
            </w:tcBorders>
            <w:shd w:val="clear" w:color="auto" w:fill="E2EFD9"/>
          </w:tcPr>
          <w:p>
            <w:pPr>
              <w:pStyle w:val="TableParagraph"/>
              <w:spacing w:line="218" w:lineRule="exact"/>
              <w:ind w:left="95"/>
              <w:rPr>
                <w:sz w:val="19"/>
              </w:rPr>
            </w:pPr>
            <w:r>
              <w:rPr>
                <w:w w:val="105"/>
                <w:sz w:val="19"/>
              </w:rPr>
              <w:t>Cantidad</w:t>
            </w:r>
          </w:p>
        </w:tc>
        <w:tc>
          <w:tcPr>
            <w:tcW w:w="979" w:type="dxa"/>
            <w:tcBorders>
              <w:bottom w:val="nil"/>
            </w:tcBorders>
            <w:shd w:val="clear" w:color="auto" w:fill="E2EFD9"/>
          </w:tcPr>
          <w:p>
            <w:pPr>
              <w:pStyle w:val="TableParagraph"/>
              <w:spacing w:line="218" w:lineRule="exact"/>
              <w:ind w:left="100"/>
              <w:rPr>
                <w:sz w:val="19"/>
              </w:rPr>
            </w:pPr>
            <w:r>
              <w:rPr>
                <w:w w:val="103"/>
                <w:sz w:val="19"/>
              </w:rPr>
              <w:t>0</w:t>
            </w:r>
          </w:p>
        </w:tc>
        <w:tc>
          <w:tcPr>
            <w:tcW w:w="994" w:type="dxa"/>
            <w:vMerge w:val="restart"/>
            <w:shd w:val="clear" w:color="auto" w:fill="E2EFD9"/>
          </w:tcPr>
          <w:p>
            <w:pPr>
              <w:pStyle w:val="TableParagraph"/>
              <w:spacing w:line="218" w:lineRule="exact"/>
              <w:ind w:left="105"/>
              <w:rPr>
                <w:sz w:val="19"/>
              </w:rPr>
            </w:pPr>
            <w:r>
              <w:rPr>
                <w:w w:val="105"/>
                <w:sz w:val="19"/>
              </w:rPr>
              <w:t>23</w:t>
            </w:r>
          </w:p>
        </w:tc>
        <w:tc>
          <w:tcPr>
            <w:tcW w:w="984" w:type="dxa"/>
            <w:vMerge w:val="restart"/>
            <w:shd w:val="clear" w:color="auto" w:fill="E2EFD9"/>
          </w:tcPr>
          <w:p>
            <w:pPr>
              <w:pStyle w:val="TableParagraph"/>
              <w:spacing w:line="218" w:lineRule="exact"/>
              <w:ind w:left="100"/>
              <w:rPr>
                <w:sz w:val="19"/>
              </w:rPr>
            </w:pPr>
            <w:r>
              <w:rPr>
                <w:w w:val="105"/>
                <w:sz w:val="19"/>
              </w:rPr>
              <w:t>12</w:t>
            </w:r>
          </w:p>
        </w:tc>
        <w:tc>
          <w:tcPr>
            <w:tcW w:w="989" w:type="dxa"/>
            <w:vMerge w:val="restart"/>
            <w:shd w:val="clear" w:color="auto" w:fill="E2EFD9"/>
          </w:tcPr>
          <w:p>
            <w:pPr>
              <w:pStyle w:val="TableParagraph"/>
              <w:spacing w:line="218" w:lineRule="exact"/>
              <w:ind w:left="100"/>
              <w:rPr>
                <w:sz w:val="19"/>
              </w:rPr>
            </w:pPr>
            <w:r>
              <w:rPr>
                <w:w w:val="105"/>
                <w:sz w:val="19"/>
              </w:rPr>
              <w:t>68</w:t>
            </w:r>
          </w:p>
        </w:tc>
        <w:tc>
          <w:tcPr>
            <w:tcW w:w="965" w:type="dxa"/>
            <w:vMerge w:val="restart"/>
            <w:shd w:val="clear" w:color="auto" w:fill="E2EFD9"/>
          </w:tcPr>
          <w:p>
            <w:pPr>
              <w:pStyle w:val="TableParagraph"/>
              <w:spacing w:line="218" w:lineRule="exact"/>
              <w:ind w:left="105"/>
              <w:rPr>
                <w:sz w:val="19"/>
              </w:rPr>
            </w:pPr>
            <w:r>
              <w:rPr>
                <w:w w:val="103"/>
                <w:sz w:val="19"/>
              </w:rPr>
              <w:t>0</w:t>
            </w:r>
          </w:p>
        </w:tc>
      </w:tr>
      <w:tr>
        <w:trPr>
          <w:trHeight w:val="105" w:hRule="exact"/>
        </w:trPr>
        <w:tc>
          <w:tcPr>
            <w:tcW w:w="974" w:type="dxa"/>
            <w:vMerge/>
            <w:tcBorders>
              <w:left w:val="nil"/>
            </w:tcBorders>
            <w:shd w:val="clear" w:color="auto" w:fill="70AD47"/>
          </w:tcPr>
          <w:p>
            <w:pPr/>
          </w:p>
        </w:tc>
        <w:tc>
          <w:tcPr>
            <w:tcW w:w="989" w:type="dxa"/>
            <w:vMerge w:val="restart"/>
            <w:tcBorders>
              <w:top w:val="nil"/>
            </w:tcBorders>
            <w:shd w:val="clear" w:color="auto" w:fill="E2EFD9"/>
          </w:tcPr>
          <w:p>
            <w:pPr/>
          </w:p>
        </w:tc>
        <w:tc>
          <w:tcPr>
            <w:tcW w:w="1090" w:type="dxa"/>
            <w:vMerge w:val="restart"/>
            <w:tcBorders>
              <w:top w:val="nil"/>
            </w:tcBorders>
            <w:shd w:val="clear" w:color="auto" w:fill="E2EFD9"/>
          </w:tcPr>
          <w:p>
            <w:pPr/>
          </w:p>
        </w:tc>
        <w:tc>
          <w:tcPr>
            <w:tcW w:w="994" w:type="dxa"/>
            <w:tcBorders>
              <w:top w:val="nil"/>
            </w:tcBorders>
            <w:shd w:val="clear" w:color="auto" w:fill="E2EFD9"/>
          </w:tcPr>
          <w:p>
            <w:pPr/>
          </w:p>
        </w:tc>
        <w:tc>
          <w:tcPr>
            <w:tcW w:w="979" w:type="dxa"/>
            <w:tcBorders>
              <w:top w:val="nil"/>
            </w:tcBorders>
            <w:shd w:val="clear" w:color="auto" w:fill="E2EFD9"/>
          </w:tcPr>
          <w:p>
            <w:pPr/>
          </w:p>
        </w:tc>
        <w:tc>
          <w:tcPr>
            <w:tcW w:w="994" w:type="dxa"/>
            <w:vMerge/>
            <w:shd w:val="clear" w:color="auto" w:fill="E2EFD9"/>
          </w:tcPr>
          <w:p>
            <w:pPr/>
          </w:p>
        </w:tc>
        <w:tc>
          <w:tcPr>
            <w:tcW w:w="984" w:type="dxa"/>
            <w:vMerge/>
            <w:shd w:val="clear" w:color="auto" w:fill="E2EFD9"/>
          </w:tcPr>
          <w:p>
            <w:pPr/>
          </w:p>
        </w:tc>
        <w:tc>
          <w:tcPr>
            <w:tcW w:w="989" w:type="dxa"/>
            <w:vMerge/>
            <w:shd w:val="clear" w:color="auto" w:fill="E2EFD9"/>
          </w:tcPr>
          <w:p>
            <w:pPr/>
          </w:p>
        </w:tc>
        <w:tc>
          <w:tcPr>
            <w:tcW w:w="965" w:type="dxa"/>
            <w:vMerge/>
            <w:shd w:val="clear" w:color="auto" w:fill="E2EFD9"/>
          </w:tcPr>
          <w:p>
            <w:pPr/>
          </w:p>
        </w:tc>
      </w:tr>
      <w:tr>
        <w:trPr>
          <w:trHeight w:val="313" w:hRule="exact"/>
        </w:trPr>
        <w:tc>
          <w:tcPr>
            <w:tcW w:w="974" w:type="dxa"/>
            <w:vMerge/>
            <w:tcBorders>
              <w:left w:val="nil"/>
            </w:tcBorders>
            <w:shd w:val="clear" w:color="auto" w:fill="70AD47"/>
          </w:tcPr>
          <w:p>
            <w:pPr/>
          </w:p>
        </w:tc>
        <w:tc>
          <w:tcPr>
            <w:tcW w:w="989" w:type="dxa"/>
            <w:vMerge/>
            <w:shd w:val="clear" w:color="auto" w:fill="E2EFD9"/>
          </w:tcPr>
          <w:p>
            <w:pPr/>
          </w:p>
        </w:tc>
        <w:tc>
          <w:tcPr>
            <w:tcW w:w="1090" w:type="dxa"/>
            <w:vMerge/>
            <w:shd w:val="clear" w:color="auto" w:fill="E2EFD9"/>
          </w:tcPr>
          <w:p>
            <w:pPr/>
          </w:p>
        </w:tc>
        <w:tc>
          <w:tcPr>
            <w:tcW w:w="994" w:type="dxa"/>
            <w:shd w:val="clear" w:color="auto" w:fill="C5E0B3"/>
          </w:tcPr>
          <w:p>
            <w:pPr>
              <w:pStyle w:val="TableParagraph"/>
              <w:spacing w:line="218" w:lineRule="exact"/>
              <w:ind w:left="95"/>
              <w:rPr>
                <w:sz w:val="19"/>
              </w:rPr>
            </w:pPr>
            <w:r>
              <w:rPr>
                <w:w w:val="105"/>
                <w:sz w:val="19"/>
              </w:rPr>
              <w:t>% Total</w:t>
            </w:r>
          </w:p>
        </w:tc>
        <w:tc>
          <w:tcPr>
            <w:tcW w:w="979" w:type="dxa"/>
            <w:shd w:val="clear" w:color="auto" w:fill="C5E0B3"/>
          </w:tcPr>
          <w:p>
            <w:pPr>
              <w:pStyle w:val="TableParagraph"/>
              <w:spacing w:line="218" w:lineRule="exact"/>
              <w:ind w:left="100"/>
              <w:rPr>
                <w:sz w:val="19"/>
              </w:rPr>
            </w:pPr>
            <w:r>
              <w:rPr>
                <w:w w:val="103"/>
                <w:sz w:val="19"/>
              </w:rPr>
              <w:t>0</w:t>
            </w:r>
          </w:p>
        </w:tc>
        <w:tc>
          <w:tcPr>
            <w:tcW w:w="994" w:type="dxa"/>
            <w:shd w:val="clear" w:color="auto" w:fill="C5E0B3"/>
          </w:tcPr>
          <w:p>
            <w:pPr>
              <w:pStyle w:val="TableParagraph"/>
              <w:spacing w:line="218" w:lineRule="exact"/>
              <w:ind w:left="105"/>
              <w:rPr>
                <w:sz w:val="19"/>
              </w:rPr>
            </w:pPr>
            <w:r>
              <w:rPr>
                <w:w w:val="105"/>
                <w:sz w:val="19"/>
              </w:rPr>
              <w:t>5.47%</w:t>
            </w:r>
          </w:p>
        </w:tc>
        <w:tc>
          <w:tcPr>
            <w:tcW w:w="984" w:type="dxa"/>
            <w:shd w:val="clear" w:color="auto" w:fill="C5E0B3"/>
          </w:tcPr>
          <w:p>
            <w:pPr>
              <w:pStyle w:val="TableParagraph"/>
              <w:spacing w:line="218" w:lineRule="exact"/>
              <w:ind w:left="100"/>
              <w:rPr>
                <w:sz w:val="19"/>
              </w:rPr>
            </w:pPr>
            <w:r>
              <w:rPr>
                <w:w w:val="105"/>
                <w:sz w:val="19"/>
              </w:rPr>
              <w:t>2.85%</w:t>
            </w:r>
          </w:p>
        </w:tc>
        <w:tc>
          <w:tcPr>
            <w:tcW w:w="989" w:type="dxa"/>
            <w:shd w:val="clear" w:color="auto" w:fill="C5E0B3"/>
          </w:tcPr>
          <w:p>
            <w:pPr>
              <w:pStyle w:val="TableParagraph"/>
              <w:spacing w:line="218" w:lineRule="exact"/>
              <w:ind w:left="100"/>
              <w:rPr>
                <w:b/>
                <w:sz w:val="19"/>
              </w:rPr>
            </w:pPr>
            <w:r>
              <w:rPr>
                <w:b/>
                <w:w w:val="105"/>
                <w:sz w:val="19"/>
              </w:rPr>
              <w:t>16.10%</w:t>
            </w:r>
          </w:p>
        </w:tc>
        <w:tc>
          <w:tcPr>
            <w:tcW w:w="965" w:type="dxa"/>
            <w:tcBorders>
              <w:top w:val="single" w:sz="44" w:space="0" w:color="E2EFD9"/>
            </w:tcBorders>
            <w:shd w:val="clear" w:color="auto" w:fill="C5E0B3"/>
          </w:tcPr>
          <w:p>
            <w:pPr>
              <w:pStyle w:val="TableParagraph"/>
              <w:spacing w:line="168" w:lineRule="exact"/>
              <w:ind w:left="105"/>
              <w:rPr>
                <w:sz w:val="19"/>
              </w:rPr>
            </w:pPr>
            <w:r>
              <w:rPr>
                <w:w w:val="103"/>
                <w:sz w:val="19"/>
              </w:rPr>
              <w:t>0</w:t>
            </w:r>
          </w:p>
        </w:tc>
      </w:tr>
      <w:tr>
        <w:trPr>
          <w:trHeight w:val="326" w:hRule="exact"/>
        </w:trPr>
        <w:tc>
          <w:tcPr>
            <w:tcW w:w="974" w:type="dxa"/>
            <w:vMerge/>
            <w:tcBorders>
              <w:left w:val="nil"/>
            </w:tcBorders>
            <w:shd w:val="clear" w:color="auto" w:fill="70AD47"/>
          </w:tcPr>
          <w:p>
            <w:pPr/>
          </w:p>
        </w:tc>
        <w:tc>
          <w:tcPr>
            <w:tcW w:w="989" w:type="dxa"/>
            <w:vMerge/>
            <w:shd w:val="clear" w:color="auto" w:fill="E2EFD9"/>
          </w:tcPr>
          <w:p>
            <w:pPr/>
          </w:p>
        </w:tc>
        <w:tc>
          <w:tcPr>
            <w:tcW w:w="1090" w:type="dxa"/>
            <w:vMerge w:val="restart"/>
            <w:shd w:val="clear" w:color="auto" w:fill="E2EFD9"/>
          </w:tcPr>
          <w:p>
            <w:pPr>
              <w:pStyle w:val="TableParagraph"/>
              <w:spacing w:before="3"/>
              <w:ind w:left="100"/>
              <w:rPr>
                <w:sz w:val="19"/>
              </w:rPr>
            </w:pPr>
            <w:r>
              <w:rPr>
                <w:w w:val="105"/>
                <w:sz w:val="19"/>
              </w:rPr>
              <w:t>Femenino</w:t>
            </w:r>
          </w:p>
        </w:tc>
        <w:tc>
          <w:tcPr>
            <w:tcW w:w="994" w:type="dxa"/>
            <w:shd w:val="clear" w:color="auto" w:fill="E2EFD9"/>
          </w:tcPr>
          <w:p>
            <w:pPr>
              <w:pStyle w:val="TableParagraph"/>
              <w:spacing w:before="3"/>
              <w:ind w:left="95"/>
              <w:rPr>
                <w:sz w:val="19"/>
              </w:rPr>
            </w:pPr>
            <w:r>
              <w:rPr>
                <w:w w:val="105"/>
                <w:sz w:val="19"/>
              </w:rPr>
              <w:t>Cantidad</w:t>
            </w:r>
          </w:p>
        </w:tc>
        <w:tc>
          <w:tcPr>
            <w:tcW w:w="979" w:type="dxa"/>
            <w:shd w:val="clear" w:color="auto" w:fill="E2EFD9"/>
          </w:tcPr>
          <w:p>
            <w:pPr>
              <w:pStyle w:val="TableParagraph"/>
              <w:spacing w:before="3"/>
              <w:ind w:left="100"/>
              <w:rPr>
                <w:sz w:val="19"/>
              </w:rPr>
            </w:pPr>
            <w:r>
              <w:rPr>
                <w:w w:val="103"/>
                <w:sz w:val="19"/>
              </w:rPr>
              <w:t>0</w:t>
            </w:r>
          </w:p>
        </w:tc>
        <w:tc>
          <w:tcPr>
            <w:tcW w:w="994" w:type="dxa"/>
            <w:shd w:val="clear" w:color="auto" w:fill="E2EFD9"/>
          </w:tcPr>
          <w:p>
            <w:pPr>
              <w:pStyle w:val="TableParagraph"/>
              <w:spacing w:before="3"/>
              <w:ind w:left="105"/>
              <w:rPr>
                <w:sz w:val="19"/>
              </w:rPr>
            </w:pPr>
            <w:r>
              <w:rPr>
                <w:w w:val="105"/>
                <w:sz w:val="19"/>
              </w:rPr>
              <w:t>29</w:t>
            </w:r>
          </w:p>
        </w:tc>
        <w:tc>
          <w:tcPr>
            <w:tcW w:w="984" w:type="dxa"/>
            <w:shd w:val="clear" w:color="auto" w:fill="E2EFD9"/>
          </w:tcPr>
          <w:p>
            <w:pPr>
              <w:pStyle w:val="TableParagraph"/>
              <w:spacing w:before="3"/>
              <w:ind w:left="100"/>
              <w:rPr>
                <w:sz w:val="19"/>
              </w:rPr>
            </w:pPr>
            <w:r>
              <w:rPr>
                <w:w w:val="105"/>
                <w:sz w:val="19"/>
              </w:rPr>
              <w:t>24</w:t>
            </w:r>
          </w:p>
        </w:tc>
        <w:tc>
          <w:tcPr>
            <w:tcW w:w="989" w:type="dxa"/>
            <w:shd w:val="clear" w:color="auto" w:fill="E2EFD9"/>
          </w:tcPr>
          <w:p>
            <w:pPr>
              <w:pStyle w:val="TableParagraph"/>
              <w:spacing w:before="3"/>
              <w:ind w:left="100"/>
              <w:rPr>
                <w:sz w:val="19"/>
              </w:rPr>
            </w:pPr>
            <w:r>
              <w:rPr>
                <w:w w:val="105"/>
                <w:sz w:val="19"/>
              </w:rPr>
              <w:t>60</w:t>
            </w:r>
          </w:p>
        </w:tc>
        <w:tc>
          <w:tcPr>
            <w:tcW w:w="965" w:type="dxa"/>
            <w:shd w:val="clear" w:color="auto" w:fill="E2EFD9"/>
          </w:tcPr>
          <w:p>
            <w:pPr>
              <w:pStyle w:val="TableParagraph"/>
              <w:spacing w:before="3"/>
              <w:ind w:left="105"/>
              <w:rPr>
                <w:sz w:val="19"/>
              </w:rPr>
            </w:pPr>
            <w:r>
              <w:rPr>
                <w:w w:val="103"/>
                <w:sz w:val="19"/>
              </w:rPr>
              <w:t>0</w:t>
            </w:r>
          </w:p>
        </w:tc>
      </w:tr>
      <w:tr>
        <w:trPr>
          <w:trHeight w:val="307" w:hRule="exact"/>
        </w:trPr>
        <w:tc>
          <w:tcPr>
            <w:tcW w:w="974" w:type="dxa"/>
            <w:vMerge/>
            <w:tcBorders>
              <w:left w:val="nil"/>
            </w:tcBorders>
            <w:shd w:val="clear" w:color="auto" w:fill="70AD47"/>
          </w:tcPr>
          <w:p>
            <w:pPr/>
          </w:p>
        </w:tc>
        <w:tc>
          <w:tcPr>
            <w:tcW w:w="989" w:type="dxa"/>
            <w:vMerge/>
            <w:shd w:val="clear" w:color="auto" w:fill="E2EFD9"/>
          </w:tcPr>
          <w:p>
            <w:pPr/>
          </w:p>
        </w:tc>
        <w:tc>
          <w:tcPr>
            <w:tcW w:w="1090" w:type="dxa"/>
            <w:vMerge/>
            <w:shd w:val="clear" w:color="auto" w:fill="E2EFD9"/>
          </w:tcPr>
          <w:p>
            <w:pPr/>
          </w:p>
        </w:tc>
        <w:tc>
          <w:tcPr>
            <w:tcW w:w="994" w:type="dxa"/>
            <w:shd w:val="clear" w:color="auto" w:fill="C5E0B3"/>
          </w:tcPr>
          <w:p>
            <w:pPr>
              <w:pStyle w:val="TableParagraph"/>
              <w:spacing w:line="213" w:lineRule="exact"/>
              <w:ind w:left="95"/>
              <w:rPr>
                <w:sz w:val="19"/>
              </w:rPr>
            </w:pPr>
            <w:r>
              <w:rPr>
                <w:w w:val="105"/>
                <w:sz w:val="19"/>
              </w:rPr>
              <w:t>% Total</w:t>
            </w:r>
          </w:p>
        </w:tc>
        <w:tc>
          <w:tcPr>
            <w:tcW w:w="979" w:type="dxa"/>
            <w:shd w:val="clear" w:color="auto" w:fill="C5E0B3"/>
          </w:tcPr>
          <w:p>
            <w:pPr>
              <w:pStyle w:val="TableParagraph"/>
              <w:spacing w:line="213" w:lineRule="exact"/>
              <w:ind w:left="100"/>
              <w:rPr>
                <w:sz w:val="19"/>
              </w:rPr>
            </w:pPr>
            <w:r>
              <w:rPr>
                <w:w w:val="103"/>
                <w:sz w:val="19"/>
              </w:rPr>
              <w:t>0</w:t>
            </w:r>
          </w:p>
        </w:tc>
        <w:tc>
          <w:tcPr>
            <w:tcW w:w="994" w:type="dxa"/>
            <w:shd w:val="clear" w:color="auto" w:fill="C5E0B3"/>
          </w:tcPr>
          <w:p>
            <w:pPr>
              <w:pStyle w:val="TableParagraph"/>
              <w:spacing w:line="213" w:lineRule="exact"/>
              <w:ind w:left="105"/>
              <w:rPr>
                <w:sz w:val="19"/>
              </w:rPr>
            </w:pPr>
            <w:r>
              <w:rPr>
                <w:w w:val="105"/>
                <w:sz w:val="19"/>
              </w:rPr>
              <w:t>6.90%</w:t>
            </w:r>
          </w:p>
        </w:tc>
        <w:tc>
          <w:tcPr>
            <w:tcW w:w="984" w:type="dxa"/>
            <w:shd w:val="clear" w:color="auto" w:fill="C5E0B3"/>
          </w:tcPr>
          <w:p>
            <w:pPr>
              <w:pStyle w:val="TableParagraph"/>
              <w:spacing w:line="213" w:lineRule="exact"/>
              <w:ind w:left="100"/>
              <w:rPr>
                <w:sz w:val="19"/>
              </w:rPr>
            </w:pPr>
            <w:r>
              <w:rPr>
                <w:w w:val="105"/>
                <w:sz w:val="19"/>
              </w:rPr>
              <w:t>5.71%</w:t>
            </w:r>
          </w:p>
        </w:tc>
        <w:tc>
          <w:tcPr>
            <w:tcW w:w="989" w:type="dxa"/>
            <w:shd w:val="clear" w:color="auto" w:fill="C5E0B3"/>
          </w:tcPr>
          <w:p>
            <w:pPr>
              <w:pStyle w:val="TableParagraph"/>
              <w:spacing w:line="213" w:lineRule="exact"/>
              <w:ind w:left="100"/>
              <w:rPr>
                <w:sz w:val="19"/>
              </w:rPr>
            </w:pPr>
            <w:r>
              <w:rPr>
                <w:w w:val="105"/>
                <w:sz w:val="19"/>
              </w:rPr>
              <w:t>14.28%</w:t>
            </w:r>
          </w:p>
        </w:tc>
        <w:tc>
          <w:tcPr>
            <w:tcW w:w="965" w:type="dxa"/>
            <w:tcBorders>
              <w:top w:val="single" w:sz="37" w:space="0" w:color="E2EFD9"/>
            </w:tcBorders>
            <w:shd w:val="clear" w:color="auto" w:fill="C5E0B3"/>
          </w:tcPr>
          <w:p>
            <w:pPr>
              <w:pStyle w:val="TableParagraph"/>
              <w:spacing w:line="172" w:lineRule="exact"/>
              <w:ind w:left="105"/>
              <w:rPr>
                <w:sz w:val="19"/>
              </w:rPr>
            </w:pPr>
            <w:r>
              <w:rPr>
                <w:w w:val="103"/>
                <w:sz w:val="19"/>
              </w:rPr>
              <w:t>0</w:t>
            </w:r>
          </w:p>
        </w:tc>
      </w:tr>
      <w:tr>
        <w:trPr>
          <w:trHeight w:val="231" w:hRule="exact"/>
        </w:trPr>
        <w:tc>
          <w:tcPr>
            <w:tcW w:w="974" w:type="dxa"/>
            <w:vMerge/>
            <w:tcBorders>
              <w:left w:val="nil"/>
            </w:tcBorders>
            <w:shd w:val="clear" w:color="auto" w:fill="70AD47"/>
          </w:tcPr>
          <w:p>
            <w:pPr/>
          </w:p>
        </w:tc>
        <w:tc>
          <w:tcPr>
            <w:tcW w:w="2078" w:type="dxa"/>
            <w:gridSpan w:val="2"/>
            <w:tcBorders>
              <w:bottom w:val="nil"/>
            </w:tcBorders>
            <w:shd w:val="clear" w:color="auto" w:fill="E2EFD9"/>
          </w:tcPr>
          <w:p>
            <w:pPr>
              <w:pStyle w:val="TableParagraph"/>
              <w:spacing w:line="218" w:lineRule="exact"/>
              <w:ind w:left="105"/>
              <w:rPr>
                <w:sz w:val="19"/>
              </w:rPr>
            </w:pPr>
            <w:r>
              <w:rPr>
                <w:w w:val="105"/>
                <w:sz w:val="19"/>
              </w:rPr>
              <w:t>TOTAL</w:t>
            </w:r>
          </w:p>
        </w:tc>
        <w:tc>
          <w:tcPr>
            <w:tcW w:w="994" w:type="dxa"/>
            <w:tcBorders>
              <w:bottom w:val="nil"/>
            </w:tcBorders>
            <w:shd w:val="clear" w:color="auto" w:fill="E2EFD9"/>
          </w:tcPr>
          <w:p>
            <w:pPr>
              <w:pStyle w:val="TableParagraph"/>
              <w:spacing w:line="218" w:lineRule="exact"/>
              <w:ind w:left="95"/>
              <w:rPr>
                <w:sz w:val="19"/>
              </w:rPr>
            </w:pPr>
            <w:r>
              <w:rPr>
                <w:w w:val="105"/>
                <w:sz w:val="19"/>
              </w:rPr>
              <w:t>Cantidad</w:t>
            </w:r>
          </w:p>
        </w:tc>
        <w:tc>
          <w:tcPr>
            <w:tcW w:w="979" w:type="dxa"/>
            <w:tcBorders>
              <w:bottom w:val="nil"/>
            </w:tcBorders>
            <w:shd w:val="clear" w:color="auto" w:fill="E2EFD9"/>
          </w:tcPr>
          <w:p>
            <w:pPr>
              <w:pStyle w:val="TableParagraph"/>
              <w:spacing w:line="218" w:lineRule="exact"/>
              <w:ind w:left="100"/>
              <w:rPr>
                <w:sz w:val="19"/>
              </w:rPr>
            </w:pPr>
            <w:r>
              <w:rPr>
                <w:w w:val="103"/>
                <w:sz w:val="19"/>
              </w:rPr>
              <w:t>0</w:t>
            </w:r>
          </w:p>
        </w:tc>
        <w:tc>
          <w:tcPr>
            <w:tcW w:w="994" w:type="dxa"/>
            <w:vMerge w:val="restart"/>
            <w:shd w:val="clear" w:color="auto" w:fill="E2EFD9"/>
          </w:tcPr>
          <w:p>
            <w:pPr>
              <w:pStyle w:val="TableParagraph"/>
              <w:spacing w:line="218" w:lineRule="exact"/>
              <w:ind w:left="105"/>
              <w:rPr>
                <w:sz w:val="19"/>
              </w:rPr>
            </w:pPr>
            <w:r>
              <w:rPr>
                <w:w w:val="105"/>
                <w:sz w:val="19"/>
              </w:rPr>
              <w:t>52</w:t>
            </w:r>
          </w:p>
        </w:tc>
        <w:tc>
          <w:tcPr>
            <w:tcW w:w="984" w:type="dxa"/>
            <w:vMerge w:val="restart"/>
            <w:shd w:val="clear" w:color="auto" w:fill="E2EFD9"/>
          </w:tcPr>
          <w:p>
            <w:pPr>
              <w:pStyle w:val="TableParagraph"/>
              <w:spacing w:line="218" w:lineRule="exact"/>
              <w:ind w:left="100"/>
              <w:rPr>
                <w:sz w:val="19"/>
              </w:rPr>
            </w:pPr>
            <w:r>
              <w:rPr>
                <w:w w:val="105"/>
                <w:sz w:val="19"/>
              </w:rPr>
              <w:t>36</w:t>
            </w:r>
          </w:p>
        </w:tc>
        <w:tc>
          <w:tcPr>
            <w:tcW w:w="989" w:type="dxa"/>
            <w:vMerge w:val="restart"/>
            <w:shd w:val="clear" w:color="auto" w:fill="E2EFD9"/>
          </w:tcPr>
          <w:p>
            <w:pPr>
              <w:pStyle w:val="TableParagraph"/>
              <w:spacing w:line="218" w:lineRule="exact"/>
              <w:ind w:left="100"/>
              <w:rPr>
                <w:sz w:val="19"/>
              </w:rPr>
            </w:pPr>
            <w:r>
              <w:rPr>
                <w:w w:val="105"/>
                <w:sz w:val="19"/>
              </w:rPr>
              <w:t>128</w:t>
            </w:r>
          </w:p>
        </w:tc>
        <w:tc>
          <w:tcPr>
            <w:tcW w:w="965" w:type="dxa"/>
            <w:vMerge w:val="restart"/>
            <w:shd w:val="clear" w:color="auto" w:fill="E2EFD9"/>
          </w:tcPr>
          <w:p>
            <w:pPr>
              <w:pStyle w:val="TableParagraph"/>
              <w:spacing w:line="218" w:lineRule="exact"/>
              <w:ind w:left="105"/>
              <w:rPr>
                <w:sz w:val="19"/>
              </w:rPr>
            </w:pPr>
            <w:r>
              <w:rPr>
                <w:w w:val="103"/>
                <w:sz w:val="19"/>
              </w:rPr>
              <w:t>0</w:t>
            </w:r>
          </w:p>
        </w:tc>
      </w:tr>
      <w:tr>
        <w:trPr>
          <w:trHeight w:val="96" w:hRule="exact"/>
        </w:trPr>
        <w:tc>
          <w:tcPr>
            <w:tcW w:w="974" w:type="dxa"/>
            <w:vMerge/>
            <w:tcBorders>
              <w:left w:val="nil"/>
            </w:tcBorders>
            <w:shd w:val="clear" w:color="auto" w:fill="70AD47"/>
          </w:tcPr>
          <w:p>
            <w:pPr/>
          </w:p>
        </w:tc>
        <w:tc>
          <w:tcPr>
            <w:tcW w:w="2078" w:type="dxa"/>
            <w:gridSpan w:val="2"/>
            <w:vMerge w:val="restart"/>
            <w:tcBorders>
              <w:top w:val="nil"/>
            </w:tcBorders>
            <w:shd w:val="clear" w:color="auto" w:fill="E2EFD9"/>
          </w:tcPr>
          <w:p>
            <w:pPr/>
          </w:p>
        </w:tc>
        <w:tc>
          <w:tcPr>
            <w:tcW w:w="994" w:type="dxa"/>
            <w:tcBorders>
              <w:top w:val="single" w:sz="34" w:space="0" w:color="E2EFD9"/>
            </w:tcBorders>
            <w:shd w:val="clear" w:color="auto" w:fill="C5E0B3"/>
          </w:tcPr>
          <w:p>
            <w:pPr/>
          </w:p>
        </w:tc>
        <w:tc>
          <w:tcPr>
            <w:tcW w:w="979" w:type="dxa"/>
            <w:tcBorders>
              <w:top w:val="single" w:sz="34" w:space="0" w:color="E2EFD9"/>
            </w:tcBorders>
            <w:shd w:val="clear" w:color="auto" w:fill="C5E0B3"/>
          </w:tcPr>
          <w:p>
            <w:pPr/>
          </w:p>
        </w:tc>
        <w:tc>
          <w:tcPr>
            <w:tcW w:w="994" w:type="dxa"/>
            <w:vMerge/>
            <w:shd w:val="clear" w:color="auto" w:fill="E2EFD9"/>
          </w:tcPr>
          <w:p>
            <w:pPr/>
          </w:p>
        </w:tc>
        <w:tc>
          <w:tcPr>
            <w:tcW w:w="984" w:type="dxa"/>
            <w:vMerge/>
            <w:shd w:val="clear" w:color="auto" w:fill="E2EFD9"/>
          </w:tcPr>
          <w:p>
            <w:pPr/>
          </w:p>
        </w:tc>
        <w:tc>
          <w:tcPr>
            <w:tcW w:w="989" w:type="dxa"/>
            <w:vMerge/>
            <w:shd w:val="clear" w:color="auto" w:fill="E2EFD9"/>
          </w:tcPr>
          <w:p>
            <w:pPr/>
          </w:p>
        </w:tc>
        <w:tc>
          <w:tcPr>
            <w:tcW w:w="965" w:type="dxa"/>
            <w:vMerge/>
            <w:shd w:val="clear" w:color="auto" w:fill="E2EFD9"/>
          </w:tcPr>
          <w:p>
            <w:pPr/>
          </w:p>
        </w:tc>
      </w:tr>
      <w:tr>
        <w:trPr>
          <w:trHeight w:val="312" w:hRule="exact"/>
        </w:trPr>
        <w:tc>
          <w:tcPr>
            <w:tcW w:w="974" w:type="dxa"/>
            <w:vMerge/>
            <w:tcBorders>
              <w:left w:val="nil"/>
            </w:tcBorders>
            <w:shd w:val="clear" w:color="auto" w:fill="70AD47"/>
          </w:tcPr>
          <w:p>
            <w:pPr/>
          </w:p>
        </w:tc>
        <w:tc>
          <w:tcPr>
            <w:tcW w:w="2078" w:type="dxa"/>
            <w:gridSpan w:val="2"/>
            <w:vMerge/>
            <w:shd w:val="clear" w:color="auto" w:fill="E2EFD9"/>
          </w:tcPr>
          <w:p>
            <w:pPr/>
          </w:p>
        </w:tc>
        <w:tc>
          <w:tcPr>
            <w:tcW w:w="994" w:type="dxa"/>
            <w:shd w:val="clear" w:color="auto" w:fill="C5E0B3"/>
          </w:tcPr>
          <w:p>
            <w:pPr>
              <w:pStyle w:val="TableParagraph"/>
              <w:spacing w:line="213" w:lineRule="exact"/>
              <w:ind w:left="95"/>
              <w:rPr>
                <w:sz w:val="19"/>
              </w:rPr>
            </w:pPr>
            <w:r>
              <w:rPr>
                <w:w w:val="105"/>
                <w:sz w:val="19"/>
              </w:rPr>
              <w:t>% Total</w:t>
            </w:r>
          </w:p>
        </w:tc>
        <w:tc>
          <w:tcPr>
            <w:tcW w:w="979" w:type="dxa"/>
            <w:shd w:val="clear" w:color="auto" w:fill="C5E0B3"/>
          </w:tcPr>
          <w:p>
            <w:pPr>
              <w:pStyle w:val="TableParagraph"/>
              <w:spacing w:line="213" w:lineRule="exact"/>
              <w:ind w:left="100"/>
              <w:rPr>
                <w:sz w:val="19"/>
              </w:rPr>
            </w:pPr>
            <w:r>
              <w:rPr>
                <w:w w:val="103"/>
                <w:sz w:val="19"/>
              </w:rPr>
              <w:t>0</w:t>
            </w:r>
          </w:p>
        </w:tc>
        <w:tc>
          <w:tcPr>
            <w:tcW w:w="994" w:type="dxa"/>
            <w:shd w:val="clear" w:color="auto" w:fill="C5E0B3"/>
          </w:tcPr>
          <w:p>
            <w:pPr>
              <w:pStyle w:val="TableParagraph"/>
              <w:spacing w:line="213" w:lineRule="exact"/>
              <w:ind w:left="105"/>
              <w:rPr>
                <w:sz w:val="19"/>
              </w:rPr>
            </w:pPr>
            <w:r>
              <w:rPr>
                <w:w w:val="105"/>
                <w:sz w:val="19"/>
              </w:rPr>
              <w:t>12.38%</w:t>
            </w:r>
          </w:p>
        </w:tc>
        <w:tc>
          <w:tcPr>
            <w:tcW w:w="984" w:type="dxa"/>
            <w:shd w:val="clear" w:color="auto" w:fill="C5E0B3"/>
          </w:tcPr>
          <w:p>
            <w:pPr>
              <w:pStyle w:val="TableParagraph"/>
              <w:spacing w:line="213" w:lineRule="exact"/>
              <w:ind w:left="100"/>
              <w:rPr>
                <w:sz w:val="19"/>
              </w:rPr>
            </w:pPr>
            <w:r>
              <w:rPr>
                <w:w w:val="105"/>
                <w:sz w:val="19"/>
              </w:rPr>
              <w:t>8.57%</w:t>
            </w:r>
          </w:p>
        </w:tc>
        <w:tc>
          <w:tcPr>
            <w:tcW w:w="989" w:type="dxa"/>
            <w:shd w:val="clear" w:color="auto" w:fill="C5E0B3"/>
          </w:tcPr>
          <w:p>
            <w:pPr>
              <w:pStyle w:val="TableParagraph"/>
              <w:spacing w:line="213" w:lineRule="exact"/>
              <w:ind w:left="100"/>
              <w:rPr>
                <w:sz w:val="19"/>
              </w:rPr>
            </w:pPr>
            <w:r>
              <w:rPr>
                <w:w w:val="105"/>
                <w:sz w:val="19"/>
              </w:rPr>
              <w:t>30.47%</w:t>
            </w:r>
          </w:p>
        </w:tc>
        <w:tc>
          <w:tcPr>
            <w:tcW w:w="965" w:type="dxa"/>
            <w:tcBorders>
              <w:top w:val="single" w:sz="34" w:space="0" w:color="E2EFD9"/>
            </w:tcBorders>
            <w:shd w:val="clear" w:color="auto" w:fill="C5E0B3"/>
          </w:tcPr>
          <w:p>
            <w:pPr>
              <w:pStyle w:val="TableParagraph"/>
              <w:spacing w:line="175" w:lineRule="exact"/>
              <w:ind w:left="105"/>
              <w:rPr>
                <w:sz w:val="19"/>
              </w:rPr>
            </w:pPr>
            <w:r>
              <w:rPr>
                <w:w w:val="103"/>
                <w:sz w:val="19"/>
              </w:rPr>
              <w:t>0</w:t>
            </w:r>
          </w:p>
        </w:tc>
      </w:tr>
      <w:tr>
        <w:trPr>
          <w:trHeight w:val="226" w:hRule="exact"/>
        </w:trPr>
        <w:tc>
          <w:tcPr>
            <w:tcW w:w="974" w:type="dxa"/>
            <w:vMerge w:val="restart"/>
            <w:tcBorders>
              <w:left w:val="nil"/>
            </w:tcBorders>
            <w:shd w:val="clear" w:color="auto" w:fill="70AD47"/>
          </w:tcPr>
          <w:p>
            <w:pPr>
              <w:pStyle w:val="TableParagraph"/>
              <w:spacing w:line="242" w:lineRule="auto"/>
              <w:ind w:left="95"/>
              <w:rPr>
                <w:b/>
                <w:sz w:val="19"/>
              </w:rPr>
            </w:pPr>
            <w:r>
              <w:rPr>
                <w:b/>
                <w:sz w:val="19"/>
              </w:rPr>
              <w:t>Adulto </w:t>
            </w:r>
            <w:r>
              <w:rPr>
                <w:b/>
                <w:w w:val="105"/>
                <w:sz w:val="19"/>
              </w:rPr>
              <w:t>Mayor</w:t>
            </w:r>
          </w:p>
        </w:tc>
        <w:tc>
          <w:tcPr>
            <w:tcW w:w="989" w:type="dxa"/>
            <w:tcBorders>
              <w:bottom w:val="nil"/>
            </w:tcBorders>
            <w:shd w:val="clear" w:color="auto" w:fill="E2EFD9"/>
          </w:tcPr>
          <w:p>
            <w:pPr>
              <w:pStyle w:val="TableParagraph"/>
              <w:spacing w:line="218" w:lineRule="exact"/>
              <w:ind w:left="105"/>
              <w:rPr>
                <w:sz w:val="19"/>
              </w:rPr>
            </w:pPr>
            <w:r>
              <w:rPr>
                <w:w w:val="105"/>
                <w:sz w:val="19"/>
              </w:rPr>
              <w:t>SEXO</w:t>
            </w:r>
          </w:p>
        </w:tc>
        <w:tc>
          <w:tcPr>
            <w:tcW w:w="1090" w:type="dxa"/>
            <w:tcBorders>
              <w:bottom w:val="nil"/>
            </w:tcBorders>
            <w:shd w:val="clear" w:color="auto" w:fill="E2EFD9"/>
          </w:tcPr>
          <w:p>
            <w:pPr>
              <w:pStyle w:val="TableParagraph"/>
              <w:spacing w:line="218" w:lineRule="exact"/>
              <w:ind w:left="71" w:right="69"/>
              <w:jc w:val="center"/>
              <w:rPr>
                <w:sz w:val="19"/>
              </w:rPr>
            </w:pPr>
            <w:r>
              <w:rPr>
                <w:w w:val="105"/>
                <w:sz w:val="19"/>
              </w:rPr>
              <w:t>Masculino</w:t>
            </w:r>
          </w:p>
        </w:tc>
        <w:tc>
          <w:tcPr>
            <w:tcW w:w="994" w:type="dxa"/>
            <w:tcBorders>
              <w:bottom w:val="nil"/>
            </w:tcBorders>
            <w:shd w:val="clear" w:color="auto" w:fill="E2EFD9"/>
          </w:tcPr>
          <w:p>
            <w:pPr>
              <w:pStyle w:val="TableParagraph"/>
              <w:spacing w:line="218" w:lineRule="exact"/>
              <w:ind w:left="95"/>
              <w:rPr>
                <w:sz w:val="19"/>
              </w:rPr>
            </w:pPr>
            <w:r>
              <w:rPr>
                <w:w w:val="105"/>
                <w:sz w:val="19"/>
              </w:rPr>
              <w:t>Cantidad</w:t>
            </w:r>
          </w:p>
        </w:tc>
        <w:tc>
          <w:tcPr>
            <w:tcW w:w="979" w:type="dxa"/>
            <w:tcBorders>
              <w:bottom w:val="nil"/>
            </w:tcBorders>
            <w:shd w:val="clear" w:color="auto" w:fill="E2EFD9"/>
          </w:tcPr>
          <w:p>
            <w:pPr>
              <w:pStyle w:val="TableParagraph"/>
              <w:spacing w:line="218" w:lineRule="exact"/>
              <w:ind w:left="100"/>
              <w:rPr>
                <w:sz w:val="19"/>
              </w:rPr>
            </w:pPr>
            <w:r>
              <w:rPr>
                <w:w w:val="103"/>
                <w:sz w:val="19"/>
              </w:rPr>
              <w:t>0</w:t>
            </w:r>
          </w:p>
        </w:tc>
        <w:tc>
          <w:tcPr>
            <w:tcW w:w="994" w:type="dxa"/>
            <w:vMerge w:val="restart"/>
            <w:shd w:val="clear" w:color="auto" w:fill="E2EFD9"/>
          </w:tcPr>
          <w:p>
            <w:pPr>
              <w:pStyle w:val="TableParagraph"/>
              <w:spacing w:line="218" w:lineRule="exact"/>
              <w:ind w:left="105"/>
              <w:rPr>
                <w:sz w:val="19"/>
              </w:rPr>
            </w:pPr>
            <w:r>
              <w:rPr>
                <w:w w:val="105"/>
                <w:sz w:val="19"/>
              </w:rPr>
              <w:t>11</w:t>
            </w:r>
          </w:p>
        </w:tc>
        <w:tc>
          <w:tcPr>
            <w:tcW w:w="984" w:type="dxa"/>
            <w:vMerge w:val="restart"/>
            <w:shd w:val="clear" w:color="auto" w:fill="E2EFD9"/>
          </w:tcPr>
          <w:p>
            <w:pPr>
              <w:pStyle w:val="TableParagraph"/>
              <w:spacing w:line="218" w:lineRule="exact"/>
              <w:ind w:left="100"/>
              <w:rPr>
                <w:sz w:val="19"/>
              </w:rPr>
            </w:pPr>
            <w:r>
              <w:rPr>
                <w:w w:val="103"/>
                <w:sz w:val="19"/>
              </w:rPr>
              <w:t>0</w:t>
            </w:r>
          </w:p>
        </w:tc>
        <w:tc>
          <w:tcPr>
            <w:tcW w:w="989" w:type="dxa"/>
            <w:vMerge w:val="restart"/>
            <w:shd w:val="clear" w:color="auto" w:fill="E2EFD9"/>
          </w:tcPr>
          <w:p>
            <w:pPr>
              <w:pStyle w:val="TableParagraph"/>
              <w:spacing w:line="218" w:lineRule="exact"/>
              <w:ind w:left="100"/>
              <w:rPr>
                <w:sz w:val="19"/>
              </w:rPr>
            </w:pPr>
            <w:r>
              <w:rPr>
                <w:w w:val="103"/>
                <w:sz w:val="19"/>
              </w:rPr>
              <w:t>8</w:t>
            </w:r>
          </w:p>
        </w:tc>
        <w:tc>
          <w:tcPr>
            <w:tcW w:w="965" w:type="dxa"/>
            <w:vMerge w:val="restart"/>
            <w:shd w:val="clear" w:color="auto" w:fill="E2EFD9"/>
          </w:tcPr>
          <w:p>
            <w:pPr>
              <w:pStyle w:val="TableParagraph"/>
              <w:spacing w:line="218" w:lineRule="exact"/>
              <w:ind w:left="105"/>
              <w:rPr>
                <w:sz w:val="19"/>
              </w:rPr>
            </w:pPr>
            <w:r>
              <w:rPr>
                <w:w w:val="103"/>
                <w:sz w:val="19"/>
              </w:rPr>
              <w:t>0</w:t>
            </w:r>
          </w:p>
        </w:tc>
      </w:tr>
      <w:tr>
        <w:trPr>
          <w:trHeight w:val="103" w:hRule="exact"/>
        </w:trPr>
        <w:tc>
          <w:tcPr>
            <w:tcW w:w="974" w:type="dxa"/>
            <w:vMerge/>
            <w:tcBorders>
              <w:left w:val="nil"/>
            </w:tcBorders>
            <w:shd w:val="clear" w:color="auto" w:fill="70AD47"/>
          </w:tcPr>
          <w:p>
            <w:pPr/>
          </w:p>
        </w:tc>
        <w:tc>
          <w:tcPr>
            <w:tcW w:w="989" w:type="dxa"/>
            <w:vMerge w:val="restart"/>
            <w:tcBorders>
              <w:top w:val="nil"/>
            </w:tcBorders>
            <w:shd w:val="clear" w:color="auto" w:fill="E2EFD9"/>
          </w:tcPr>
          <w:p>
            <w:pPr/>
          </w:p>
        </w:tc>
        <w:tc>
          <w:tcPr>
            <w:tcW w:w="1090" w:type="dxa"/>
            <w:vMerge w:val="restart"/>
            <w:tcBorders>
              <w:top w:val="nil"/>
            </w:tcBorders>
            <w:shd w:val="clear" w:color="auto" w:fill="E2EFD9"/>
          </w:tcPr>
          <w:p>
            <w:pPr/>
          </w:p>
        </w:tc>
        <w:tc>
          <w:tcPr>
            <w:tcW w:w="994" w:type="dxa"/>
            <w:tcBorders>
              <w:top w:val="nil"/>
            </w:tcBorders>
            <w:shd w:val="clear" w:color="auto" w:fill="E2EFD9"/>
          </w:tcPr>
          <w:p>
            <w:pPr/>
          </w:p>
        </w:tc>
        <w:tc>
          <w:tcPr>
            <w:tcW w:w="979" w:type="dxa"/>
            <w:tcBorders>
              <w:top w:val="nil"/>
            </w:tcBorders>
            <w:shd w:val="clear" w:color="auto" w:fill="E2EFD9"/>
          </w:tcPr>
          <w:p>
            <w:pPr/>
          </w:p>
        </w:tc>
        <w:tc>
          <w:tcPr>
            <w:tcW w:w="994" w:type="dxa"/>
            <w:vMerge/>
            <w:shd w:val="clear" w:color="auto" w:fill="E2EFD9"/>
          </w:tcPr>
          <w:p>
            <w:pPr/>
          </w:p>
        </w:tc>
        <w:tc>
          <w:tcPr>
            <w:tcW w:w="984" w:type="dxa"/>
            <w:vMerge/>
            <w:shd w:val="clear" w:color="auto" w:fill="E2EFD9"/>
          </w:tcPr>
          <w:p>
            <w:pPr/>
          </w:p>
        </w:tc>
        <w:tc>
          <w:tcPr>
            <w:tcW w:w="989" w:type="dxa"/>
            <w:vMerge/>
            <w:shd w:val="clear" w:color="auto" w:fill="E2EFD9"/>
          </w:tcPr>
          <w:p>
            <w:pPr/>
          </w:p>
        </w:tc>
        <w:tc>
          <w:tcPr>
            <w:tcW w:w="965" w:type="dxa"/>
            <w:vMerge/>
            <w:shd w:val="clear" w:color="auto" w:fill="E2EFD9"/>
          </w:tcPr>
          <w:p>
            <w:pPr/>
          </w:p>
        </w:tc>
      </w:tr>
      <w:tr>
        <w:trPr>
          <w:trHeight w:val="310" w:hRule="exact"/>
        </w:trPr>
        <w:tc>
          <w:tcPr>
            <w:tcW w:w="974" w:type="dxa"/>
            <w:vMerge/>
            <w:tcBorders>
              <w:left w:val="nil"/>
            </w:tcBorders>
            <w:shd w:val="clear" w:color="auto" w:fill="70AD47"/>
          </w:tcPr>
          <w:p>
            <w:pPr/>
          </w:p>
        </w:tc>
        <w:tc>
          <w:tcPr>
            <w:tcW w:w="989" w:type="dxa"/>
            <w:vMerge/>
            <w:shd w:val="clear" w:color="auto" w:fill="E2EFD9"/>
          </w:tcPr>
          <w:p>
            <w:pPr/>
          </w:p>
        </w:tc>
        <w:tc>
          <w:tcPr>
            <w:tcW w:w="1090" w:type="dxa"/>
            <w:vMerge/>
            <w:shd w:val="clear" w:color="auto" w:fill="E2EFD9"/>
          </w:tcPr>
          <w:p>
            <w:pPr/>
          </w:p>
        </w:tc>
        <w:tc>
          <w:tcPr>
            <w:tcW w:w="994" w:type="dxa"/>
            <w:shd w:val="clear" w:color="auto" w:fill="C5E0B3"/>
          </w:tcPr>
          <w:p>
            <w:pPr>
              <w:pStyle w:val="TableParagraph"/>
              <w:spacing w:before="1"/>
              <w:ind w:left="95"/>
              <w:rPr>
                <w:sz w:val="19"/>
              </w:rPr>
            </w:pPr>
            <w:r>
              <w:rPr>
                <w:w w:val="105"/>
                <w:sz w:val="19"/>
              </w:rPr>
              <w:t>% Total</w:t>
            </w:r>
          </w:p>
        </w:tc>
        <w:tc>
          <w:tcPr>
            <w:tcW w:w="979" w:type="dxa"/>
            <w:shd w:val="clear" w:color="auto" w:fill="C5E0B3"/>
          </w:tcPr>
          <w:p>
            <w:pPr>
              <w:pStyle w:val="TableParagraph"/>
              <w:spacing w:before="1"/>
              <w:ind w:left="100"/>
              <w:rPr>
                <w:sz w:val="19"/>
              </w:rPr>
            </w:pPr>
            <w:r>
              <w:rPr>
                <w:w w:val="103"/>
                <w:sz w:val="19"/>
              </w:rPr>
              <w:t>0</w:t>
            </w:r>
          </w:p>
        </w:tc>
        <w:tc>
          <w:tcPr>
            <w:tcW w:w="994" w:type="dxa"/>
            <w:shd w:val="clear" w:color="auto" w:fill="C5E0B3"/>
          </w:tcPr>
          <w:p>
            <w:pPr>
              <w:pStyle w:val="TableParagraph"/>
              <w:spacing w:before="1"/>
              <w:ind w:left="105"/>
              <w:rPr>
                <w:sz w:val="19"/>
              </w:rPr>
            </w:pPr>
            <w:r>
              <w:rPr>
                <w:w w:val="105"/>
                <w:sz w:val="19"/>
              </w:rPr>
              <w:t>2.61%</w:t>
            </w:r>
          </w:p>
        </w:tc>
        <w:tc>
          <w:tcPr>
            <w:tcW w:w="984" w:type="dxa"/>
            <w:shd w:val="clear" w:color="auto" w:fill="C5E0B3"/>
          </w:tcPr>
          <w:p>
            <w:pPr>
              <w:pStyle w:val="TableParagraph"/>
              <w:spacing w:before="1"/>
              <w:ind w:left="100"/>
              <w:rPr>
                <w:sz w:val="19"/>
              </w:rPr>
            </w:pPr>
            <w:r>
              <w:rPr>
                <w:w w:val="103"/>
                <w:sz w:val="19"/>
              </w:rPr>
              <w:t>0</w:t>
            </w:r>
          </w:p>
        </w:tc>
        <w:tc>
          <w:tcPr>
            <w:tcW w:w="989" w:type="dxa"/>
            <w:shd w:val="clear" w:color="auto" w:fill="C5E0B3"/>
          </w:tcPr>
          <w:p>
            <w:pPr>
              <w:pStyle w:val="TableParagraph"/>
              <w:spacing w:before="1"/>
              <w:ind w:left="100"/>
              <w:rPr>
                <w:sz w:val="19"/>
              </w:rPr>
            </w:pPr>
            <w:r>
              <w:rPr>
                <w:w w:val="105"/>
                <w:sz w:val="19"/>
              </w:rPr>
              <w:t>1.90%</w:t>
            </w:r>
          </w:p>
        </w:tc>
        <w:tc>
          <w:tcPr>
            <w:tcW w:w="965" w:type="dxa"/>
            <w:tcBorders>
              <w:top w:val="single" w:sz="38" w:space="0" w:color="E2EFD9"/>
            </w:tcBorders>
            <w:shd w:val="clear" w:color="auto" w:fill="C5E0B3"/>
          </w:tcPr>
          <w:p>
            <w:pPr>
              <w:pStyle w:val="TableParagraph"/>
              <w:spacing w:line="177" w:lineRule="exact"/>
              <w:ind w:left="105"/>
              <w:rPr>
                <w:sz w:val="19"/>
              </w:rPr>
            </w:pPr>
            <w:r>
              <w:rPr>
                <w:w w:val="103"/>
                <w:sz w:val="19"/>
              </w:rPr>
              <w:t>0</w:t>
            </w:r>
          </w:p>
        </w:tc>
      </w:tr>
      <w:tr>
        <w:trPr>
          <w:trHeight w:val="326" w:hRule="exact"/>
        </w:trPr>
        <w:tc>
          <w:tcPr>
            <w:tcW w:w="974" w:type="dxa"/>
            <w:vMerge/>
            <w:tcBorders>
              <w:left w:val="nil"/>
            </w:tcBorders>
            <w:shd w:val="clear" w:color="auto" w:fill="70AD47"/>
          </w:tcPr>
          <w:p>
            <w:pPr/>
          </w:p>
        </w:tc>
        <w:tc>
          <w:tcPr>
            <w:tcW w:w="989" w:type="dxa"/>
            <w:vMerge/>
            <w:shd w:val="clear" w:color="auto" w:fill="E2EFD9"/>
          </w:tcPr>
          <w:p>
            <w:pPr/>
          </w:p>
        </w:tc>
        <w:tc>
          <w:tcPr>
            <w:tcW w:w="1090" w:type="dxa"/>
            <w:tcBorders>
              <w:bottom w:val="nil"/>
            </w:tcBorders>
            <w:shd w:val="clear" w:color="auto" w:fill="E2EFD9"/>
          </w:tcPr>
          <w:p>
            <w:pPr>
              <w:pStyle w:val="TableParagraph"/>
              <w:spacing w:before="4"/>
              <w:ind w:left="60" w:right="69"/>
              <w:jc w:val="center"/>
              <w:rPr>
                <w:sz w:val="19"/>
              </w:rPr>
            </w:pPr>
            <w:r>
              <w:rPr>
                <w:w w:val="105"/>
                <w:sz w:val="19"/>
              </w:rPr>
              <w:t>Femenino</w:t>
            </w:r>
          </w:p>
        </w:tc>
        <w:tc>
          <w:tcPr>
            <w:tcW w:w="994" w:type="dxa"/>
            <w:shd w:val="clear" w:color="auto" w:fill="E2EFD9"/>
          </w:tcPr>
          <w:p>
            <w:pPr>
              <w:pStyle w:val="TableParagraph"/>
              <w:spacing w:before="4"/>
              <w:ind w:left="95"/>
              <w:rPr>
                <w:sz w:val="19"/>
              </w:rPr>
            </w:pPr>
            <w:r>
              <w:rPr>
                <w:w w:val="105"/>
                <w:sz w:val="19"/>
              </w:rPr>
              <w:t>Cantidad</w:t>
            </w:r>
          </w:p>
        </w:tc>
        <w:tc>
          <w:tcPr>
            <w:tcW w:w="979" w:type="dxa"/>
            <w:shd w:val="clear" w:color="auto" w:fill="E2EFD9"/>
          </w:tcPr>
          <w:p>
            <w:pPr>
              <w:pStyle w:val="TableParagraph"/>
              <w:spacing w:before="4"/>
              <w:ind w:left="100"/>
              <w:rPr>
                <w:sz w:val="19"/>
              </w:rPr>
            </w:pPr>
            <w:r>
              <w:rPr>
                <w:w w:val="103"/>
                <w:sz w:val="19"/>
              </w:rPr>
              <w:t>0</w:t>
            </w:r>
          </w:p>
        </w:tc>
        <w:tc>
          <w:tcPr>
            <w:tcW w:w="994" w:type="dxa"/>
            <w:shd w:val="clear" w:color="auto" w:fill="E2EFD9"/>
          </w:tcPr>
          <w:p>
            <w:pPr>
              <w:pStyle w:val="TableParagraph"/>
              <w:spacing w:before="4"/>
              <w:ind w:left="105"/>
              <w:rPr>
                <w:sz w:val="19"/>
              </w:rPr>
            </w:pPr>
            <w:r>
              <w:rPr>
                <w:w w:val="103"/>
                <w:sz w:val="19"/>
              </w:rPr>
              <w:t>5</w:t>
            </w:r>
          </w:p>
        </w:tc>
        <w:tc>
          <w:tcPr>
            <w:tcW w:w="984" w:type="dxa"/>
            <w:shd w:val="clear" w:color="auto" w:fill="E2EFD9"/>
          </w:tcPr>
          <w:p>
            <w:pPr>
              <w:pStyle w:val="TableParagraph"/>
              <w:spacing w:before="4"/>
              <w:ind w:left="100"/>
              <w:rPr>
                <w:sz w:val="19"/>
              </w:rPr>
            </w:pPr>
            <w:r>
              <w:rPr>
                <w:w w:val="103"/>
                <w:sz w:val="19"/>
              </w:rPr>
              <w:t>0</w:t>
            </w:r>
          </w:p>
        </w:tc>
        <w:tc>
          <w:tcPr>
            <w:tcW w:w="989" w:type="dxa"/>
            <w:shd w:val="clear" w:color="auto" w:fill="E2EFD9"/>
          </w:tcPr>
          <w:p>
            <w:pPr>
              <w:pStyle w:val="TableParagraph"/>
              <w:spacing w:before="4"/>
              <w:ind w:left="100"/>
              <w:rPr>
                <w:sz w:val="19"/>
              </w:rPr>
            </w:pPr>
            <w:r>
              <w:rPr>
                <w:w w:val="103"/>
                <w:sz w:val="19"/>
              </w:rPr>
              <w:t>8</w:t>
            </w:r>
          </w:p>
        </w:tc>
        <w:tc>
          <w:tcPr>
            <w:tcW w:w="965" w:type="dxa"/>
            <w:shd w:val="clear" w:color="auto" w:fill="E2EFD9"/>
          </w:tcPr>
          <w:p>
            <w:pPr>
              <w:pStyle w:val="TableParagraph"/>
              <w:spacing w:before="4"/>
              <w:ind w:left="105"/>
              <w:rPr>
                <w:sz w:val="19"/>
              </w:rPr>
            </w:pPr>
            <w:r>
              <w:rPr>
                <w:w w:val="103"/>
                <w:sz w:val="19"/>
              </w:rPr>
              <w:t>0</w:t>
            </w:r>
          </w:p>
        </w:tc>
      </w:tr>
      <w:tr>
        <w:trPr>
          <w:trHeight w:val="314" w:hRule="exact"/>
        </w:trPr>
        <w:tc>
          <w:tcPr>
            <w:tcW w:w="974" w:type="dxa"/>
            <w:vMerge/>
            <w:tcBorders>
              <w:left w:val="nil"/>
            </w:tcBorders>
            <w:shd w:val="clear" w:color="auto" w:fill="70AD47"/>
          </w:tcPr>
          <w:p>
            <w:pPr/>
          </w:p>
        </w:tc>
        <w:tc>
          <w:tcPr>
            <w:tcW w:w="989" w:type="dxa"/>
            <w:vMerge/>
            <w:tcBorders>
              <w:bottom w:val="single" w:sz="2" w:space="0" w:color="000000"/>
            </w:tcBorders>
            <w:shd w:val="clear" w:color="auto" w:fill="E2EFD9"/>
          </w:tcPr>
          <w:p>
            <w:pPr/>
          </w:p>
        </w:tc>
        <w:tc>
          <w:tcPr>
            <w:tcW w:w="1090" w:type="dxa"/>
            <w:tcBorders>
              <w:top w:val="nil"/>
              <w:bottom w:val="single" w:sz="2" w:space="0" w:color="000000"/>
            </w:tcBorders>
            <w:shd w:val="clear" w:color="auto" w:fill="E2EFD9"/>
          </w:tcPr>
          <w:p>
            <w:pPr/>
          </w:p>
        </w:tc>
        <w:tc>
          <w:tcPr>
            <w:tcW w:w="994" w:type="dxa"/>
            <w:tcBorders>
              <w:top w:val="single" w:sz="36" w:space="0" w:color="E2EFD9"/>
              <w:bottom w:val="single" w:sz="2" w:space="0" w:color="000000"/>
            </w:tcBorders>
            <w:shd w:val="clear" w:color="auto" w:fill="C5E0B3"/>
          </w:tcPr>
          <w:p>
            <w:pPr>
              <w:pStyle w:val="TableParagraph"/>
              <w:spacing w:line="173" w:lineRule="exact"/>
              <w:ind w:left="95"/>
              <w:rPr>
                <w:sz w:val="19"/>
              </w:rPr>
            </w:pPr>
            <w:r>
              <w:rPr>
                <w:w w:val="105"/>
                <w:sz w:val="19"/>
              </w:rPr>
              <w:t>% Total</w:t>
            </w:r>
          </w:p>
        </w:tc>
        <w:tc>
          <w:tcPr>
            <w:tcW w:w="979" w:type="dxa"/>
            <w:tcBorders>
              <w:top w:val="single" w:sz="36" w:space="0" w:color="E2EFD9"/>
              <w:bottom w:val="single" w:sz="2" w:space="0" w:color="000000"/>
            </w:tcBorders>
            <w:shd w:val="clear" w:color="auto" w:fill="C5E0B3"/>
          </w:tcPr>
          <w:p>
            <w:pPr>
              <w:pStyle w:val="TableParagraph"/>
              <w:spacing w:line="173" w:lineRule="exact"/>
              <w:ind w:left="100"/>
              <w:rPr>
                <w:sz w:val="19"/>
              </w:rPr>
            </w:pPr>
            <w:r>
              <w:rPr>
                <w:w w:val="103"/>
                <w:sz w:val="19"/>
              </w:rPr>
              <w:t>0</w:t>
            </w:r>
          </w:p>
        </w:tc>
        <w:tc>
          <w:tcPr>
            <w:tcW w:w="994" w:type="dxa"/>
            <w:tcBorders>
              <w:bottom w:val="single" w:sz="2" w:space="0" w:color="000000"/>
            </w:tcBorders>
            <w:shd w:val="clear" w:color="auto" w:fill="C5E0B3"/>
          </w:tcPr>
          <w:p>
            <w:pPr>
              <w:pStyle w:val="TableParagraph"/>
              <w:spacing w:line="213" w:lineRule="exact"/>
              <w:ind w:left="105"/>
              <w:rPr>
                <w:sz w:val="19"/>
              </w:rPr>
            </w:pPr>
            <w:r>
              <w:rPr>
                <w:w w:val="105"/>
                <w:sz w:val="19"/>
              </w:rPr>
              <w:t>1.19%</w:t>
            </w:r>
          </w:p>
        </w:tc>
        <w:tc>
          <w:tcPr>
            <w:tcW w:w="984" w:type="dxa"/>
            <w:tcBorders>
              <w:bottom w:val="single" w:sz="2" w:space="0" w:color="000000"/>
            </w:tcBorders>
            <w:shd w:val="clear" w:color="auto" w:fill="C5E0B3"/>
          </w:tcPr>
          <w:p>
            <w:pPr>
              <w:pStyle w:val="TableParagraph"/>
              <w:spacing w:line="213" w:lineRule="exact"/>
              <w:ind w:left="100"/>
              <w:rPr>
                <w:sz w:val="19"/>
              </w:rPr>
            </w:pPr>
            <w:r>
              <w:rPr>
                <w:w w:val="103"/>
                <w:sz w:val="19"/>
              </w:rPr>
              <w:t>0</w:t>
            </w:r>
          </w:p>
        </w:tc>
        <w:tc>
          <w:tcPr>
            <w:tcW w:w="989" w:type="dxa"/>
            <w:tcBorders>
              <w:bottom w:val="single" w:sz="2" w:space="0" w:color="000000"/>
            </w:tcBorders>
            <w:shd w:val="clear" w:color="auto" w:fill="C5E0B3"/>
          </w:tcPr>
          <w:p>
            <w:pPr>
              <w:pStyle w:val="TableParagraph"/>
              <w:spacing w:line="213" w:lineRule="exact"/>
              <w:ind w:left="100"/>
              <w:rPr>
                <w:sz w:val="19"/>
              </w:rPr>
            </w:pPr>
            <w:r>
              <w:rPr>
                <w:w w:val="105"/>
                <w:sz w:val="19"/>
              </w:rPr>
              <w:t>1.90%</w:t>
            </w:r>
          </w:p>
        </w:tc>
        <w:tc>
          <w:tcPr>
            <w:tcW w:w="965" w:type="dxa"/>
            <w:tcBorders>
              <w:top w:val="single" w:sz="36" w:space="0" w:color="E2EFD9"/>
              <w:bottom w:val="single" w:sz="2" w:space="0" w:color="000000"/>
            </w:tcBorders>
            <w:shd w:val="clear" w:color="auto" w:fill="C5E0B3"/>
          </w:tcPr>
          <w:p>
            <w:pPr>
              <w:pStyle w:val="TableParagraph"/>
              <w:spacing w:line="173" w:lineRule="exact"/>
              <w:ind w:left="105"/>
              <w:rPr>
                <w:sz w:val="19"/>
              </w:rPr>
            </w:pPr>
            <w:r>
              <w:rPr>
                <w:w w:val="103"/>
                <w:sz w:val="19"/>
              </w:rPr>
              <w:t>0</w:t>
            </w:r>
          </w:p>
        </w:tc>
      </w:tr>
      <w:tr>
        <w:trPr>
          <w:trHeight w:val="228" w:hRule="exact"/>
        </w:trPr>
        <w:tc>
          <w:tcPr>
            <w:tcW w:w="974" w:type="dxa"/>
            <w:vMerge/>
            <w:tcBorders>
              <w:left w:val="nil"/>
            </w:tcBorders>
            <w:shd w:val="clear" w:color="auto" w:fill="70AD47"/>
          </w:tcPr>
          <w:p>
            <w:pPr/>
          </w:p>
        </w:tc>
        <w:tc>
          <w:tcPr>
            <w:tcW w:w="2078" w:type="dxa"/>
            <w:gridSpan w:val="2"/>
            <w:tcBorders>
              <w:top w:val="single" w:sz="2" w:space="0" w:color="000000"/>
              <w:bottom w:val="nil"/>
            </w:tcBorders>
            <w:shd w:val="clear" w:color="auto" w:fill="E2EFD9"/>
          </w:tcPr>
          <w:p>
            <w:pPr>
              <w:pStyle w:val="TableParagraph"/>
              <w:spacing w:line="218" w:lineRule="exact"/>
              <w:ind w:left="105"/>
              <w:rPr>
                <w:sz w:val="19"/>
              </w:rPr>
            </w:pPr>
            <w:r>
              <w:rPr>
                <w:w w:val="105"/>
                <w:sz w:val="19"/>
              </w:rPr>
              <w:t>TOTAL</w:t>
            </w:r>
          </w:p>
        </w:tc>
        <w:tc>
          <w:tcPr>
            <w:tcW w:w="994" w:type="dxa"/>
            <w:tcBorders>
              <w:top w:val="single" w:sz="2" w:space="0" w:color="000000"/>
              <w:bottom w:val="nil"/>
            </w:tcBorders>
            <w:shd w:val="clear" w:color="auto" w:fill="E2EFD9"/>
          </w:tcPr>
          <w:p>
            <w:pPr>
              <w:pStyle w:val="TableParagraph"/>
              <w:spacing w:line="218" w:lineRule="exact"/>
              <w:ind w:left="95"/>
              <w:rPr>
                <w:sz w:val="19"/>
              </w:rPr>
            </w:pPr>
            <w:r>
              <w:rPr>
                <w:w w:val="105"/>
                <w:sz w:val="19"/>
              </w:rPr>
              <w:t>Cantidad</w:t>
            </w:r>
          </w:p>
        </w:tc>
        <w:tc>
          <w:tcPr>
            <w:tcW w:w="979" w:type="dxa"/>
            <w:tcBorders>
              <w:top w:val="single" w:sz="2" w:space="0" w:color="000000"/>
              <w:bottom w:val="nil"/>
            </w:tcBorders>
            <w:shd w:val="clear" w:color="auto" w:fill="E2EFD9"/>
          </w:tcPr>
          <w:p>
            <w:pPr>
              <w:pStyle w:val="TableParagraph"/>
              <w:spacing w:line="218" w:lineRule="exact"/>
              <w:ind w:left="100"/>
              <w:rPr>
                <w:sz w:val="19"/>
              </w:rPr>
            </w:pPr>
            <w:r>
              <w:rPr>
                <w:w w:val="103"/>
                <w:sz w:val="19"/>
              </w:rPr>
              <w:t>0</w:t>
            </w:r>
          </w:p>
        </w:tc>
        <w:tc>
          <w:tcPr>
            <w:tcW w:w="994" w:type="dxa"/>
            <w:vMerge w:val="restart"/>
            <w:tcBorders>
              <w:top w:val="single" w:sz="2" w:space="0" w:color="000000"/>
            </w:tcBorders>
            <w:shd w:val="clear" w:color="auto" w:fill="E2EFD9"/>
          </w:tcPr>
          <w:p>
            <w:pPr>
              <w:pStyle w:val="TableParagraph"/>
              <w:spacing w:line="218" w:lineRule="exact"/>
              <w:ind w:left="105"/>
              <w:rPr>
                <w:sz w:val="19"/>
              </w:rPr>
            </w:pPr>
            <w:r>
              <w:rPr>
                <w:w w:val="105"/>
                <w:sz w:val="19"/>
              </w:rPr>
              <w:t>16</w:t>
            </w:r>
          </w:p>
        </w:tc>
        <w:tc>
          <w:tcPr>
            <w:tcW w:w="984" w:type="dxa"/>
            <w:vMerge w:val="restart"/>
            <w:tcBorders>
              <w:top w:val="single" w:sz="2" w:space="0" w:color="000000"/>
            </w:tcBorders>
            <w:shd w:val="clear" w:color="auto" w:fill="E2EFD9"/>
          </w:tcPr>
          <w:p>
            <w:pPr>
              <w:pStyle w:val="TableParagraph"/>
              <w:spacing w:line="218" w:lineRule="exact"/>
              <w:ind w:left="100"/>
              <w:rPr>
                <w:sz w:val="19"/>
              </w:rPr>
            </w:pPr>
            <w:r>
              <w:rPr>
                <w:w w:val="103"/>
                <w:sz w:val="19"/>
              </w:rPr>
              <w:t>0</w:t>
            </w:r>
          </w:p>
        </w:tc>
        <w:tc>
          <w:tcPr>
            <w:tcW w:w="989" w:type="dxa"/>
            <w:vMerge w:val="restart"/>
            <w:tcBorders>
              <w:top w:val="single" w:sz="2" w:space="0" w:color="000000"/>
            </w:tcBorders>
            <w:shd w:val="clear" w:color="auto" w:fill="E2EFD9"/>
          </w:tcPr>
          <w:p>
            <w:pPr>
              <w:pStyle w:val="TableParagraph"/>
              <w:spacing w:line="218" w:lineRule="exact"/>
              <w:ind w:left="100"/>
              <w:rPr>
                <w:sz w:val="19"/>
              </w:rPr>
            </w:pPr>
            <w:r>
              <w:rPr>
                <w:w w:val="105"/>
                <w:sz w:val="19"/>
              </w:rPr>
              <w:t>16</w:t>
            </w:r>
          </w:p>
        </w:tc>
        <w:tc>
          <w:tcPr>
            <w:tcW w:w="965" w:type="dxa"/>
            <w:vMerge w:val="restart"/>
            <w:tcBorders>
              <w:top w:val="single" w:sz="2" w:space="0" w:color="000000"/>
            </w:tcBorders>
            <w:shd w:val="clear" w:color="auto" w:fill="E2EFD9"/>
          </w:tcPr>
          <w:p>
            <w:pPr>
              <w:pStyle w:val="TableParagraph"/>
              <w:spacing w:line="218" w:lineRule="exact"/>
              <w:ind w:left="105"/>
              <w:rPr>
                <w:sz w:val="19"/>
              </w:rPr>
            </w:pPr>
            <w:r>
              <w:rPr>
                <w:w w:val="103"/>
                <w:sz w:val="19"/>
              </w:rPr>
              <w:t>0</w:t>
            </w:r>
          </w:p>
        </w:tc>
      </w:tr>
      <w:tr>
        <w:trPr>
          <w:trHeight w:val="91" w:hRule="exact"/>
        </w:trPr>
        <w:tc>
          <w:tcPr>
            <w:tcW w:w="974" w:type="dxa"/>
            <w:vMerge/>
            <w:tcBorders>
              <w:left w:val="nil"/>
            </w:tcBorders>
            <w:shd w:val="clear" w:color="auto" w:fill="70AD47"/>
          </w:tcPr>
          <w:p>
            <w:pPr/>
          </w:p>
        </w:tc>
        <w:tc>
          <w:tcPr>
            <w:tcW w:w="2078" w:type="dxa"/>
            <w:gridSpan w:val="2"/>
            <w:vMerge w:val="restart"/>
            <w:tcBorders>
              <w:top w:val="nil"/>
            </w:tcBorders>
            <w:shd w:val="clear" w:color="auto" w:fill="E2EFD9"/>
          </w:tcPr>
          <w:p>
            <w:pPr/>
          </w:p>
        </w:tc>
        <w:tc>
          <w:tcPr>
            <w:tcW w:w="994" w:type="dxa"/>
            <w:tcBorders>
              <w:top w:val="single" w:sz="33" w:space="0" w:color="E2EFD9"/>
            </w:tcBorders>
            <w:shd w:val="clear" w:color="auto" w:fill="C5E0B3"/>
          </w:tcPr>
          <w:p>
            <w:pPr/>
          </w:p>
        </w:tc>
        <w:tc>
          <w:tcPr>
            <w:tcW w:w="979" w:type="dxa"/>
            <w:tcBorders>
              <w:top w:val="single" w:sz="33" w:space="0" w:color="E2EFD9"/>
            </w:tcBorders>
            <w:shd w:val="clear" w:color="auto" w:fill="C5E0B3"/>
          </w:tcPr>
          <w:p>
            <w:pPr/>
          </w:p>
        </w:tc>
        <w:tc>
          <w:tcPr>
            <w:tcW w:w="994" w:type="dxa"/>
            <w:vMerge/>
            <w:shd w:val="clear" w:color="auto" w:fill="E2EFD9"/>
          </w:tcPr>
          <w:p>
            <w:pPr/>
          </w:p>
        </w:tc>
        <w:tc>
          <w:tcPr>
            <w:tcW w:w="984" w:type="dxa"/>
            <w:vMerge/>
            <w:shd w:val="clear" w:color="auto" w:fill="E2EFD9"/>
          </w:tcPr>
          <w:p>
            <w:pPr/>
          </w:p>
        </w:tc>
        <w:tc>
          <w:tcPr>
            <w:tcW w:w="989" w:type="dxa"/>
            <w:vMerge/>
            <w:shd w:val="clear" w:color="auto" w:fill="E2EFD9"/>
          </w:tcPr>
          <w:p>
            <w:pPr/>
          </w:p>
        </w:tc>
        <w:tc>
          <w:tcPr>
            <w:tcW w:w="965" w:type="dxa"/>
            <w:vMerge/>
            <w:shd w:val="clear" w:color="auto" w:fill="E2EFD9"/>
          </w:tcPr>
          <w:p>
            <w:pPr/>
          </w:p>
        </w:tc>
      </w:tr>
      <w:tr>
        <w:trPr>
          <w:trHeight w:val="312" w:hRule="exact"/>
        </w:trPr>
        <w:tc>
          <w:tcPr>
            <w:tcW w:w="974" w:type="dxa"/>
            <w:vMerge/>
            <w:tcBorders>
              <w:left w:val="nil"/>
              <w:bottom w:val="nil"/>
            </w:tcBorders>
            <w:shd w:val="clear" w:color="auto" w:fill="70AD47"/>
          </w:tcPr>
          <w:p>
            <w:pPr/>
          </w:p>
        </w:tc>
        <w:tc>
          <w:tcPr>
            <w:tcW w:w="2078" w:type="dxa"/>
            <w:gridSpan w:val="2"/>
            <w:vMerge/>
            <w:shd w:val="clear" w:color="auto" w:fill="E2EFD9"/>
          </w:tcPr>
          <w:p>
            <w:pPr/>
          </w:p>
        </w:tc>
        <w:tc>
          <w:tcPr>
            <w:tcW w:w="994" w:type="dxa"/>
            <w:shd w:val="clear" w:color="auto" w:fill="C5E0B3"/>
          </w:tcPr>
          <w:p>
            <w:pPr>
              <w:pStyle w:val="TableParagraph"/>
              <w:spacing w:line="213" w:lineRule="exact"/>
              <w:ind w:left="95"/>
              <w:rPr>
                <w:sz w:val="19"/>
              </w:rPr>
            </w:pPr>
            <w:r>
              <w:rPr>
                <w:w w:val="105"/>
                <w:sz w:val="19"/>
              </w:rPr>
              <w:t>% Total</w:t>
            </w:r>
          </w:p>
        </w:tc>
        <w:tc>
          <w:tcPr>
            <w:tcW w:w="979" w:type="dxa"/>
            <w:shd w:val="clear" w:color="auto" w:fill="C5E0B3"/>
          </w:tcPr>
          <w:p>
            <w:pPr>
              <w:pStyle w:val="TableParagraph"/>
              <w:spacing w:line="213" w:lineRule="exact"/>
              <w:ind w:left="100"/>
              <w:rPr>
                <w:sz w:val="19"/>
              </w:rPr>
            </w:pPr>
            <w:r>
              <w:rPr>
                <w:w w:val="103"/>
                <w:sz w:val="19"/>
              </w:rPr>
              <w:t>0</w:t>
            </w:r>
          </w:p>
        </w:tc>
        <w:tc>
          <w:tcPr>
            <w:tcW w:w="994" w:type="dxa"/>
            <w:shd w:val="clear" w:color="auto" w:fill="C5E0B3"/>
          </w:tcPr>
          <w:p>
            <w:pPr>
              <w:pStyle w:val="TableParagraph"/>
              <w:spacing w:line="213" w:lineRule="exact"/>
              <w:ind w:left="105"/>
              <w:rPr>
                <w:sz w:val="19"/>
              </w:rPr>
            </w:pPr>
            <w:r>
              <w:rPr>
                <w:w w:val="105"/>
                <w:sz w:val="19"/>
              </w:rPr>
              <w:t>3.80%</w:t>
            </w:r>
          </w:p>
        </w:tc>
        <w:tc>
          <w:tcPr>
            <w:tcW w:w="984" w:type="dxa"/>
            <w:shd w:val="clear" w:color="auto" w:fill="C5E0B3"/>
          </w:tcPr>
          <w:p>
            <w:pPr>
              <w:pStyle w:val="TableParagraph"/>
              <w:spacing w:line="213" w:lineRule="exact"/>
              <w:ind w:left="100"/>
              <w:rPr>
                <w:sz w:val="19"/>
              </w:rPr>
            </w:pPr>
            <w:r>
              <w:rPr>
                <w:w w:val="103"/>
                <w:sz w:val="19"/>
              </w:rPr>
              <w:t>0</w:t>
            </w:r>
          </w:p>
        </w:tc>
        <w:tc>
          <w:tcPr>
            <w:tcW w:w="989" w:type="dxa"/>
            <w:shd w:val="clear" w:color="auto" w:fill="C5E0B3"/>
          </w:tcPr>
          <w:p>
            <w:pPr>
              <w:pStyle w:val="TableParagraph"/>
              <w:spacing w:line="213" w:lineRule="exact"/>
              <w:ind w:left="100"/>
              <w:rPr>
                <w:sz w:val="19"/>
              </w:rPr>
            </w:pPr>
            <w:r>
              <w:rPr>
                <w:w w:val="105"/>
                <w:sz w:val="19"/>
              </w:rPr>
              <w:t>3.80%</w:t>
            </w:r>
          </w:p>
        </w:tc>
        <w:tc>
          <w:tcPr>
            <w:tcW w:w="965" w:type="dxa"/>
            <w:tcBorders>
              <w:top w:val="single" w:sz="37" w:space="0" w:color="E2EFD9"/>
            </w:tcBorders>
            <w:shd w:val="clear" w:color="auto" w:fill="C5E0B3"/>
          </w:tcPr>
          <w:p>
            <w:pPr>
              <w:pStyle w:val="TableParagraph"/>
              <w:spacing w:line="172" w:lineRule="exact"/>
              <w:ind w:left="105"/>
              <w:rPr>
                <w:sz w:val="19"/>
              </w:rPr>
            </w:pPr>
            <w:r>
              <w:rPr>
                <w:w w:val="103"/>
                <w:sz w:val="19"/>
              </w:rPr>
              <w:t>0</w:t>
            </w:r>
          </w:p>
        </w:tc>
      </w:tr>
    </w:tbl>
    <w:p>
      <w:pPr>
        <w:pStyle w:val="BodyText"/>
        <w:spacing w:before="6"/>
        <w:rPr>
          <w:b/>
          <w:sz w:val="16"/>
        </w:rPr>
      </w:pPr>
    </w:p>
    <w:p>
      <w:pPr>
        <w:pStyle w:val="BodyText"/>
        <w:spacing w:line="364" w:lineRule="auto" w:before="74"/>
        <w:ind w:left="216" w:right="900"/>
        <w:jc w:val="both"/>
      </w:pPr>
      <w:r>
        <w:rPr/>
        <w:t>La tabla No. 15 muestra que el 51.41% de los visitantes si tienen una actitud ambiental   y </w:t>
      </w:r>
      <w:r>
        <w:rPr>
          <w:spacing w:val="4"/>
        </w:rPr>
        <w:t>el </w:t>
      </w:r>
      <w:r>
        <w:rPr/>
        <w:t>48.59% no, lo que indica que no hay </w:t>
      </w:r>
      <w:r>
        <w:rPr>
          <w:spacing w:val="2"/>
        </w:rPr>
        <w:t>una </w:t>
      </w:r>
      <w:r>
        <w:rPr/>
        <w:t>diferencia significativa en cuanto a los resultados </w:t>
      </w:r>
      <w:r>
        <w:rPr>
          <w:spacing w:val="-3"/>
        </w:rPr>
        <w:t>de </w:t>
      </w:r>
      <w:r>
        <w:rPr/>
        <w:t>esta variable, pero si indica que son los hombres adultos los que </w:t>
      </w:r>
      <w:r>
        <w:rPr>
          <w:spacing w:val="-3"/>
        </w:rPr>
        <w:t>más </w:t>
      </w:r>
      <w:r>
        <w:rPr/>
        <w:t>actitud ambiental</w:t>
      </w:r>
      <w:r>
        <w:rPr>
          <w:spacing w:val="33"/>
        </w:rPr>
        <w:t> </w:t>
      </w:r>
      <w:r>
        <w:rPr/>
        <w:t>manifiestan.</w:t>
      </w:r>
    </w:p>
    <w:p>
      <w:pPr>
        <w:spacing w:after="0" w:line="364" w:lineRule="auto"/>
        <w:jc w:val="both"/>
        <w:sectPr>
          <w:pgSz w:w="11910" w:h="16840"/>
          <w:pgMar w:header="1066" w:footer="1715" w:top="1460" w:bottom="1900" w:left="1440" w:right="200"/>
        </w:sectPr>
      </w:pPr>
    </w:p>
    <w:p>
      <w:pPr>
        <w:pStyle w:val="BodyText"/>
        <w:ind w:left="160"/>
        <w:rPr>
          <w:sz w:val="20"/>
        </w:rPr>
      </w:pPr>
      <w:r>
        <w:rPr/>
        <w:pict>
          <v:shape style="position:absolute;margin-left:80.160004pt;margin-top:657.60022pt;width:457.45pt;height:108.25pt;mso-position-horizontal-relative:page;mso-position-vertical-relative:page;z-index:-243160"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0"/>
                    </w:rPr>
                  </w:pPr>
                </w:p>
                <w:p>
                  <w:pPr>
                    <w:pStyle w:val="BodyText"/>
                    <w:ind w:right="55"/>
                    <w:jc w:val="right"/>
                    <w:rPr>
                      <w:rFonts w:ascii="Times New Roman"/>
                    </w:rPr>
                  </w:pPr>
                  <w:r>
                    <w:rPr>
                      <w:rFonts w:ascii="Times New Roman"/>
                      <w:w w:val="101"/>
                    </w:rPr>
                    <w:t>9</w:t>
                  </w:r>
                </w:p>
              </w:txbxContent>
            </v:textbox>
            <w10:wrap type="none"/>
          </v:shape>
        </w:pict>
      </w:r>
      <w:r>
        <w:rPr>
          <w:sz w:val="20"/>
        </w:rPr>
        <w:pict>
          <v:group style="width:496.8pt;height:23.55pt;mso-position-horizontal-relative:char;mso-position-vertical-relative:line" coordorigin="0,0" coordsize="9936,471">
            <v:shape style="position:absolute;left:8822;top:48;width:1114;height:278" type="#_x0000_t75" stroked="false">
              <v:imagedata r:id="rId5" o:title=""/>
            </v:shape>
            <v:shape style="position:absolute;left:0;top:0;width:9158;height:470" type="#_x0000_t75" stroked="false">
              <v:imagedata r:id="rId6" o:title=""/>
            </v:shape>
            <v:shape style="position:absolute;left:0;top:0;width:9936;height:471" type="#_x0000_t202" filled="false" stroked="false">
              <v:textbox inset="0,0,0,0">
                <w:txbxContent>
                  <w:p>
                    <w:pPr>
                      <w:spacing w:line="413" w:lineRule="exact" w:before="57"/>
                      <w:ind w:left="859" w:right="0" w:firstLine="0"/>
                      <w:jc w:val="left"/>
                      <w:rPr>
                        <w:rFonts w:ascii="Gabriola"/>
                        <w:sz w:val="27"/>
                      </w:rPr>
                    </w:pPr>
                    <w:r>
                      <w:rPr>
                        <w:rFonts w:ascii="Gabriola"/>
                        <w:sz w:val="27"/>
                      </w:rPr>
                      <w:t>Comportamiento Proambiental del Visitante en el Parque Nacional Desierto de los Leones</w:t>
                    </w:r>
                  </w:p>
                </w:txbxContent>
              </v:textbox>
              <w10:wrap type="none"/>
            </v:shape>
          </v:group>
        </w:pict>
      </w:r>
      <w:r>
        <w:rPr>
          <w:sz w:val="20"/>
        </w:rPr>
      </w:r>
    </w:p>
    <w:p>
      <w:pPr>
        <w:pStyle w:val="BodyText"/>
        <w:rPr>
          <w:sz w:val="20"/>
        </w:rPr>
      </w:pPr>
    </w:p>
    <w:p>
      <w:pPr>
        <w:pStyle w:val="BodyText"/>
        <w:spacing w:before="1"/>
        <w:rPr>
          <w:sz w:val="16"/>
        </w:rPr>
      </w:pPr>
    </w:p>
    <w:p>
      <w:pPr>
        <w:pStyle w:val="BodyText"/>
        <w:spacing w:line="364" w:lineRule="auto" w:before="73"/>
        <w:ind w:left="160" w:right="888" w:firstLine="62"/>
        <w:jc w:val="both"/>
      </w:pPr>
      <w:r>
        <w:rPr/>
        <w:drawing>
          <wp:anchor distT="0" distB="0" distL="0" distR="0" allowOverlap="1" layoutInCell="1" locked="0" behindDoc="0" simplePos="0" relativeHeight="1840">
            <wp:simplePos x="0" y="0"/>
            <wp:positionH relativeFrom="page">
              <wp:posOffset>1258824</wp:posOffset>
            </wp:positionH>
            <wp:positionV relativeFrom="paragraph">
              <wp:posOffset>1106891</wp:posOffset>
            </wp:positionV>
            <wp:extent cx="5600740" cy="1807082"/>
            <wp:effectExtent l="0" t="0" r="0" b="0"/>
            <wp:wrapTopAndBottom/>
            <wp:docPr id="25" name="image27.png" descr=""/>
            <wp:cNvGraphicFramePr>
              <a:graphicFrameLocks noChangeAspect="1"/>
            </wp:cNvGraphicFramePr>
            <a:graphic>
              <a:graphicData uri="http://schemas.openxmlformats.org/drawingml/2006/picture">
                <pic:pic>
                  <pic:nvPicPr>
                    <pic:cNvPr id="26" name="image27.png"/>
                    <pic:cNvPicPr/>
                  </pic:nvPicPr>
                  <pic:blipFill>
                    <a:blip r:embed="rId58" cstate="print"/>
                    <a:stretch>
                      <a:fillRect/>
                    </a:stretch>
                  </pic:blipFill>
                  <pic:spPr>
                    <a:xfrm>
                      <a:off x="0" y="0"/>
                      <a:ext cx="5600740" cy="1807082"/>
                    </a:xfrm>
                    <a:prstGeom prst="rect">
                      <a:avLst/>
                    </a:prstGeom>
                  </pic:spPr>
                </pic:pic>
              </a:graphicData>
            </a:graphic>
          </wp:anchor>
        </w:drawing>
      </w:r>
      <w:r>
        <w:rPr/>
        <w:drawing>
          <wp:anchor distT="0" distB="0" distL="0" distR="0" allowOverlap="1" layoutInCell="1" locked="0" behindDoc="0" simplePos="0" relativeHeight="1864">
            <wp:simplePos x="0" y="0"/>
            <wp:positionH relativeFrom="page">
              <wp:posOffset>1286255</wp:posOffset>
            </wp:positionH>
            <wp:positionV relativeFrom="paragraph">
              <wp:posOffset>3027131</wp:posOffset>
            </wp:positionV>
            <wp:extent cx="5416513" cy="2412396"/>
            <wp:effectExtent l="0" t="0" r="0" b="0"/>
            <wp:wrapTopAndBottom/>
            <wp:docPr id="27" name="image28.png" descr=""/>
            <wp:cNvGraphicFramePr>
              <a:graphicFrameLocks noChangeAspect="1"/>
            </wp:cNvGraphicFramePr>
            <a:graphic>
              <a:graphicData uri="http://schemas.openxmlformats.org/drawingml/2006/picture">
                <pic:pic>
                  <pic:nvPicPr>
                    <pic:cNvPr id="28" name="image28.png"/>
                    <pic:cNvPicPr/>
                  </pic:nvPicPr>
                  <pic:blipFill>
                    <a:blip r:embed="rId59" cstate="print"/>
                    <a:stretch>
                      <a:fillRect/>
                    </a:stretch>
                  </pic:blipFill>
                  <pic:spPr>
                    <a:xfrm>
                      <a:off x="0" y="0"/>
                      <a:ext cx="5416513" cy="2412396"/>
                    </a:xfrm>
                    <a:prstGeom prst="rect">
                      <a:avLst/>
                    </a:prstGeom>
                  </pic:spPr>
                </pic:pic>
              </a:graphicData>
            </a:graphic>
          </wp:anchor>
        </w:drawing>
      </w:r>
      <w:r>
        <w:rPr/>
        <w:t>Artículo de Investigación enviado a la revista Luna Azul de la Universidad de Caldas Colombia, indizada en Directory of Open Access Journals, Index Copernicus Journals Master List, Publindex, Cab Abstracts, Lantin Index y Redalyc, con registro ISSN- 1909- 2474.</w:t>
      </w:r>
    </w:p>
    <w:p>
      <w:pPr>
        <w:pStyle w:val="BodyText"/>
        <w:spacing w:before="6"/>
        <w:rPr>
          <w:sz w:val="9"/>
        </w:rPr>
      </w:pPr>
    </w:p>
    <w:p>
      <w:pPr>
        <w:pStyle w:val="BodyText"/>
        <w:rPr>
          <w:sz w:val="20"/>
        </w:rPr>
      </w:pPr>
    </w:p>
    <w:p>
      <w:pPr>
        <w:pStyle w:val="BodyText"/>
        <w:spacing w:before="1"/>
        <w:rPr>
          <w:sz w:val="18"/>
        </w:rPr>
      </w:pPr>
      <w:r>
        <w:rPr/>
        <w:pict>
          <v:group style="position:absolute;margin-left:80.160004pt;margin-top:12.378476pt;width:460.4pt;height:216.5pt;mso-position-horizontal-relative:page;mso-position-vertical-relative:paragraph;z-index:1912;mso-wrap-distance-left:0;mso-wrap-distance-right:0" coordorigin="1603,248" coordsize="9208,4330">
            <v:shape style="position:absolute;left:1603;top:248;width:9149;height:4330" type="#_x0000_t75" stroked="false">
              <v:imagedata r:id="rId60" o:title=""/>
            </v:shape>
            <v:shape style="position:absolute;left:10694;top:4188;width:117;height:234" type="#_x0000_t202" filled="false" stroked="false">
              <v:textbox inset="0,0,0,0">
                <w:txbxContent>
                  <w:p>
                    <w:pPr>
                      <w:spacing w:line="234" w:lineRule="exact" w:before="0"/>
                      <w:ind w:left="0" w:right="0" w:firstLine="0"/>
                      <w:jc w:val="left"/>
                      <w:rPr>
                        <w:rFonts w:ascii="Times New Roman"/>
                        <w:sz w:val="23"/>
                      </w:rPr>
                    </w:pPr>
                    <w:r>
                      <w:rPr>
                        <w:rFonts w:ascii="Times New Roman"/>
                        <w:w w:val="101"/>
                        <w:sz w:val="23"/>
                      </w:rPr>
                      <w:t>6</w:t>
                    </w:r>
                  </w:p>
                </w:txbxContent>
              </v:textbox>
              <w10:wrap type="none"/>
            </v:shape>
            <w10:wrap type="topAndBottom"/>
          </v:group>
        </w:pict>
      </w:r>
    </w:p>
    <w:p>
      <w:pPr>
        <w:spacing w:after="0"/>
        <w:rPr>
          <w:sz w:val="18"/>
        </w:rPr>
        <w:sectPr>
          <w:headerReference w:type="default" r:id="rId56"/>
          <w:footerReference w:type="default" r:id="rId57"/>
          <w:pgSz w:w="11910" w:h="16840"/>
          <w:pgMar w:header="0" w:footer="0" w:top="1000" w:bottom="280" w:left="1500" w:right="200"/>
        </w:sectPr>
      </w:pPr>
    </w:p>
    <w:p>
      <w:pPr>
        <w:pStyle w:val="BodyText"/>
        <w:rPr>
          <w:sz w:val="20"/>
        </w:rPr>
      </w:pPr>
    </w:p>
    <w:p>
      <w:pPr>
        <w:pStyle w:val="BodyText"/>
        <w:spacing w:before="10"/>
        <w:rPr>
          <w:sz w:val="17"/>
        </w:rPr>
      </w:pPr>
    </w:p>
    <w:p>
      <w:pPr>
        <w:pStyle w:val="Heading2"/>
        <w:ind w:left="115" w:right="907"/>
      </w:pPr>
      <w:r>
        <w:rPr/>
        <w:t>COMPORTAMIENTO PROAMBIENTAL DEL VISITANTE EN EL PARQUE NACIONAL DESIERTO DE LOS LEONES, MÉXICO</w:t>
      </w:r>
    </w:p>
    <w:p>
      <w:pPr>
        <w:pStyle w:val="BodyText"/>
        <w:rPr>
          <w:b/>
          <w:sz w:val="22"/>
        </w:rPr>
      </w:pPr>
    </w:p>
    <w:p>
      <w:pPr>
        <w:pStyle w:val="BodyText"/>
        <w:spacing w:before="1"/>
        <w:rPr>
          <w:b/>
          <w:sz w:val="19"/>
        </w:rPr>
      </w:pPr>
    </w:p>
    <w:p>
      <w:pPr>
        <w:spacing w:line="316" w:lineRule="auto" w:before="1"/>
        <w:ind w:left="115" w:right="5901" w:firstLine="0"/>
        <w:jc w:val="left"/>
        <w:rPr>
          <w:b/>
          <w:sz w:val="15"/>
        </w:rPr>
      </w:pPr>
      <w:r>
        <w:rPr>
          <w:b/>
          <w:sz w:val="23"/>
        </w:rPr>
        <w:t>Rosa Susana Martínez Cervantes</w:t>
      </w:r>
      <w:r>
        <w:rPr>
          <w:b/>
          <w:position w:val="11"/>
          <w:sz w:val="15"/>
        </w:rPr>
        <w:t>1 </w:t>
      </w:r>
      <w:r>
        <w:rPr>
          <w:b/>
          <w:sz w:val="23"/>
        </w:rPr>
        <w:t>Elva Esther Vargas Martínez</w:t>
      </w:r>
      <w:r>
        <w:rPr>
          <w:b/>
          <w:position w:val="11"/>
          <w:sz w:val="15"/>
        </w:rPr>
        <w:t>2</w:t>
      </w:r>
    </w:p>
    <w:p>
      <w:pPr>
        <w:spacing w:line="290" w:lineRule="exact" w:before="0"/>
        <w:ind w:left="115" w:right="0" w:firstLine="0"/>
        <w:jc w:val="both"/>
        <w:rPr>
          <w:b/>
          <w:sz w:val="15"/>
        </w:rPr>
      </w:pPr>
      <w:r>
        <w:rPr>
          <w:b/>
          <w:sz w:val="23"/>
        </w:rPr>
        <w:t>Lilia Zizumbo Villarreal</w:t>
      </w:r>
      <w:r>
        <w:rPr>
          <w:b/>
          <w:position w:val="11"/>
          <w:sz w:val="15"/>
        </w:rPr>
        <w:t>3</w:t>
      </w:r>
    </w:p>
    <w:p>
      <w:pPr>
        <w:spacing w:before="89"/>
        <w:ind w:left="115" w:right="0" w:firstLine="0"/>
        <w:jc w:val="both"/>
        <w:rPr>
          <w:b/>
          <w:sz w:val="15"/>
        </w:rPr>
      </w:pPr>
      <w:r>
        <w:rPr>
          <w:b/>
          <w:sz w:val="23"/>
        </w:rPr>
        <w:t>Ana Leticia Tamayo Salcedo</w:t>
      </w:r>
      <w:r>
        <w:rPr>
          <w:b/>
          <w:position w:val="11"/>
          <w:sz w:val="15"/>
        </w:rPr>
        <w:t>4</w:t>
      </w:r>
    </w:p>
    <w:p>
      <w:pPr>
        <w:pStyle w:val="BodyText"/>
        <w:rPr>
          <w:b/>
          <w:sz w:val="26"/>
        </w:rPr>
      </w:pPr>
    </w:p>
    <w:p>
      <w:pPr>
        <w:pStyle w:val="BodyText"/>
        <w:spacing w:line="242" w:lineRule="auto" w:before="209"/>
        <w:ind w:left="115" w:right="897"/>
        <w:jc w:val="both"/>
      </w:pPr>
      <w:r>
        <w:rPr>
          <w:b/>
        </w:rPr>
        <w:t>Resumen</w:t>
      </w:r>
      <w:r>
        <w:rPr/>
        <w:t>: </w:t>
      </w:r>
      <w:r>
        <w:rPr>
          <w:spacing w:val="-3"/>
        </w:rPr>
        <w:t>Las </w:t>
      </w:r>
      <w:r>
        <w:rPr/>
        <w:t>Áreas Naturales Protegidas (ANP) </w:t>
      </w:r>
      <w:r>
        <w:rPr>
          <w:spacing w:val="3"/>
        </w:rPr>
        <w:t>se </w:t>
      </w:r>
      <w:r>
        <w:rPr/>
        <w:t>han convertido  en  espacios  no solo de protección y conservación de ecosistemas, sino </w:t>
      </w:r>
      <w:r>
        <w:rPr>
          <w:spacing w:val="-3"/>
        </w:rPr>
        <w:t>que </w:t>
      </w:r>
      <w:r>
        <w:rPr/>
        <w:t>además resultan ser un atractivo interesante de explorar por los turistas. Sin embargo, la degradación de la naturaleza se ha hecho presente en estas zonas protegidas, viéndose amenazada por acciones negativas consecuencia de los comportamientos del ser humano. Este artículo analiza el comportamiento proambiental de los visitantes en el  Parque  Nacional  Desierto de los Leones (PNLD), un ANP integrada al área metropolitana del Distrito Federal en México. Se trata de una investigación de corte cuantitativo con </w:t>
      </w:r>
      <w:r>
        <w:rPr>
          <w:spacing w:val="-3"/>
        </w:rPr>
        <w:t>una </w:t>
      </w:r>
      <w:r>
        <w:rPr/>
        <w:t>muestra de 420 visitantes cuya motivación turística </w:t>
      </w:r>
      <w:r>
        <w:rPr>
          <w:spacing w:val="-3"/>
        </w:rPr>
        <w:t>es </w:t>
      </w:r>
      <w:r>
        <w:rPr/>
        <w:t>el descanso y la convivencia familiar. Se analizan las variables de responsabilidad, conocimiento, estrategias de acción, conciencia y actividades ambientales, resultando </w:t>
      </w:r>
      <w:r>
        <w:rPr>
          <w:spacing w:val="2"/>
        </w:rPr>
        <w:t>con </w:t>
      </w:r>
      <w:r>
        <w:rPr/>
        <w:t>una correlación significativa, validándose el modelo a través de regresión</w:t>
      </w:r>
      <w:r>
        <w:rPr>
          <w:spacing w:val="51"/>
        </w:rPr>
        <w:t> </w:t>
      </w:r>
      <w:r>
        <w:rPr/>
        <w:t>lineal.</w:t>
      </w:r>
    </w:p>
    <w:p>
      <w:pPr>
        <w:pStyle w:val="BodyText"/>
        <w:spacing w:before="121"/>
        <w:ind w:left="115" w:right="898"/>
        <w:jc w:val="both"/>
      </w:pPr>
      <w:r>
        <w:rPr>
          <w:b/>
        </w:rPr>
        <w:t>Palabras Clave: </w:t>
      </w:r>
      <w:r>
        <w:rPr/>
        <w:t>Comportamiento proambiental,  Psicología  ambiental,  Turismo, Parques nacionales, Sustentabilidad.</w:t>
      </w:r>
    </w:p>
    <w:p>
      <w:pPr>
        <w:pStyle w:val="BodyText"/>
        <w:rPr>
          <w:sz w:val="22"/>
        </w:rPr>
      </w:pPr>
    </w:p>
    <w:p>
      <w:pPr>
        <w:pStyle w:val="BodyText"/>
        <w:spacing w:before="2"/>
        <w:rPr>
          <w:sz w:val="22"/>
        </w:rPr>
      </w:pPr>
    </w:p>
    <w:p>
      <w:pPr>
        <w:pStyle w:val="BodyText"/>
        <w:spacing w:line="244" w:lineRule="auto"/>
        <w:ind w:left="115" w:right="897"/>
        <w:jc w:val="both"/>
      </w:pPr>
      <w:r>
        <w:rPr>
          <w:b/>
        </w:rPr>
        <w:t>Abstract: </w:t>
      </w:r>
      <w:r>
        <w:rPr/>
        <w:t>Protected Natural Areas have become spaces not only for the protection and conservation of ecosystems, but also prove to be an interesting attraction for tourists to explore. However, the degradation of nature has been present in these protected areas, to be threatened by negative actions resulting from the behavior of human beings. This article analyzes the pro-environmental behavior of visitors in the Desierto de los Leones National Park (PNDL), a protected natural area integrated into the metropolitan area of Mexico City in Mexico. It </w:t>
      </w:r>
      <w:r>
        <w:rPr>
          <w:spacing w:val="-5"/>
        </w:rPr>
        <w:t>is </w:t>
      </w:r>
      <w:r>
        <w:rPr/>
        <w:t>a quantitative research with a sample cut 420 visitors whose tourist motivation is rest </w:t>
      </w:r>
      <w:r>
        <w:rPr>
          <w:spacing w:val="-3"/>
        </w:rPr>
        <w:t>and </w:t>
      </w:r>
      <w:r>
        <w:rPr/>
        <w:t>family life. Their levels of responsibility, knowledge, action strategies, and environmental awareness activities, resulting in a significant correlation, validating the model by linear regression</w:t>
      </w:r>
      <w:r>
        <w:rPr>
          <w:spacing w:val="52"/>
        </w:rPr>
        <w:t> </w:t>
      </w:r>
      <w:r>
        <w:rPr/>
        <w:t>analyzes.</w:t>
      </w:r>
    </w:p>
    <w:p>
      <w:pPr>
        <w:pStyle w:val="BodyText"/>
        <w:spacing w:line="244" w:lineRule="auto" w:before="114"/>
        <w:ind w:left="115" w:right="896"/>
        <w:jc w:val="both"/>
      </w:pPr>
      <w:r>
        <w:rPr>
          <w:b/>
        </w:rPr>
        <w:t>Keywords: </w:t>
      </w:r>
      <w:r>
        <w:rPr/>
        <w:t>eco-friendly behavior, Environmental Psychology, Tourism, National Parks, Sustainability.</w:t>
      </w:r>
    </w:p>
    <w:p>
      <w:pPr>
        <w:pStyle w:val="BodyText"/>
        <w:spacing w:before="2"/>
      </w:pPr>
      <w:r>
        <w:rPr/>
        <w:pict>
          <v:line style="position:absolute;mso-position-horizontal-relative:page;mso-position-vertical-relative:paragraph;z-index:1960;mso-wrap-distance-left:0;mso-wrap-distance-right:0" from="82.800003pt,15.666034pt" to="222.960003pt,15.666034pt" stroked="true" strokeweight=".72pt" strokecolor="#000000">
            <w10:wrap type="topAndBottom"/>
          </v:line>
        </w:pict>
      </w:r>
    </w:p>
    <w:p>
      <w:pPr>
        <w:spacing w:line="247" w:lineRule="auto" w:before="46"/>
        <w:ind w:left="115" w:right="989" w:firstLine="0"/>
        <w:jc w:val="left"/>
        <w:rPr>
          <w:sz w:val="19"/>
        </w:rPr>
      </w:pPr>
      <w:r>
        <w:rPr>
          <w:w w:val="105"/>
          <w:position w:val="10"/>
          <w:sz w:val="12"/>
        </w:rPr>
        <w:t>1 </w:t>
      </w:r>
      <w:r>
        <w:rPr>
          <w:w w:val="105"/>
          <w:sz w:val="19"/>
        </w:rPr>
        <w:t>Maestrante en Ciencias Ambientales por la Facultad de Química de la Universidad Autónoma del Estado de México, E-mail: </w:t>
      </w:r>
      <w:hyperlink r:id="rId63">
        <w:r>
          <w:rPr>
            <w:color w:val="0563C1"/>
            <w:w w:val="105"/>
            <w:sz w:val="19"/>
            <w:u w:val="single" w:color="0563C1"/>
          </w:rPr>
          <w:t>susytour8@gmail.com</w:t>
        </w:r>
      </w:hyperlink>
    </w:p>
    <w:p>
      <w:pPr>
        <w:spacing w:line="220" w:lineRule="exact" w:before="3"/>
        <w:ind w:left="116" w:right="989" w:firstLine="0"/>
        <w:jc w:val="left"/>
        <w:rPr>
          <w:sz w:val="19"/>
        </w:rPr>
      </w:pPr>
      <w:r>
        <w:rPr>
          <w:w w:val="105"/>
          <w:position w:val="10"/>
          <w:sz w:val="12"/>
        </w:rPr>
        <w:t>2 </w:t>
      </w:r>
      <w:r>
        <w:rPr>
          <w:w w:val="105"/>
          <w:sz w:val="19"/>
        </w:rPr>
        <w:t>Doctora en Ciencias Ambientales. Facultad de Turismo y Gastronomía, Universidad Autónoma del </w:t>
      </w:r>
      <w:r>
        <w:rPr>
          <w:sz w:val="19"/>
        </w:rPr>
        <w:t>Estado de  México. </w:t>
      </w:r>
      <w:hyperlink r:id="rId64">
        <w:r>
          <w:rPr>
            <w:color w:val="0563C1"/>
            <w:sz w:val="19"/>
            <w:u w:val="single" w:color="0563C1"/>
          </w:rPr>
          <w:t>elvacolegio@hotmail.com</w:t>
        </w:r>
      </w:hyperlink>
    </w:p>
    <w:p>
      <w:pPr>
        <w:spacing w:line="220" w:lineRule="exact" w:before="5"/>
        <w:ind w:left="115" w:right="903" w:firstLine="0"/>
        <w:jc w:val="left"/>
        <w:rPr>
          <w:sz w:val="19"/>
        </w:rPr>
      </w:pPr>
      <w:r>
        <w:rPr>
          <w:w w:val="105"/>
          <w:position w:val="10"/>
          <w:sz w:val="12"/>
        </w:rPr>
        <w:t>3 </w:t>
      </w:r>
      <w:r>
        <w:rPr>
          <w:w w:val="105"/>
          <w:sz w:val="19"/>
        </w:rPr>
        <w:t>Doctora en Ciencias Sociales. Facultad de Turismo y Gastronomía, Universidad Autónoma del Estado </w:t>
      </w:r>
      <w:r>
        <w:rPr>
          <w:sz w:val="19"/>
        </w:rPr>
        <w:t>de  México. </w:t>
      </w:r>
      <w:hyperlink r:id="rId65">
        <w:r>
          <w:rPr>
            <w:color w:val="0563C1"/>
            <w:sz w:val="19"/>
            <w:u w:val="single" w:color="0563C1"/>
          </w:rPr>
          <w:t>lzv04@yahoo.com</w:t>
        </w:r>
      </w:hyperlink>
    </w:p>
    <w:p>
      <w:pPr>
        <w:spacing w:line="220" w:lineRule="exact" w:before="5"/>
        <w:ind w:left="115" w:right="901" w:firstLine="0"/>
        <w:jc w:val="left"/>
        <w:rPr>
          <w:sz w:val="19"/>
        </w:rPr>
      </w:pPr>
      <w:r>
        <w:rPr>
          <w:w w:val="105"/>
          <w:position w:val="10"/>
          <w:sz w:val="12"/>
        </w:rPr>
        <w:t>4 </w:t>
      </w:r>
      <w:r>
        <w:rPr>
          <w:w w:val="105"/>
          <w:sz w:val="19"/>
        </w:rPr>
        <w:t>Doctora en Ciencias de la Educación. Facultad de Turismo y Gastronomía, Universidad Autónoma del Estado de México. </w:t>
      </w:r>
      <w:hyperlink r:id="rId66">
        <w:r>
          <w:rPr>
            <w:color w:val="0563C1"/>
            <w:w w:val="105"/>
            <w:sz w:val="19"/>
            <w:u w:val="single" w:color="0563C1"/>
          </w:rPr>
          <w:t>alts2002@hotmail.com</w:t>
        </w:r>
      </w:hyperlink>
    </w:p>
    <w:p>
      <w:pPr>
        <w:spacing w:after="0" w:line="220" w:lineRule="exact"/>
        <w:jc w:val="left"/>
        <w:rPr>
          <w:sz w:val="19"/>
        </w:rPr>
        <w:sectPr>
          <w:headerReference w:type="default" r:id="rId61"/>
          <w:footerReference w:type="default" r:id="rId62"/>
          <w:pgSz w:w="11910" w:h="16840"/>
          <w:pgMar w:header="1066" w:footer="1699" w:top="1460" w:bottom="1880" w:left="1540" w:right="200"/>
          <w:pgNumType w:start="97"/>
        </w:sectPr>
      </w:pPr>
    </w:p>
    <w:p>
      <w:pPr>
        <w:pStyle w:val="BodyText"/>
        <w:rPr>
          <w:sz w:val="20"/>
        </w:rPr>
      </w:pPr>
    </w:p>
    <w:p>
      <w:pPr>
        <w:pStyle w:val="BodyText"/>
        <w:spacing w:before="10"/>
        <w:rPr>
          <w:sz w:val="17"/>
        </w:rPr>
      </w:pPr>
    </w:p>
    <w:p>
      <w:pPr>
        <w:pStyle w:val="Heading2"/>
        <w:numPr>
          <w:ilvl w:val="1"/>
          <w:numId w:val="30"/>
        </w:numPr>
        <w:tabs>
          <w:tab w:pos="572" w:val="left" w:leader="none"/>
        </w:tabs>
        <w:spacing w:line="240" w:lineRule="auto" w:before="74" w:after="0"/>
        <w:ind w:left="572" w:right="0" w:hanging="456"/>
        <w:jc w:val="both"/>
      </w:pPr>
      <w:bookmarkStart w:name="_TOC_250007" w:id="28"/>
      <w:bookmarkEnd w:id="28"/>
      <w:r>
        <w:rPr/>
        <w:t>INTRODUCCIÓN</w:t>
      </w:r>
    </w:p>
    <w:p>
      <w:pPr>
        <w:pStyle w:val="BodyText"/>
        <w:rPr>
          <w:b/>
          <w:sz w:val="22"/>
        </w:rPr>
      </w:pPr>
    </w:p>
    <w:p>
      <w:pPr>
        <w:pStyle w:val="BodyText"/>
        <w:spacing w:line="364" w:lineRule="auto" w:before="1"/>
        <w:ind w:left="116" w:right="892"/>
        <w:jc w:val="both"/>
      </w:pPr>
      <w:r>
        <w:rPr/>
        <w:t>En los últimos años </w:t>
      </w:r>
      <w:r>
        <w:rPr>
          <w:spacing w:val="3"/>
        </w:rPr>
        <w:t>se </w:t>
      </w:r>
      <w:r>
        <w:rPr/>
        <w:t>ha puesto especial atención a la creciente degradación del ambiente que en gran  medida es resultado de la forma  de producción y consumo que  se tiene en </w:t>
      </w:r>
      <w:r>
        <w:rPr>
          <w:spacing w:val="-5"/>
        </w:rPr>
        <w:t>la </w:t>
      </w:r>
      <w:r>
        <w:rPr/>
        <w:t>actualidad, donde el hombre ha rebasado los límites de su relación con la naturaleza, modificando </w:t>
      </w:r>
      <w:r>
        <w:rPr>
          <w:spacing w:val="3"/>
        </w:rPr>
        <w:t>su </w:t>
      </w:r>
      <w:r>
        <w:rPr/>
        <w:t>entorno </w:t>
      </w:r>
      <w:r>
        <w:rPr>
          <w:spacing w:val="2"/>
        </w:rPr>
        <w:t>con </w:t>
      </w:r>
      <w:r>
        <w:rPr/>
        <w:t>el propósito de cubrir sus necesidades de sobrevivencia y</w:t>
      </w:r>
      <w:r>
        <w:rPr>
          <w:spacing w:val="25"/>
        </w:rPr>
        <w:t> </w:t>
      </w:r>
      <w:r>
        <w:rPr/>
        <w:t>evolución.</w:t>
      </w:r>
    </w:p>
    <w:p>
      <w:pPr>
        <w:pStyle w:val="BodyText"/>
        <w:spacing w:line="364" w:lineRule="auto" w:before="120"/>
        <w:ind w:left="116" w:right="896"/>
        <w:jc w:val="both"/>
      </w:pPr>
      <w:r>
        <w:rPr/>
        <w:t>Dados los efectos derivados de este comportamiento humano, </w:t>
      </w:r>
      <w:r>
        <w:rPr>
          <w:spacing w:val="-3"/>
        </w:rPr>
        <w:t>es </w:t>
      </w:r>
      <w:r>
        <w:rPr/>
        <w:t>que surge la enorme preocupación de encontrar soluciones que permitan contrarrestar estos impactos y proteger la naturaleza. Así, la lógica que rige las formas de uso y apropiación de los recursos y que además condicionan la conservación de la naturaleza y  la  sustentabilidad del desarrollo, es producto </w:t>
      </w:r>
      <w:r>
        <w:rPr>
          <w:spacing w:val="-3"/>
        </w:rPr>
        <w:t>de </w:t>
      </w:r>
      <w:r>
        <w:rPr/>
        <w:t>las representaciones sociales y culturales del comportamiento humano, las cuales </w:t>
      </w:r>
      <w:r>
        <w:rPr>
          <w:spacing w:val="3"/>
        </w:rPr>
        <w:t>se </w:t>
      </w:r>
      <w:r>
        <w:rPr/>
        <w:t>reflejan en las actitudes, que constituyen la dimensión más conductual de tales representaciones. En ese sentido, el individuo se apropia </w:t>
      </w:r>
      <w:r>
        <w:rPr>
          <w:spacing w:val="2"/>
        </w:rPr>
        <w:t>del </w:t>
      </w:r>
      <w:r>
        <w:rPr/>
        <w:t>espacio transformándolo físicamente, incorporando en </w:t>
      </w:r>
      <w:r>
        <w:rPr>
          <w:spacing w:val="3"/>
        </w:rPr>
        <w:t>su </w:t>
      </w:r>
      <w:r>
        <w:rPr/>
        <w:t>identificación personal determinadas cogniciones, afectos, sentimientos o actitudes relacionadas con  él, lo que da lugar a un proceso psicosocial que también involucra construcciones simbólicas (Proshansky, 1976). En este contexto el comportamiento de los individuos genera una serie de impactos que pueden favorecer o afectar los espacios </w:t>
      </w:r>
      <w:r>
        <w:rPr>
          <w:spacing w:val="34"/>
        </w:rPr>
        <w:t> </w:t>
      </w:r>
      <w:r>
        <w:rPr/>
        <w:t>naturales.</w:t>
      </w:r>
    </w:p>
    <w:p>
      <w:pPr>
        <w:pStyle w:val="BodyText"/>
        <w:spacing w:line="362" w:lineRule="auto" w:before="120"/>
        <w:ind w:left="115" w:right="898"/>
        <w:jc w:val="both"/>
      </w:pPr>
      <w:r>
        <w:rPr/>
        <w:t>Tal es el caso de la práctica turística, la cual se ha mostrado invasiva con el ambiente al urbanizar zonas naturales modificando el paisaje, manifestando un consumo  excesivo del agua, generando problemas relacionados con la basura, contaminación del aire, residuos líquidos y destrucción de monumentos históricos; todo </w:t>
      </w:r>
      <w:r>
        <w:rPr>
          <w:spacing w:val="-3"/>
        </w:rPr>
        <w:t>ello </w:t>
      </w:r>
      <w:r>
        <w:rPr/>
        <w:t>con </w:t>
      </w:r>
      <w:r>
        <w:rPr>
          <w:spacing w:val="-5"/>
        </w:rPr>
        <w:t>la </w:t>
      </w:r>
      <w:r>
        <w:rPr/>
        <w:t>finalidad de favorecer actividades de ocio. Sin embargo, </w:t>
      </w:r>
      <w:r>
        <w:rPr>
          <w:spacing w:val="-3"/>
        </w:rPr>
        <w:t>en </w:t>
      </w:r>
      <w:r>
        <w:rPr/>
        <w:t>las últimas décadas se ha observado un importante cambio en la actitud y comportamiento del visitante en los  espacios  naturales; hoy en día existen estudios que demuestran que existen turistas que están preocupados por los problemas ambientales y el cuidado de </w:t>
      </w:r>
      <w:r>
        <w:rPr>
          <w:spacing w:val="-5"/>
        </w:rPr>
        <w:t>la </w:t>
      </w:r>
      <w:r>
        <w:rPr>
          <w:spacing w:val="38"/>
        </w:rPr>
        <w:t> </w:t>
      </w:r>
      <w:r>
        <w:rPr/>
        <w:t>naturaleza</w:t>
      </w:r>
      <w:r>
        <w:rPr>
          <w:position w:val="11"/>
          <w:sz w:val="15"/>
        </w:rPr>
        <w:t>5</w:t>
      </w:r>
      <w:r>
        <w:rPr/>
        <w:t>.</w:t>
      </w:r>
    </w:p>
    <w:p>
      <w:pPr>
        <w:pStyle w:val="BodyText"/>
        <w:spacing w:line="364" w:lineRule="auto" w:before="103"/>
        <w:ind w:left="115" w:right="896"/>
        <w:jc w:val="both"/>
      </w:pPr>
      <w:r>
        <w:rPr/>
        <w:t>Por ello, el presente artículo tiene el propósito de presentar los comportamientos proambientales de los visitantes en el Parque Nacional Desierto de los Leones    (PNDL),</w:t>
      </w:r>
    </w:p>
    <w:p>
      <w:pPr>
        <w:pStyle w:val="BodyText"/>
        <w:spacing w:before="6"/>
        <w:rPr>
          <w:sz w:val="9"/>
        </w:rPr>
      </w:pPr>
      <w:r>
        <w:rPr/>
        <w:pict>
          <v:line style="position:absolute;mso-position-horizontal-relative:page;mso-position-vertical-relative:paragraph;z-index:1984;mso-wrap-distance-left:0;mso-wrap-distance-right:0" from="82.800003pt,7.802213pt" to="222.960003pt,7.802213pt" stroked="true" strokeweight=".72pt" strokecolor="#000000">
            <w10:wrap type="topAndBottom"/>
          </v:line>
        </w:pict>
      </w:r>
    </w:p>
    <w:p>
      <w:pPr>
        <w:spacing w:line="244" w:lineRule="auto" w:before="46"/>
        <w:ind w:left="115" w:right="897" w:firstLine="0"/>
        <w:jc w:val="both"/>
        <w:rPr>
          <w:sz w:val="19"/>
        </w:rPr>
      </w:pPr>
      <w:r>
        <w:rPr>
          <w:w w:val="105"/>
          <w:position w:val="10"/>
          <w:sz w:val="12"/>
        </w:rPr>
        <w:t>5 </w:t>
      </w:r>
      <w:r>
        <w:rPr>
          <w:w w:val="105"/>
          <w:sz w:val="19"/>
        </w:rPr>
        <w:t>En el 2001 aparece un análisis del turista alemán donde se muestra la disposición a pagar más por productos y servicios de bajo impacto ambiental </w:t>
      </w:r>
      <w:r>
        <w:rPr>
          <w:color w:val="0563C1"/>
          <w:w w:val="105"/>
          <w:sz w:val="19"/>
          <w:u w:val="single" w:color="0563C1"/>
        </w:rPr>
        <w:t>y en el 2002 la e</w:t>
      </w:r>
      <w:r>
        <w:rPr>
          <w:w w:val="105"/>
          <w:sz w:val="19"/>
        </w:rPr>
        <w:t>ncuesta sobre el turista austriaco menciona que los turistas están presentando cambio de actitudes favorables con respecto a la </w:t>
      </w:r>
      <w:r>
        <w:rPr>
          <w:sz w:val="19"/>
        </w:rPr>
        <w:t>problemática ambiental.</w:t>
      </w:r>
    </w:p>
    <w:p>
      <w:pPr>
        <w:spacing w:after="0" w:line="244" w:lineRule="auto"/>
        <w:jc w:val="both"/>
        <w:rPr>
          <w:sz w:val="19"/>
        </w:rPr>
        <w:sectPr>
          <w:pgSz w:w="11910" w:h="16840"/>
          <w:pgMar w:header="1066" w:footer="1699" w:top="1460" w:bottom="1880" w:left="1540" w:right="200"/>
        </w:sectPr>
      </w:pPr>
    </w:p>
    <w:p>
      <w:pPr>
        <w:pStyle w:val="BodyText"/>
        <w:rPr>
          <w:sz w:val="20"/>
        </w:rPr>
      </w:pPr>
    </w:p>
    <w:p>
      <w:pPr>
        <w:pStyle w:val="BodyText"/>
        <w:spacing w:before="10"/>
        <w:rPr>
          <w:sz w:val="17"/>
        </w:rPr>
      </w:pPr>
    </w:p>
    <w:p>
      <w:pPr>
        <w:pStyle w:val="BodyText"/>
        <w:spacing w:line="364" w:lineRule="auto" w:before="74"/>
        <w:ind w:left="115" w:right="895"/>
        <w:jc w:val="both"/>
      </w:pPr>
      <w:r>
        <w:rPr/>
        <w:t>con la finalidad de identificar los factores que contribuyen a la sustentabilidad ambiental. Su contenido se conforma en un primer apartado de la conceptualización </w:t>
      </w:r>
      <w:r>
        <w:rPr>
          <w:spacing w:val="2"/>
        </w:rPr>
        <w:t>del </w:t>
      </w:r>
      <w:r>
        <w:rPr/>
        <w:t>comportamiento proambiental (CPA) a partir del enfoque de la psicología ambiental; en un segundo momento, la metodología usada para determinar los factores del CPA, para finalmente presentar los resultados encontrados en torno  al  comportamiento proambiental del visitante en el</w:t>
      </w:r>
      <w:r>
        <w:rPr>
          <w:spacing w:val="41"/>
        </w:rPr>
        <w:t> </w:t>
      </w:r>
      <w:r>
        <w:rPr/>
        <w:t>PNDL.</w:t>
      </w:r>
    </w:p>
    <w:p>
      <w:pPr>
        <w:pStyle w:val="BodyText"/>
        <w:rPr>
          <w:sz w:val="22"/>
        </w:rPr>
      </w:pPr>
    </w:p>
    <w:p>
      <w:pPr>
        <w:pStyle w:val="BodyText"/>
        <w:rPr>
          <w:sz w:val="22"/>
        </w:rPr>
      </w:pPr>
    </w:p>
    <w:p>
      <w:pPr>
        <w:pStyle w:val="Heading2"/>
        <w:numPr>
          <w:ilvl w:val="1"/>
          <w:numId w:val="30"/>
        </w:numPr>
        <w:tabs>
          <w:tab w:pos="803" w:val="left" w:leader="none"/>
        </w:tabs>
        <w:spacing w:line="240" w:lineRule="auto" w:before="132" w:after="0"/>
        <w:ind w:left="802" w:right="0" w:hanging="686"/>
        <w:jc w:val="both"/>
      </w:pPr>
      <w:bookmarkStart w:name="_TOC_250006" w:id="29"/>
      <w:r>
        <w:rPr/>
        <w:t>REVISIÓN DE LA</w:t>
      </w:r>
      <w:r>
        <w:rPr>
          <w:spacing w:val="42"/>
        </w:rPr>
        <w:t> </w:t>
      </w:r>
      <w:bookmarkEnd w:id="29"/>
      <w:r>
        <w:rPr/>
        <w:t>LITERATURA</w:t>
      </w:r>
    </w:p>
    <w:p>
      <w:pPr>
        <w:pStyle w:val="BodyText"/>
        <w:spacing w:before="5"/>
        <w:rPr>
          <w:b/>
          <w:sz w:val="22"/>
        </w:rPr>
      </w:pPr>
    </w:p>
    <w:p>
      <w:pPr>
        <w:pStyle w:val="BodyText"/>
        <w:spacing w:line="364" w:lineRule="auto"/>
        <w:ind w:left="116" w:right="896"/>
        <w:jc w:val="both"/>
      </w:pPr>
      <w:r>
        <w:rPr/>
        <w:t>El consumo en los países  industrializados es considerado como  la causa principal de  los problemas ambientales en el planeta, por lo que un cambio en los estilos de vida de   </w:t>
      </w:r>
      <w:r>
        <w:rPr>
          <w:spacing w:val="-5"/>
        </w:rPr>
        <w:t>la </w:t>
      </w:r>
      <w:r>
        <w:rPr/>
        <w:t>población es necesario para favorecer la sustentabilidad (Tanner y Kast, 2003; McDonald </w:t>
      </w:r>
      <w:r>
        <w:rPr>
          <w:i/>
        </w:rPr>
        <w:t>et al., </w:t>
      </w:r>
      <w:r>
        <w:rPr/>
        <w:t>2006). Levine (2002) afirma que gran parte de los estadounidenses participan en actividades de reciclaje; y en Francia, las actividades relacionadas </w:t>
      </w:r>
      <w:r>
        <w:rPr>
          <w:spacing w:val="2"/>
        </w:rPr>
        <w:t>con </w:t>
      </w:r>
      <w:r>
        <w:rPr/>
        <w:t>la clasificación de residuos ha crecido un 75% en los últimos diez años (Chirot, 2007); sin embargo, se sigue cuestionando </w:t>
      </w:r>
      <w:r>
        <w:rPr>
          <w:spacing w:val="-5"/>
        </w:rPr>
        <w:t>la </w:t>
      </w:r>
      <w:r>
        <w:rPr/>
        <w:t>brecha </w:t>
      </w:r>
      <w:r>
        <w:rPr>
          <w:spacing w:val="-3"/>
        </w:rPr>
        <w:t>entre </w:t>
      </w:r>
      <w:r>
        <w:rPr/>
        <w:t>la conciencia ambiental, las conductas declaradas, y los comportamientos reales en estos </w:t>
      </w:r>
      <w:r>
        <w:rPr>
          <w:spacing w:val="6"/>
        </w:rPr>
        <w:t> </w:t>
      </w:r>
      <w:r>
        <w:rPr/>
        <w:t>países.</w:t>
      </w:r>
    </w:p>
    <w:p>
      <w:pPr>
        <w:pStyle w:val="BodyText"/>
        <w:spacing w:line="364" w:lineRule="auto" w:before="125"/>
        <w:ind w:left="116" w:right="896"/>
        <w:jc w:val="both"/>
      </w:pPr>
      <w:r>
        <w:rPr/>
        <w:t>En ese sentido, McCarty y Shrum (2001) coinciden con </w:t>
      </w:r>
      <w:r>
        <w:rPr>
          <w:spacing w:val="-5"/>
        </w:rPr>
        <w:t>lo </w:t>
      </w:r>
      <w:r>
        <w:rPr/>
        <w:t>anterior, argumentando que mientras que muchos individuos tienen actitudes ambientales positivas e indican </w:t>
      </w:r>
      <w:r>
        <w:rPr>
          <w:spacing w:val="-3"/>
        </w:rPr>
        <w:t>una </w:t>
      </w:r>
      <w:r>
        <w:rPr/>
        <w:t>disposición a pagar más por productos ecológicos, pocos de estos productos han tenido éxito, tal es el caso de </w:t>
      </w:r>
      <w:r>
        <w:rPr>
          <w:spacing w:val="-5"/>
        </w:rPr>
        <w:t>la </w:t>
      </w:r>
      <w:r>
        <w:rPr/>
        <w:t>producción en algunos </w:t>
      </w:r>
      <w:r>
        <w:rPr>
          <w:spacing w:val="-3"/>
        </w:rPr>
        <w:t>países </w:t>
      </w:r>
      <w:r>
        <w:rPr/>
        <w:t>de reciente industrialización  como China (Chan,</w:t>
      </w:r>
      <w:r>
        <w:rPr>
          <w:spacing w:val="29"/>
        </w:rPr>
        <w:t> </w:t>
      </w:r>
      <w:r>
        <w:rPr/>
        <w:t>2001).</w:t>
      </w:r>
    </w:p>
    <w:p>
      <w:pPr>
        <w:pStyle w:val="BodyText"/>
        <w:spacing w:line="364" w:lineRule="auto" w:before="120"/>
        <w:ind w:left="116" w:right="900"/>
        <w:jc w:val="both"/>
      </w:pPr>
      <w:r>
        <w:rPr/>
        <w:t>Para el caso del turismo, las necesidades de descanso, desarrollo y diversión para el turista también se han ido modificando en los últimos años debido a las nuevas tendencias de viaje, estilos de vida, preocupaciones actuales por el cambio climático, agotamiento de los recursos naturales y deterioro del ambiente. Ahora, los  turistas buscan destinos que les proporcionen un ambiente más natural y limpio, alejado totalmente de la contaminación.</w:t>
      </w:r>
    </w:p>
    <w:p>
      <w:pPr>
        <w:pStyle w:val="BodyText"/>
        <w:spacing w:line="367" w:lineRule="auto" w:before="120"/>
        <w:ind w:left="116" w:right="898"/>
        <w:jc w:val="both"/>
      </w:pPr>
      <w:r>
        <w:rPr/>
        <w:t>En este sentido, la modernización del turismo está cambiando rápidamente el destino  final de los turistas. Un número creciente de ellos muestra interés por pasar unas vacaciones  en  un  espacio  turístico  que  integre  recursos  naturales  en</w:t>
      </w:r>
      <w:r>
        <w:rPr>
          <w:spacing w:val="50"/>
        </w:rPr>
        <w:t> </w:t>
      </w:r>
      <w:r>
        <w:rPr/>
        <w:t>conservación,</w:t>
      </w:r>
    </w:p>
    <w:p>
      <w:pPr>
        <w:spacing w:after="0" w:line="367" w:lineRule="auto"/>
        <w:jc w:val="both"/>
        <w:sectPr>
          <w:pgSz w:w="11910" w:h="16840"/>
          <w:pgMar w:header="1066" w:footer="1699"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7"/>
        <w:jc w:val="both"/>
      </w:pPr>
      <w:r>
        <w:rPr/>
        <w:t>manifestaciones culturales en relación con las comunidades receptoras, servicios y equipamiento con prácticas sustentables (Vargas, 2015); es decir, que </w:t>
      </w:r>
      <w:r>
        <w:rPr>
          <w:spacing w:val="4"/>
        </w:rPr>
        <w:t>el </w:t>
      </w:r>
      <w:r>
        <w:rPr/>
        <w:t>producto turístico reúna </w:t>
      </w:r>
      <w:r>
        <w:rPr>
          <w:spacing w:val="-5"/>
        </w:rPr>
        <w:t>la </w:t>
      </w:r>
      <w:r>
        <w:rPr/>
        <w:t>calidad que favorezca vivencias positivas y experiencias de viaje. </w:t>
      </w:r>
      <w:r>
        <w:rPr>
          <w:spacing w:val="3"/>
        </w:rPr>
        <w:t>Así </w:t>
      </w:r>
      <w:r>
        <w:rPr/>
        <w:t>cuando </w:t>
      </w:r>
      <w:r>
        <w:rPr>
          <w:spacing w:val="-4"/>
        </w:rPr>
        <w:t>los </w:t>
      </w:r>
      <w:r>
        <w:rPr/>
        <w:t>turistas expresan su preocupación por la situación  ambiental,  aparecen como consumidores ecológicos que son motivados por necesidades </w:t>
      </w:r>
      <w:r>
        <w:rPr>
          <w:spacing w:val="34"/>
        </w:rPr>
        <w:t> </w:t>
      </w:r>
      <w:r>
        <w:rPr/>
        <w:t>universales.</w:t>
      </w:r>
    </w:p>
    <w:p>
      <w:pPr>
        <w:pStyle w:val="BodyText"/>
        <w:spacing w:line="364" w:lineRule="auto" w:before="120"/>
        <w:ind w:left="116" w:right="900"/>
        <w:jc w:val="both"/>
      </w:pPr>
      <w:r>
        <w:rPr/>
        <w:t>Hay algunos enfoques, sobre todo en el turístico que expresan que no existe el turista como consumidor ecológico; es decir, que no </w:t>
      </w:r>
      <w:r>
        <w:rPr>
          <w:spacing w:val="3"/>
        </w:rPr>
        <w:t>se </w:t>
      </w:r>
      <w:r>
        <w:rPr>
          <w:spacing w:val="-5"/>
        </w:rPr>
        <w:t>le </w:t>
      </w:r>
      <w:r>
        <w:rPr/>
        <w:t>puede otorgar un perfil proambiental, debido a que éste no adquiere bienes y servicios del todo ecológicos, sino solo  una  parte de ellos. No obstante, Colamarde (2000) señala que el turista </w:t>
      </w:r>
      <w:r>
        <w:rPr>
          <w:spacing w:val="-3"/>
        </w:rPr>
        <w:t>es </w:t>
      </w:r>
      <w:r>
        <w:rPr/>
        <w:t>un consumidor ecológico cuando manifiesta su preocupación por el ambiente buscando productos y servicios que son percibidos como de menor impacto sobre el mismo, sin hacer explícito que realiza toda o parte de su compra</w:t>
      </w:r>
      <w:r>
        <w:rPr>
          <w:spacing w:val="56"/>
        </w:rPr>
        <w:t> </w:t>
      </w:r>
      <w:r>
        <w:rPr/>
        <w:t>ecológica.</w:t>
      </w:r>
    </w:p>
    <w:p>
      <w:pPr>
        <w:pStyle w:val="BodyText"/>
        <w:spacing w:line="364" w:lineRule="auto" w:before="125"/>
        <w:ind w:left="115" w:right="895"/>
        <w:jc w:val="both"/>
      </w:pPr>
      <w:r>
        <w:rPr/>
        <w:t>La encuesta realizada sobre el turista austriaco (2002), muestra una estrecha relación entre la compra de un producto ecológico y la posibilidad de pagar un precio más  elevado que el de un producto tradicional. De esta forma se demuestra que los turistas cada vez poseen mayor conciencia ambiental y están dispuestos a adquirir productos y servicios amigables con la</w:t>
      </w:r>
      <w:r>
        <w:rPr>
          <w:spacing w:val="41"/>
        </w:rPr>
        <w:t> </w:t>
      </w:r>
      <w:r>
        <w:rPr/>
        <w:t>naturaleza.</w:t>
      </w:r>
    </w:p>
    <w:p>
      <w:pPr>
        <w:pStyle w:val="BodyText"/>
        <w:spacing w:line="364" w:lineRule="auto" w:before="120"/>
        <w:ind w:left="116" w:right="891"/>
        <w:jc w:val="both"/>
      </w:pPr>
      <w:r>
        <w:rPr/>
        <w:t>En </w:t>
      </w:r>
      <w:r>
        <w:rPr>
          <w:spacing w:val="-5"/>
        </w:rPr>
        <w:t>la </w:t>
      </w:r>
      <w:r>
        <w:rPr/>
        <w:t>Áreas Naturales Protegidas, el turista no actúa como un consumidor de productos ecológicos, más bien adquiere </w:t>
      </w:r>
      <w:r>
        <w:rPr>
          <w:spacing w:val="-5"/>
        </w:rPr>
        <w:t>la  </w:t>
      </w:r>
      <w:r>
        <w:rPr/>
        <w:t>figura de un consumidor de servicios  ambientales; y  en este sentido, el carácter de sus actitudes en torno a la naturaleza o la evaluación positiva o negativa que realizan sobre las características ligadas al entorno  natural, resulta ser un elemento importante de actuación que contribuye tanto para la conservación de la biodiversidad como para el uso sustentable de  los  recursos  naturales (Méndez Contreras </w:t>
      </w:r>
      <w:r>
        <w:rPr>
          <w:i/>
        </w:rPr>
        <w:t>et al.</w:t>
      </w:r>
      <w:r>
        <w:rPr/>
        <w:t>, 2008; Schelhas y Pfeffer, 2008; Fischer y Young, 2007; Wallner </w:t>
      </w:r>
      <w:r>
        <w:rPr>
          <w:i/>
        </w:rPr>
        <w:t>et al</w:t>
      </w:r>
      <w:r>
        <w:rPr/>
        <w:t>., 2007; Leiserowitz </w:t>
      </w:r>
      <w:r>
        <w:rPr>
          <w:i/>
        </w:rPr>
        <w:t>et al</w:t>
      </w:r>
      <w:r>
        <w:rPr/>
        <w:t>., 2006; </w:t>
      </w:r>
      <w:r>
        <w:rPr>
          <w:spacing w:val="-4"/>
        </w:rPr>
        <w:t>Xu </w:t>
      </w:r>
      <w:r>
        <w:rPr>
          <w:i/>
        </w:rPr>
        <w:t>et al</w:t>
      </w:r>
      <w:r>
        <w:rPr/>
        <w:t>., 2006; </w:t>
      </w:r>
      <w:r>
        <w:rPr>
          <w:spacing w:val="2"/>
        </w:rPr>
        <w:t>Van </w:t>
      </w:r>
      <w:r>
        <w:rPr>
          <w:spacing w:val="-3"/>
        </w:rPr>
        <w:t>den </w:t>
      </w:r>
      <w:r>
        <w:rPr/>
        <w:t>Born </w:t>
      </w:r>
      <w:r>
        <w:rPr>
          <w:i/>
        </w:rPr>
        <w:t>et al., </w:t>
      </w:r>
      <w:r>
        <w:rPr/>
        <w:t>2001).</w:t>
      </w:r>
    </w:p>
    <w:p>
      <w:pPr>
        <w:pStyle w:val="BodyText"/>
        <w:spacing w:line="364" w:lineRule="auto" w:before="120"/>
        <w:ind w:left="115" w:right="894"/>
        <w:jc w:val="both"/>
      </w:pPr>
      <w:r>
        <w:rPr/>
        <w:t>Por otro lado, algunos investigadores como Clark, Kotchen, y Moore (2003), han demostrado </w:t>
      </w:r>
      <w:r>
        <w:rPr>
          <w:spacing w:val="-3"/>
        </w:rPr>
        <w:t>que </w:t>
      </w:r>
      <w:r>
        <w:rPr/>
        <w:t>existe una relación positiva entre la preocupación ambiental y </w:t>
      </w:r>
      <w:r>
        <w:rPr>
          <w:spacing w:val="4"/>
        </w:rPr>
        <w:t>el </w:t>
      </w:r>
      <w:r>
        <w:rPr/>
        <w:t>comportamiento respetuoso con el ambiente, en donde los hallazgos consistentes  de  sus estudios se basan </w:t>
      </w:r>
      <w:r>
        <w:rPr>
          <w:spacing w:val="-3"/>
        </w:rPr>
        <w:t>en </w:t>
      </w:r>
      <w:r>
        <w:rPr/>
        <w:t>los valores de auto-mejora y auto-trascendencia en relación a las actitudes pro-ambientales. Esto </w:t>
      </w:r>
      <w:r>
        <w:rPr>
          <w:spacing w:val="3"/>
        </w:rPr>
        <w:t>se </w:t>
      </w:r>
      <w:r>
        <w:rPr/>
        <w:t>debe a que los valores de auto-mejora  </w:t>
      </w:r>
      <w:r>
        <w:rPr>
          <w:spacing w:val="45"/>
        </w:rPr>
        <w:t> </w:t>
      </w:r>
      <w:r>
        <w:rPr/>
        <w:t>conducen</w:t>
      </w:r>
    </w:p>
    <w:p>
      <w:pPr>
        <w:spacing w:after="0" w:line="364" w:lineRule="auto"/>
        <w:jc w:val="both"/>
        <w:sectPr>
          <w:footerReference w:type="default" r:id="rId67"/>
          <w:pgSz w:w="11910" w:h="16840"/>
          <w:pgMar w:footer="1711" w:header="1066" w:top="1460" w:bottom="1900" w:left="1540" w:right="200"/>
          <w:pgNumType w:start="100"/>
        </w:sectPr>
      </w:pPr>
    </w:p>
    <w:p>
      <w:pPr>
        <w:pStyle w:val="BodyText"/>
        <w:rPr>
          <w:sz w:val="20"/>
        </w:rPr>
      </w:pPr>
    </w:p>
    <w:p>
      <w:pPr>
        <w:pStyle w:val="BodyText"/>
        <w:spacing w:before="10"/>
        <w:rPr>
          <w:sz w:val="17"/>
        </w:rPr>
      </w:pPr>
    </w:p>
    <w:p>
      <w:pPr>
        <w:pStyle w:val="BodyText"/>
        <w:spacing w:line="364" w:lineRule="auto" w:before="74"/>
        <w:ind w:left="115" w:right="891"/>
        <w:jc w:val="both"/>
      </w:pPr>
      <w:r>
        <w:rPr/>
        <w:t>a un comportamiento que se centra </w:t>
      </w:r>
      <w:r>
        <w:rPr>
          <w:spacing w:val="-3"/>
        </w:rPr>
        <w:t>en </w:t>
      </w:r>
      <w:r>
        <w:rPr/>
        <w:t>el individuo y dan poca consideración a  los  demás en la toma de decisiones. Es decir, que desde una perspectiva ambiental, esto sugiere que los individuos con un alto grado de valor de auto-mejora, serán menos preocupados por los problemas ambientales  y serán menos  propensos  a comportarse de manera proambiental (Kilbourne </w:t>
      </w:r>
      <w:r>
        <w:rPr>
          <w:i/>
        </w:rPr>
        <w:t>et al</w:t>
      </w:r>
      <w:r>
        <w:rPr/>
        <w:t>., 1998). Como un ejemplo de esto, Kilbourne, Grünhagen y Foley (2005) mostraron que los individuos con ese valor de auto-mejora  son </w:t>
      </w:r>
      <w:r>
        <w:rPr>
          <w:spacing w:val="-3"/>
        </w:rPr>
        <w:t>más </w:t>
      </w:r>
      <w:r>
        <w:rPr/>
        <w:t>materialistas que los individuos auto-trascendentes, y por lo tanto debe </w:t>
      </w:r>
      <w:r>
        <w:rPr>
          <w:spacing w:val="2"/>
        </w:rPr>
        <w:t>ser </w:t>
      </w:r>
      <w:r>
        <w:rPr/>
        <w:t>menos preocupados por el impacto que su consumo tiene sobre el </w:t>
      </w:r>
      <w:r>
        <w:rPr>
          <w:spacing w:val="20"/>
        </w:rPr>
        <w:t> </w:t>
      </w:r>
      <w:r>
        <w:rPr/>
        <w:t>ambiente.</w:t>
      </w:r>
    </w:p>
    <w:p>
      <w:pPr>
        <w:pStyle w:val="BodyText"/>
        <w:spacing w:line="364" w:lineRule="auto" w:before="130"/>
        <w:ind w:left="115" w:right="897"/>
        <w:jc w:val="both"/>
      </w:pPr>
      <w:r>
        <w:rPr/>
        <w:t>Desde este enfoque, Scannell y Gifforz (2010) evidencian que el apego al lugar natural  se asocia a un comportamiento más o menos pro-ambiental. Para ello distinguieron dos dimensiones de apego al lugar: cívicos y naturales, explorando sus respectivas influencias en el comportamiento pro-ambiental. En una muestra de 104 residentes </w:t>
      </w:r>
      <w:r>
        <w:rPr>
          <w:spacing w:val="-3"/>
        </w:rPr>
        <w:t>de </w:t>
      </w:r>
      <w:r>
        <w:rPr/>
        <w:t>dos ciudades </w:t>
      </w:r>
      <w:r>
        <w:rPr>
          <w:spacing w:val="2"/>
        </w:rPr>
        <w:t>con </w:t>
      </w:r>
      <w:r>
        <w:rPr/>
        <w:t>diferentes reputaciones ambientales y con características cívicas y naturales de apego al lugar, analizaron los comportamientos pro-ambientales y las características sociodemográficas de los individuo, obteniendo como resultado de sus análisis que los residentes tienen un apego natural al lugar que contribuye a proteger su entorno, pero carecen de un apego cívico al lugar con respecto a las actividades proambientales que deben de realizar para presérvalo. Su conclusión llego a demostrar que </w:t>
      </w:r>
      <w:r>
        <w:rPr>
          <w:spacing w:val="-4"/>
        </w:rPr>
        <w:t>las </w:t>
      </w:r>
      <w:r>
        <w:rPr/>
        <w:t>características cívicas y naturales de apego al lugar deben de considerarse  como dos dimensiones independientes para el estudio de los comportamientos proambientales </w:t>
      </w:r>
      <w:r>
        <w:rPr>
          <w:spacing w:val="-4"/>
        </w:rPr>
        <w:t>ya </w:t>
      </w:r>
      <w:r>
        <w:rPr/>
        <w:t>que estos dependen más de los factores cognitivos y psicosociales  del individuo mismo sobre su relación </w:t>
      </w:r>
      <w:r>
        <w:rPr>
          <w:spacing w:val="2"/>
        </w:rPr>
        <w:t>con </w:t>
      </w:r>
      <w:r>
        <w:rPr/>
        <w:t>la</w:t>
      </w:r>
      <w:r>
        <w:rPr>
          <w:spacing w:val="54"/>
        </w:rPr>
        <w:t> </w:t>
      </w:r>
      <w:r>
        <w:rPr/>
        <w:t>naturaleza.</w:t>
      </w:r>
    </w:p>
    <w:p>
      <w:pPr>
        <w:pStyle w:val="BodyText"/>
        <w:spacing w:line="364" w:lineRule="auto" w:before="120"/>
        <w:ind w:left="115" w:right="898"/>
        <w:jc w:val="both"/>
      </w:pPr>
      <w:r>
        <w:rPr/>
        <w:t>Corraliza y Berenguer (1998) y Berenguer y Corraliza (2000) han llevado a cabo un extenso trabajo que intenta describir los distintos aspectos incluidos en la preocupación ambiental. Estos autores concluyen que la preocupación por el ambiente como creencia ambiental viene descrita por medio de un total de 7 factores  actitudinales.  Estos  factores son definidos como alarma o preocupación por las consecuencias o gravedad  de los problemas ambientales, confort referido a la comodidad o molestia de llevar a  cabo las conductas o acciones de responsabilidad ecológica, control doméstico relativo   a los comportamientos de consumo energético, preocupación social hacia el ambiente que</w:t>
      </w:r>
      <w:r>
        <w:rPr>
          <w:spacing w:val="50"/>
        </w:rPr>
        <w:t> </w:t>
      </w:r>
      <w:r>
        <w:rPr/>
        <w:t>haría</w:t>
      </w:r>
      <w:r>
        <w:rPr>
          <w:spacing w:val="49"/>
        </w:rPr>
        <w:t> </w:t>
      </w:r>
      <w:r>
        <w:rPr/>
        <w:t>referencia</w:t>
      </w:r>
      <w:r>
        <w:rPr>
          <w:spacing w:val="50"/>
        </w:rPr>
        <w:t> </w:t>
      </w:r>
      <w:r>
        <w:rPr/>
        <w:t>a</w:t>
      </w:r>
      <w:r>
        <w:rPr>
          <w:spacing w:val="45"/>
        </w:rPr>
        <w:t> </w:t>
      </w:r>
      <w:r>
        <w:rPr/>
        <w:t>la</w:t>
      </w:r>
      <w:r>
        <w:rPr>
          <w:spacing w:val="55"/>
        </w:rPr>
        <w:t> </w:t>
      </w:r>
      <w:r>
        <w:rPr/>
        <w:t>influencia</w:t>
      </w:r>
      <w:r>
        <w:rPr>
          <w:spacing w:val="45"/>
        </w:rPr>
        <w:t> </w:t>
      </w:r>
      <w:r>
        <w:rPr/>
        <w:t>social</w:t>
      </w:r>
      <w:r>
        <w:rPr>
          <w:spacing w:val="41"/>
        </w:rPr>
        <w:t> </w:t>
      </w:r>
      <w:r>
        <w:rPr/>
        <w:t>o</w:t>
      </w:r>
      <w:r>
        <w:rPr>
          <w:spacing w:val="50"/>
        </w:rPr>
        <w:t> </w:t>
      </w:r>
      <w:r>
        <w:rPr/>
        <w:t>normas</w:t>
      </w:r>
      <w:r>
        <w:rPr>
          <w:spacing w:val="48"/>
        </w:rPr>
        <w:t> </w:t>
      </w:r>
      <w:r>
        <w:rPr/>
        <w:t>subjetivas</w:t>
      </w:r>
      <w:r>
        <w:rPr>
          <w:spacing w:val="48"/>
        </w:rPr>
        <w:t> </w:t>
      </w:r>
      <w:r>
        <w:rPr/>
        <w:t>respecto</w:t>
      </w:r>
      <w:r>
        <w:rPr>
          <w:spacing w:val="50"/>
        </w:rPr>
        <w:t> </w:t>
      </w:r>
      <w:r>
        <w:rPr/>
        <w:t>a</w:t>
      </w:r>
      <w:r>
        <w:rPr>
          <w:spacing w:val="45"/>
        </w:rPr>
        <w:t> </w:t>
      </w:r>
      <w:r>
        <w:rPr/>
        <w:t>los</w:t>
      </w:r>
      <w:r>
        <w:rPr>
          <w:spacing w:val="54"/>
        </w:rPr>
        <w:t> </w:t>
      </w:r>
      <w:r>
        <w:rPr/>
        <w:t>temas</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7"/>
        <w:jc w:val="both"/>
      </w:pPr>
      <w:r>
        <w:rPr/>
        <w:t>medioambientales, economía percibida o capacidad adquisitiva del núcleo familiar, información o conocimiento sobre el ambiente y los comportamientos de ahorro energético y, por último, locus de control o papel personal en la crisis energética y ambiental. Su conclusión condujo a demostrar que son los factores de confort, preocupación social y alarma los que mostraron un papel predictivo de los comportamientos proambientales.</w:t>
      </w:r>
    </w:p>
    <w:p>
      <w:pPr>
        <w:pStyle w:val="BodyText"/>
        <w:spacing w:line="364" w:lineRule="auto" w:before="120"/>
        <w:ind w:left="115" w:right="894"/>
        <w:jc w:val="both"/>
      </w:pPr>
      <w:r>
        <w:rPr/>
        <w:t>Verdugo (2009), en su estudio sobre los comportamientos proambientales en dos ciudades del noreste de México, realizado con estudiantes de primaria, a </w:t>
      </w:r>
      <w:r>
        <w:rPr>
          <w:spacing w:val="-3"/>
        </w:rPr>
        <w:t>fin </w:t>
      </w:r>
      <w:r>
        <w:rPr/>
        <w:t>de conocer  </w:t>
      </w:r>
      <w:r>
        <w:rPr>
          <w:spacing w:val="-5"/>
        </w:rPr>
        <w:t>la </w:t>
      </w:r>
      <w:r>
        <w:rPr/>
        <w:t>manera en que estos se relacionan con su entorno natural, determino que los comportamientos proambientales están constituidos por motivaciones, creencias, actitudes, habilidades y conocimientos sobre el ambiente que solo </w:t>
      </w:r>
      <w:r>
        <w:rPr>
          <w:spacing w:val="3"/>
        </w:rPr>
        <w:t>se </w:t>
      </w:r>
      <w:r>
        <w:rPr/>
        <w:t>pueden optimizar con el apoyo de una educación ambiental. Otro estudio bajo esta </w:t>
      </w:r>
      <w:r>
        <w:rPr>
          <w:spacing w:val="-3"/>
        </w:rPr>
        <w:t>misma </w:t>
      </w:r>
      <w:r>
        <w:rPr/>
        <w:t>postura es el realizado en la reserva de la biosfera Parque Atlántico Mar chiquito en Argentina, en el cual se estudió el comportamiento proambiental en </w:t>
      </w:r>
      <w:r>
        <w:rPr>
          <w:spacing w:val="-5"/>
        </w:rPr>
        <w:t>la </w:t>
      </w:r>
      <w:r>
        <w:rPr/>
        <w:t>reserva, encontrando que son las actitudes ambientales las que </w:t>
      </w:r>
      <w:r>
        <w:rPr>
          <w:spacing w:val="-4"/>
        </w:rPr>
        <w:t>lo </w:t>
      </w:r>
      <w:r>
        <w:rPr/>
        <w:t>determinan. (José, </w:t>
      </w:r>
      <w:r>
        <w:rPr>
          <w:spacing w:val="21"/>
        </w:rPr>
        <w:t> </w:t>
      </w:r>
      <w:r>
        <w:rPr/>
        <w:t>2010)</w:t>
      </w:r>
    </w:p>
    <w:p>
      <w:pPr>
        <w:pStyle w:val="BodyText"/>
        <w:spacing w:line="364" w:lineRule="auto" w:before="120"/>
        <w:ind w:left="115" w:right="893"/>
        <w:jc w:val="both"/>
      </w:pPr>
      <w:r>
        <w:rPr/>
        <w:t>Por otro lado, Schultz (2001), por medio de estudios trasculturales, aporta una sólida evidencia empírica sobre la estructura de las actitudes ambientales y de su relación con los valores personales. De tal forma, que las preocupaciones por las consecuencias del daño ecológico se estructuran en torno a preocupaciones por los aspectos personales como la salud o el estilo de vida, a preocupaciones  sociales.</w:t>
      </w:r>
    </w:p>
    <w:p>
      <w:pPr>
        <w:pStyle w:val="BodyText"/>
        <w:spacing w:line="364" w:lineRule="auto" w:before="125"/>
        <w:ind w:left="115" w:right="894"/>
        <w:jc w:val="both"/>
      </w:pPr>
      <w:r>
        <w:rPr/>
        <w:t>Otros tipos de estudio son los relacionados a la conducta sustentable desde el punto de vista de la psicología ambiental, en donde Corral y Pinheiro (2004) abordan la conducta sustentable, la sustentabilidad y conducta proambiental planteando sus similitudes y particularidades. Proponen cinco dimensiones psicológicas de la sustentabilidad: la efectividad, la deliberación, la anticipación, la solidaridad y la austeridad, las cuales se ilustran con un estudio acerca de conductas de ahorro de agua. Se analizaron 223 estudiantes, encontrando resultados satisfactores que permitieron comprobar la importancia de la conducta proambiental para el cuidado de los recursos  naturales.</w:t>
      </w:r>
    </w:p>
    <w:p>
      <w:pPr>
        <w:pStyle w:val="BodyText"/>
        <w:spacing w:line="364" w:lineRule="auto" w:before="125"/>
        <w:ind w:left="115" w:right="898"/>
        <w:jc w:val="both"/>
      </w:pPr>
      <w:r>
        <w:rPr/>
        <w:t>En general, estos trabajos empíricos realizados en las pasadas décadas concluyen que  </w:t>
      </w:r>
      <w:r>
        <w:rPr>
          <w:spacing w:val="-5"/>
        </w:rPr>
        <w:t>la </w:t>
      </w:r>
      <w:r>
        <w:rPr/>
        <w:t>preocupación ambiental, la percepción de la severidad de las consecuencias de los problemas   ambientales  y  la  disposición  a  llevar  a  cabo  o  apoyar  acciones     </w:t>
      </w:r>
      <w:r>
        <w:rPr>
          <w:spacing w:val="13"/>
        </w:rPr>
        <w:t> </w:t>
      </w:r>
      <w:r>
        <w:rPr/>
        <w:t>para</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6" w:right="897"/>
        <w:jc w:val="both"/>
      </w:pPr>
      <w:r>
        <w:rPr/>
        <w:t>solucionarlos (Tognacci </w:t>
      </w:r>
      <w:r>
        <w:rPr>
          <w:i/>
        </w:rPr>
        <w:t>et al</w:t>
      </w:r>
      <w:r>
        <w:rPr/>
        <w:t>., 1972; Dunlap, 1975; Arbuthnot, 1977;  Weigel,  1977; Buttel y Flinn, 1978; Van Liere y Dunlap, 1980), tiene como respuesta inicial </w:t>
      </w:r>
      <w:r>
        <w:rPr>
          <w:spacing w:val="4"/>
        </w:rPr>
        <w:t>el </w:t>
      </w:r>
      <w:r>
        <w:rPr/>
        <w:t>análisis  de los comportamiento proambientales, mediante el estudio de las actitudes, la conciencia, los valores y demás factores contextuales y psicográficos propios del individuo.</w:t>
      </w:r>
    </w:p>
    <w:p>
      <w:pPr>
        <w:pStyle w:val="BodyText"/>
        <w:spacing w:line="364" w:lineRule="auto" w:before="120"/>
        <w:ind w:left="116" w:right="898"/>
        <w:jc w:val="both"/>
      </w:pPr>
      <w:r>
        <w:rPr/>
        <w:t>En concreto, las personas más implicadas en actividades orientadas hacia la calidad ambiental han sido generalmente jóvenes urbanos, de elevado estatus y nivel de  estudios e ideológicamente</w:t>
      </w:r>
      <w:r>
        <w:rPr>
          <w:spacing w:val="38"/>
        </w:rPr>
        <w:t> </w:t>
      </w:r>
      <w:r>
        <w:rPr/>
        <w:t>liberales.</w:t>
      </w:r>
    </w:p>
    <w:p>
      <w:pPr>
        <w:pStyle w:val="BodyText"/>
        <w:spacing w:line="364" w:lineRule="auto" w:before="125"/>
        <w:ind w:left="116" w:right="896"/>
        <w:jc w:val="both"/>
      </w:pPr>
      <w:r>
        <w:rPr>
          <w:spacing w:val="-3"/>
        </w:rPr>
        <w:t>Sin </w:t>
      </w:r>
      <w:r>
        <w:rPr/>
        <w:t>embargo, el bosquejo literario en cuanto a los comportamientos proambientales de    </w:t>
      </w:r>
      <w:r>
        <w:rPr>
          <w:spacing w:val="-5"/>
        </w:rPr>
        <w:t>la  </w:t>
      </w:r>
      <w:r>
        <w:rPr/>
        <w:t>actividad turística en Áreas Naturales protegidas </w:t>
      </w:r>
      <w:r>
        <w:rPr>
          <w:spacing w:val="-3"/>
        </w:rPr>
        <w:t>es  </w:t>
      </w:r>
      <w:r>
        <w:rPr/>
        <w:t>limitado, los estudios que giran  en torno a la temática planteada, muestran por una parte el punto de vista </w:t>
      </w:r>
      <w:r>
        <w:rPr>
          <w:spacing w:val="-3"/>
        </w:rPr>
        <w:t>de </w:t>
      </w:r>
      <w:r>
        <w:rPr/>
        <w:t>algunas disciplinas como la economía, la administración y la mercadotecnia, que apuntan a ver   al turista como un consumidor de productos y servicios ecológicos y al análisis de esto como una característica primordial para el estudio de los comportamientos proambientales, pero que poco relacionan su aplicación a un Área Natural Protegida dejándolo solo en la parte empresarial; y por otro lado, los  estudios  desde  la  perspectiva de la psicología ambiental, los cuales  se han centrado primordialmente en  el análisis de las actitudes y los valores como determinantes del comportamiento proambiental aplicado mayormente al reciclaje, uso de la energía, el agua y la problemática ambiental que la sociedad </w:t>
      </w:r>
      <w:r>
        <w:rPr>
          <w:spacing w:val="-3"/>
        </w:rPr>
        <w:t>ha </w:t>
      </w:r>
      <w:r>
        <w:rPr>
          <w:spacing w:val="2"/>
        </w:rPr>
        <w:t> </w:t>
      </w:r>
      <w:r>
        <w:rPr/>
        <w:t>generado.</w:t>
      </w:r>
    </w:p>
    <w:p>
      <w:pPr>
        <w:pStyle w:val="BodyText"/>
        <w:rPr>
          <w:sz w:val="22"/>
        </w:rPr>
      </w:pPr>
    </w:p>
    <w:p>
      <w:pPr>
        <w:pStyle w:val="BodyText"/>
        <w:rPr>
          <w:sz w:val="22"/>
        </w:rPr>
      </w:pPr>
    </w:p>
    <w:p>
      <w:pPr>
        <w:pStyle w:val="Heading2"/>
        <w:numPr>
          <w:ilvl w:val="1"/>
          <w:numId w:val="30"/>
        </w:numPr>
        <w:tabs>
          <w:tab w:pos="803" w:val="left" w:leader="none"/>
        </w:tabs>
        <w:spacing w:line="240" w:lineRule="auto" w:before="137" w:after="0"/>
        <w:ind w:left="802" w:right="0" w:hanging="686"/>
        <w:jc w:val="both"/>
      </w:pPr>
      <w:bookmarkStart w:name="_TOC_250005" w:id="30"/>
      <w:r>
        <w:rPr/>
        <w:t>El constructo del comportamiento</w:t>
      </w:r>
      <w:r>
        <w:rPr>
          <w:spacing w:val="55"/>
        </w:rPr>
        <w:t> </w:t>
      </w:r>
      <w:bookmarkEnd w:id="30"/>
      <w:r>
        <w:rPr/>
        <w:t>proambiental</w:t>
      </w:r>
    </w:p>
    <w:p>
      <w:pPr>
        <w:pStyle w:val="BodyText"/>
        <w:rPr>
          <w:b/>
          <w:sz w:val="22"/>
        </w:rPr>
      </w:pPr>
    </w:p>
    <w:p>
      <w:pPr>
        <w:pStyle w:val="BodyText"/>
        <w:spacing w:line="364" w:lineRule="auto" w:before="1"/>
        <w:ind w:left="116" w:right="894"/>
        <w:jc w:val="both"/>
      </w:pPr>
      <w:r>
        <w:rPr/>
        <w:t>El Comportamiento Proambiental (CPA) ha sido analizado como un comportamiento general y como una conducta específica (ahorro de agua, reciclaje o activismo  ambiental) (Kaiser &amp; Wilson, 2004; Stern, 2000). Existen dos concepciones al respecto,   </w:t>
      </w:r>
      <w:r>
        <w:rPr>
          <w:spacing w:val="-5"/>
        </w:rPr>
        <w:t>la </w:t>
      </w:r>
      <w:r>
        <w:rPr/>
        <w:t>primera considera que está compuesto por un conjunto estructurado, estable y consistente </w:t>
      </w:r>
      <w:r>
        <w:rPr>
          <w:spacing w:val="-3"/>
        </w:rPr>
        <w:t>de </w:t>
      </w:r>
      <w:r>
        <w:rPr/>
        <w:t>diversas conductas específicas relacionadas entre sí,  la  cual  ha  recurrido a la </w:t>
      </w:r>
      <w:r>
        <w:rPr>
          <w:i/>
        </w:rPr>
        <w:t>Escala de comportamiento ecológico </w:t>
      </w:r>
      <w:r>
        <w:rPr/>
        <w:t>para predecir el CPA (Kaiser, 1998); sin embargo, algunos estudios observaron nula correlación entre las conductas proambientales  específicas  (Thørgensen  &amp; Olander, 2003). Esto  ha  dado lugar a </w:t>
      </w:r>
      <w:r>
        <w:rPr>
          <w:spacing w:val="45"/>
        </w:rPr>
        <w:t> </w:t>
      </w:r>
      <w:r>
        <w:rPr/>
        <w:t>una</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4" w:lineRule="auto" w:before="74"/>
        <w:ind w:left="115" w:right="894"/>
        <w:jc w:val="both"/>
      </w:pPr>
      <w:r>
        <w:rPr/>
        <w:t>segunda concepción, que considera que hay distintas categorías de conducta proambiental (Hernández &amp; Suárez, 2006), que </w:t>
      </w:r>
      <w:r>
        <w:rPr>
          <w:spacing w:val="3"/>
        </w:rPr>
        <w:t>se </w:t>
      </w:r>
      <w:r>
        <w:rPr/>
        <w:t>vinculan con la identificación de factores predictivos, lo que lleva a considerar que el CPA es </w:t>
      </w:r>
      <w:r>
        <w:rPr>
          <w:spacing w:val="-3"/>
        </w:rPr>
        <w:t>un </w:t>
      </w:r>
      <w:r>
        <w:rPr/>
        <w:t>conjunto de acciones relativamente independientes </w:t>
      </w:r>
      <w:r>
        <w:rPr>
          <w:spacing w:val="-3"/>
        </w:rPr>
        <w:t>entre </w:t>
      </w:r>
      <w:r>
        <w:rPr/>
        <w:t>sí, y aceptándose por </w:t>
      </w:r>
      <w:r>
        <w:rPr>
          <w:spacing w:val="-5"/>
        </w:rPr>
        <w:t>lo  </w:t>
      </w:r>
      <w:r>
        <w:rPr/>
        <w:t>tanto que no puede haber  un único factor explicativo de todo este tipo </w:t>
      </w:r>
      <w:r>
        <w:rPr>
          <w:spacing w:val="-3"/>
        </w:rPr>
        <w:t>de </w:t>
      </w:r>
      <w:r>
        <w:rPr/>
        <w:t>comportamientos (Schultz, </w:t>
      </w:r>
      <w:r>
        <w:rPr>
          <w:spacing w:val="31"/>
        </w:rPr>
        <w:t> </w:t>
      </w:r>
      <w:r>
        <w:rPr/>
        <w:t>2014).</w:t>
      </w:r>
    </w:p>
    <w:p>
      <w:pPr>
        <w:pStyle w:val="BodyText"/>
        <w:spacing w:line="364" w:lineRule="auto" w:before="120"/>
        <w:ind w:left="116" w:right="892"/>
        <w:jc w:val="both"/>
      </w:pPr>
      <w:r>
        <w:rPr/>
        <w:t>Para conocer las bases psicológicas que explican y predicen el CPA, se han adoptado modelos teóricos como la Teoría de la Acción Razonada o Planificada, de Fishbein y Ajzen, el Modelo de Influencia Normativa de Schwartz y </w:t>
      </w:r>
      <w:r>
        <w:rPr>
          <w:spacing w:val="-5"/>
        </w:rPr>
        <w:t>la </w:t>
      </w:r>
      <w:r>
        <w:rPr/>
        <w:t>Teoría Valores-Creencias- Normas de Stern (Preisendörfer &amp; Meyerhoff, 2011). También </w:t>
      </w:r>
      <w:r>
        <w:rPr>
          <w:spacing w:val="3"/>
        </w:rPr>
        <w:t>se </w:t>
      </w:r>
      <w:r>
        <w:rPr/>
        <w:t>han integrado relaciones mediadoras y moderadoras entre factores determinantes dentro de ciertos modelos causales que intentan explicar el CPA. Entre estas variables se ha incluido el efecto del conocimiento de los temas ambientales y de  las estrategias de  acción,  el locus de control interno, el compromiso verbal, la preocupación ambiental, el sentido de responsabilidad ambiental, el deseo de </w:t>
      </w:r>
      <w:r>
        <w:rPr>
          <w:spacing w:val="2"/>
        </w:rPr>
        <w:t>ser </w:t>
      </w:r>
      <w:r>
        <w:rPr/>
        <w:t>austero y los sentimientos </w:t>
      </w:r>
      <w:r>
        <w:rPr>
          <w:spacing w:val="-3"/>
        </w:rPr>
        <w:t>de </w:t>
      </w:r>
      <w:r>
        <w:rPr/>
        <w:t>culpa (Fielding &amp; Head, 2012; Babiak &amp; Trendafilova, 2011; Nisbet, Zelenski, &amp; Murphy, </w:t>
      </w:r>
      <w:r>
        <w:rPr>
          <w:spacing w:val="17"/>
        </w:rPr>
        <w:t> </w:t>
      </w:r>
      <w:r>
        <w:rPr/>
        <w:t>2009).</w:t>
      </w:r>
    </w:p>
    <w:p>
      <w:pPr>
        <w:pStyle w:val="BodyText"/>
        <w:spacing w:line="364" w:lineRule="auto" w:before="120"/>
        <w:ind w:left="116" w:right="893"/>
        <w:jc w:val="both"/>
      </w:pPr>
      <w:r>
        <w:rPr/>
        <w:t>El modelo de Conducta ecológica propuesto por Hines </w:t>
      </w:r>
      <w:r>
        <w:rPr>
          <w:i/>
        </w:rPr>
        <w:t>et al</w:t>
      </w:r>
      <w:r>
        <w:rPr/>
        <w:t>., (1986-87), se basa en las siguientes variables: el compromiso o intención de conducta, conocimiento de temas ambientales, conocimiento de estrategias de acción, habilidades para </w:t>
      </w:r>
      <w:r>
        <w:rPr>
          <w:spacing w:val="-5"/>
        </w:rPr>
        <w:t>la </w:t>
      </w:r>
      <w:r>
        <w:rPr/>
        <w:t>acción y  factores personales como las actitudes, el locus de control y la responsabilidad hacia el medio</w:t>
      </w:r>
      <w:r>
        <w:rPr>
          <w:spacing w:val="13"/>
        </w:rPr>
        <w:t> </w:t>
      </w:r>
      <w:r>
        <w:rPr/>
        <w:t>ambiente.</w:t>
      </w:r>
    </w:p>
    <w:p>
      <w:pPr>
        <w:pStyle w:val="BodyText"/>
        <w:spacing w:line="364" w:lineRule="auto" w:before="125"/>
        <w:ind w:left="116" w:right="900"/>
        <w:jc w:val="both"/>
      </w:pPr>
      <w:r>
        <w:rPr/>
        <w:t>Según este modelo el comportamiento ecológico responsable viene determinado por la intención de actuar, </w:t>
      </w:r>
      <w:r>
        <w:rPr>
          <w:spacing w:val="-5"/>
        </w:rPr>
        <w:t>la </w:t>
      </w:r>
      <w:r>
        <w:rPr/>
        <w:t>cual a su vez está influida por las habilidades de acción, el conocimiento de las estrategias de acción y temas medioambientales, </w:t>
      </w:r>
      <w:r>
        <w:rPr>
          <w:spacing w:val="-5"/>
        </w:rPr>
        <w:t>lo </w:t>
      </w:r>
      <w:r>
        <w:rPr/>
        <w:t>que conduce a favorecer o dificultar el desarrollo de la conducta ecológica responsable o comportamiento</w:t>
      </w:r>
      <w:r>
        <w:rPr>
          <w:spacing w:val="27"/>
        </w:rPr>
        <w:t> </w:t>
      </w:r>
      <w:r>
        <w:rPr/>
        <w:t>proambiental.</w:t>
      </w:r>
    </w:p>
    <w:p>
      <w:pPr>
        <w:pStyle w:val="BodyText"/>
        <w:spacing w:line="364" w:lineRule="auto" w:before="10"/>
        <w:ind w:left="116" w:right="898" w:firstLine="62"/>
        <w:jc w:val="both"/>
      </w:pPr>
      <w:r>
        <w:rPr/>
        <w:t>Este sin duda ha sido el modelo más completo que se </w:t>
      </w:r>
      <w:r>
        <w:rPr>
          <w:spacing w:val="-3"/>
        </w:rPr>
        <w:t>ha </w:t>
      </w:r>
      <w:r>
        <w:rPr/>
        <w:t>propuesto al identificar de manera más precisa variables cognitivas y psicosociales del individuo que sin duda aportan un acercamiento más completo al estudio de los comportamientos proambientales. Véase </w:t>
      </w:r>
      <w:r>
        <w:rPr>
          <w:spacing w:val="-5"/>
        </w:rPr>
        <w:t>la </w:t>
      </w:r>
      <w:r>
        <w:rPr/>
        <w:t>figura No.</w:t>
      </w:r>
      <w:r>
        <w:rPr>
          <w:spacing w:val="52"/>
        </w:rPr>
        <w:t> </w:t>
      </w:r>
      <w:r>
        <w:rPr/>
        <w:t>1.</w:t>
      </w:r>
    </w:p>
    <w:p>
      <w:pPr>
        <w:spacing w:after="0" w:line="364" w:lineRule="auto"/>
        <w:jc w:val="both"/>
        <w:sectPr>
          <w:pgSz w:w="11910" w:h="16840"/>
          <w:pgMar w:header="1066" w:footer="1711" w:top="1460" w:bottom="1900" w:left="1540" w:right="200"/>
        </w:sectPr>
      </w:pPr>
    </w:p>
    <w:p>
      <w:pPr>
        <w:pStyle w:val="BodyText"/>
        <w:ind w:left="100"/>
        <w:rPr>
          <w:sz w:val="20"/>
        </w:rPr>
      </w:pPr>
      <w:r>
        <w:rPr>
          <w:sz w:val="20"/>
        </w:rPr>
        <w:pict>
          <v:group style="width:496.8pt;height:23.55pt;mso-position-horizontal-relative:char;mso-position-vertical-relative:line" coordorigin="0,0" coordsize="9936,471">
            <v:shape style="position:absolute;left:8822;top:48;width:1114;height:278" type="#_x0000_t75" stroked="false">
              <v:imagedata r:id="rId5" o:title=""/>
            </v:shape>
            <v:shape style="position:absolute;left:0;top:0;width:9158;height:470" type="#_x0000_t75" stroked="false">
              <v:imagedata r:id="rId6" o:title=""/>
            </v:shape>
            <v:shape style="position:absolute;left:0;top:0;width:9936;height:471" type="#_x0000_t202" filled="false" stroked="false">
              <v:textbox inset="0,0,0,0">
                <w:txbxContent>
                  <w:p>
                    <w:pPr>
                      <w:spacing w:line="413" w:lineRule="exact" w:before="57"/>
                      <w:ind w:left="859" w:right="0" w:firstLine="0"/>
                      <w:jc w:val="left"/>
                      <w:rPr>
                        <w:rFonts w:ascii="Gabriola"/>
                        <w:sz w:val="27"/>
                      </w:rPr>
                    </w:pPr>
                    <w:r>
                      <w:rPr>
                        <w:rFonts w:ascii="Gabriola"/>
                        <w:sz w:val="27"/>
                      </w:rPr>
                      <w:t>Comportamiento Proambiental del Visitante en el Parque Nacional Desierto de los Leones</w:t>
                    </w:r>
                  </w:p>
                </w:txbxContent>
              </v:textbox>
              <w10:wrap type="none"/>
            </v:shape>
          </v:group>
        </w:pict>
      </w:r>
      <w:r>
        <w:rPr>
          <w:sz w:val="20"/>
        </w:rPr>
      </w:r>
    </w:p>
    <w:p>
      <w:pPr>
        <w:pStyle w:val="BodyText"/>
        <w:rPr>
          <w:sz w:val="20"/>
        </w:rPr>
      </w:pPr>
    </w:p>
    <w:p>
      <w:pPr>
        <w:pStyle w:val="BodyText"/>
        <w:spacing w:before="1"/>
        <w:rPr>
          <w:sz w:val="16"/>
        </w:rPr>
      </w:pPr>
    </w:p>
    <w:p>
      <w:pPr>
        <w:pStyle w:val="BodyText"/>
        <w:spacing w:before="73"/>
        <w:ind w:left="338" w:right="1131"/>
        <w:jc w:val="center"/>
      </w:pPr>
      <w:r>
        <w:rPr/>
        <w:drawing>
          <wp:anchor distT="0" distB="0" distL="0" distR="0" allowOverlap="1" layoutInCell="1" locked="0" behindDoc="0" simplePos="0" relativeHeight="2056">
            <wp:simplePos x="0" y="0"/>
            <wp:positionH relativeFrom="page">
              <wp:posOffset>1926335</wp:posOffset>
            </wp:positionH>
            <wp:positionV relativeFrom="paragraph">
              <wp:posOffset>302219</wp:posOffset>
            </wp:positionV>
            <wp:extent cx="4713740" cy="2607278"/>
            <wp:effectExtent l="0" t="0" r="0" b="0"/>
            <wp:wrapTopAndBottom/>
            <wp:docPr id="29" name="image30.png" descr=""/>
            <wp:cNvGraphicFramePr>
              <a:graphicFrameLocks noChangeAspect="1"/>
            </wp:cNvGraphicFramePr>
            <a:graphic>
              <a:graphicData uri="http://schemas.openxmlformats.org/drawingml/2006/picture">
                <pic:pic>
                  <pic:nvPicPr>
                    <pic:cNvPr id="30" name="image30.png"/>
                    <pic:cNvPicPr/>
                  </pic:nvPicPr>
                  <pic:blipFill>
                    <a:blip r:embed="rId70" cstate="print"/>
                    <a:stretch>
                      <a:fillRect/>
                    </a:stretch>
                  </pic:blipFill>
                  <pic:spPr>
                    <a:xfrm>
                      <a:off x="0" y="0"/>
                      <a:ext cx="4713740" cy="2607278"/>
                    </a:xfrm>
                    <a:prstGeom prst="rect">
                      <a:avLst/>
                    </a:prstGeom>
                  </pic:spPr>
                </pic:pic>
              </a:graphicData>
            </a:graphic>
          </wp:anchor>
        </w:drawing>
      </w:r>
      <w:r>
        <w:rPr/>
        <w:t>Figura No. 1 Modelo de Conducta Ecológica.</w:t>
      </w:r>
    </w:p>
    <w:p>
      <w:pPr>
        <w:spacing w:before="60"/>
        <w:ind w:left="338" w:right="1137" w:firstLine="0"/>
        <w:jc w:val="center"/>
        <w:rPr>
          <w:sz w:val="21"/>
        </w:rPr>
      </w:pPr>
      <w:r>
        <w:rPr>
          <w:sz w:val="21"/>
        </w:rPr>
        <w:t>Fuente: (Hines, Hungerford y Tomera, 1986:  7).</w:t>
      </w:r>
    </w:p>
    <w:p>
      <w:pPr>
        <w:pStyle w:val="BodyText"/>
        <w:spacing w:before="9"/>
        <w:rPr>
          <w:sz w:val="20"/>
        </w:rPr>
      </w:pPr>
    </w:p>
    <w:p>
      <w:pPr>
        <w:pStyle w:val="BodyText"/>
        <w:spacing w:line="364" w:lineRule="auto"/>
        <w:ind w:left="100" w:right="890"/>
        <w:jc w:val="both"/>
      </w:pPr>
      <w:r>
        <w:rPr/>
        <w:t>Otros estudios han destacado la implicación personal como un factor de motivación interna asociado al comportamiento proambiental. </w:t>
      </w:r>
      <w:r>
        <w:rPr>
          <w:spacing w:val="3"/>
        </w:rPr>
        <w:t>En </w:t>
      </w:r>
      <w:r>
        <w:rPr/>
        <w:t>este sentido se han propuesto explicaciones a partir de la implicación personal (</w:t>
      </w:r>
      <w:r>
        <w:rPr>
          <w:i/>
        </w:rPr>
        <w:t>actively caring</w:t>
      </w:r>
      <w:r>
        <w:rPr/>
        <w:t>) en la protección ambiental según diferentes categorías </w:t>
      </w:r>
      <w:r>
        <w:rPr>
          <w:spacing w:val="-3"/>
        </w:rPr>
        <w:t>de </w:t>
      </w:r>
      <w:r>
        <w:rPr/>
        <w:t>implicación (Clayton, Litchfield,  &amp;  Geller,  2013; Loureiro, 2011; Pinheiro &amp; Farias, 2013): el ambiente  (acciones para  conservar  los recursos naturales); la persona (acciones para ayudar a otras personas); y la  conducta (acciones para influir en </w:t>
      </w:r>
      <w:r>
        <w:rPr>
          <w:spacing w:val="4"/>
        </w:rPr>
        <w:t>el </w:t>
      </w:r>
      <w:r>
        <w:rPr/>
        <w:t>desarrollo de conductas  deseables). También se   ha observado </w:t>
      </w:r>
      <w:r>
        <w:rPr>
          <w:spacing w:val="-3"/>
        </w:rPr>
        <w:t>que </w:t>
      </w:r>
      <w:r>
        <w:rPr/>
        <w:t>altos niveles de compromiso con el ambiente natural predicen altos niveles  de intención y de conducta proambiental (Davis, Green &amp; Reed, 2009; Hidalgo   </w:t>
      </w:r>
      <w:r>
        <w:rPr>
          <w:i/>
        </w:rPr>
        <w:t>et al.</w:t>
      </w:r>
      <w:r>
        <w:rPr/>
        <w:t>,</w:t>
      </w:r>
      <w:r>
        <w:rPr>
          <w:spacing w:val="12"/>
        </w:rPr>
        <w:t> </w:t>
      </w:r>
      <w:r>
        <w:rPr/>
        <w:t>2011).</w:t>
      </w:r>
    </w:p>
    <w:p>
      <w:pPr>
        <w:pStyle w:val="BodyText"/>
        <w:spacing w:line="364" w:lineRule="auto" w:before="120"/>
        <w:ind w:left="100" w:right="886"/>
        <w:jc w:val="both"/>
      </w:pPr>
      <w:r>
        <w:rPr/>
        <w:t>Corral-Verdugo (2010), define entonces al comportamiento proambiental como el  conjunto de acciones intencionales, dirigidas y efectivas que responden  a  requerimientos sociales e individuales que resultan en la protección  del  ambiente.  Castro (2011), por su parte complementa la propuesta de Corral-Verdugo anexando el hecho de que dichas acciones deben estar dirigidas no solo a  la  protección  sino  también a la mejora de la calidad del ambiente  mediante conductas  especificas  por parte del</w:t>
      </w:r>
      <w:r>
        <w:rPr>
          <w:spacing w:val="16"/>
        </w:rPr>
        <w:t> </w:t>
      </w:r>
      <w:r>
        <w:rPr/>
        <w:t>individuo.</w:t>
      </w:r>
    </w:p>
    <w:p>
      <w:pPr>
        <w:pStyle w:val="BodyText"/>
        <w:spacing w:line="364" w:lineRule="auto" w:before="120"/>
        <w:ind w:left="100" w:right="896"/>
        <w:jc w:val="both"/>
      </w:pPr>
      <w:r>
        <w:rPr/>
        <w:t>Por otro lado, la complementación de las aportaciones expuestas, se ha visto reflejada también  en  la  descripción  de  modelos  y  escalas  para  estudiar  los comportamientos</w:t>
      </w:r>
    </w:p>
    <w:p>
      <w:pPr>
        <w:spacing w:after="0" w:line="364" w:lineRule="auto"/>
        <w:jc w:val="both"/>
        <w:sectPr>
          <w:headerReference w:type="default" r:id="rId68"/>
          <w:footerReference w:type="default" r:id="rId69"/>
          <w:pgSz w:w="11910" w:h="16840"/>
          <w:pgMar w:header="0" w:footer="1711" w:top="1000" w:bottom="1900" w:left="1560" w:right="200"/>
          <w:pgNumType w:start="105"/>
        </w:sectPr>
      </w:pPr>
    </w:p>
    <w:p>
      <w:pPr>
        <w:pStyle w:val="BodyText"/>
        <w:rPr>
          <w:sz w:val="20"/>
        </w:rPr>
      </w:pPr>
    </w:p>
    <w:p>
      <w:pPr>
        <w:pStyle w:val="BodyText"/>
        <w:spacing w:before="10"/>
        <w:rPr>
          <w:sz w:val="17"/>
        </w:rPr>
      </w:pPr>
    </w:p>
    <w:p>
      <w:pPr>
        <w:pStyle w:val="BodyText"/>
        <w:spacing w:line="364" w:lineRule="auto" w:before="74"/>
        <w:ind w:left="116" w:right="894"/>
        <w:jc w:val="both"/>
      </w:pPr>
      <w:r>
        <w:rPr/>
        <w:t>proambientales. </w:t>
      </w:r>
      <w:r>
        <w:rPr>
          <w:spacing w:val="2"/>
        </w:rPr>
        <w:t>Por </w:t>
      </w:r>
      <w:r>
        <w:rPr/>
        <w:t>lo que el presente estudio se basó en el modelo de Hines,  Hutenford y Tomera, por considerarse el más completo e identificando las siguientes variables, para el estudio del fenómeno</w:t>
      </w:r>
      <w:r>
        <w:rPr>
          <w:spacing w:val="59"/>
        </w:rPr>
        <w:t> </w:t>
      </w:r>
      <w:r>
        <w:rPr/>
        <w:t>turístico.</w:t>
      </w:r>
    </w:p>
    <w:p>
      <w:pPr>
        <w:pStyle w:val="BodyText"/>
        <w:spacing w:line="364" w:lineRule="auto" w:before="120"/>
        <w:ind w:left="116" w:right="896"/>
        <w:jc w:val="both"/>
      </w:pPr>
      <w:r>
        <w:rPr/>
        <w:t>Factores sociodemográficos: que son el reflejo de las características demográficas de una población. Entre ellos se encuentran la caracterización de la población según edad, sexo, ocupación y grado de estudios; estas medidas resumen parte de la situación de una población y algunos determinantes </w:t>
      </w:r>
      <w:r>
        <w:rPr>
          <w:spacing w:val="-3"/>
        </w:rPr>
        <w:t>de </w:t>
      </w:r>
      <w:r>
        <w:rPr/>
        <w:t>su perfil (Fraj y Martínez, </w:t>
      </w:r>
      <w:r>
        <w:rPr>
          <w:spacing w:val="28"/>
        </w:rPr>
        <w:t> </w:t>
      </w:r>
      <w:r>
        <w:rPr/>
        <w:t>2012).</w:t>
      </w:r>
    </w:p>
    <w:p>
      <w:pPr>
        <w:pStyle w:val="BodyText"/>
        <w:spacing w:line="364" w:lineRule="auto" w:before="120"/>
        <w:ind w:left="115" w:right="893"/>
        <w:jc w:val="both"/>
      </w:pPr>
      <w:r>
        <w:rPr/>
        <w:t>Factores cognitivos: son aquellos que hacen referencia a los conocimientos sobre el ambiente y la información que poseen las personas acerca  de lo  que  pueden  hacer para cambiar su conducta y los conocimientos que éstas tienen sobre las posibles estrategias a seguir para solucionar un problema ambiental concreto y si posee o no la habilidad para ejecutarla (Corral-Verdugo,</w:t>
      </w:r>
      <w:r>
        <w:rPr>
          <w:spacing w:val="50"/>
        </w:rPr>
        <w:t> </w:t>
      </w:r>
      <w:r>
        <w:rPr/>
        <w:t>2002).</w:t>
      </w:r>
    </w:p>
    <w:p>
      <w:pPr>
        <w:pStyle w:val="BodyText"/>
        <w:spacing w:before="125"/>
        <w:ind w:left="116"/>
        <w:jc w:val="both"/>
      </w:pPr>
      <w:r>
        <w:rPr/>
        <w:t>Dentro de este factor se identifican las variables</w:t>
      </w:r>
      <w:r>
        <w:rPr>
          <w:spacing w:val="56"/>
        </w:rPr>
        <w:t> </w:t>
      </w:r>
      <w:r>
        <w:rPr/>
        <w:t>de:</w:t>
      </w:r>
    </w:p>
    <w:p>
      <w:pPr>
        <w:pStyle w:val="BodyText"/>
        <w:rPr>
          <w:sz w:val="22"/>
        </w:rPr>
      </w:pPr>
    </w:p>
    <w:p>
      <w:pPr>
        <w:pStyle w:val="ListParagraph"/>
        <w:numPr>
          <w:ilvl w:val="2"/>
          <w:numId w:val="30"/>
        </w:numPr>
        <w:tabs>
          <w:tab w:pos="817" w:val="left" w:leader="none"/>
        </w:tabs>
        <w:spacing w:line="364" w:lineRule="auto" w:before="1" w:after="0"/>
        <w:ind w:left="816" w:right="898" w:hanging="350"/>
        <w:jc w:val="both"/>
        <w:rPr>
          <w:sz w:val="23"/>
        </w:rPr>
      </w:pPr>
      <w:r>
        <w:rPr>
          <w:sz w:val="23"/>
        </w:rPr>
        <w:t>Conocimiento de temas ambientales: que es el conjunto de información que dispone un individuo sobre la situación ambiental (Bustos, </w:t>
      </w:r>
      <w:r>
        <w:rPr>
          <w:spacing w:val="7"/>
          <w:sz w:val="23"/>
        </w:rPr>
        <w:t> </w:t>
      </w:r>
      <w:r>
        <w:rPr>
          <w:sz w:val="23"/>
        </w:rPr>
        <w:t>2004).</w:t>
      </w:r>
    </w:p>
    <w:p>
      <w:pPr>
        <w:pStyle w:val="ListParagraph"/>
        <w:numPr>
          <w:ilvl w:val="2"/>
          <w:numId w:val="30"/>
        </w:numPr>
        <w:tabs>
          <w:tab w:pos="817" w:val="left" w:leader="none"/>
        </w:tabs>
        <w:spacing w:line="367" w:lineRule="auto" w:before="0" w:after="0"/>
        <w:ind w:left="816" w:right="900" w:hanging="350"/>
        <w:jc w:val="both"/>
        <w:rPr>
          <w:sz w:val="23"/>
        </w:rPr>
      </w:pPr>
      <w:r>
        <w:rPr>
          <w:sz w:val="23"/>
        </w:rPr>
        <w:t>Actividades ambientales: es el constructo de </w:t>
      </w:r>
      <w:r>
        <w:rPr>
          <w:spacing w:val="-5"/>
          <w:sz w:val="23"/>
        </w:rPr>
        <w:t>la </w:t>
      </w:r>
      <w:r>
        <w:rPr>
          <w:sz w:val="23"/>
        </w:rPr>
        <w:t>competencia ambiental junto con motivos, conocimientos y creencias </w:t>
      </w:r>
      <w:r>
        <w:rPr>
          <w:spacing w:val="-3"/>
          <w:sz w:val="23"/>
        </w:rPr>
        <w:t>que </w:t>
      </w:r>
      <w:r>
        <w:rPr>
          <w:sz w:val="23"/>
        </w:rPr>
        <w:t>predicen </w:t>
      </w:r>
      <w:r>
        <w:rPr>
          <w:spacing w:val="-5"/>
          <w:sz w:val="23"/>
        </w:rPr>
        <w:t>la </w:t>
      </w:r>
      <w:r>
        <w:rPr>
          <w:sz w:val="23"/>
        </w:rPr>
        <w:t>conducta de protección ambiental (Corral-Verdugo,</w:t>
      </w:r>
      <w:r>
        <w:rPr>
          <w:spacing w:val="40"/>
          <w:sz w:val="23"/>
        </w:rPr>
        <w:t> </w:t>
      </w:r>
      <w:r>
        <w:rPr>
          <w:sz w:val="23"/>
        </w:rPr>
        <w:t>2002).</w:t>
      </w:r>
    </w:p>
    <w:p>
      <w:pPr>
        <w:pStyle w:val="ListParagraph"/>
        <w:numPr>
          <w:ilvl w:val="2"/>
          <w:numId w:val="30"/>
        </w:numPr>
        <w:tabs>
          <w:tab w:pos="817" w:val="left" w:leader="none"/>
        </w:tabs>
        <w:spacing w:line="364" w:lineRule="auto" w:before="2" w:after="0"/>
        <w:ind w:left="816" w:right="899" w:hanging="350"/>
        <w:jc w:val="both"/>
        <w:rPr>
          <w:sz w:val="23"/>
        </w:rPr>
      </w:pPr>
      <w:r>
        <w:rPr>
          <w:sz w:val="23"/>
        </w:rPr>
        <w:t>Estrategias </w:t>
      </w:r>
      <w:r>
        <w:rPr>
          <w:spacing w:val="3"/>
          <w:sz w:val="23"/>
        </w:rPr>
        <w:t>de </w:t>
      </w:r>
      <w:r>
        <w:rPr>
          <w:sz w:val="23"/>
        </w:rPr>
        <w:t>acción ambiental: definido como el nivel de información objetiva que se tiene sobre el </w:t>
      </w:r>
      <w:r>
        <w:rPr>
          <w:spacing w:val="2"/>
          <w:sz w:val="23"/>
        </w:rPr>
        <w:t>uso </w:t>
      </w:r>
      <w:r>
        <w:rPr>
          <w:sz w:val="23"/>
        </w:rPr>
        <w:t>de los recursos naturales y las acciones para preservarlos (Hines </w:t>
      </w:r>
      <w:r>
        <w:rPr>
          <w:i/>
          <w:sz w:val="23"/>
        </w:rPr>
        <w:t>et al</w:t>
      </w:r>
      <w:r>
        <w:rPr>
          <w:sz w:val="23"/>
        </w:rPr>
        <w:t>.,</w:t>
      </w:r>
      <w:r>
        <w:rPr>
          <w:spacing w:val="41"/>
          <w:sz w:val="23"/>
        </w:rPr>
        <w:t> </w:t>
      </w:r>
      <w:r>
        <w:rPr>
          <w:sz w:val="23"/>
        </w:rPr>
        <w:t>1986).</w:t>
      </w:r>
    </w:p>
    <w:p>
      <w:pPr>
        <w:pStyle w:val="BodyText"/>
        <w:spacing w:line="364" w:lineRule="auto" w:before="120"/>
        <w:ind w:left="116" w:right="891"/>
        <w:jc w:val="both"/>
      </w:pPr>
      <w:r>
        <w:rPr/>
        <w:t>Factores psicosociales: los cuales definen las características enfocadas a actividades, intereses, estilos de vida y opiniones, que mediante la personalidad, los valores y actitudes del individuo, permiten analizar el comportamiento del mismo (Fraj y Martínez, 2012).</w:t>
      </w:r>
    </w:p>
    <w:p>
      <w:pPr>
        <w:pStyle w:val="BodyText"/>
        <w:spacing w:before="125"/>
        <w:ind w:left="116"/>
        <w:jc w:val="both"/>
      </w:pPr>
      <w:r>
        <w:rPr/>
        <w:t>En donde las variables identificadas para el estudio  son:</w:t>
      </w:r>
    </w:p>
    <w:p>
      <w:pPr>
        <w:pStyle w:val="BodyText"/>
        <w:rPr>
          <w:sz w:val="22"/>
        </w:rPr>
      </w:pPr>
    </w:p>
    <w:p>
      <w:pPr>
        <w:pStyle w:val="ListParagraph"/>
        <w:numPr>
          <w:ilvl w:val="0"/>
          <w:numId w:val="31"/>
        </w:numPr>
        <w:tabs>
          <w:tab w:pos="817" w:val="left" w:leader="none"/>
        </w:tabs>
        <w:spacing w:line="364" w:lineRule="auto" w:before="1" w:after="0"/>
        <w:ind w:left="816" w:right="899" w:hanging="350"/>
        <w:jc w:val="both"/>
        <w:rPr>
          <w:sz w:val="23"/>
        </w:rPr>
      </w:pPr>
      <w:r>
        <w:rPr>
          <w:sz w:val="23"/>
        </w:rPr>
        <w:t>Actitudes: </w:t>
      </w:r>
      <w:r>
        <w:rPr>
          <w:spacing w:val="2"/>
          <w:sz w:val="23"/>
        </w:rPr>
        <w:t>son </w:t>
      </w:r>
      <w:r>
        <w:rPr>
          <w:sz w:val="23"/>
        </w:rPr>
        <w:t>los componentes culturales, simbólicos y de evaluación positiva o negativa </w:t>
      </w:r>
      <w:r>
        <w:rPr>
          <w:spacing w:val="2"/>
          <w:sz w:val="23"/>
        </w:rPr>
        <w:t>con </w:t>
      </w:r>
      <w:r>
        <w:rPr>
          <w:sz w:val="23"/>
        </w:rPr>
        <w:t>respecto al ambiente, que sustentan los patrones de interacción sociedad – naturaleza y orientan los usos </w:t>
      </w:r>
      <w:r>
        <w:rPr>
          <w:spacing w:val="-3"/>
          <w:sz w:val="23"/>
        </w:rPr>
        <w:t>de </w:t>
      </w:r>
      <w:r>
        <w:rPr>
          <w:sz w:val="23"/>
        </w:rPr>
        <w:t>los recursos (Rodríguez, </w:t>
      </w:r>
      <w:r>
        <w:rPr>
          <w:spacing w:val="35"/>
          <w:sz w:val="23"/>
        </w:rPr>
        <w:t> </w:t>
      </w:r>
      <w:r>
        <w:rPr>
          <w:sz w:val="23"/>
        </w:rPr>
        <w:t>2011).</w:t>
      </w:r>
    </w:p>
    <w:p>
      <w:pPr>
        <w:spacing w:after="0" w:line="364" w:lineRule="auto"/>
        <w:jc w:val="both"/>
        <w:rPr>
          <w:sz w:val="23"/>
        </w:rPr>
        <w:sectPr>
          <w:headerReference w:type="default" r:id="rId71"/>
          <w:pgSz w:w="11910" w:h="16840"/>
          <w:pgMar w:header="1066" w:footer="1711" w:top="1460" w:bottom="1900" w:left="1540" w:right="200"/>
        </w:sectPr>
      </w:pPr>
    </w:p>
    <w:p>
      <w:pPr>
        <w:pStyle w:val="BodyText"/>
        <w:rPr>
          <w:sz w:val="20"/>
        </w:rPr>
      </w:pPr>
    </w:p>
    <w:p>
      <w:pPr>
        <w:pStyle w:val="BodyText"/>
        <w:spacing w:before="10"/>
        <w:rPr>
          <w:sz w:val="17"/>
        </w:rPr>
      </w:pPr>
    </w:p>
    <w:p>
      <w:pPr>
        <w:pStyle w:val="ListParagraph"/>
        <w:numPr>
          <w:ilvl w:val="0"/>
          <w:numId w:val="31"/>
        </w:numPr>
        <w:tabs>
          <w:tab w:pos="817" w:val="left" w:leader="none"/>
        </w:tabs>
        <w:spacing w:line="364" w:lineRule="auto" w:before="74" w:after="0"/>
        <w:ind w:left="816" w:right="896" w:hanging="350"/>
        <w:jc w:val="both"/>
        <w:rPr>
          <w:sz w:val="23"/>
        </w:rPr>
      </w:pPr>
      <w:r>
        <w:rPr>
          <w:sz w:val="23"/>
        </w:rPr>
        <w:t>Locus de control (Conciencia): Es el grado de expectativa de una persona de reducir el consumo de residuos está en función de sus propias acciones (Rootter, 1990).</w:t>
      </w:r>
    </w:p>
    <w:p>
      <w:pPr>
        <w:pStyle w:val="ListParagraph"/>
        <w:numPr>
          <w:ilvl w:val="0"/>
          <w:numId w:val="31"/>
        </w:numPr>
        <w:tabs>
          <w:tab w:pos="467" w:val="left" w:leader="none"/>
        </w:tabs>
        <w:spacing w:line="364" w:lineRule="auto" w:before="5" w:after="0"/>
        <w:ind w:left="466" w:right="896" w:hanging="350"/>
        <w:jc w:val="both"/>
        <w:rPr>
          <w:sz w:val="23"/>
        </w:rPr>
      </w:pPr>
      <w:r>
        <w:rPr>
          <w:sz w:val="23"/>
        </w:rPr>
        <w:t>Responsabilidad ambiental: Es </w:t>
      </w:r>
      <w:r>
        <w:rPr>
          <w:spacing w:val="-5"/>
          <w:sz w:val="23"/>
        </w:rPr>
        <w:t>la </w:t>
      </w:r>
      <w:r>
        <w:rPr>
          <w:sz w:val="23"/>
        </w:rPr>
        <w:t>valoración positiva o negativa por el impacto ecológico de una decisión. Es </w:t>
      </w:r>
      <w:r>
        <w:rPr>
          <w:spacing w:val="-3"/>
          <w:sz w:val="23"/>
        </w:rPr>
        <w:t>decir, </w:t>
      </w:r>
      <w:r>
        <w:rPr>
          <w:sz w:val="23"/>
        </w:rPr>
        <w:t>por el daño causado a la naturaleza en su conjunto por </w:t>
      </w:r>
      <w:r>
        <w:rPr>
          <w:spacing w:val="-5"/>
          <w:sz w:val="23"/>
        </w:rPr>
        <w:t>la </w:t>
      </w:r>
      <w:r>
        <w:rPr>
          <w:sz w:val="23"/>
        </w:rPr>
        <w:t>acciones del hombre, dada su disposición para proteger el ambiente (Hines </w:t>
      </w:r>
      <w:r>
        <w:rPr>
          <w:i/>
          <w:sz w:val="23"/>
        </w:rPr>
        <w:t>et al</w:t>
      </w:r>
      <w:r>
        <w:rPr>
          <w:sz w:val="23"/>
        </w:rPr>
        <w:t>.,</w:t>
      </w:r>
      <w:r>
        <w:rPr>
          <w:spacing w:val="21"/>
          <w:sz w:val="23"/>
        </w:rPr>
        <w:t> </w:t>
      </w:r>
      <w:r>
        <w:rPr>
          <w:sz w:val="23"/>
        </w:rPr>
        <w:t>1986).</w:t>
      </w:r>
    </w:p>
    <w:p>
      <w:pPr>
        <w:pStyle w:val="BodyText"/>
        <w:rPr>
          <w:sz w:val="22"/>
        </w:rPr>
      </w:pPr>
    </w:p>
    <w:p>
      <w:pPr>
        <w:pStyle w:val="BodyText"/>
        <w:rPr>
          <w:sz w:val="22"/>
        </w:rPr>
      </w:pPr>
    </w:p>
    <w:p>
      <w:pPr>
        <w:pStyle w:val="Heading2"/>
        <w:numPr>
          <w:ilvl w:val="1"/>
          <w:numId w:val="30"/>
        </w:numPr>
        <w:tabs>
          <w:tab w:pos="803" w:val="left" w:leader="none"/>
        </w:tabs>
        <w:spacing w:line="240" w:lineRule="auto" w:before="137" w:after="0"/>
        <w:ind w:left="802" w:right="0" w:hanging="686"/>
        <w:jc w:val="both"/>
      </w:pPr>
      <w:bookmarkStart w:name="_TOC_250004" w:id="31"/>
      <w:r>
        <w:rPr/>
        <w:t>Parque Nacional Desierto de los</w:t>
      </w:r>
      <w:r>
        <w:rPr>
          <w:spacing w:val="47"/>
        </w:rPr>
        <w:t> </w:t>
      </w:r>
      <w:bookmarkEnd w:id="31"/>
      <w:r>
        <w:rPr/>
        <w:t>Leones</w:t>
      </w:r>
    </w:p>
    <w:p>
      <w:pPr>
        <w:pStyle w:val="BodyText"/>
        <w:rPr>
          <w:b/>
          <w:sz w:val="22"/>
        </w:rPr>
      </w:pPr>
    </w:p>
    <w:p>
      <w:pPr>
        <w:pStyle w:val="BodyText"/>
        <w:spacing w:line="364" w:lineRule="auto" w:before="1"/>
        <w:ind w:left="115" w:right="893"/>
        <w:jc w:val="both"/>
      </w:pPr>
      <w:r>
        <w:rPr/>
        <w:t>La Ciudad de México </w:t>
      </w:r>
      <w:r>
        <w:rPr>
          <w:spacing w:val="-3"/>
        </w:rPr>
        <w:t>es </w:t>
      </w:r>
      <w:r>
        <w:rPr/>
        <w:t>una de las urbes más pobladas del mundo, </w:t>
      </w:r>
      <w:r>
        <w:rPr>
          <w:spacing w:val="-4"/>
        </w:rPr>
        <w:t>ya </w:t>
      </w:r>
      <w:r>
        <w:rPr/>
        <w:t>que </w:t>
      </w:r>
      <w:r>
        <w:rPr>
          <w:spacing w:val="2"/>
        </w:rPr>
        <w:t>desde  </w:t>
      </w:r>
      <w:r>
        <w:rPr/>
        <w:t>épocas prehispánicas se han asentado en su territorio diferentes culturas que han aprovechado las características físico-biológicas que presenta esta zona, ubicada en la región suroeste de la Cuenca de México. En la actualidad, el Distrito Federal (D.F.) es una entidad fundamentalmente urbana, en donde se han modificado en gran medida los paisajes naturales, por lo que las estrategias de gobierno en materia de medio ambiente se han encaminado a la creación de áreas naturales protegidas para promover la conservación y protección de los recursos naturales; como el caso del Parque Nacional Desierto de los Leones, publicado en el Diario Oficial de la Federación el día 27 de noviembre de 1917, siendo el primero en decretarse con la categoría de  parque  nacional.</w:t>
      </w:r>
    </w:p>
    <w:p>
      <w:pPr>
        <w:pStyle w:val="BodyText"/>
        <w:spacing w:line="364" w:lineRule="auto" w:before="125"/>
        <w:ind w:left="115" w:right="896"/>
        <w:jc w:val="both"/>
      </w:pPr>
      <w:r>
        <w:rPr/>
        <w:t>Con base en esta medida, el Parque Nacional Desierto de los Leones </w:t>
      </w:r>
      <w:r>
        <w:rPr>
          <w:spacing w:val="-3"/>
        </w:rPr>
        <w:t>es </w:t>
      </w:r>
      <w:r>
        <w:rPr/>
        <w:t>un espacio natural que ha propiciado el mantenimiento de los ecosistemas que </w:t>
      </w:r>
      <w:r>
        <w:rPr>
          <w:spacing w:val="-5"/>
        </w:rPr>
        <w:t>lo </w:t>
      </w:r>
      <w:r>
        <w:rPr/>
        <w:t>componen, permitiendo la producción de bienes y servicios ambientales de los cuales depende directamente la población de la Ciudad de México. Esta área favorece </w:t>
      </w:r>
      <w:r>
        <w:rPr>
          <w:spacing w:val="-5"/>
        </w:rPr>
        <w:t>la </w:t>
      </w:r>
      <w:r>
        <w:rPr/>
        <w:t>retención de la humedad y la recarga del acuífero, previene </w:t>
      </w:r>
      <w:r>
        <w:rPr>
          <w:spacing w:val="-5"/>
        </w:rPr>
        <w:t>la </w:t>
      </w:r>
      <w:r>
        <w:rPr/>
        <w:t>erosión, contribuye a mejorar la calidad del aire, así como al sostenimiento y mejoramiento de poblaciones de flora y fauna silvestres.</w:t>
      </w:r>
    </w:p>
    <w:p>
      <w:pPr>
        <w:pStyle w:val="BodyText"/>
        <w:spacing w:line="364" w:lineRule="auto" w:before="120"/>
        <w:ind w:left="115" w:right="900"/>
        <w:jc w:val="both"/>
      </w:pPr>
      <w:r>
        <w:rPr/>
        <w:t>Sin embargo, por tradición el parque nacional ha sido un lugar de recreación de los habitantes del Distrito Federal, ejemplo de ello es el hecho de que el antiguo convento</w:t>
      </w:r>
    </w:p>
    <w:p>
      <w:pPr>
        <w:spacing w:after="0" w:line="364" w:lineRule="auto"/>
        <w:jc w:val="both"/>
        <w:sectPr>
          <w:pgSz w:w="11910" w:h="16840"/>
          <w:pgMar w:header="1066" w:footer="1711" w:top="1460" w:bottom="1900" w:left="1540" w:right="200"/>
        </w:sectPr>
      </w:pPr>
    </w:p>
    <w:p>
      <w:pPr>
        <w:pStyle w:val="BodyText"/>
        <w:rPr>
          <w:sz w:val="20"/>
        </w:rPr>
      </w:pPr>
    </w:p>
    <w:p>
      <w:pPr>
        <w:pStyle w:val="BodyText"/>
        <w:spacing w:before="10"/>
        <w:rPr>
          <w:sz w:val="17"/>
        </w:rPr>
      </w:pPr>
    </w:p>
    <w:p>
      <w:pPr>
        <w:pStyle w:val="BodyText"/>
        <w:spacing w:line="362" w:lineRule="auto" w:before="74"/>
        <w:ind w:left="116" w:right="897"/>
        <w:jc w:val="both"/>
      </w:pPr>
      <w:r>
        <w:rPr/>
        <w:t>recibe alrededor de 17 mil visitantes al año aproximadamente sin contar a los visitantes que llegan a realizar días de campo, senderismo, caminata o  acampar.</w:t>
      </w:r>
    </w:p>
    <w:p>
      <w:pPr>
        <w:pStyle w:val="BodyText"/>
        <w:spacing w:line="364" w:lineRule="auto" w:before="123"/>
        <w:ind w:left="115" w:right="899"/>
        <w:jc w:val="both"/>
      </w:pPr>
      <w:r>
        <w:rPr/>
        <w:t>Estas actividades turísticas se ha realizado de una manera intensiva y descontrolada, ocasionando efectos negativos que se han concentrado principalmente en la zona boscosa del Parque y en algunas áreas de uso intensivo, en donde los impactos negativos han ido aumentando debido al mal comportamiento de los visitantes que irrumpen el entorno natural al tirar basura en las áreas verdes, en las fuentes hídricas, destruyendo la vegetación y agrediendo la  fauna.</w:t>
      </w:r>
    </w:p>
    <w:p>
      <w:pPr>
        <w:pStyle w:val="BodyText"/>
        <w:rPr>
          <w:sz w:val="22"/>
        </w:rPr>
      </w:pPr>
    </w:p>
    <w:p>
      <w:pPr>
        <w:pStyle w:val="BodyText"/>
        <w:rPr>
          <w:sz w:val="22"/>
        </w:rPr>
      </w:pPr>
    </w:p>
    <w:p>
      <w:pPr>
        <w:pStyle w:val="Heading2"/>
        <w:numPr>
          <w:ilvl w:val="1"/>
          <w:numId w:val="30"/>
        </w:numPr>
        <w:tabs>
          <w:tab w:pos="803" w:val="left" w:leader="none"/>
        </w:tabs>
        <w:spacing w:line="240" w:lineRule="auto" w:before="137" w:after="0"/>
        <w:ind w:left="802" w:right="0" w:hanging="686"/>
        <w:jc w:val="both"/>
      </w:pPr>
      <w:bookmarkStart w:name="_TOC_250003" w:id="32"/>
      <w:bookmarkEnd w:id="32"/>
      <w:r>
        <w:rPr/>
        <w:t>Método</w:t>
      </w:r>
    </w:p>
    <w:p>
      <w:pPr>
        <w:pStyle w:val="BodyText"/>
        <w:rPr>
          <w:b/>
          <w:sz w:val="22"/>
        </w:rPr>
      </w:pPr>
    </w:p>
    <w:p>
      <w:pPr>
        <w:pStyle w:val="BodyText"/>
        <w:spacing w:line="364" w:lineRule="auto" w:before="1"/>
        <w:ind w:left="116" w:right="899"/>
        <w:jc w:val="both"/>
      </w:pPr>
      <w:r>
        <w:rPr/>
        <w:t>La actividad turística </w:t>
      </w:r>
      <w:r>
        <w:rPr>
          <w:spacing w:val="-3"/>
        </w:rPr>
        <w:t>en </w:t>
      </w:r>
      <w:r>
        <w:rPr/>
        <w:t>el Parque Nacional Desierto de los Leones  (PNDL)  se  constituye principalmente por los visitantes que llegan </w:t>
      </w:r>
      <w:r>
        <w:rPr>
          <w:spacing w:val="4"/>
        </w:rPr>
        <w:t>al </w:t>
      </w:r>
      <w:r>
        <w:rPr/>
        <w:t>lugar y las diferentes  actividades de esparcimiento que realizan en relación </w:t>
      </w:r>
      <w:r>
        <w:rPr>
          <w:spacing w:val="2"/>
        </w:rPr>
        <w:t>con </w:t>
      </w:r>
      <w:r>
        <w:rPr/>
        <w:t>la naturaleza. Se estima que recibe aproximadamente 205,500 visitantes anuales, los cuales realizan diferentes actividades entre las que destacan recorridos por el museo y </w:t>
      </w:r>
      <w:r>
        <w:rPr>
          <w:spacing w:val="4"/>
        </w:rPr>
        <w:t>el </w:t>
      </w:r>
      <w:r>
        <w:rPr/>
        <w:t>bosque, caminata, ciclismo, senderismo, cabalgata, tirolesa, y zonas de convivencias </w:t>
      </w:r>
      <w:r>
        <w:rPr>
          <w:spacing w:val="-3"/>
        </w:rPr>
        <w:t>de </w:t>
      </w:r>
      <w:r>
        <w:rPr/>
        <w:t>días de campo (SECTUR, 2014). Para la recolección </w:t>
      </w:r>
      <w:r>
        <w:rPr>
          <w:spacing w:val="-3"/>
        </w:rPr>
        <w:t>de </w:t>
      </w:r>
      <w:r>
        <w:rPr/>
        <w:t>los datos </w:t>
      </w:r>
      <w:r>
        <w:rPr>
          <w:spacing w:val="3"/>
        </w:rPr>
        <w:t>se </w:t>
      </w:r>
      <w:r>
        <w:rPr/>
        <w:t>diseñó un cuestionario de 24 reactivos en escala tipo Likert donde (1) es Totalmente en desacuerdo y (5) es Totalmente de acuerdo. </w:t>
      </w:r>
      <w:r>
        <w:rPr>
          <w:spacing w:val="-3"/>
        </w:rPr>
        <w:t>La </w:t>
      </w:r>
      <w:r>
        <w:rPr/>
        <w:t>muestra fue de 420 turistas como se puede observar en la tabla</w:t>
      </w:r>
      <w:r>
        <w:rPr>
          <w:spacing w:val="7"/>
        </w:rPr>
        <w:t> </w:t>
      </w:r>
      <w:r>
        <w:rPr/>
        <w:t>1.</w:t>
      </w:r>
    </w:p>
    <w:p>
      <w:pPr>
        <w:pStyle w:val="BodyText"/>
        <w:spacing w:before="125"/>
        <w:ind w:left="2804" w:right="989"/>
      </w:pPr>
      <w:r>
        <w:rPr/>
        <w:t>Tabla 1. Ficha técnica de la muestra</w:t>
      </w:r>
    </w:p>
    <w:p>
      <w:pPr>
        <w:pStyle w:val="BodyText"/>
        <w:spacing w:before="5"/>
        <w:rPr>
          <w:sz w:val="12"/>
        </w:rPr>
      </w:pPr>
    </w:p>
    <w:tbl>
      <w:tblPr>
        <w:tblW w:w="0" w:type="auto"/>
        <w:jc w:val="left"/>
        <w:tblInd w:w="18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99"/>
        <w:gridCol w:w="1934"/>
      </w:tblGrid>
      <w:tr>
        <w:trPr>
          <w:trHeight w:val="235" w:hRule="exact"/>
        </w:trPr>
        <w:tc>
          <w:tcPr>
            <w:tcW w:w="2899" w:type="dxa"/>
            <w:shd w:val="clear" w:color="auto" w:fill="E5E5E5"/>
          </w:tcPr>
          <w:p>
            <w:pPr>
              <w:pStyle w:val="TableParagraph"/>
              <w:spacing w:line="218" w:lineRule="exact"/>
              <w:ind w:left="105"/>
              <w:rPr>
                <w:sz w:val="19"/>
              </w:rPr>
            </w:pPr>
            <w:r>
              <w:rPr>
                <w:w w:val="105"/>
                <w:sz w:val="19"/>
              </w:rPr>
              <w:t>Colectivo/características</w:t>
            </w:r>
          </w:p>
        </w:tc>
        <w:tc>
          <w:tcPr>
            <w:tcW w:w="1934" w:type="dxa"/>
            <w:shd w:val="clear" w:color="auto" w:fill="E5E5E5"/>
          </w:tcPr>
          <w:p>
            <w:pPr>
              <w:pStyle w:val="TableParagraph"/>
              <w:spacing w:line="218" w:lineRule="exact"/>
              <w:ind w:left="100"/>
              <w:rPr>
                <w:sz w:val="19"/>
              </w:rPr>
            </w:pPr>
            <w:r>
              <w:rPr>
                <w:w w:val="105"/>
                <w:sz w:val="19"/>
              </w:rPr>
              <w:t>Turistas</w:t>
            </w:r>
          </w:p>
        </w:tc>
      </w:tr>
      <w:tr>
        <w:trPr>
          <w:trHeight w:val="230" w:hRule="exact"/>
        </w:trPr>
        <w:tc>
          <w:tcPr>
            <w:tcW w:w="2899" w:type="dxa"/>
          </w:tcPr>
          <w:p>
            <w:pPr>
              <w:pStyle w:val="TableParagraph"/>
              <w:spacing w:line="218" w:lineRule="exact"/>
              <w:ind w:left="105"/>
              <w:rPr>
                <w:sz w:val="19"/>
              </w:rPr>
            </w:pPr>
            <w:r>
              <w:rPr>
                <w:w w:val="105"/>
                <w:sz w:val="19"/>
              </w:rPr>
              <w:t>Tamaño de población</w:t>
            </w:r>
          </w:p>
        </w:tc>
        <w:tc>
          <w:tcPr>
            <w:tcW w:w="1934" w:type="dxa"/>
          </w:tcPr>
          <w:p>
            <w:pPr>
              <w:pStyle w:val="TableParagraph"/>
              <w:spacing w:line="218" w:lineRule="exact"/>
              <w:ind w:left="100"/>
              <w:rPr>
                <w:sz w:val="19"/>
              </w:rPr>
            </w:pPr>
            <w:r>
              <w:rPr>
                <w:w w:val="105"/>
                <w:sz w:val="19"/>
              </w:rPr>
              <w:t>205,500</w:t>
            </w:r>
          </w:p>
        </w:tc>
      </w:tr>
      <w:tr>
        <w:trPr>
          <w:trHeight w:val="235" w:hRule="exact"/>
        </w:trPr>
        <w:tc>
          <w:tcPr>
            <w:tcW w:w="2899" w:type="dxa"/>
          </w:tcPr>
          <w:p>
            <w:pPr>
              <w:pStyle w:val="TableParagraph"/>
              <w:spacing w:line="218" w:lineRule="exact"/>
              <w:ind w:left="105"/>
              <w:rPr>
                <w:sz w:val="19"/>
              </w:rPr>
            </w:pPr>
            <w:r>
              <w:rPr>
                <w:w w:val="105"/>
                <w:sz w:val="19"/>
              </w:rPr>
              <w:t>Tamaño de muestra</w:t>
            </w:r>
          </w:p>
        </w:tc>
        <w:tc>
          <w:tcPr>
            <w:tcW w:w="1934" w:type="dxa"/>
          </w:tcPr>
          <w:p>
            <w:pPr>
              <w:pStyle w:val="TableParagraph"/>
              <w:spacing w:line="218" w:lineRule="exact"/>
              <w:ind w:left="100"/>
              <w:rPr>
                <w:sz w:val="19"/>
              </w:rPr>
            </w:pPr>
            <w:r>
              <w:rPr>
                <w:w w:val="105"/>
                <w:sz w:val="19"/>
              </w:rPr>
              <w:t>420</w:t>
            </w:r>
          </w:p>
        </w:tc>
      </w:tr>
      <w:tr>
        <w:trPr>
          <w:trHeight w:val="458" w:hRule="exact"/>
        </w:trPr>
        <w:tc>
          <w:tcPr>
            <w:tcW w:w="2899" w:type="dxa"/>
            <w:tcBorders>
              <w:bottom w:val="single" w:sz="2" w:space="0" w:color="000000"/>
            </w:tcBorders>
          </w:tcPr>
          <w:p>
            <w:pPr>
              <w:pStyle w:val="TableParagraph"/>
              <w:spacing w:line="247" w:lineRule="auto"/>
              <w:ind w:left="105"/>
              <w:rPr>
                <w:sz w:val="19"/>
              </w:rPr>
            </w:pPr>
            <w:r>
              <w:rPr>
                <w:w w:val="105"/>
                <w:sz w:val="19"/>
              </w:rPr>
              <w:t>Instrumento de obtención de información</w:t>
            </w:r>
          </w:p>
        </w:tc>
        <w:tc>
          <w:tcPr>
            <w:tcW w:w="1934" w:type="dxa"/>
            <w:tcBorders>
              <w:bottom w:val="single" w:sz="2" w:space="0" w:color="000000"/>
            </w:tcBorders>
          </w:tcPr>
          <w:p>
            <w:pPr>
              <w:pStyle w:val="TableParagraph"/>
              <w:spacing w:line="218" w:lineRule="exact"/>
              <w:ind w:left="100"/>
              <w:rPr>
                <w:sz w:val="19"/>
              </w:rPr>
            </w:pPr>
            <w:r>
              <w:rPr>
                <w:w w:val="105"/>
                <w:sz w:val="19"/>
              </w:rPr>
              <w:t>Cuestionario</w:t>
            </w:r>
          </w:p>
        </w:tc>
      </w:tr>
      <w:tr>
        <w:trPr>
          <w:trHeight w:val="233" w:hRule="exact"/>
        </w:trPr>
        <w:tc>
          <w:tcPr>
            <w:tcW w:w="2899" w:type="dxa"/>
            <w:tcBorders>
              <w:top w:val="single" w:sz="2" w:space="0" w:color="000000"/>
            </w:tcBorders>
          </w:tcPr>
          <w:p>
            <w:pPr>
              <w:pStyle w:val="TableParagraph"/>
              <w:spacing w:line="218" w:lineRule="exact"/>
              <w:ind w:left="105"/>
              <w:rPr>
                <w:sz w:val="19"/>
              </w:rPr>
            </w:pPr>
            <w:r>
              <w:rPr>
                <w:w w:val="105"/>
                <w:sz w:val="19"/>
              </w:rPr>
              <w:t>Muestra</w:t>
            </w:r>
          </w:p>
        </w:tc>
        <w:tc>
          <w:tcPr>
            <w:tcW w:w="1934" w:type="dxa"/>
            <w:tcBorders>
              <w:top w:val="single" w:sz="2" w:space="0" w:color="000000"/>
            </w:tcBorders>
          </w:tcPr>
          <w:p>
            <w:pPr>
              <w:pStyle w:val="TableParagraph"/>
              <w:spacing w:line="218" w:lineRule="exact"/>
              <w:ind w:left="100"/>
              <w:rPr>
                <w:sz w:val="19"/>
              </w:rPr>
            </w:pPr>
            <w:r>
              <w:rPr>
                <w:w w:val="105"/>
                <w:sz w:val="19"/>
              </w:rPr>
              <w:t>Probabilística</w:t>
            </w:r>
          </w:p>
        </w:tc>
      </w:tr>
    </w:tbl>
    <w:p>
      <w:pPr>
        <w:pStyle w:val="BodyText"/>
        <w:spacing w:line="364" w:lineRule="auto" w:before="110"/>
        <w:ind w:left="116" w:right="892"/>
        <w:jc w:val="both"/>
      </w:pPr>
      <w:r>
        <w:rPr/>
        <w:t>El cuestionario fue sometido a la prueba de confiabilidad de Alfa de  Cronbach,  revelando en la mayoría de las dimensiones valores satisfactorios, tal como se muestra en </w:t>
      </w:r>
      <w:r>
        <w:rPr>
          <w:spacing w:val="-5"/>
        </w:rPr>
        <w:t>la </w:t>
      </w:r>
      <w:r>
        <w:rPr/>
        <w:t>tabla</w:t>
      </w:r>
      <w:r>
        <w:rPr>
          <w:spacing w:val="23"/>
        </w:rPr>
        <w:t> </w:t>
      </w:r>
      <w:r>
        <w:rPr/>
        <w:t>2.</w:t>
      </w:r>
    </w:p>
    <w:p>
      <w:pPr>
        <w:spacing w:after="0" w:line="364" w:lineRule="auto"/>
        <w:jc w:val="both"/>
        <w:sectPr>
          <w:pgSz w:w="11910" w:h="16840"/>
          <w:pgMar w:header="1066" w:footer="1711" w:top="1460" w:bottom="1900" w:left="1540" w:right="200"/>
        </w:sectPr>
      </w:pPr>
    </w:p>
    <w:p>
      <w:pPr>
        <w:pStyle w:val="BodyText"/>
        <w:rPr>
          <w:sz w:val="20"/>
        </w:rPr>
      </w:pPr>
    </w:p>
    <w:p>
      <w:pPr>
        <w:pStyle w:val="BodyText"/>
        <w:rPr>
          <w:sz w:val="20"/>
        </w:rPr>
      </w:pPr>
    </w:p>
    <w:p>
      <w:pPr>
        <w:pStyle w:val="BodyText"/>
        <w:spacing w:before="10"/>
        <w:rPr>
          <w:sz w:val="20"/>
        </w:rPr>
      </w:pPr>
    </w:p>
    <w:p>
      <w:pPr>
        <w:pStyle w:val="BodyText"/>
        <w:spacing w:before="73" w:after="14"/>
        <w:ind w:left="2731" w:right="989"/>
      </w:pPr>
      <w:r>
        <w:rPr/>
        <w:t>Tabla 2. Confiabilidad del instrumento</w:t>
      </w:r>
    </w:p>
    <w:tbl>
      <w:tblPr>
        <w:tblW w:w="0" w:type="auto"/>
        <w:jc w:val="left"/>
        <w:tblInd w:w="7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184"/>
        <w:gridCol w:w="2213"/>
      </w:tblGrid>
      <w:tr>
        <w:trPr>
          <w:trHeight w:val="283" w:hRule="exact"/>
        </w:trPr>
        <w:tc>
          <w:tcPr>
            <w:tcW w:w="5184" w:type="dxa"/>
            <w:vMerge w:val="restart"/>
            <w:shd w:val="clear" w:color="auto" w:fill="F2F2F2"/>
          </w:tcPr>
          <w:p>
            <w:pPr>
              <w:pStyle w:val="TableParagraph"/>
              <w:spacing w:line="255" w:lineRule="exact"/>
              <w:ind w:left="2083" w:right="2082"/>
              <w:jc w:val="center"/>
              <w:rPr>
                <w:sz w:val="23"/>
              </w:rPr>
            </w:pPr>
            <w:r>
              <w:rPr>
                <w:sz w:val="23"/>
              </w:rPr>
              <w:t>Variables</w:t>
            </w:r>
          </w:p>
        </w:tc>
        <w:tc>
          <w:tcPr>
            <w:tcW w:w="2213" w:type="dxa"/>
            <w:shd w:val="clear" w:color="auto" w:fill="F2F2F2"/>
          </w:tcPr>
          <w:p>
            <w:pPr>
              <w:pStyle w:val="TableParagraph"/>
              <w:spacing w:line="255" w:lineRule="exact"/>
              <w:ind w:left="192" w:right="184"/>
              <w:jc w:val="center"/>
              <w:rPr>
                <w:sz w:val="23"/>
              </w:rPr>
            </w:pPr>
            <w:r>
              <w:rPr>
                <w:sz w:val="23"/>
              </w:rPr>
              <w:t>Alfa de Cronbach</w:t>
            </w:r>
          </w:p>
        </w:tc>
      </w:tr>
      <w:tr>
        <w:trPr>
          <w:trHeight w:val="288" w:hRule="exact"/>
        </w:trPr>
        <w:tc>
          <w:tcPr>
            <w:tcW w:w="5184" w:type="dxa"/>
            <w:vMerge/>
            <w:shd w:val="clear" w:color="auto" w:fill="F2F2F2"/>
          </w:tcPr>
          <w:p>
            <w:pPr/>
          </w:p>
        </w:tc>
        <w:tc>
          <w:tcPr>
            <w:tcW w:w="2213" w:type="dxa"/>
            <w:shd w:val="clear" w:color="auto" w:fill="F2F2F2"/>
          </w:tcPr>
          <w:p>
            <w:pPr>
              <w:pStyle w:val="TableParagraph"/>
              <w:spacing w:line="260" w:lineRule="exact"/>
              <w:ind w:left="192" w:right="183"/>
              <w:jc w:val="center"/>
              <w:rPr>
                <w:sz w:val="23"/>
              </w:rPr>
            </w:pPr>
            <w:r>
              <w:rPr>
                <w:sz w:val="23"/>
              </w:rPr>
              <w:t>Turistas (n=420)</w:t>
            </w:r>
          </w:p>
        </w:tc>
      </w:tr>
      <w:tr>
        <w:trPr>
          <w:trHeight w:val="293" w:hRule="exact"/>
        </w:trPr>
        <w:tc>
          <w:tcPr>
            <w:tcW w:w="5184" w:type="dxa"/>
          </w:tcPr>
          <w:p>
            <w:pPr>
              <w:pStyle w:val="TableParagraph"/>
              <w:spacing w:line="260" w:lineRule="exact"/>
              <w:ind w:left="95"/>
              <w:rPr>
                <w:sz w:val="23"/>
              </w:rPr>
            </w:pPr>
            <w:r>
              <w:rPr>
                <w:sz w:val="23"/>
              </w:rPr>
              <w:t>Conocimiento</w:t>
            </w:r>
          </w:p>
        </w:tc>
        <w:tc>
          <w:tcPr>
            <w:tcW w:w="2213" w:type="dxa"/>
          </w:tcPr>
          <w:p>
            <w:pPr>
              <w:pStyle w:val="TableParagraph"/>
              <w:spacing w:line="260" w:lineRule="exact"/>
              <w:ind w:left="188" w:right="184"/>
              <w:jc w:val="center"/>
              <w:rPr>
                <w:sz w:val="23"/>
              </w:rPr>
            </w:pPr>
            <w:r>
              <w:rPr>
                <w:sz w:val="23"/>
              </w:rPr>
              <w:t>.691</w:t>
            </w:r>
          </w:p>
        </w:tc>
      </w:tr>
      <w:tr>
        <w:trPr>
          <w:trHeight w:val="283" w:hRule="exact"/>
        </w:trPr>
        <w:tc>
          <w:tcPr>
            <w:tcW w:w="5184" w:type="dxa"/>
          </w:tcPr>
          <w:p>
            <w:pPr>
              <w:pStyle w:val="TableParagraph"/>
              <w:spacing w:line="255" w:lineRule="exact"/>
              <w:ind w:left="95"/>
              <w:rPr>
                <w:sz w:val="23"/>
              </w:rPr>
            </w:pPr>
            <w:r>
              <w:rPr>
                <w:sz w:val="23"/>
              </w:rPr>
              <w:t>Actividades ambientales</w:t>
            </w:r>
          </w:p>
        </w:tc>
        <w:tc>
          <w:tcPr>
            <w:tcW w:w="2213" w:type="dxa"/>
          </w:tcPr>
          <w:p>
            <w:pPr>
              <w:pStyle w:val="TableParagraph"/>
              <w:spacing w:line="255" w:lineRule="exact"/>
              <w:ind w:left="188" w:right="184"/>
              <w:jc w:val="center"/>
              <w:rPr>
                <w:sz w:val="23"/>
              </w:rPr>
            </w:pPr>
            <w:r>
              <w:rPr>
                <w:sz w:val="23"/>
              </w:rPr>
              <w:t>.725</w:t>
            </w:r>
          </w:p>
        </w:tc>
      </w:tr>
      <w:tr>
        <w:trPr>
          <w:trHeight w:val="288" w:hRule="exact"/>
        </w:trPr>
        <w:tc>
          <w:tcPr>
            <w:tcW w:w="5184" w:type="dxa"/>
          </w:tcPr>
          <w:p>
            <w:pPr>
              <w:pStyle w:val="TableParagraph"/>
              <w:spacing w:line="260" w:lineRule="exact"/>
              <w:ind w:left="95"/>
              <w:rPr>
                <w:sz w:val="23"/>
              </w:rPr>
            </w:pPr>
            <w:r>
              <w:rPr>
                <w:sz w:val="23"/>
              </w:rPr>
              <w:t>Estrategias de acción ambiental</w:t>
            </w:r>
          </w:p>
        </w:tc>
        <w:tc>
          <w:tcPr>
            <w:tcW w:w="2213" w:type="dxa"/>
          </w:tcPr>
          <w:p>
            <w:pPr>
              <w:pStyle w:val="TableParagraph"/>
              <w:spacing w:line="260" w:lineRule="exact"/>
              <w:ind w:left="188" w:right="184"/>
              <w:jc w:val="center"/>
              <w:rPr>
                <w:sz w:val="23"/>
              </w:rPr>
            </w:pPr>
            <w:r>
              <w:rPr>
                <w:sz w:val="23"/>
              </w:rPr>
              <w:t>.889</w:t>
            </w:r>
          </w:p>
        </w:tc>
      </w:tr>
      <w:tr>
        <w:trPr>
          <w:trHeight w:val="293" w:hRule="exact"/>
        </w:trPr>
        <w:tc>
          <w:tcPr>
            <w:tcW w:w="5184" w:type="dxa"/>
          </w:tcPr>
          <w:p>
            <w:pPr>
              <w:pStyle w:val="TableParagraph"/>
              <w:spacing w:line="260" w:lineRule="exact"/>
              <w:ind w:left="95"/>
              <w:rPr>
                <w:sz w:val="23"/>
              </w:rPr>
            </w:pPr>
            <w:r>
              <w:rPr>
                <w:sz w:val="23"/>
              </w:rPr>
              <w:t>Actitudes</w:t>
            </w:r>
          </w:p>
        </w:tc>
        <w:tc>
          <w:tcPr>
            <w:tcW w:w="2213" w:type="dxa"/>
          </w:tcPr>
          <w:p>
            <w:pPr>
              <w:pStyle w:val="TableParagraph"/>
              <w:spacing w:line="260" w:lineRule="exact"/>
              <w:ind w:left="188" w:right="184"/>
              <w:jc w:val="center"/>
              <w:rPr>
                <w:sz w:val="23"/>
              </w:rPr>
            </w:pPr>
            <w:r>
              <w:rPr>
                <w:sz w:val="23"/>
              </w:rPr>
              <w:t>.786</w:t>
            </w:r>
          </w:p>
        </w:tc>
      </w:tr>
      <w:tr>
        <w:trPr>
          <w:trHeight w:val="283" w:hRule="exact"/>
        </w:trPr>
        <w:tc>
          <w:tcPr>
            <w:tcW w:w="5184" w:type="dxa"/>
          </w:tcPr>
          <w:p>
            <w:pPr>
              <w:pStyle w:val="TableParagraph"/>
              <w:spacing w:line="260" w:lineRule="exact"/>
              <w:ind w:left="95"/>
              <w:rPr>
                <w:sz w:val="23"/>
              </w:rPr>
            </w:pPr>
            <w:r>
              <w:rPr>
                <w:sz w:val="23"/>
              </w:rPr>
              <w:t>Conciencia</w:t>
            </w:r>
          </w:p>
        </w:tc>
        <w:tc>
          <w:tcPr>
            <w:tcW w:w="2213" w:type="dxa"/>
          </w:tcPr>
          <w:p>
            <w:pPr>
              <w:pStyle w:val="TableParagraph"/>
              <w:spacing w:line="260" w:lineRule="exact"/>
              <w:ind w:left="188" w:right="184"/>
              <w:jc w:val="center"/>
              <w:rPr>
                <w:sz w:val="23"/>
              </w:rPr>
            </w:pPr>
            <w:r>
              <w:rPr>
                <w:sz w:val="23"/>
              </w:rPr>
              <w:t>.781</w:t>
            </w:r>
          </w:p>
        </w:tc>
      </w:tr>
      <w:tr>
        <w:trPr>
          <w:trHeight w:val="290" w:hRule="exact"/>
        </w:trPr>
        <w:tc>
          <w:tcPr>
            <w:tcW w:w="5184" w:type="dxa"/>
            <w:tcBorders>
              <w:bottom w:val="single" w:sz="6" w:space="0" w:color="000000"/>
            </w:tcBorders>
          </w:tcPr>
          <w:p>
            <w:pPr>
              <w:pStyle w:val="TableParagraph"/>
              <w:spacing w:line="260" w:lineRule="exact"/>
              <w:ind w:left="95"/>
              <w:rPr>
                <w:sz w:val="23"/>
              </w:rPr>
            </w:pPr>
            <w:r>
              <w:rPr>
                <w:sz w:val="23"/>
              </w:rPr>
              <w:t>Responsabilidad ambiental</w:t>
            </w:r>
          </w:p>
        </w:tc>
        <w:tc>
          <w:tcPr>
            <w:tcW w:w="2213" w:type="dxa"/>
            <w:tcBorders>
              <w:bottom w:val="single" w:sz="6" w:space="0" w:color="000000"/>
            </w:tcBorders>
          </w:tcPr>
          <w:p>
            <w:pPr>
              <w:pStyle w:val="TableParagraph"/>
              <w:spacing w:line="260" w:lineRule="exact"/>
              <w:ind w:left="188" w:right="184"/>
              <w:jc w:val="center"/>
              <w:rPr>
                <w:sz w:val="23"/>
              </w:rPr>
            </w:pPr>
            <w:r>
              <w:rPr>
                <w:sz w:val="23"/>
              </w:rPr>
              <w:t>.719</w:t>
            </w:r>
          </w:p>
        </w:tc>
      </w:tr>
    </w:tbl>
    <w:p>
      <w:pPr>
        <w:spacing w:before="0"/>
        <w:ind w:left="802" w:right="989" w:firstLine="0"/>
        <w:jc w:val="left"/>
        <w:rPr>
          <w:sz w:val="21"/>
        </w:rPr>
      </w:pPr>
      <w:r>
        <w:rPr>
          <w:sz w:val="21"/>
        </w:rPr>
        <w:t>Fuente: elaboración propia</w:t>
      </w:r>
    </w:p>
    <w:p>
      <w:pPr>
        <w:pStyle w:val="BodyText"/>
        <w:spacing w:line="364" w:lineRule="auto" w:before="119"/>
        <w:ind w:left="115" w:right="901"/>
        <w:jc w:val="both"/>
      </w:pPr>
      <w:r>
        <w:rPr/>
        <w:t>El proceso de análisis de los datos cuantitativos se realizó a través del programa estadístico PASW Statistics (SPSS) versión 20. Las pruebas estadísticas realizadas fueron: frecuencias, media, desviación estándar, correlaciones y regresión  múltiple.</w:t>
      </w:r>
    </w:p>
    <w:p>
      <w:pPr>
        <w:pStyle w:val="BodyText"/>
        <w:spacing w:line="364" w:lineRule="auto" w:before="125"/>
        <w:ind w:left="115" w:right="898"/>
        <w:jc w:val="both"/>
      </w:pPr>
      <w:r>
        <w:rPr/>
        <w:t>Las distribuciones de frecuencias fueron utilizadas para </w:t>
      </w:r>
      <w:r>
        <w:rPr>
          <w:spacing w:val="-5"/>
        </w:rPr>
        <w:t>la </w:t>
      </w:r>
      <w:r>
        <w:rPr/>
        <w:t>descripción de los </w:t>
      </w:r>
      <w:r>
        <w:rPr>
          <w:spacing w:val="-3"/>
        </w:rPr>
        <w:t>datos </w:t>
      </w:r>
      <w:r>
        <w:rPr/>
        <w:t>de cada una de las variables y se complementaron con los porcentajes por reactivo. La media otorgó una interpretación descriptiva  del promedio de  las  percepciones acerca del comportamiento proambiental (CPA) por cada una de las variables, también se obtuvieron como medida de variabilidad la desviación estándar.  Para  analizar  la  relación entre las variables y considerando que el nivel de medición es intervalar,  se utilizó el coeficiente de correlación Pearson. Los niveles de significancia fueron de .05  </w:t>
      </w:r>
      <w:r>
        <w:rPr>
          <w:spacing w:val="47"/>
        </w:rPr>
        <w:t> </w:t>
      </w:r>
      <w:r>
        <w:rPr/>
        <w:t>y</w:t>
      </w:r>
    </w:p>
    <w:p>
      <w:pPr>
        <w:pStyle w:val="BodyText"/>
        <w:spacing w:before="5"/>
        <w:ind w:left="115"/>
        <w:jc w:val="both"/>
      </w:pPr>
      <w:r>
        <w:rPr/>
        <w:t>.01 (Kerlinger y Lee, 2002).</w:t>
      </w:r>
    </w:p>
    <w:p>
      <w:pPr>
        <w:pStyle w:val="BodyText"/>
        <w:rPr>
          <w:sz w:val="22"/>
        </w:rPr>
      </w:pPr>
    </w:p>
    <w:p>
      <w:pPr>
        <w:pStyle w:val="Heading2"/>
        <w:numPr>
          <w:ilvl w:val="1"/>
          <w:numId w:val="30"/>
        </w:numPr>
        <w:tabs>
          <w:tab w:pos="803" w:val="left" w:leader="none"/>
        </w:tabs>
        <w:spacing w:line="240" w:lineRule="auto" w:before="1" w:after="0"/>
        <w:ind w:left="802" w:right="0" w:hanging="686"/>
        <w:jc w:val="both"/>
      </w:pPr>
      <w:bookmarkStart w:name="_TOC_250002" w:id="33"/>
      <w:bookmarkEnd w:id="33"/>
      <w:r>
        <w:rPr/>
        <w:t>Resultados</w:t>
      </w:r>
    </w:p>
    <w:p>
      <w:pPr>
        <w:pStyle w:val="BodyText"/>
        <w:spacing w:line="364" w:lineRule="auto" w:before="138"/>
        <w:ind w:left="115" w:right="896"/>
        <w:jc w:val="both"/>
      </w:pPr>
      <w:r>
        <w:rPr/>
        <w:t>La muestra de los visitantes se integró por 80% de mexicanos y 20% de extranjeros. De ellos la mitad son hombres y la mitad mujeres. En cuanto a la ocupación, el mayor porcentaje se encuentra distribuido entre empleados (28%) y profesionistas (28%), seguido de estudiantes (23%), amas de casa (17%) y jubilados (4%). Las personas que visitan el parque son en su mayoría adultos, seguido de jóvenes y adultos mayores de  61 años en</w:t>
      </w:r>
      <w:r>
        <w:rPr>
          <w:spacing w:val="22"/>
        </w:rPr>
        <w:t> </w:t>
      </w:r>
      <w:r>
        <w:rPr/>
        <w:t>adelante.</w:t>
      </w:r>
    </w:p>
    <w:p>
      <w:pPr>
        <w:pStyle w:val="BodyText"/>
        <w:spacing w:line="367" w:lineRule="auto"/>
        <w:ind w:left="116" w:right="895"/>
        <w:jc w:val="both"/>
      </w:pPr>
      <w:r>
        <w:rPr/>
        <w:t>El colectivo estuvo constituido por 80% de visitantes nacionales procedentes en su mayoría </w:t>
      </w:r>
      <w:r>
        <w:rPr>
          <w:spacing w:val="2"/>
        </w:rPr>
        <w:t>del </w:t>
      </w:r>
      <w:r>
        <w:rPr/>
        <w:t>Distrito Federal. </w:t>
      </w:r>
      <w:r>
        <w:rPr>
          <w:spacing w:val="3"/>
        </w:rPr>
        <w:t>El </w:t>
      </w:r>
      <w:r>
        <w:rPr/>
        <w:t>20% restante, constituido por extranjeros que mantienen residencia en diversos países de Europa, Asia y</w:t>
      </w:r>
      <w:r>
        <w:rPr>
          <w:spacing w:val="59"/>
        </w:rPr>
        <w:t> </w:t>
      </w:r>
      <w:r>
        <w:rPr/>
        <w:t>América.</w:t>
      </w:r>
    </w:p>
    <w:p>
      <w:pPr>
        <w:spacing w:after="0" w:line="367" w:lineRule="auto"/>
        <w:jc w:val="both"/>
        <w:sectPr>
          <w:pgSz w:w="11910" w:h="16840"/>
          <w:pgMar w:header="1066" w:footer="1711" w:top="1460" w:bottom="1900" w:left="1540" w:right="200"/>
        </w:sectPr>
      </w:pPr>
    </w:p>
    <w:p>
      <w:pPr>
        <w:pStyle w:val="BodyText"/>
        <w:rPr>
          <w:sz w:val="20"/>
        </w:rPr>
      </w:pPr>
    </w:p>
    <w:p>
      <w:pPr>
        <w:pStyle w:val="BodyText"/>
        <w:spacing w:before="11"/>
        <w:rPr>
          <w:sz w:val="17"/>
        </w:rPr>
      </w:pPr>
    </w:p>
    <w:p>
      <w:pPr>
        <w:spacing w:before="77"/>
        <w:ind w:left="3086" w:right="514" w:firstLine="0"/>
        <w:jc w:val="left"/>
        <w:rPr>
          <w:sz w:val="21"/>
        </w:rPr>
      </w:pPr>
      <w:r>
        <w:rPr>
          <w:sz w:val="21"/>
        </w:rPr>
        <w:t>Tabla 3. Estadísticos descriptivos</w:t>
      </w:r>
    </w:p>
    <w:tbl>
      <w:tblPr>
        <w:tblW w:w="0" w:type="auto"/>
        <w:jc w:val="left"/>
        <w:tblInd w:w="18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741"/>
        <w:gridCol w:w="641"/>
        <w:gridCol w:w="1032"/>
        <w:gridCol w:w="1094"/>
        <w:gridCol w:w="970"/>
        <w:gridCol w:w="1277"/>
        <w:gridCol w:w="1212"/>
      </w:tblGrid>
      <w:tr>
        <w:trPr>
          <w:trHeight w:val="230" w:hRule="exact"/>
        </w:trPr>
        <w:tc>
          <w:tcPr>
            <w:tcW w:w="2741" w:type="dxa"/>
          </w:tcPr>
          <w:p>
            <w:pPr/>
          </w:p>
        </w:tc>
        <w:tc>
          <w:tcPr>
            <w:tcW w:w="641" w:type="dxa"/>
            <w:tcBorders>
              <w:right w:val="single" w:sz="8" w:space="0" w:color="000000"/>
            </w:tcBorders>
          </w:tcPr>
          <w:p>
            <w:pPr>
              <w:pStyle w:val="TableParagraph"/>
              <w:spacing w:line="218" w:lineRule="exact"/>
              <w:ind w:left="244"/>
              <w:rPr>
                <w:sz w:val="19"/>
              </w:rPr>
            </w:pPr>
            <w:r>
              <w:rPr>
                <w:w w:val="103"/>
                <w:sz w:val="19"/>
              </w:rPr>
              <w:t>N</w:t>
            </w:r>
          </w:p>
        </w:tc>
        <w:tc>
          <w:tcPr>
            <w:tcW w:w="1032" w:type="dxa"/>
            <w:tcBorders>
              <w:left w:val="single" w:sz="8" w:space="0" w:color="000000"/>
              <w:right w:val="single" w:sz="8" w:space="0" w:color="000000"/>
            </w:tcBorders>
          </w:tcPr>
          <w:p>
            <w:pPr>
              <w:pStyle w:val="TableParagraph"/>
              <w:spacing w:line="218" w:lineRule="exact"/>
              <w:ind w:left="165" w:right="153"/>
              <w:jc w:val="center"/>
              <w:rPr>
                <w:sz w:val="19"/>
              </w:rPr>
            </w:pPr>
            <w:r>
              <w:rPr>
                <w:w w:val="105"/>
                <w:sz w:val="19"/>
              </w:rPr>
              <w:t>Mínimo</w:t>
            </w:r>
          </w:p>
        </w:tc>
        <w:tc>
          <w:tcPr>
            <w:tcW w:w="1094" w:type="dxa"/>
            <w:tcBorders>
              <w:left w:val="single" w:sz="8" w:space="0" w:color="000000"/>
              <w:right w:val="single" w:sz="8" w:space="0" w:color="000000"/>
            </w:tcBorders>
          </w:tcPr>
          <w:p>
            <w:pPr>
              <w:pStyle w:val="TableParagraph"/>
              <w:spacing w:line="218" w:lineRule="exact"/>
              <w:ind w:left="167" w:right="168"/>
              <w:jc w:val="center"/>
              <w:rPr>
                <w:sz w:val="19"/>
              </w:rPr>
            </w:pPr>
            <w:r>
              <w:rPr>
                <w:w w:val="105"/>
                <w:sz w:val="19"/>
              </w:rPr>
              <w:t>Máximo</w:t>
            </w:r>
          </w:p>
        </w:tc>
        <w:tc>
          <w:tcPr>
            <w:tcW w:w="970" w:type="dxa"/>
            <w:tcBorders>
              <w:left w:val="single" w:sz="8" w:space="0" w:color="000000"/>
              <w:right w:val="single" w:sz="8" w:space="0" w:color="000000"/>
            </w:tcBorders>
          </w:tcPr>
          <w:p>
            <w:pPr>
              <w:pStyle w:val="TableParagraph"/>
              <w:spacing w:line="218" w:lineRule="exact"/>
              <w:ind w:left="211"/>
              <w:rPr>
                <w:sz w:val="19"/>
              </w:rPr>
            </w:pPr>
            <w:r>
              <w:rPr>
                <w:w w:val="105"/>
                <w:sz w:val="19"/>
              </w:rPr>
              <w:t>Media</w:t>
            </w:r>
          </w:p>
        </w:tc>
        <w:tc>
          <w:tcPr>
            <w:tcW w:w="1277" w:type="dxa"/>
            <w:tcBorders>
              <w:left w:val="single" w:sz="8" w:space="0" w:color="000000"/>
              <w:right w:val="single" w:sz="8" w:space="0" w:color="000000"/>
            </w:tcBorders>
          </w:tcPr>
          <w:p>
            <w:pPr>
              <w:pStyle w:val="TableParagraph"/>
              <w:spacing w:line="218" w:lineRule="exact"/>
              <w:ind w:left="187" w:right="187"/>
              <w:jc w:val="center"/>
              <w:rPr>
                <w:sz w:val="19"/>
              </w:rPr>
            </w:pPr>
            <w:r>
              <w:rPr>
                <w:w w:val="105"/>
                <w:sz w:val="19"/>
              </w:rPr>
              <w:t>Desv. típ.</w:t>
            </w:r>
          </w:p>
        </w:tc>
        <w:tc>
          <w:tcPr>
            <w:tcW w:w="1212" w:type="dxa"/>
            <w:tcBorders>
              <w:left w:val="single" w:sz="8" w:space="0" w:color="000000"/>
            </w:tcBorders>
          </w:tcPr>
          <w:p>
            <w:pPr>
              <w:pStyle w:val="TableParagraph"/>
              <w:spacing w:line="218" w:lineRule="exact"/>
              <w:ind w:left="189" w:right="182"/>
              <w:jc w:val="center"/>
              <w:rPr>
                <w:sz w:val="19"/>
              </w:rPr>
            </w:pPr>
            <w:r>
              <w:rPr>
                <w:w w:val="105"/>
                <w:sz w:val="19"/>
              </w:rPr>
              <w:t>Varianza</w:t>
            </w:r>
          </w:p>
        </w:tc>
      </w:tr>
      <w:tr>
        <w:trPr>
          <w:trHeight w:val="232" w:hRule="exact"/>
        </w:trPr>
        <w:tc>
          <w:tcPr>
            <w:tcW w:w="2741" w:type="dxa"/>
            <w:tcBorders>
              <w:bottom w:val="nil"/>
            </w:tcBorders>
          </w:tcPr>
          <w:p>
            <w:pPr>
              <w:pStyle w:val="TableParagraph"/>
              <w:spacing w:line="218" w:lineRule="exact"/>
              <w:ind w:left="67"/>
              <w:rPr>
                <w:sz w:val="19"/>
              </w:rPr>
            </w:pPr>
            <w:r>
              <w:rPr>
                <w:sz w:val="19"/>
              </w:rPr>
              <w:t>Conocimiento ambiental</w:t>
            </w:r>
          </w:p>
        </w:tc>
        <w:tc>
          <w:tcPr>
            <w:tcW w:w="641" w:type="dxa"/>
            <w:tcBorders>
              <w:bottom w:val="nil"/>
              <w:right w:val="single" w:sz="8" w:space="0" w:color="000000"/>
            </w:tcBorders>
          </w:tcPr>
          <w:p>
            <w:pPr>
              <w:pStyle w:val="TableParagraph"/>
              <w:spacing w:line="218" w:lineRule="exact"/>
              <w:ind w:left="244"/>
              <w:rPr>
                <w:sz w:val="19"/>
              </w:rPr>
            </w:pPr>
            <w:r>
              <w:rPr>
                <w:w w:val="105"/>
                <w:sz w:val="19"/>
              </w:rPr>
              <w:t>420</w:t>
            </w:r>
          </w:p>
        </w:tc>
        <w:tc>
          <w:tcPr>
            <w:tcW w:w="1032" w:type="dxa"/>
            <w:tcBorders>
              <w:left w:val="single" w:sz="8" w:space="0" w:color="000000"/>
              <w:bottom w:val="nil"/>
              <w:right w:val="single" w:sz="8" w:space="0" w:color="000000"/>
            </w:tcBorders>
          </w:tcPr>
          <w:p>
            <w:pPr>
              <w:pStyle w:val="TableParagraph"/>
              <w:spacing w:line="218" w:lineRule="exact"/>
              <w:ind w:left="161" w:right="153"/>
              <w:jc w:val="center"/>
              <w:rPr>
                <w:sz w:val="19"/>
              </w:rPr>
            </w:pPr>
            <w:r>
              <w:rPr>
                <w:w w:val="105"/>
                <w:sz w:val="19"/>
              </w:rPr>
              <w:t>3.00</w:t>
            </w:r>
          </w:p>
        </w:tc>
        <w:tc>
          <w:tcPr>
            <w:tcW w:w="1094" w:type="dxa"/>
            <w:tcBorders>
              <w:left w:val="single" w:sz="8" w:space="0" w:color="000000"/>
              <w:bottom w:val="nil"/>
              <w:right w:val="single" w:sz="8" w:space="0" w:color="000000"/>
            </w:tcBorders>
          </w:tcPr>
          <w:p>
            <w:pPr>
              <w:pStyle w:val="TableParagraph"/>
              <w:spacing w:line="218" w:lineRule="exact"/>
              <w:ind w:left="167" w:right="164"/>
              <w:jc w:val="center"/>
              <w:rPr>
                <w:sz w:val="19"/>
              </w:rPr>
            </w:pPr>
            <w:r>
              <w:rPr>
                <w:w w:val="105"/>
                <w:sz w:val="19"/>
              </w:rPr>
              <w:t>5.00</w:t>
            </w:r>
          </w:p>
        </w:tc>
        <w:tc>
          <w:tcPr>
            <w:tcW w:w="970" w:type="dxa"/>
            <w:tcBorders>
              <w:left w:val="single" w:sz="8" w:space="0" w:color="000000"/>
              <w:bottom w:val="nil"/>
              <w:right w:val="single" w:sz="8" w:space="0" w:color="000000"/>
            </w:tcBorders>
          </w:tcPr>
          <w:p>
            <w:pPr>
              <w:pStyle w:val="TableParagraph"/>
              <w:spacing w:line="218" w:lineRule="exact"/>
              <w:ind w:left="182"/>
              <w:rPr>
                <w:sz w:val="19"/>
              </w:rPr>
            </w:pPr>
            <w:r>
              <w:rPr>
                <w:w w:val="105"/>
                <w:sz w:val="19"/>
              </w:rPr>
              <w:t>4.2381</w:t>
            </w:r>
          </w:p>
        </w:tc>
        <w:tc>
          <w:tcPr>
            <w:tcW w:w="1277" w:type="dxa"/>
            <w:tcBorders>
              <w:left w:val="single" w:sz="8" w:space="0" w:color="000000"/>
              <w:bottom w:val="nil"/>
              <w:right w:val="single" w:sz="8" w:space="0" w:color="000000"/>
            </w:tcBorders>
          </w:tcPr>
          <w:p>
            <w:pPr>
              <w:pStyle w:val="TableParagraph"/>
              <w:spacing w:line="218" w:lineRule="exact"/>
              <w:ind w:left="187" w:right="180"/>
              <w:jc w:val="center"/>
              <w:rPr>
                <w:sz w:val="19"/>
              </w:rPr>
            </w:pPr>
            <w:r>
              <w:rPr>
                <w:w w:val="105"/>
                <w:sz w:val="19"/>
              </w:rPr>
              <w:t>.59970</w:t>
            </w:r>
          </w:p>
        </w:tc>
        <w:tc>
          <w:tcPr>
            <w:tcW w:w="1212" w:type="dxa"/>
            <w:tcBorders>
              <w:left w:val="single" w:sz="8" w:space="0" w:color="000000"/>
              <w:bottom w:val="nil"/>
            </w:tcBorders>
          </w:tcPr>
          <w:p>
            <w:pPr>
              <w:pStyle w:val="TableParagraph"/>
              <w:spacing w:line="218" w:lineRule="exact"/>
              <w:ind w:left="181" w:right="182"/>
              <w:jc w:val="center"/>
              <w:rPr>
                <w:sz w:val="19"/>
              </w:rPr>
            </w:pPr>
            <w:r>
              <w:rPr>
                <w:w w:val="105"/>
                <w:sz w:val="19"/>
              </w:rPr>
              <w:t>.360</w:t>
            </w:r>
          </w:p>
        </w:tc>
      </w:tr>
      <w:tr>
        <w:trPr>
          <w:trHeight w:val="223" w:hRule="exact"/>
        </w:trPr>
        <w:tc>
          <w:tcPr>
            <w:tcW w:w="2741" w:type="dxa"/>
            <w:tcBorders>
              <w:top w:val="nil"/>
              <w:bottom w:val="nil"/>
            </w:tcBorders>
          </w:tcPr>
          <w:p>
            <w:pPr>
              <w:pStyle w:val="TableParagraph"/>
              <w:spacing w:line="214" w:lineRule="exact"/>
              <w:ind w:left="67"/>
              <w:rPr>
                <w:sz w:val="19"/>
              </w:rPr>
            </w:pPr>
            <w:r>
              <w:rPr>
                <w:sz w:val="19"/>
              </w:rPr>
              <w:t>Actividades ambientales</w:t>
            </w:r>
          </w:p>
        </w:tc>
        <w:tc>
          <w:tcPr>
            <w:tcW w:w="641" w:type="dxa"/>
            <w:tcBorders>
              <w:top w:val="nil"/>
              <w:bottom w:val="nil"/>
              <w:right w:val="single" w:sz="8" w:space="0" w:color="000000"/>
            </w:tcBorders>
          </w:tcPr>
          <w:p>
            <w:pPr>
              <w:pStyle w:val="TableParagraph"/>
              <w:spacing w:line="214" w:lineRule="exact"/>
              <w:ind w:left="244"/>
              <w:rPr>
                <w:sz w:val="19"/>
              </w:rPr>
            </w:pPr>
            <w:r>
              <w:rPr>
                <w:w w:val="105"/>
                <w:sz w:val="19"/>
              </w:rPr>
              <w:t>420</w:t>
            </w:r>
          </w:p>
        </w:tc>
        <w:tc>
          <w:tcPr>
            <w:tcW w:w="1032" w:type="dxa"/>
            <w:tcBorders>
              <w:top w:val="nil"/>
              <w:left w:val="single" w:sz="8" w:space="0" w:color="000000"/>
              <w:bottom w:val="nil"/>
              <w:right w:val="single" w:sz="8" w:space="0" w:color="000000"/>
            </w:tcBorders>
          </w:tcPr>
          <w:p>
            <w:pPr>
              <w:pStyle w:val="TableParagraph"/>
              <w:spacing w:line="214" w:lineRule="exact"/>
              <w:ind w:left="161" w:right="153"/>
              <w:jc w:val="center"/>
              <w:rPr>
                <w:sz w:val="19"/>
              </w:rPr>
            </w:pPr>
            <w:r>
              <w:rPr>
                <w:w w:val="105"/>
                <w:sz w:val="19"/>
              </w:rPr>
              <w:t>2.00</w:t>
            </w:r>
          </w:p>
        </w:tc>
        <w:tc>
          <w:tcPr>
            <w:tcW w:w="1094" w:type="dxa"/>
            <w:tcBorders>
              <w:top w:val="nil"/>
              <w:left w:val="single" w:sz="8" w:space="0" w:color="000000"/>
              <w:bottom w:val="nil"/>
              <w:right w:val="single" w:sz="8" w:space="0" w:color="000000"/>
            </w:tcBorders>
          </w:tcPr>
          <w:p>
            <w:pPr>
              <w:pStyle w:val="TableParagraph"/>
              <w:spacing w:line="214" w:lineRule="exact"/>
              <w:ind w:left="167" w:right="164"/>
              <w:jc w:val="center"/>
              <w:rPr>
                <w:sz w:val="19"/>
              </w:rPr>
            </w:pPr>
            <w:r>
              <w:rPr>
                <w:w w:val="105"/>
                <w:sz w:val="19"/>
              </w:rPr>
              <w:t>4.50</w:t>
            </w:r>
          </w:p>
        </w:tc>
        <w:tc>
          <w:tcPr>
            <w:tcW w:w="970" w:type="dxa"/>
            <w:tcBorders>
              <w:top w:val="nil"/>
              <w:left w:val="single" w:sz="8" w:space="0" w:color="000000"/>
              <w:bottom w:val="nil"/>
              <w:right w:val="single" w:sz="8" w:space="0" w:color="000000"/>
            </w:tcBorders>
          </w:tcPr>
          <w:p>
            <w:pPr>
              <w:pStyle w:val="TableParagraph"/>
              <w:spacing w:line="214" w:lineRule="exact"/>
              <w:ind w:left="182"/>
              <w:rPr>
                <w:sz w:val="19"/>
              </w:rPr>
            </w:pPr>
            <w:r>
              <w:rPr>
                <w:w w:val="105"/>
                <w:sz w:val="19"/>
              </w:rPr>
              <w:t>3.2738</w:t>
            </w:r>
          </w:p>
        </w:tc>
        <w:tc>
          <w:tcPr>
            <w:tcW w:w="1277" w:type="dxa"/>
            <w:tcBorders>
              <w:top w:val="nil"/>
              <w:left w:val="single" w:sz="8" w:space="0" w:color="000000"/>
              <w:bottom w:val="nil"/>
              <w:right w:val="single" w:sz="8" w:space="0" w:color="000000"/>
            </w:tcBorders>
          </w:tcPr>
          <w:p>
            <w:pPr>
              <w:pStyle w:val="TableParagraph"/>
              <w:spacing w:line="214" w:lineRule="exact"/>
              <w:ind w:left="187" w:right="180"/>
              <w:jc w:val="center"/>
              <w:rPr>
                <w:sz w:val="19"/>
              </w:rPr>
            </w:pPr>
            <w:r>
              <w:rPr>
                <w:w w:val="105"/>
                <w:sz w:val="19"/>
              </w:rPr>
              <w:t>.75250</w:t>
            </w:r>
          </w:p>
        </w:tc>
        <w:tc>
          <w:tcPr>
            <w:tcW w:w="1212" w:type="dxa"/>
            <w:tcBorders>
              <w:top w:val="nil"/>
              <w:left w:val="single" w:sz="8" w:space="0" w:color="000000"/>
              <w:bottom w:val="nil"/>
            </w:tcBorders>
          </w:tcPr>
          <w:p>
            <w:pPr>
              <w:pStyle w:val="TableParagraph"/>
              <w:spacing w:line="214" w:lineRule="exact"/>
              <w:ind w:left="181" w:right="182"/>
              <w:jc w:val="center"/>
              <w:rPr>
                <w:sz w:val="19"/>
              </w:rPr>
            </w:pPr>
            <w:r>
              <w:rPr>
                <w:w w:val="105"/>
                <w:sz w:val="19"/>
              </w:rPr>
              <w:t>.566</w:t>
            </w:r>
          </w:p>
        </w:tc>
      </w:tr>
      <w:tr>
        <w:trPr>
          <w:trHeight w:val="449" w:hRule="exact"/>
        </w:trPr>
        <w:tc>
          <w:tcPr>
            <w:tcW w:w="2741" w:type="dxa"/>
            <w:tcBorders>
              <w:top w:val="nil"/>
              <w:bottom w:val="nil"/>
            </w:tcBorders>
          </w:tcPr>
          <w:p>
            <w:pPr>
              <w:pStyle w:val="TableParagraph"/>
              <w:spacing w:line="247" w:lineRule="auto"/>
              <w:ind w:left="67" w:right="741"/>
              <w:rPr>
                <w:sz w:val="19"/>
              </w:rPr>
            </w:pPr>
            <w:r>
              <w:rPr>
                <w:w w:val="105"/>
                <w:sz w:val="19"/>
              </w:rPr>
              <w:t>Estrategias de acción ambiental</w:t>
            </w:r>
          </w:p>
        </w:tc>
        <w:tc>
          <w:tcPr>
            <w:tcW w:w="641" w:type="dxa"/>
            <w:tcBorders>
              <w:top w:val="nil"/>
              <w:bottom w:val="nil"/>
              <w:right w:val="single" w:sz="8" w:space="0" w:color="000000"/>
            </w:tcBorders>
          </w:tcPr>
          <w:p>
            <w:pPr>
              <w:pStyle w:val="TableParagraph"/>
              <w:spacing w:before="108"/>
              <w:ind w:left="244"/>
              <w:rPr>
                <w:sz w:val="19"/>
              </w:rPr>
            </w:pPr>
            <w:r>
              <w:rPr>
                <w:w w:val="105"/>
                <w:sz w:val="19"/>
              </w:rPr>
              <w:t>420</w:t>
            </w:r>
          </w:p>
        </w:tc>
        <w:tc>
          <w:tcPr>
            <w:tcW w:w="1032" w:type="dxa"/>
            <w:tcBorders>
              <w:top w:val="nil"/>
              <w:left w:val="single" w:sz="8" w:space="0" w:color="000000"/>
              <w:bottom w:val="nil"/>
              <w:right w:val="single" w:sz="8" w:space="0" w:color="000000"/>
            </w:tcBorders>
          </w:tcPr>
          <w:p>
            <w:pPr>
              <w:pStyle w:val="TableParagraph"/>
              <w:spacing w:before="108"/>
              <w:ind w:left="161" w:right="153"/>
              <w:jc w:val="center"/>
              <w:rPr>
                <w:sz w:val="19"/>
              </w:rPr>
            </w:pPr>
            <w:r>
              <w:rPr>
                <w:w w:val="105"/>
                <w:sz w:val="19"/>
              </w:rPr>
              <w:t>2.00</w:t>
            </w:r>
          </w:p>
        </w:tc>
        <w:tc>
          <w:tcPr>
            <w:tcW w:w="1094" w:type="dxa"/>
            <w:tcBorders>
              <w:top w:val="nil"/>
              <w:left w:val="single" w:sz="8" w:space="0" w:color="000000"/>
              <w:bottom w:val="nil"/>
              <w:right w:val="single" w:sz="8" w:space="0" w:color="000000"/>
            </w:tcBorders>
          </w:tcPr>
          <w:p>
            <w:pPr>
              <w:pStyle w:val="TableParagraph"/>
              <w:spacing w:before="108"/>
              <w:ind w:left="167" w:right="164"/>
              <w:jc w:val="center"/>
              <w:rPr>
                <w:sz w:val="19"/>
              </w:rPr>
            </w:pPr>
            <w:r>
              <w:rPr>
                <w:w w:val="105"/>
                <w:sz w:val="19"/>
              </w:rPr>
              <w:t>5.00</w:t>
            </w:r>
          </w:p>
        </w:tc>
        <w:tc>
          <w:tcPr>
            <w:tcW w:w="970" w:type="dxa"/>
            <w:tcBorders>
              <w:top w:val="nil"/>
              <w:left w:val="single" w:sz="8" w:space="0" w:color="000000"/>
              <w:bottom w:val="nil"/>
              <w:right w:val="single" w:sz="8" w:space="0" w:color="000000"/>
            </w:tcBorders>
          </w:tcPr>
          <w:p>
            <w:pPr>
              <w:pStyle w:val="TableParagraph"/>
              <w:spacing w:before="108"/>
              <w:ind w:left="182"/>
              <w:rPr>
                <w:sz w:val="19"/>
              </w:rPr>
            </w:pPr>
            <w:r>
              <w:rPr>
                <w:w w:val="105"/>
                <w:sz w:val="19"/>
              </w:rPr>
              <w:t>3.9976</w:t>
            </w:r>
          </w:p>
        </w:tc>
        <w:tc>
          <w:tcPr>
            <w:tcW w:w="1277" w:type="dxa"/>
            <w:tcBorders>
              <w:top w:val="nil"/>
              <w:left w:val="single" w:sz="8" w:space="0" w:color="000000"/>
              <w:bottom w:val="nil"/>
              <w:right w:val="single" w:sz="8" w:space="0" w:color="000000"/>
            </w:tcBorders>
          </w:tcPr>
          <w:p>
            <w:pPr>
              <w:pStyle w:val="TableParagraph"/>
              <w:spacing w:before="108"/>
              <w:ind w:left="187" w:right="180"/>
              <w:jc w:val="center"/>
              <w:rPr>
                <w:sz w:val="19"/>
              </w:rPr>
            </w:pPr>
            <w:r>
              <w:rPr>
                <w:w w:val="105"/>
                <w:sz w:val="19"/>
              </w:rPr>
              <w:t>.65951</w:t>
            </w:r>
          </w:p>
        </w:tc>
        <w:tc>
          <w:tcPr>
            <w:tcW w:w="1212" w:type="dxa"/>
            <w:tcBorders>
              <w:top w:val="nil"/>
              <w:left w:val="single" w:sz="8" w:space="0" w:color="000000"/>
              <w:bottom w:val="nil"/>
            </w:tcBorders>
          </w:tcPr>
          <w:p>
            <w:pPr>
              <w:pStyle w:val="TableParagraph"/>
              <w:spacing w:before="108"/>
              <w:ind w:left="181" w:right="182"/>
              <w:jc w:val="center"/>
              <w:rPr>
                <w:sz w:val="19"/>
              </w:rPr>
            </w:pPr>
            <w:r>
              <w:rPr>
                <w:w w:val="105"/>
                <w:sz w:val="19"/>
              </w:rPr>
              <w:t>.435</w:t>
            </w:r>
          </w:p>
        </w:tc>
      </w:tr>
      <w:tr>
        <w:trPr>
          <w:trHeight w:val="226" w:hRule="exact"/>
        </w:trPr>
        <w:tc>
          <w:tcPr>
            <w:tcW w:w="2741" w:type="dxa"/>
            <w:tcBorders>
              <w:top w:val="nil"/>
              <w:bottom w:val="nil"/>
            </w:tcBorders>
          </w:tcPr>
          <w:p>
            <w:pPr>
              <w:pStyle w:val="TableParagraph"/>
              <w:spacing w:line="214" w:lineRule="exact"/>
              <w:ind w:left="67"/>
              <w:rPr>
                <w:sz w:val="19"/>
              </w:rPr>
            </w:pPr>
            <w:r>
              <w:rPr>
                <w:sz w:val="19"/>
              </w:rPr>
              <w:t>Actitud ambiental</w:t>
            </w:r>
          </w:p>
        </w:tc>
        <w:tc>
          <w:tcPr>
            <w:tcW w:w="641" w:type="dxa"/>
            <w:tcBorders>
              <w:top w:val="nil"/>
              <w:bottom w:val="nil"/>
              <w:right w:val="single" w:sz="8" w:space="0" w:color="000000"/>
            </w:tcBorders>
          </w:tcPr>
          <w:p>
            <w:pPr>
              <w:pStyle w:val="TableParagraph"/>
              <w:spacing w:line="214" w:lineRule="exact"/>
              <w:ind w:left="244"/>
              <w:rPr>
                <w:sz w:val="19"/>
              </w:rPr>
            </w:pPr>
            <w:r>
              <w:rPr>
                <w:w w:val="105"/>
                <w:sz w:val="19"/>
              </w:rPr>
              <w:t>420</w:t>
            </w:r>
          </w:p>
        </w:tc>
        <w:tc>
          <w:tcPr>
            <w:tcW w:w="1032" w:type="dxa"/>
            <w:tcBorders>
              <w:top w:val="nil"/>
              <w:left w:val="single" w:sz="8" w:space="0" w:color="000000"/>
              <w:bottom w:val="nil"/>
              <w:right w:val="single" w:sz="8" w:space="0" w:color="000000"/>
            </w:tcBorders>
          </w:tcPr>
          <w:p>
            <w:pPr>
              <w:pStyle w:val="TableParagraph"/>
              <w:spacing w:line="214" w:lineRule="exact"/>
              <w:ind w:left="161" w:right="153"/>
              <w:jc w:val="center"/>
              <w:rPr>
                <w:sz w:val="19"/>
              </w:rPr>
            </w:pPr>
            <w:r>
              <w:rPr>
                <w:w w:val="105"/>
                <w:sz w:val="19"/>
              </w:rPr>
              <w:t>1.75</w:t>
            </w:r>
          </w:p>
        </w:tc>
        <w:tc>
          <w:tcPr>
            <w:tcW w:w="1094" w:type="dxa"/>
            <w:tcBorders>
              <w:top w:val="nil"/>
              <w:left w:val="single" w:sz="8" w:space="0" w:color="000000"/>
              <w:bottom w:val="nil"/>
              <w:right w:val="single" w:sz="8" w:space="0" w:color="000000"/>
            </w:tcBorders>
          </w:tcPr>
          <w:p>
            <w:pPr>
              <w:pStyle w:val="TableParagraph"/>
              <w:spacing w:line="214" w:lineRule="exact"/>
              <w:ind w:left="167" w:right="164"/>
              <w:jc w:val="center"/>
              <w:rPr>
                <w:sz w:val="19"/>
              </w:rPr>
            </w:pPr>
            <w:r>
              <w:rPr>
                <w:w w:val="105"/>
                <w:sz w:val="19"/>
              </w:rPr>
              <w:t>4.50</w:t>
            </w:r>
          </w:p>
        </w:tc>
        <w:tc>
          <w:tcPr>
            <w:tcW w:w="970" w:type="dxa"/>
            <w:tcBorders>
              <w:top w:val="nil"/>
              <w:left w:val="single" w:sz="8" w:space="0" w:color="000000"/>
              <w:bottom w:val="nil"/>
              <w:right w:val="single" w:sz="8" w:space="0" w:color="000000"/>
            </w:tcBorders>
          </w:tcPr>
          <w:p>
            <w:pPr>
              <w:pStyle w:val="TableParagraph"/>
              <w:spacing w:line="214" w:lineRule="exact"/>
              <w:ind w:left="182"/>
              <w:rPr>
                <w:sz w:val="19"/>
              </w:rPr>
            </w:pPr>
            <w:r>
              <w:rPr>
                <w:w w:val="105"/>
                <w:sz w:val="19"/>
              </w:rPr>
              <w:t>3.4643</w:t>
            </w:r>
          </w:p>
        </w:tc>
        <w:tc>
          <w:tcPr>
            <w:tcW w:w="1277" w:type="dxa"/>
            <w:tcBorders>
              <w:top w:val="nil"/>
              <w:left w:val="single" w:sz="8" w:space="0" w:color="000000"/>
              <w:bottom w:val="nil"/>
              <w:right w:val="single" w:sz="8" w:space="0" w:color="000000"/>
            </w:tcBorders>
          </w:tcPr>
          <w:p>
            <w:pPr>
              <w:pStyle w:val="TableParagraph"/>
              <w:spacing w:line="214" w:lineRule="exact"/>
              <w:ind w:left="187" w:right="180"/>
              <w:jc w:val="center"/>
              <w:rPr>
                <w:sz w:val="19"/>
              </w:rPr>
            </w:pPr>
            <w:r>
              <w:rPr>
                <w:w w:val="105"/>
                <w:sz w:val="19"/>
              </w:rPr>
              <w:t>.84576</w:t>
            </w:r>
          </w:p>
        </w:tc>
        <w:tc>
          <w:tcPr>
            <w:tcW w:w="1212" w:type="dxa"/>
            <w:tcBorders>
              <w:top w:val="nil"/>
              <w:left w:val="single" w:sz="8" w:space="0" w:color="000000"/>
              <w:bottom w:val="nil"/>
            </w:tcBorders>
          </w:tcPr>
          <w:p>
            <w:pPr>
              <w:pStyle w:val="TableParagraph"/>
              <w:spacing w:line="214" w:lineRule="exact"/>
              <w:ind w:left="181" w:right="182"/>
              <w:jc w:val="center"/>
              <w:rPr>
                <w:sz w:val="19"/>
              </w:rPr>
            </w:pPr>
            <w:r>
              <w:rPr>
                <w:w w:val="105"/>
                <w:sz w:val="19"/>
              </w:rPr>
              <w:t>.715</w:t>
            </w:r>
          </w:p>
        </w:tc>
      </w:tr>
      <w:tr>
        <w:trPr>
          <w:trHeight w:val="223" w:hRule="exact"/>
        </w:trPr>
        <w:tc>
          <w:tcPr>
            <w:tcW w:w="2741" w:type="dxa"/>
            <w:tcBorders>
              <w:top w:val="nil"/>
              <w:bottom w:val="nil"/>
            </w:tcBorders>
          </w:tcPr>
          <w:p>
            <w:pPr>
              <w:pStyle w:val="TableParagraph"/>
              <w:spacing w:line="214" w:lineRule="exact"/>
              <w:ind w:left="67"/>
              <w:rPr>
                <w:sz w:val="19"/>
              </w:rPr>
            </w:pPr>
            <w:r>
              <w:rPr>
                <w:w w:val="105"/>
                <w:sz w:val="19"/>
              </w:rPr>
              <w:t>Conciencia</w:t>
            </w:r>
          </w:p>
        </w:tc>
        <w:tc>
          <w:tcPr>
            <w:tcW w:w="641" w:type="dxa"/>
            <w:tcBorders>
              <w:top w:val="nil"/>
              <w:bottom w:val="nil"/>
              <w:right w:val="single" w:sz="8" w:space="0" w:color="000000"/>
            </w:tcBorders>
          </w:tcPr>
          <w:p>
            <w:pPr>
              <w:pStyle w:val="TableParagraph"/>
              <w:spacing w:line="214" w:lineRule="exact"/>
              <w:ind w:left="244"/>
              <w:rPr>
                <w:sz w:val="19"/>
              </w:rPr>
            </w:pPr>
            <w:r>
              <w:rPr>
                <w:w w:val="105"/>
                <w:sz w:val="19"/>
              </w:rPr>
              <w:t>420</w:t>
            </w:r>
          </w:p>
        </w:tc>
        <w:tc>
          <w:tcPr>
            <w:tcW w:w="1032" w:type="dxa"/>
            <w:tcBorders>
              <w:top w:val="nil"/>
              <w:left w:val="single" w:sz="8" w:space="0" w:color="000000"/>
              <w:bottom w:val="nil"/>
              <w:right w:val="single" w:sz="8" w:space="0" w:color="000000"/>
            </w:tcBorders>
          </w:tcPr>
          <w:p>
            <w:pPr>
              <w:pStyle w:val="TableParagraph"/>
              <w:spacing w:line="214" w:lineRule="exact"/>
              <w:ind w:left="161" w:right="153"/>
              <w:jc w:val="center"/>
              <w:rPr>
                <w:sz w:val="19"/>
              </w:rPr>
            </w:pPr>
            <w:r>
              <w:rPr>
                <w:w w:val="105"/>
                <w:sz w:val="19"/>
              </w:rPr>
              <w:t>1.50</w:t>
            </w:r>
          </w:p>
        </w:tc>
        <w:tc>
          <w:tcPr>
            <w:tcW w:w="1094" w:type="dxa"/>
            <w:tcBorders>
              <w:top w:val="nil"/>
              <w:left w:val="single" w:sz="8" w:space="0" w:color="000000"/>
              <w:bottom w:val="nil"/>
              <w:right w:val="single" w:sz="8" w:space="0" w:color="000000"/>
            </w:tcBorders>
          </w:tcPr>
          <w:p>
            <w:pPr>
              <w:pStyle w:val="TableParagraph"/>
              <w:spacing w:line="214" w:lineRule="exact"/>
              <w:ind w:left="167" w:right="164"/>
              <w:jc w:val="center"/>
              <w:rPr>
                <w:sz w:val="19"/>
              </w:rPr>
            </w:pPr>
            <w:r>
              <w:rPr>
                <w:w w:val="105"/>
                <w:sz w:val="19"/>
              </w:rPr>
              <w:t>4.00</w:t>
            </w:r>
          </w:p>
        </w:tc>
        <w:tc>
          <w:tcPr>
            <w:tcW w:w="970" w:type="dxa"/>
            <w:tcBorders>
              <w:top w:val="nil"/>
              <w:left w:val="single" w:sz="8" w:space="0" w:color="000000"/>
              <w:bottom w:val="nil"/>
              <w:right w:val="single" w:sz="8" w:space="0" w:color="000000"/>
            </w:tcBorders>
          </w:tcPr>
          <w:p>
            <w:pPr>
              <w:pStyle w:val="TableParagraph"/>
              <w:spacing w:line="214" w:lineRule="exact"/>
              <w:ind w:left="182"/>
              <w:rPr>
                <w:sz w:val="19"/>
              </w:rPr>
            </w:pPr>
            <w:r>
              <w:rPr>
                <w:w w:val="105"/>
                <w:sz w:val="19"/>
              </w:rPr>
              <w:t>2.5857</w:t>
            </w:r>
          </w:p>
        </w:tc>
        <w:tc>
          <w:tcPr>
            <w:tcW w:w="1277" w:type="dxa"/>
            <w:tcBorders>
              <w:top w:val="nil"/>
              <w:left w:val="single" w:sz="8" w:space="0" w:color="000000"/>
              <w:bottom w:val="nil"/>
              <w:right w:val="single" w:sz="8" w:space="0" w:color="000000"/>
            </w:tcBorders>
          </w:tcPr>
          <w:p>
            <w:pPr>
              <w:pStyle w:val="TableParagraph"/>
              <w:spacing w:line="214" w:lineRule="exact"/>
              <w:ind w:left="187" w:right="180"/>
              <w:jc w:val="center"/>
              <w:rPr>
                <w:sz w:val="19"/>
              </w:rPr>
            </w:pPr>
            <w:r>
              <w:rPr>
                <w:w w:val="105"/>
                <w:sz w:val="19"/>
              </w:rPr>
              <w:t>.64518</w:t>
            </w:r>
          </w:p>
        </w:tc>
        <w:tc>
          <w:tcPr>
            <w:tcW w:w="1212" w:type="dxa"/>
            <w:tcBorders>
              <w:top w:val="nil"/>
              <w:left w:val="single" w:sz="8" w:space="0" w:color="000000"/>
              <w:bottom w:val="nil"/>
            </w:tcBorders>
          </w:tcPr>
          <w:p>
            <w:pPr>
              <w:pStyle w:val="TableParagraph"/>
              <w:spacing w:line="214" w:lineRule="exact"/>
              <w:ind w:left="181" w:right="182"/>
              <w:jc w:val="center"/>
              <w:rPr>
                <w:sz w:val="19"/>
              </w:rPr>
            </w:pPr>
            <w:r>
              <w:rPr>
                <w:w w:val="105"/>
                <w:sz w:val="19"/>
              </w:rPr>
              <w:t>.416</w:t>
            </w:r>
          </w:p>
        </w:tc>
      </w:tr>
      <w:tr>
        <w:trPr>
          <w:trHeight w:val="223" w:hRule="exact"/>
        </w:trPr>
        <w:tc>
          <w:tcPr>
            <w:tcW w:w="2741" w:type="dxa"/>
            <w:tcBorders>
              <w:top w:val="nil"/>
              <w:bottom w:val="nil"/>
            </w:tcBorders>
          </w:tcPr>
          <w:p>
            <w:pPr>
              <w:pStyle w:val="TableParagraph"/>
              <w:spacing w:line="212" w:lineRule="exact"/>
              <w:ind w:left="67"/>
              <w:rPr>
                <w:sz w:val="19"/>
              </w:rPr>
            </w:pPr>
            <w:r>
              <w:rPr>
                <w:sz w:val="19"/>
              </w:rPr>
              <w:t>Responsabilidad ambiental</w:t>
            </w:r>
          </w:p>
        </w:tc>
        <w:tc>
          <w:tcPr>
            <w:tcW w:w="641" w:type="dxa"/>
            <w:tcBorders>
              <w:top w:val="nil"/>
              <w:bottom w:val="nil"/>
              <w:right w:val="single" w:sz="8" w:space="0" w:color="000000"/>
            </w:tcBorders>
          </w:tcPr>
          <w:p>
            <w:pPr>
              <w:pStyle w:val="TableParagraph"/>
              <w:spacing w:line="212" w:lineRule="exact"/>
              <w:ind w:left="244"/>
              <w:rPr>
                <w:sz w:val="19"/>
              </w:rPr>
            </w:pPr>
            <w:r>
              <w:rPr>
                <w:w w:val="105"/>
                <w:sz w:val="19"/>
              </w:rPr>
              <w:t>420</w:t>
            </w:r>
          </w:p>
        </w:tc>
        <w:tc>
          <w:tcPr>
            <w:tcW w:w="1032" w:type="dxa"/>
            <w:tcBorders>
              <w:top w:val="nil"/>
              <w:left w:val="single" w:sz="8" w:space="0" w:color="000000"/>
              <w:bottom w:val="nil"/>
              <w:right w:val="single" w:sz="8" w:space="0" w:color="000000"/>
            </w:tcBorders>
          </w:tcPr>
          <w:p>
            <w:pPr>
              <w:pStyle w:val="TableParagraph"/>
              <w:spacing w:line="212" w:lineRule="exact"/>
              <w:ind w:left="161" w:right="153"/>
              <w:jc w:val="center"/>
              <w:rPr>
                <w:sz w:val="19"/>
              </w:rPr>
            </w:pPr>
            <w:r>
              <w:rPr>
                <w:w w:val="105"/>
                <w:sz w:val="19"/>
              </w:rPr>
              <w:t>2.00</w:t>
            </w:r>
          </w:p>
        </w:tc>
        <w:tc>
          <w:tcPr>
            <w:tcW w:w="1094" w:type="dxa"/>
            <w:tcBorders>
              <w:top w:val="nil"/>
              <w:left w:val="single" w:sz="8" w:space="0" w:color="000000"/>
              <w:bottom w:val="nil"/>
              <w:right w:val="single" w:sz="8" w:space="0" w:color="000000"/>
            </w:tcBorders>
          </w:tcPr>
          <w:p>
            <w:pPr>
              <w:pStyle w:val="TableParagraph"/>
              <w:spacing w:line="212" w:lineRule="exact"/>
              <w:ind w:left="167" w:right="164"/>
              <w:jc w:val="center"/>
              <w:rPr>
                <w:sz w:val="19"/>
              </w:rPr>
            </w:pPr>
            <w:r>
              <w:rPr>
                <w:w w:val="105"/>
                <w:sz w:val="19"/>
              </w:rPr>
              <w:t>4.50</w:t>
            </w:r>
          </w:p>
        </w:tc>
        <w:tc>
          <w:tcPr>
            <w:tcW w:w="970" w:type="dxa"/>
            <w:tcBorders>
              <w:top w:val="nil"/>
              <w:left w:val="single" w:sz="8" w:space="0" w:color="000000"/>
              <w:bottom w:val="nil"/>
              <w:right w:val="single" w:sz="8" w:space="0" w:color="000000"/>
            </w:tcBorders>
          </w:tcPr>
          <w:p>
            <w:pPr>
              <w:pStyle w:val="TableParagraph"/>
              <w:spacing w:line="212" w:lineRule="exact"/>
              <w:ind w:left="182"/>
              <w:rPr>
                <w:sz w:val="19"/>
              </w:rPr>
            </w:pPr>
            <w:r>
              <w:rPr>
                <w:w w:val="105"/>
                <w:sz w:val="19"/>
              </w:rPr>
              <w:t>3.4262</w:t>
            </w:r>
          </w:p>
        </w:tc>
        <w:tc>
          <w:tcPr>
            <w:tcW w:w="1277" w:type="dxa"/>
            <w:tcBorders>
              <w:top w:val="nil"/>
              <w:left w:val="single" w:sz="8" w:space="0" w:color="000000"/>
              <w:bottom w:val="nil"/>
              <w:right w:val="single" w:sz="8" w:space="0" w:color="000000"/>
            </w:tcBorders>
          </w:tcPr>
          <w:p>
            <w:pPr>
              <w:pStyle w:val="TableParagraph"/>
              <w:spacing w:line="212" w:lineRule="exact"/>
              <w:ind w:left="187" w:right="180"/>
              <w:jc w:val="center"/>
              <w:rPr>
                <w:sz w:val="19"/>
              </w:rPr>
            </w:pPr>
            <w:r>
              <w:rPr>
                <w:w w:val="105"/>
                <w:sz w:val="19"/>
              </w:rPr>
              <w:t>.67774</w:t>
            </w:r>
          </w:p>
        </w:tc>
        <w:tc>
          <w:tcPr>
            <w:tcW w:w="1212" w:type="dxa"/>
            <w:tcBorders>
              <w:top w:val="nil"/>
              <w:left w:val="single" w:sz="8" w:space="0" w:color="000000"/>
              <w:bottom w:val="nil"/>
            </w:tcBorders>
          </w:tcPr>
          <w:p>
            <w:pPr>
              <w:pStyle w:val="TableParagraph"/>
              <w:spacing w:line="212" w:lineRule="exact"/>
              <w:ind w:left="181" w:right="182"/>
              <w:jc w:val="center"/>
              <w:rPr>
                <w:sz w:val="19"/>
              </w:rPr>
            </w:pPr>
            <w:r>
              <w:rPr>
                <w:w w:val="105"/>
                <w:sz w:val="19"/>
              </w:rPr>
              <w:t>.459</w:t>
            </w:r>
          </w:p>
        </w:tc>
      </w:tr>
      <w:tr>
        <w:trPr>
          <w:trHeight w:val="224" w:hRule="exact"/>
        </w:trPr>
        <w:tc>
          <w:tcPr>
            <w:tcW w:w="2741" w:type="dxa"/>
            <w:tcBorders>
              <w:top w:val="nil"/>
            </w:tcBorders>
          </w:tcPr>
          <w:p>
            <w:pPr>
              <w:pStyle w:val="TableParagraph"/>
              <w:spacing w:line="214" w:lineRule="exact"/>
              <w:ind w:left="67"/>
              <w:rPr>
                <w:sz w:val="19"/>
              </w:rPr>
            </w:pPr>
            <w:r>
              <w:rPr>
                <w:w w:val="105"/>
                <w:sz w:val="19"/>
              </w:rPr>
              <w:t>N válido (según lista)</w:t>
            </w:r>
          </w:p>
        </w:tc>
        <w:tc>
          <w:tcPr>
            <w:tcW w:w="641" w:type="dxa"/>
            <w:tcBorders>
              <w:top w:val="nil"/>
              <w:right w:val="single" w:sz="8" w:space="0" w:color="000000"/>
            </w:tcBorders>
          </w:tcPr>
          <w:p>
            <w:pPr>
              <w:pStyle w:val="TableParagraph"/>
              <w:spacing w:line="214" w:lineRule="exact"/>
              <w:ind w:left="244"/>
              <w:rPr>
                <w:sz w:val="19"/>
              </w:rPr>
            </w:pPr>
            <w:r>
              <w:rPr>
                <w:w w:val="105"/>
                <w:sz w:val="19"/>
              </w:rPr>
              <w:t>420</w:t>
            </w:r>
          </w:p>
        </w:tc>
        <w:tc>
          <w:tcPr>
            <w:tcW w:w="1032" w:type="dxa"/>
            <w:tcBorders>
              <w:top w:val="nil"/>
              <w:left w:val="single" w:sz="8" w:space="0" w:color="000000"/>
              <w:right w:val="single" w:sz="8" w:space="0" w:color="000000"/>
            </w:tcBorders>
          </w:tcPr>
          <w:p>
            <w:pPr/>
          </w:p>
        </w:tc>
        <w:tc>
          <w:tcPr>
            <w:tcW w:w="1094" w:type="dxa"/>
            <w:tcBorders>
              <w:top w:val="nil"/>
              <w:left w:val="single" w:sz="8" w:space="0" w:color="000000"/>
              <w:right w:val="single" w:sz="8" w:space="0" w:color="000000"/>
            </w:tcBorders>
          </w:tcPr>
          <w:p>
            <w:pPr/>
          </w:p>
        </w:tc>
        <w:tc>
          <w:tcPr>
            <w:tcW w:w="970" w:type="dxa"/>
            <w:tcBorders>
              <w:top w:val="nil"/>
              <w:left w:val="single" w:sz="8" w:space="0" w:color="000000"/>
              <w:right w:val="single" w:sz="8" w:space="0" w:color="000000"/>
            </w:tcBorders>
          </w:tcPr>
          <w:p>
            <w:pPr/>
          </w:p>
        </w:tc>
        <w:tc>
          <w:tcPr>
            <w:tcW w:w="1277" w:type="dxa"/>
            <w:tcBorders>
              <w:top w:val="nil"/>
              <w:left w:val="single" w:sz="8" w:space="0" w:color="000000"/>
              <w:right w:val="single" w:sz="8" w:space="0" w:color="000000"/>
            </w:tcBorders>
          </w:tcPr>
          <w:p>
            <w:pPr/>
          </w:p>
        </w:tc>
        <w:tc>
          <w:tcPr>
            <w:tcW w:w="1212" w:type="dxa"/>
            <w:tcBorders>
              <w:top w:val="nil"/>
              <w:left w:val="single" w:sz="8" w:space="0" w:color="000000"/>
            </w:tcBorders>
          </w:tcPr>
          <w:p>
            <w:pPr/>
          </w:p>
        </w:tc>
      </w:tr>
    </w:tbl>
    <w:p>
      <w:pPr>
        <w:pStyle w:val="BodyText"/>
        <w:rPr>
          <w:sz w:val="20"/>
        </w:rPr>
      </w:pPr>
    </w:p>
    <w:p>
      <w:pPr>
        <w:pStyle w:val="BodyText"/>
        <w:spacing w:before="8"/>
        <w:rPr>
          <w:sz w:val="13"/>
        </w:rPr>
      </w:pPr>
    </w:p>
    <w:tbl>
      <w:tblPr>
        <w:tblW w:w="0" w:type="auto"/>
        <w:jc w:val="left"/>
        <w:tblInd w:w="11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50"/>
        <w:gridCol w:w="1032"/>
        <w:gridCol w:w="557"/>
        <w:gridCol w:w="682"/>
        <w:gridCol w:w="787"/>
        <w:gridCol w:w="581"/>
        <w:gridCol w:w="413"/>
        <w:gridCol w:w="706"/>
        <w:gridCol w:w="542"/>
        <w:gridCol w:w="701"/>
        <w:gridCol w:w="552"/>
        <w:gridCol w:w="782"/>
        <w:gridCol w:w="821"/>
        <w:gridCol w:w="509"/>
      </w:tblGrid>
      <w:tr>
        <w:trPr>
          <w:trHeight w:val="257" w:hRule="exact"/>
        </w:trPr>
        <w:tc>
          <w:tcPr>
            <w:tcW w:w="9014" w:type="dxa"/>
            <w:gridSpan w:val="14"/>
            <w:tcBorders>
              <w:left w:val="single" w:sz="4" w:space="0" w:color="000000"/>
              <w:bottom w:val="single" w:sz="4" w:space="0" w:color="000000"/>
              <w:right w:val="single" w:sz="4" w:space="0" w:color="000000"/>
            </w:tcBorders>
          </w:tcPr>
          <w:p>
            <w:pPr>
              <w:pStyle w:val="TableParagraph"/>
              <w:spacing w:line="241" w:lineRule="exact"/>
              <w:ind w:left="3463" w:right="3455"/>
              <w:jc w:val="center"/>
              <w:rPr>
                <w:sz w:val="13"/>
              </w:rPr>
            </w:pPr>
            <w:r>
              <w:rPr>
                <w:sz w:val="21"/>
              </w:rPr>
              <w:t>Tabla 4. Coeficientes</w:t>
            </w:r>
            <w:r>
              <w:rPr>
                <w:position w:val="10"/>
                <w:sz w:val="13"/>
              </w:rPr>
              <w:t>a</w:t>
            </w:r>
          </w:p>
        </w:tc>
      </w:tr>
      <w:tr>
        <w:trPr>
          <w:trHeight w:val="480" w:hRule="exact"/>
        </w:trPr>
        <w:tc>
          <w:tcPr>
            <w:tcW w:w="1382" w:type="dxa"/>
            <w:gridSpan w:val="2"/>
            <w:vMerge w:val="restart"/>
            <w:tcBorders>
              <w:top w:val="single" w:sz="4" w:space="0" w:color="000000"/>
              <w:left w:val="single" w:sz="4" w:space="0" w:color="000000"/>
              <w:right w:val="single" w:sz="4" w:space="0" w:color="000000"/>
            </w:tcBorders>
          </w:tcPr>
          <w:p>
            <w:pPr>
              <w:pStyle w:val="TableParagraph"/>
              <w:rPr>
                <w:sz w:val="14"/>
              </w:rPr>
            </w:pPr>
          </w:p>
          <w:p>
            <w:pPr>
              <w:pStyle w:val="TableParagraph"/>
              <w:spacing w:before="10"/>
              <w:rPr>
                <w:sz w:val="20"/>
              </w:rPr>
            </w:pPr>
          </w:p>
          <w:p>
            <w:pPr>
              <w:pStyle w:val="TableParagraph"/>
              <w:ind w:left="443" w:right="441"/>
              <w:jc w:val="center"/>
              <w:rPr>
                <w:sz w:val="13"/>
              </w:rPr>
            </w:pPr>
            <w:r>
              <w:rPr>
                <w:w w:val="105"/>
                <w:sz w:val="13"/>
              </w:rPr>
              <w:t>Modelo</w:t>
            </w:r>
          </w:p>
        </w:tc>
        <w:tc>
          <w:tcPr>
            <w:tcW w:w="1238" w:type="dxa"/>
            <w:gridSpan w:val="2"/>
            <w:tcBorders>
              <w:top w:val="single" w:sz="4" w:space="0" w:color="000000"/>
              <w:left w:val="single" w:sz="4" w:space="0" w:color="000000"/>
              <w:bottom w:val="single" w:sz="4" w:space="0" w:color="000000"/>
              <w:right w:val="single" w:sz="4" w:space="0" w:color="000000"/>
            </w:tcBorders>
          </w:tcPr>
          <w:p>
            <w:pPr>
              <w:pStyle w:val="TableParagraph"/>
              <w:spacing w:line="247" w:lineRule="auto" w:before="84"/>
              <w:ind w:left="158" w:hanging="5"/>
              <w:rPr>
                <w:sz w:val="13"/>
              </w:rPr>
            </w:pPr>
            <w:r>
              <w:rPr>
                <w:w w:val="105"/>
                <w:sz w:val="13"/>
              </w:rPr>
              <w:t>Coeficientes no estandarizados</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before="89"/>
              <w:ind w:left="71"/>
              <w:rPr>
                <w:sz w:val="11"/>
              </w:rPr>
            </w:pPr>
            <w:r>
              <w:rPr>
                <w:w w:val="105"/>
                <w:sz w:val="11"/>
              </w:rPr>
              <w:t>Coeficientes</w:t>
            </w:r>
          </w:p>
          <w:p>
            <w:pPr>
              <w:pStyle w:val="TableParagraph"/>
              <w:spacing w:before="13"/>
              <w:ind w:left="91"/>
              <w:rPr>
                <w:sz w:val="13"/>
              </w:rPr>
            </w:pPr>
            <w:r>
              <w:rPr>
                <w:w w:val="105"/>
                <w:sz w:val="13"/>
              </w:rPr>
              <w:t>tipificados</w:t>
            </w:r>
          </w:p>
        </w:tc>
        <w:tc>
          <w:tcPr>
            <w:tcW w:w="581" w:type="dxa"/>
            <w:vMerge w:val="restart"/>
            <w:tcBorders>
              <w:top w:val="single" w:sz="4" w:space="0" w:color="000000"/>
              <w:left w:val="single" w:sz="4" w:space="0" w:color="000000"/>
              <w:right w:val="single" w:sz="4" w:space="0" w:color="000000"/>
            </w:tcBorders>
          </w:tcPr>
          <w:p>
            <w:pPr>
              <w:pStyle w:val="TableParagraph"/>
              <w:rPr>
                <w:sz w:val="14"/>
              </w:rPr>
            </w:pPr>
          </w:p>
          <w:p>
            <w:pPr>
              <w:pStyle w:val="TableParagraph"/>
              <w:spacing w:before="10"/>
              <w:rPr>
                <w:sz w:val="20"/>
              </w:rPr>
            </w:pPr>
          </w:p>
          <w:p>
            <w:pPr>
              <w:pStyle w:val="TableParagraph"/>
              <w:ind w:right="3"/>
              <w:jc w:val="center"/>
              <w:rPr>
                <w:sz w:val="13"/>
              </w:rPr>
            </w:pPr>
            <w:r>
              <w:rPr>
                <w:w w:val="104"/>
                <w:sz w:val="13"/>
              </w:rPr>
              <w:t>t</w:t>
            </w:r>
          </w:p>
        </w:tc>
        <w:tc>
          <w:tcPr>
            <w:tcW w:w="413" w:type="dxa"/>
            <w:vMerge w:val="restart"/>
            <w:tcBorders>
              <w:top w:val="single" w:sz="4" w:space="0" w:color="000000"/>
              <w:left w:val="single" w:sz="4" w:space="0" w:color="000000"/>
              <w:right w:val="single" w:sz="4" w:space="0" w:color="000000"/>
            </w:tcBorders>
          </w:tcPr>
          <w:p>
            <w:pPr>
              <w:pStyle w:val="TableParagraph"/>
              <w:rPr>
                <w:sz w:val="14"/>
              </w:rPr>
            </w:pPr>
          </w:p>
          <w:p>
            <w:pPr>
              <w:pStyle w:val="TableParagraph"/>
              <w:spacing w:before="10"/>
              <w:rPr>
                <w:sz w:val="20"/>
              </w:rPr>
            </w:pPr>
          </w:p>
          <w:p>
            <w:pPr>
              <w:pStyle w:val="TableParagraph"/>
              <w:ind w:left="86"/>
              <w:rPr>
                <w:sz w:val="13"/>
              </w:rPr>
            </w:pPr>
            <w:r>
              <w:rPr>
                <w:w w:val="105"/>
                <w:sz w:val="13"/>
              </w:rPr>
              <w:t>Sig.</w:t>
            </w:r>
          </w:p>
        </w:tc>
        <w:tc>
          <w:tcPr>
            <w:tcW w:w="1248" w:type="dxa"/>
            <w:gridSpan w:val="2"/>
            <w:tcBorders>
              <w:top w:val="single" w:sz="4" w:space="0" w:color="000000"/>
              <w:left w:val="single" w:sz="4" w:space="0" w:color="000000"/>
              <w:bottom w:val="single" w:sz="4" w:space="0" w:color="000000"/>
              <w:right w:val="single" w:sz="4" w:space="0" w:color="000000"/>
            </w:tcBorders>
          </w:tcPr>
          <w:p>
            <w:pPr>
              <w:pStyle w:val="TableParagraph"/>
              <w:spacing w:line="254" w:lineRule="auto" w:before="3"/>
              <w:ind w:left="206" w:right="211" w:firstLine="62"/>
              <w:jc w:val="both"/>
              <w:rPr>
                <w:sz w:val="13"/>
              </w:rPr>
            </w:pPr>
            <w:r>
              <w:rPr>
                <w:w w:val="105"/>
                <w:sz w:val="13"/>
              </w:rPr>
              <w:t>Intervalo de confianza </w:t>
            </w:r>
            <w:r>
              <w:rPr>
                <w:spacing w:val="3"/>
                <w:w w:val="105"/>
                <w:sz w:val="13"/>
              </w:rPr>
              <w:t>de </w:t>
            </w:r>
            <w:r>
              <w:rPr>
                <w:w w:val="105"/>
                <w:sz w:val="13"/>
              </w:rPr>
              <w:t>95.0% para</w:t>
            </w:r>
            <w:r>
              <w:rPr>
                <w:spacing w:val="-14"/>
                <w:w w:val="105"/>
                <w:sz w:val="13"/>
              </w:rPr>
              <w:t> </w:t>
            </w:r>
            <w:r>
              <w:rPr>
                <w:w w:val="105"/>
                <w:sz w:val="13"/>
              </w:rPr>
              <w:t>B</w:t>
            </w:r>
          </w:p>
        </w:tc>
        <w:tc>
          <w:tcPr>
            <w:tcW w:w="2035" w:type="dxa"/>
            <w:gridSpan w:val="3"/>
            <w:tcBorders>
              <w:top w:val="single" w:sz="4" w:space="0" w:color="000000"/>
              <w:left w:val="single" w:sz="4" w:space="0" w:color="000000"/>
              <w:bottom w:val="single" w:sz="4" w:space="0" w:color="000000"/>
              <w:right w:val="single" w:sz="4" w:space="0" w:color="000000"/>
            </w:tcBorders>
          </w:tcPr>
          <w:p>
            <w:pPr>
              <w:pStyle w:val="TableParagraph"/>
              <w:spacing w:before="6"/>
              <w:rPr>
                <w:sz w:val="13"/>
              </w:rPr>
            </w:pPr>
          </w:p>
          <w:p>
            <w:pPr>
              <w:pStyle w:val="TableParagraph"/>
              <w:spacing w:before="1"/>
              <w:ind w:left="590"/>
              <w:rPr>
                <w:sz w:val="13"/>
              </w:rPr>
            </w:pPr>
            <w:r>
              <w:rPr>
                <w:w w:val="105"/>
                <w:sz w:val="13"/>
              </w:rPr>
              <w:t>Correlaciones</w:t>
            </w:r>
          </w:p>
        </w:tc>
        <w:tc>
          <w:tcPr>
            <w:tcW w:w="1330" w:type="dxa"/>
            <w:gridSpan w:val="2"/>
            <w:tcBorders>
              <w:top w:val="single" w:sz="4" w:space="0" w:color="000000"/>
              <w:left w:val="single" w:sz="4" w:space="0" w:color="000000"/>
              <w:bottom w:val="single" w:sz="4" w:space="0" w:color="000000"/>
              <w:right w:val="single" w:sz="4" w:space="0" w:color="000000"/>
            </w:tcBorders>
          </w:tcPr>
          <w:p>
            <w:pPr>
              <w:pStyle w:val="TableParagraph"/>
              <w:spacing w:line="247" w:lineRule="auto" w:before="84"/>
              <w:ind w:left="302" w:right="178" w:hanging="106"/>
              <w:rPr>
                <w:sz w:val="13"/>
              </w:rPr>
            </w:pPr>
            <w:r>
              <w:rPr>
                <w:w w:val="105"/>
                <w:sz w:val="13"/>
              </w:rPr>
              <w:t>Estadísticos de colinealidad</w:t>
            </w:r>
          </w:p>
        </w:tc>
      </w:tr>
      <w:tr>
        <w:trPr>
          <w:trHeight w:val="480" w:hRule="exact"/>
        </w:trPr>
        <w:tc>
          <w:tcPr>
            <w:tcW w:w="1382" w:type="dxa"/>
            <w:gridSpan w:val="2"/>
            <w:vMerge/>
            <w:tcBorders>
              <w:left w:val="single" w:sz="4" w:space="0" w:color="000000"/>
              <w:bottom w:val="single" w:sz="4" w:space="0" w:color="000000"/>
              <w:right w:val="single" w:sz="4" w:space="0" w:color="000000"/>
            </w:tcBorders>
          </w:tcPr>
          <w:p>
            <w:pPr/>
          </w:p>
        </w:tc>
        <w:tc>
          <w:tcPr>
            <w:tcW w:w="557" w:type="dxa"/>
            <w:tcBorders>
              <w:top w:val="single" w:sz="4" w:space="0" w:color="000000"/>
              <w:left w:val="single" w:sz="4" w:space="0" w:color="000000"/>
              <w:bottom w:val="single" w:sz="4" w:space="0" w:color="000000"/>
              <w:right w:val="single" w:sz="4" w:space="0" w:color="000000"/>
            </w:tcBorders>
          </w:tcPr>
          <w:p>
            <w:pPr>
              <w:pStyle w:val="TableParagraph"/>
              <w:rPr>
                <w:sz w:val="14"/>
              </w:rPr>
            </w:pPr>
          </w:p>
          <w:p>
            <w:pPr>
              <w:pStyle w:val="TableParagraph"/>
              <w:ind w:left="3"/>
              <w:jc w:val="center"/>
              <w:rPr>
                <w:sz w:val="13"/>
              </w:rPr>
            </w:pPr>
            <w:r>
              <w:rPr>
                <w:w w:val="104"/>
                <w:sz w:val="13"/>
              </w:rPr>
              <w:t>B</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rPr>
                <w:sz w:val="14"/>
              </w:rPr>
            </w:pPr>
          </w:p>
          <w:p>
            <w:pPr>
              <w:pStyle w:val="TableParagraph"/>
              <w:ind w:left="52" w:right="49"/>
              <w:jc w:val="center"/>
              <w:rPr>
                <w:sz w:val="13"/>
              </w:rPr>
            </w:pPr>
            <w:r>
              <w:rPr>
                <w:w w:val="105"/>
                <w:sz w:val="13"/>
              </w:rPr>
              <w:t>Error típ.</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rPr>
                <w:sz w:val="14"/>
              </w:rPr>
            </w:pPr>
          </w:p>
          <w:p>
            <w:pPr>
              <w:pStyle w:val="TableParagraph"/>
              <w:ind w:left="254"/>
              <w:rPr>
                <w:sz w:val="13"/>
              </w:rPr>
            </w:pPr>
            <w:r>
              <w:rPr>
                <w:w w:val="105"/>
                <w:sz w:val="13"/>
              </w:rPr>
              <w:t>Beta</w:t>
            </w:r>
          </w:p>
        </w:tc>
        <w:tc>
          <w:tcPr>
            <w:tcW w:w="581" w:type="dxa"/>
            <w:vMerge/>
            <w:tcBorders>
              <w:left w:val="single" w:sz="4" w:space="0" w:color="000000"/>
              <w:bottom w:val="single" w:sz="4" w:space="0" w:color="000000"/>
              <w:right w:val="single" w:sz="4" w:space="0" w:color="000000"/>
            </w:tcBorders>
          </w:tcPr>
          <w:p>
            <w:pPr/>
          </w:p>
        </w:tc>
        <w:tc>
          <w:tcPr>
            <w:tcW w:w="413" w:type="dxa"/>
            <w:vMerge/>
            <w:tcBorders>
              <w:left w:val="single" w:sz="4" w:space="0" w:color="000000"/>
              <w:bottom w:val="single" w:sz="4" w:space="0" w:color="000000"/>
              <w:right w:val="single" w:sz="4" w:space="0" w:color="000000"/>
            </w:tcBorders>
          </w:tcPr>
          <w:p>
            <w:pP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line="254" w:lineRule="auto" w:before="79"/>
              <w:ind w:left="143" w:firstLine="19"/>
              <w:rPr>
                <w:sz w:val="13"/>
              </w:rPr>
            </w:pPr>
            <w:r>
              <w:rPr>
                <w:w w:val="105"/>
                <w:sz w:val="13"/>
              </w:rPr>
              <w:t>Límite inferior</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49" w:lineRule="auto" w:before="7"/>
              <w:ind w:left="65" w:right="55"/>
              <w:jc w:val="center"/>
              <w:rPr>
                <w:sz w:val="13"/>
              </w:rPr>
            </w:pPr>
            <w:r>
              <w:rPr>
                <w:w w:val="105"/>
                <w:sz w:val="13"/>
              </w:rPr>
              <w:t>Límite superi</w:t>
            </w:r>
            <w:r>
              <w:rPr>
                <w:w w:val="104"/>
                <w:sz w:val="13"/>
              </w:rPr>
              <w:t> </w:t>
            </w:r>
            <w:r>
              <w:rPr>
                <w:w w:val="105"/>
                <w:sz w:val="13"/>
              </w:rPr>
              <w:t>or</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254" w:lineRule="auto" w:before="79"/>
              <w:ind w:left="211" w:right="151" w:hanging="53"/>
              <w:rPr>
                <w:sz w:val="13"/>
              </w:rPr>
            </w:pPr>
            <w:r>
              <w:rPr>
                <w:sz w:val="13"/>
              </w:rPr>
              <w:t>Orden </w:t>
            </w:r>
            <w:r>
              <w:rPr>
                <w:w w:val="105"/>
                <w:sz w:val="13"/>
              </w:rPr>
              <w:t>cero</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rPr>
                <w:sz w:val="14"/>
              </w:rPr>
            </w:pPr>
          </w:p>
          <w:p>
            <w:pPr>
              <w:pStyle w:val="TableParagraph"/>
              <w:ind w:left="45" w:right="40"/>
              <w:jc w:val="center"/>
              <w:rPr>
                <w:sz w:val="13"/>
              </w:rPr>
            </w:pPr>
            <w:r>
              <w:rPr>
                <w:w w:val="105"/>
                <w:sz w:val="13"/>
              </w:rPr>
              <w:t>Parcial</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before="9"/>
              <w:rPr>
                <w:sz w:val="14"/>
              </w:rPr>
            </w:pPr>
          </w:p>
          <w:p>
            <w:pPr>
              <w:pStyle w:val="TableParagraph"/>
              <w:ind w:left="62" w:right="67"/>
              <w:jc w:val="center"/>
              <w:rPr>
                <w:sz w:val="11"/>
              </w:rPr>
            </w:pPr>
            <w:r>
              <w:rPr>
                <w:w w:val="105"/>
                <w:sz w:val="11"/>
              </w:rPr>
              <w:t>Semiparcial</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rPr>
                <w:sz w:val="14"/>
              </w:rPr>
            </w:pPr>
          </w:p>
          <w:p>
            <w:pPr>
              <w:pStyle w:val="TableParagraph"/>
              <w:ind w:left="66" w:right="66"/>
              <w:jc w:val="center"/>
              <w:rPr>
                <w:sz w:val="13"/>
              </w:rPr>
            </w:pPr>
            <w:r>
              <w:rPr>
                <w:w w:val="105"/>
                <w:sz w:val="13"/>
              </w:rPr>
              <w:t>Tolerancia</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rPr>
                <w:sz w:val="14"/>
              </w:rPr>
            </w:pPr>
          </w:p>
          <w:p>
            <w:pPr>
              <w:pStyle w:val="TableParagraph"/>
              <w:ind w:left="84" w:right="81"/>
              <w:jc w:val="center"/>
              <w:rPr>
                <w:sz w:val="13"/>
              </w:rPr>
            </w:pPr>
            <w:r>
              <w:rPr>
                <w:w w:val="105"/>
                <w:sz w:val="13"/>
              </w:rPr>
              <w:t>FIV</w:t>
            </w:r>
          </w:p>
        </w:tc>
      </w:tr>
      <w:tr>
        <w:trPr>
          <w:trHeight w:val="168" w:hRule="exact"/>
        </w:trPr>
        <w:tc>
          <w:tcPr>
            <w:tcW w:w="350" w:type="dxa"/>
            <w:vMerge w:val="restart"/>
            <w:tcBorders>
              <w:top w:val="single" w:sz="4" w:space="0" w:color="000000"/>
              <w:left w:val="single" w:sz="4" w:space="0" w:color="000000"/>
              <w:right w:val="single" w:sz="4" w:space="0" w:color="000000"/>
            </w:tcBorders>
          </w:tcPr>
          <w:p>
            <w:pPr>
              <w:pStyle w:val="TableParagraph"/>
              <w:spacing w:before="75"/>
              <w:ind w:left="3"/>
              <w:jc w:val="center"/>
              <w:rPr>
                <w:sz w:val="13"/>
              </w:rPr>
            </w:pPr>
            <w:r>
              <w:rPr>
                <w:w w:val="104"/>
                <w:sz w:val="13"/>
              </w:rPr>
              <w:t>1</w:t>
            </w: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3"/>
              <w:ind w:left="54" w:right="53"/>
              <w:jc w:val="center"/>
              <w:rPr>
                <w:sz w:val="13"/>
              </w:rPr>
            </w:pPr>
            <w:r>
              <w:rPr>
                <w:w w:val="105"/>
                <w:sz w:val="13"/>
              </w:rPr>
              <w:t>(Constante)</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12"/>
              <w:ind w:left="58" w:right="52"/>
              <w:jc w:val="center"/>
              <w:rPr>
                <w:sz w:val="11"/>
              </w:rPr>
            </w:pPr>
            <w:r>
              <w:rPr>
                <w:w w:val="105"/>
                <w:sz w:val="11"/>
              </w:rPr>
              <w:t>1.329</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12"/>
              <w:ind w:left="52" w:right="45"/>
              <w:jc w:val="center"/>
              <w:rPr>
                <w:sz w:val="11"/>
              </w:rPr>
            </w:pPr>
            <w:r>
              <w:rPr>
                <w:w w:val="105"/>
                <w:sz w:val="11"/>
              </w:rPr>
              <w:t>.481</w:t>
            </w:r>
          </w:p>
        </w:tc>
        <w:tc>
          <w:tcPr>
            <w:tcW w:w="787"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12"/>
              <w:ind w:left="139"/>
              <w:rPr>
                <w:sz w:val="11"/>
              </w:rPr>
            </w:pPr>
            <w:r>
              <w:rPr>
                <w:w w:val="105"/>
                <w:sz w:val="11"/>
              </w:rPr>
              <w:t>2.763</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12"/>
              <w:ind w:left="72" w:right="65"/>
              <w:jc w:val="center"/>
              <w:rPr>
                <w:sz w:val="11"/>
              </w:rPr>
            </w:pPr>
            <w:r>
              <w:rPr>
                <w:w w:val="105"/>
                <w:sz w:val="11"/>
              </w:rPr>
              <w:t>.006</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2"/>
              <w:ind w:left="235"/>
              <w:rPr>
                <w:sz w:val="11"/>
              </w:rPr>
            </w:pPr>
            <w:r>
              <w:rPr>
                <w:w w:val="105"/>
                <w:sz w:val="11"/>
              </w:rPr>
              <w:t>.383</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2"/>
              <w:ind w:left="124"/>
              <w:rPr>
                <w:sz w:val="11"/>
              </w:rPr>
            </w:pPr>
            <w:r>
              <w:rPr>
                <w:w w:val="105"/>
                <w:sz w:val="11"/>
              </w:rPr>
              <w:t>2.275</w:t>
            </w:r>
          </w:p>
        </w:tc>
        <w:tc>
          <w:tcPr>
            <w:tcW w:w="701" w:type="dxa"/>
            <w:tcBorders>
              <w:top w:val="single" w:sz="4" w:space="0" w:color="000000"/>
              <w:left w:val="single" w:sz="4" w:space="0" w:color="000000"/>
              <w:bottom w:val="single" w:sz="4" w:space="0" w:color="000000"/>
              <w:right w:val="single" w:sz="4" w:space="0" w:color="000000"/>
            </w:tcBorders>
          </w:tcPr>
          <w:p>
            <w:pPr/>
          </w:p>
        </w:tc>
        <w:tc>
          <w:tcPr>
            <w:tcW w:w="552" w:type="dxa"/>
            <w:tcBorders>
              <w:top w:val="single" w:sz="4" w:space="0" w:color="000000"/>
              <w:left w:val="single" w:sz="4" w:space="0" w:color="000000"/>
              <w:bottom w:val="single" w:sz="4" w:space="0" w:color="000000"/>
              <w:right w:val="single" w:sz="4" w:space="0" w:color="000000"/>
            </w:tcBorders>
          </w:tcPr>
          <w:p>
            <w:pPr/>
          </w:p>
        </w:tc>
        <w:tc>
          <w:tcPr>
            <w:tcW w:w="782" w:type="dxa"/>
            <w:tcBorders>
              <w:top w:val="single" w:sz="4" w:space="0" w:color="000000"/>
              <w:left w:val="single" w:sz="4" w:space="0" w:color="000000"/>
              <w:bottom w:val="single" w:sz="4" w:space="0" w:color="000000"/>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
        </w:tc>
        <w:tc>
          <w:tcPr>
            <w:tcW w:w="509" w:type="dxa"/>
            <w:tcBorders>
              <w:top w:val="single" w:sz="4" w:space="0" w:color="000000"/>
              <w:left w:val="single" w:sz="4" w:space="0" w:color="000000"/>
              <w:bottom w:val="single" w:sz="4" w:space="0" w:color="000000"/>
              <w:right w:val="single" w:sz="4" w:space="0" w:color="000000"/>
            </w:tcBorders>
          </w:tcPr>
          <w:p>
            <w:pPr/>
          </w:p>
        </w:tc>
      </w:tr>
      <w:tr>
        <w:trPr>
          <w:trHeight w:val="144" w:hRule="exact"/>
        </w:trPr>
        <w:tc>
          <w:tcPr>
            <w:tcW w:w="350" w:type="dxa"/>
            <w:vMerge/>
            <w:tcBorders>
              <w:left w:val="single" w:sz="4" w:space="0" w:color="000000"/>
              <w:bottom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54" w:right="55"/>
              <w:jc w:val="center"/>
              <w:rPr>
                <w:sz w:val="11"/>
              </w:rPr>
            </w:pPr>
            <w:r>
              <w:rPr>
                <w:w w:val="105"/>
                <w:sz w:val="11"/>
              </w:rPr>
              <w:t>Responsabilidad</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58" w:right="51"/>
              <w:jc w:val="center"/>
              <w:rPr>
                <w:sz w:val="11"/>
              </w:rPr>
            </w:pPr>
            <w:r>
              <w:rPr>
                <w:w w:val="105"/>
                <w:sz w:val="11"/>
              </w:rPr>
              <w:t>.859</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52" w:right="45"/>
              <w:jc w:val="center"/>
              <w:rPr>
                <w:sz w:val="11"/>
              </w:rPr>
            </w:pPr>
            <w:r>
              <w:rPr>
                <w:w w:val="105"/>
                <w:sz w:val="11"/>
              </w:rPr>
              <w:t>.034</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278"/>
              <w:rPr>
                <w:sz w:val="11"/>
              </w:rPr>
            </w:pPr>
            <w:r>
              <w:rPr>
                <w:w w:val="105"/>
                <w:sz w:val="11"/>
              </w:rPr>
              <w:t>.773</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105"/>
              <w:rPr>
                <w:sz w:val="11"/>
              </w:rPr>
            </w:pPr>
            <w:r>
              <w:rPr>
                <w:w w:val="105"/>
                <w:sz w:val="11"/>
              </w:rPr>
              <w:t>24.932</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235"/>
              <w:rPr>
                <w:sz w:val="11"/>
              </w:rPr>
            </w:pPr>
            <w:r>
              <w:rPr>
                <w:w w:val="105"/>
                <w:sz w:val="11"/>
              </w:rPr>
              <w:t>.791</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153"/>
              <w:rPr>
                <w:sz w:val="11"/>
              </w:rPr>
            </w:pPr>
            <w:r>
              <w:rPr>
                <w:w w:val="105"/>
                <w:sz w:val="11"/>
              </w:rPr>
              <w:t>.926</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213" w:right="213"/>
              <w:jc w:val="center"/>
              <w:rPr>
                <w:sz w:val="11"/>
              </w:rPr>
            </w:pPr>
            <w:r>
              <w:rPr>
                <w:w w:val="105"/>
                <w:sz w:val="11"/>
              </w:rPr>
              <w:t>.773</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42" w:right="40"/>
              <w:jc w:val="center"/>
              <w:rPr>
                <w:sz w:val="11"/>
              </w:rPr>
            </w:pPr>
            <w:r>
              <w:rPr>
                <w:w w:val="105"/>
                <w:sz w:val="11"/>
              </w:rPr>
              <w:t>.773</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62" w:right="62"/>
              <w:jc w:val="center"/>
              <w:rPr>
                <w:sz w:val="11"/>
              </w:rPr>
            </w:pPr>
            <w:r>
              <w:rPr>
                <w:w w:val="105"/>
                <w:sz w:val="11"/>
              </w:rPr>
              <w:t>.773</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66" w:right="64"/>
              <w:jc w:val="center"/>
              <w:rPr>
                <w:sz w:val="11"/>
              </w:rPr>
            </w:pPr>
            <w:r>
              <w:rPr>
                <w:w w:val="105"/>
                <w:sz w:val="11"/>
              </w:rPr>
              <w:t>1.000</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88" w:right="81"/>
              <w:jc w:val="center"/>
              <w:rPr>
                <w:sz w:val="11"/>
              </w:rPr>
            </w:pPr>
            <w:r>
              <w:rPr>
                <w:w w:val="105"/>
                <w:sz w:val="11"/>
              </w:rPr>
              <w:t>1.000</w:t>
            </w:r>
          </w:p>
        </w:tc>
      </w:tr>
      <w:tr>
        <w:trPr>
          <w:trHeight w:val="163" w:hRule="exact"/>
        </w:trPr>
        <w:tc>
          <w:tcPr>
            <w:tcW w:w="350" w:type="dxa"/>
            <w:vMerge w:val="restart"/>
            <w:tcBorders>
              <w:top w:val="single" w:sz="4" w:space="0" w:color="000000"/>
              <w:left w:val="single" w:sz="4" w:space="0" w:color="000000"/>
              <w:right w:val="single" w:sz="4" w:space="0" w:color="000000"/>
            </w:tcBorders>
          </w:tcPr>
          <w:p>
            <w:pPr>
              <w:pStyle w:val="TableParagraph"/>
              <w:spacing w:before="6"/>
              <w:rPr>
                <w:sz w:val="13"/>
              </w:rPr>
            </w:pPr>
          </w:p>
          <w:p>
            <w:pPr>
              <w:pStyle w:val="TableParagraph"/>
              <w:spacing w:before="1"/>
              <w:ind w:left="3"/>
              <w:jc w:val="center"/>
              <w:rPr>
                <w:sz w:val="13"/>
              </w:rPr>
            </w:pPr>
            <w:r>
              <w:rPr>
                <w:w w:val="104"/>
                <w:sz w:val="13"/>
              </w:rPr>
              <w:t>2</w:t>
            </w: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3"/>
              <w:ind w:left="54" w:right="53"/>
              <w:jc w:val="center"/>
              <w:rPr>
                <w:sz w:val="13"/>
              </w:rPr>
            </w:pPr>
            <w:r>
              <w:rPr>
                <w:w w:val="105"/>
                <w:sz w:val="13"/>
              </w:rPr>
              <w:t>(Constante)</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7"/>
              <w:ind w:left="58" w:right="56"/>
              <w:jc w:val="center"/>
              <w:rPr>
                <w:sz w:val="11"/>
              </w:rPr>
            </w:pPr>
            <w:r>
              <w:rPr>
                <w:w w:val="105"/>
                <w:sz w:val="11"/>
              </w:rPr>
              <w:t>-6.416</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7"/>
              <w:ind w:left="52" w:right="45"/>
              <w:jc w:val="center"/>
              <w:rPr>
                <w:sz w:val="11"/>
              </w:rPr>
            </w:pPr>
            <w:r>
              <w:rPr>
                <w:w w:val="105"/>
                <w:sz w:val="11"/>
              </w:rPr>
              <w:t>.602</w:t>
            </w:r>
          </w:p>
        </w:tc>
        <w:tc>
          <w:tcPr>
            <w:tcW w:w="787"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7"/>
              <w:ind w:left="86"/>
              <w:rPr>
                <w:sz w:val="11"/>
              </w:rPr>
            </w:pPr>
            <w:r>
              <w:rPr>
                <w:w w:val="105"/>
                <w:sz w:val="11"/>
              </w:rPr>
              <w:t>-10.666</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7"/>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7"/>
              <w:ind w:left="182"/>
              <w:rPr>
                <w:sz w:val="11"/>
              </w:rPr>
            </w:pPr>
            <w:r>
              <w:rPr>
                <w:w w:val="105"/>
                <w:sz w:val="11"/>
              </w:rPr>
              <w:t>-7.598</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7"/>
              <w:ind w:left="105"/>
              <w:rPr>
                <w:sz w:val="11"/>
              </w:rPr>
            </w:pPr>
            <w:r>
              <w:rPr>
                <w:w w:val="105"/>
                <w:sz w:val="11"/>
              </w:rPr>
              <w:t>-5.233</w:t>
            </w:r>
          </w:p>
        </w:tc>
        <w:tc>
          <w:tcPr>
            <w:tcW w:w="701" w:type="dxa"/>
            <w:tcBorders>
              <w:top w:val="single" w:sz="4" w:space="0" w:color="000000"/>
              <w:left w:val="single" w:sz="4" w:space="0" w:color="000000"/>
              <w:bottom w:val="single" w:sz="4" w:space="0" w:color="000000"/>
              <w:right w:val="single" w:sz="4" w:space="0" w:color="000000"/>
            </w:tcBorders>
          </w:tcPr>
          <w:p>
            <w:pPr/>
          </w:p>
        </w:tc>
        <w:tc>
          <w:tcPr>
            <w:tcW w:w="552" w:type="dxa"/>
            <w:tcBorders>
              <w:top w:val="single" w:sz="4" w:space="0" w:color="000000"/>
              <w:left w:val="single" w:sz="4" w:space="0" w:color="000000"/>
              <w:bottom w:val="single" w:sz="4" w:space="0" w:color="000000"/>
              <w:right w:val="single" w:sz="4" w:space="0" w:color="000000"/>
            </w:tcBorders>
          </w:tcPr>
          <w:p>
            <w:pPr/>
          </w:p>
        </w:tc>
        <w:tc>
          <w:tcPr>
            <w:tcW w:w="782" w:type="dxa"/>
            <w:tcBorders>
              <w:top w:val="single" w:sz="4" w:space="0" w:color="000000"/>
              <w:left w:val="single" w:sz="4" w:space="0" w:color="000000"/>
              <w:bottom w:val="single" w:sz="4" w:space="0" w:color="000000"/>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
        </w:tc>
        <w:tc>
          <w:tcPr>
            <w:tcW w:w="509" w:type="dxa"/>
            <w:tcBorders>
              <w:top w:val="single" w:sz="4" w:space="0" w:color="000000"/>
              <w:left w:val="single" w:sz="4" w:space="0" w:color="000000"/>
              <w:bottom w:val="single" w:sz="4" w:space="0" w:color="000000"/>
              <w:right w:val="single" w:sz="4" w:space="0" w:color="000000"/>
            </w:tcBorders>
          </w:tcPr>
          <w:p>
            <w:pPr/>
          </w:p>
        </w:tc>
      </w:tr>
      <w:tr>
        <w:trPr>
          <w:trHeight w:val="144" w:hRule="exact"/>
        </w:trPr>
        <w:tc>
          <w:tcPr>
            <w:tcW w:w="350" w:type="dxa"/>
            <w:vMerge/>
            <w:tcBorders>
              <w:left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54" w:right="55"/>
              <w:jc w:val="center"/>
              <w:rPr>
                <w:sz w:val="11"/>
              </w:rPr>
            </w:pPr>
            <w:r>
              <w:rPr>
                <w:w w:val="105"/>
                <w:sz w:val="11"/>
              </w:rPr>
              <w:t>Responsabilidad</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58" w:right="51"/>
              <w:jc w:val="center"/>
              <w:rPr>
                <w:sz w:val="11"/>
              </w:rPr>
            </w:pPr>
            <w:r>
              <w:rPr>
                <w:w w:val="105"/>
                <w:sz w:val="11"/>
              </w:rPr>
              <w:t>.801</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52" w:right="45"/>
              <w:jc w:val="center"/>
              <w:rPr>
                <w:sz w:val="11"/>
              </w:rPr>
            </w:pPr>
            <w:r>
              <w:rPr>
                <w:w w:val="105"/>
                <w:sz w:val="11"/>
              </w:rPr>
              <w:t>.027</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278"/>
              <w:rPr>
                <w:sz w:val="11"/>
              </w:rPr>
            </w:pPr>
            <w:r>
              <w:rPr>
                <w:w w:val="105"/>
                <w:sz w:val="11"/>
              </w:rPr>
              <w:t>.721</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105"/>
              <w:rPr>
                <w:sz w:val="11"/>
              </w:rPr>
            </w:pPr>
            <w:r>
              <w:rPr>
                <w:w w:val="105"/>
                <w:sz w:val="11"/>
              </w:rPr>
              <w:t>29.578</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235"/>
              <w:rPr>
                <w:sz w:val="11"/>
              </w:rPr>
            </w:pPr>
            <w:r>
              <w:rPr>
                <w:w w:val="105"/>
                <w:sz w:val="11"/>
              </w:rPr>
              <w:t>.747</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153"/>
              <w:rPr>
                <w:sz w:val="11"/>
              </w:rPr>
            </w:pPr>
            <w:r>
              <w:rPr>
                <w:w w:val="105"/>
                <w:sz w:val="11"/>
              </w:rPr>
              <w:t>.854</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213" w:right="213"/>
              <w:jc w:val="center"/>
              <w:rPr>
                <w:sz w:val="11"/>
              </w:rPr>
            </w:pPr>
            <w:r>
              <w:rPr>
                <w:w w:val="105"/>
                <w:sz w:val="11"/>
              </w:rPr>
              <w:t>.773</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42" w:right="40"/>
              <w:jc w:val="center"/>
              <w:rPr>
                <w:sz w:val="11"/>
              </w:rPr>
            </w:pPr>
            <w:r>
              <w:rPr>
                <w:w w:val="105"/>
                <w:sz w:val="11"/>
              </w:rPr>
              <w:t>.823</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62" w:right="62"/>
              <w:jc w:val="center"/>
              <w:rPr>
                <w:sz w:val="11"/>
              </w:rPr>
            </w:pPr>
            <w:r>
              <w:rPr>
                <w:w w:val="105"/>
                <w:sz w:val="11"/>
              </w:rPr>
              <w:t>.715</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66" w:right="64"/>
              <w:jc w:val="center"/>
              <w:rPr>
                <w:sz w:val="11"/>
              </w:rPr>
            </w:pPr>
            <w:r>
              <w:rPr>
                <w:w w:val="105"/>
                <w:sz w:val="11"/>
              </w:rPr>
              <w:t>.983</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line="124" w:lineRule="exact"/>
              <w:ind w:left="88" w:right="81"/>
              <w:jc w:val="center"/>
              <w:rPr>
                <w:sz w:val="11"/>
              </w:rPr>
            </w:pPr>
            <w:r>
              <w:rPr>
                <w:w w:val="105"/>
                <w:sz w:val="11"/>
              </w:rPr>
              <w:t>1.017</w:t>
            </w:r>
          </w:p>
        </w:tc>
      </w:tr>
      <w:tr>
        <w:trPr>
          <w:trHeight w:val="168" w:hRule="exact"/>
        </w:trPr>
        <w:tc>
          <w:tcPr>
            <w:tcW w:w="350" w:type="dxa"/>
            <w:vMerge/>
            <w:tcBorders>
              <w:left w:val="single" w:sz="4" w:space="0" w:color="000000"/>
              <w:bottom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3"/>
              <w:ind w:left="54" w:right="52"/>
              <w:jc w:val="center"/>
              <w:rPr>
                <w:sz w:val="13"/>
              </w:rPr>
            </w:pPr>
            <w:r>
              <w:rPr>
                <w:w w:val="105"/>
                <w:sz w:val="13"/>
              </w:rPr>
              <w:t>Conocimiento</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12"/>
              <w:ind w:left="58" w:right="51"/>
              <w:jc w:val="center"/>
              <w:rPr>
                <w:sz w:val="11"/>
              </w:rPr>
            </w:pPr>
            <w:r>
              <w:rPr>
                <w:w w:val="105"/>
                <w:sz w:val="11"/>
              </w:rPr>
              <w:t>.504</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12"/>
              <w:ind w:left="52" w:right="45"/>
              <w:jc w:val="center"/>
              <w:rPr>
                <w:sz w:val="11"/>
              </w:rPr>
            </w:pPr>
            <w:r>
              <w:rPr>
                <w:w w:val="105"/>
                <w:sz w:val="11"/>
              </w:rPr>
              <w:t>.031</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before="12"/>
              <w:ind w:left="278"/>
              <w:rPr>
                <w:sz w:val="11"/>
              </w:rPr>
            </w:pPr>
            <w:r>
              <w:rPr>
                <w:w w:val="105"/>
                <w:sz w:val="11"/>
              </w:rPr>
              <w:t>.401</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12"/>
              <w:ind w:left="105"/>
              <w:rPr>
                <w:sz w:val="11"/>
              </w:rPr>
            </w:pPr>
            <w:r>
              <w:rPr>
                <w:w w:val="105"/>
                <w:sz w:val="11"/>
              </w:rPr>
              <w:t>16.465</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12"/>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2"/>
              <w:ind w:left="235"/>
              <w:rPr>
                <w:sz w:val="11"/>
              </w:rPr>
            </w:pPr>
            <w:r>
              <w:rPr>
                <w:w w:val="105"/>
                <w:sz w:val="11"/>
              </w:rPr>
              <w:t>.444</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2"/>
              <w:ind w:left="153"/>
              <w:rPr>
                <w:sz w:val="11"/>
              </w:rPr>
            </w:pPr>
            <w:r>
              <w:rPr>
                <w:w w:val="105"/>
                <w:sz w:val="11"/>
              </w:rPr>
              <w:t>.564</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2"/>
              <w:ind w:left="213" w:right="213"/>
              <w:jc w:val="center"/>
              <w:rPr>
                <w:sz w:val="11"/>
              </w:rPr>
            </w:pPr>
            <w:r>
              <w:rPr>
                <w:w w:val="105"/>
                <w:sz w:val="11"/>
              </w:rPr>
              <w:t>.495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2"/>
              <w:ind w:left="42" w:right="40"/>
              <w:jc w:val="center"/>
              <w:rPr>
                <w:sz w:val="11"/>
              </w:rPr>
            </w:pPr>
            <w:r>
              <w:rPr>
                <w:w w:val="105"/>
                <w:sz w:val="11"/>
              </w:rPr>
              <w:t>.628</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before="12"/>
              <w:ind w:left="62" w:right="62"/>
              <w:jc w:val="center"/>
              <w:rPr>
                <w:sz w:val="11"/>
              </w:rPr>
            </w:pPr>
            <w:r>
              <w:rPr>
                <w:w w:val="105"/>
                <w:sz w:val="11"/>
              </w:rPr>
              <w:t>.398</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12"/>
              <w:ind w:left="66" w:right="64"/>
              <w:jc w:val="center"/>
              <w:rPr>
                <w:sz w:val="11"/>
              </w:rPr>
            </w:pPr>
            <w:r>
              <w:rPr>
                <w:w w:val="105"/>
                <w:sz w:val="11"/>
              </w:rPr>
              <w:t>.983</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before="12"/>
              <w:ind w:left="88" w:right="81"/>
              <w:jc w:val="center"/>
              <w:rPr>
                <w:sz w:val="11"/>
              </w:rPr>
            </w:pPr>
            <w:r>
              <w:rPr>
                <w:w w:val="105"/>
                <w:sz w:val="11"/>
              </w:rPr>
              <w:t>1.017</w:t>
            </w:r>
          </w:p>
        </w:tc>
      </w:tr>
      <w:tr>
        <w:trPr>
          <w:trHeight w:val="163" w:hRule="exact"/>
        </w:trPr>
        <w:tc>
          <w:tcPr>
            <w:tcW w:w="350" w:type="dxa"/>
            <w:vMerge w:val="restart"/>
            <w:tcBorders>
              <w:top w:val="single" w:sz="4" w:space="0" w:color="000000"/>
              <w:left w:val="single" w:sz="4" w:space="0" w:color="000000"/>
              <w:right w:val="single" w:sz="4" w:space="0" w:color="000000"/>
            </w:tcBorders>
          </w:tcPr>
          <w:p>
            <w:pPr>
              <w:pStyle w:val="TableParagraph"/>
              <w:rPr>
                <w:sz w:val="14"/>
              </w:rPr>
            </w:pPr>
          </w:p>
          <w:p>
            <w:pPr>
              <w:pStyle w:val="TableParagraph"/>
              <w:spacing w:before="82"/>
              <w:ind w:left="3"/>
              <w:jc w:val="center"/>
              <w:rPr>
                <w:sz w:val="13"/>
              </w:rPr>
            </w:pPr>
            <w:r>
              <w:rPr>
                <w:w w:val="104"/>
                <w:sz w:val="13"/>
              </w:rPr>
              <w:t>3</w:t>
            </w: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3"/>
              <w:ind w:left="54" w:right="53"/>
              <w:jc w:val="center"/>
              <w:rPr>
                <w:sz w:val="13"/>
              </w:rPr>
            </w:pPr>
            <w:r>
              <w:rPr>
                <w:w w:val="105"/>
                <w:sz w:val="13"/>
              </w:rPr>
              <w:t>(Constante)</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7"/>
              <w:ind w:left="58" w:right="56"/>
              <w:jc w:val="center"/>
              <w:rPr>
                <w:sz w:val="11"/>
              </w:rPr>
            </w:pPr>
            <w:r>
              <w:rPr>
                <w:w w:val="105"/>
                <w:sz w:val="11"/>
              </w:rPr>
              <w:t>-9.345</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7"/>
              <w:ind w:left="52" w:right="45"/>
              <w:jc w:val="center"/>
              <w:rPr>
                <w:sz w:val="11"/>
              </w:rPr>
            </w:pPr>
            <w:r>
              <w:rPr>
                <w:w w:val="105"/>
                <w:sz w:val="11"/>
              </w:rPr>
              <w:t>.606</w:t>
            </w:r>
          </w:p>
        </w:tc>
        <w:tc>
          <w:tcPr>
            <w:tcW w:w="787"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7"/>
              <w:ind w:left="86"/>
              <w:rPr>
                <w:sz w:val="11"/>
              </w:rPr>
            </w:pPr>
            <w:r>
              <w:rPr>
                <w:w w:val="105"/>
                <w:sz w:val="11"/>
              </w:rPr>
              <w:t>-15.428</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7"/>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7"/>
              <w:ind w:left="148"/>
              <w:rPr>
                <w:sz w:val="11"/>
              </w:rPr>
            </w:pPr>
            <w:r>
              <w:rPr>
                <w:w w:val="105"/>
                <w:sz w:val="11"/>
              </w:rPr>
              <w:t>-10.536</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7"/>
              <w:ind w:left="105"/>
              <w:rPr>
                <w:sz w:val="11"/>
              </w:rPr>
            </w:pPr>
            <w:r>
              <w:rPr>
                <w:w w:val="105"/>
                <w:sz w:val="11"/>
              </w:rPr>
              <w:t>-8.154</w:t>
            </w:r>
          </w:p>
        </w:tc>
        <w:tc>
          <w:tcPr>
            <w:tcW w:w="701" w:type="dxa"/>
            <w:tcBorders>
              <w:top w:val="single" w:sz="4" w:space="0" w:color="000000"/>
              <w:left w:val="single" w:sz="4" w:space="0" w:color="000000"/>
              <w:bottom w:val="single" w:sz="4" w:space="0" w:color="000000"/>
              <w:right w:val="single" w:sz="4" w:space="0" w:color="000000"/>
            </w:tcBorders>
          </w:tcPr>
          <w:p>
            <w:pPr/>
          </w:p>
        </w:tc>
        <w:tc>
          <w:tcPr>
            <w:tcW w:w="552" w:type="dxa"/>
            <w:tcBorders>
              <w:top w:val="single" w:sz="4" w:space="0" w:color="000000"/>
              <w:left w:val="single" w:sz="4" w:space="0" w:color="000000"/>
              <w:bottom w:val="single" w:sz="4" w:space="0" w:color="000000"/>
              <w:right w:val="single" w:sz="4" w:space="0" w:color="000000"/>
            </w:tcBorders>
          </w:tcPr>
          <w:p>
            <w:pPr/>
          </w:p>
        </w:tc>
        <w:tc>
          <w:tcPr>
            <w:tcW w:w="782" w:type="dxa"/>
            <w:tcBorders>
              <w:top w:val="single" w:sz="4" w:space="0" w:color="000000"/>
              <w:left w:val="single" w:sz="4" w:space="0" w:color="000000"/>
              <w:bottom w:val="single" w:sz="4" w:space="0" w:color="000000"/>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
        </w:tc>
        <w:tc>
          <w:tcPr>
            <w:tcW w:w="509" w:type="dxa"/>
            <w:tcBorders>
              <w:top w:val="single" w:sz="4" w:space="0" w:color="000000"/>
              <w:left w:val="single" w:sz="4" w:space="0" w:color="000000"/>
              <w:bottom w:val="single" w:sz="4" w:space="0" w:color="000000"/>
              <w:right w:val="single" w:sz="4" w:space="0" w:color="000000"/>
            </w:tcBorders>
          </w:tcPr>
          <w:p>
            <w:pPr/>
          </w:p>
        </w:tc>
      </w:tr>
      <w:tr>
        <w:trPr>
          <w:trHeight w:val="144" w:hRule="exact"/>
        </w:trPr>
        <w:tc>
          <w:tcPr>
            <w:tcW w:w="350" w:type="dxa"/>
            <w:vMerge/>
            <w:tcBorders>
              <w:left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2"/>
              <w:ind w:left="54" w:right="55"/>
              <w:jc w:val="center"/>
              <w:rPr>
                <w:sz w:val="11"/>
              </w:rPr>
            </w:pPr>
            <w:r>
              <w:rPr>
                <w:w w:val="105"/>
                <w:sz w:val="11"/>
              </w:rPr>
              <w:t>Responsabilidad</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2"/>
              <w:ind w:left="58" w:right="51"/>
              <w:jc w:val="center"/>
              <w:rPr>
                <w:sz w:val="11"/>
              </w:rPr>
            </w:pPr>
            <w:r>
              <w:rPr>
                <w:w w:val="105"/>
                <w:sz w:val="11"/>
              </w:rPr>
              <w:t>.824</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2"/>
              <w:ind w:left="52" w:right="45"/>
              <w:jc w:val="center"/>
              <w:rPr>
                <w:sz w:val="11"/>
              </w:rPr>
            </w:pPr>
            <w:r>
              <w:rPr>
                <w:w w:val="105"/>
                <w:sz w:val="11"/>
              </w:rPr>
              <w:t>.024</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before="2"/>
              <w:ind w:left="278"/>
              <w:rPr>
                <w:sz w:val="11"/>
              </w:rPr>
            </w:pPr>
            <w:r>
              <w:rPr>
                <w:w w:val="105"/>
                <w:sz w:val="11"/>
              </w:rPr>
              <w:t>.742</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2"/>
              <w:ind w:left="105"/>
              <w:rPr>
                <w:sz w:val="11"/>
              </w:rPr>
            </w:pPr>
            <w:r>
              <w:rPr>
                <w:w w:val="105"/>
                <w:sz w:val="11"/>
              </w:rPr>
              <w:t>33.976</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2"/>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2"/>
              <w:ind w:left="235"/>
              <w:rPr>
                <w:sz w:val="11"/>
              </w:rPr>
            </w:pPr>
            <w:r>
              <w:rPr>
                <w:w w:val="105"/>
                <w:sz w:val="11"/>
              </w:rPr>
              <w:t>.776</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2"/>
              <w:ind w:left="153"/>
              <w:rPr>
                <w:sz w:val="11"/>
              </w:rPr>
            </w:pPr>
            <w:r>
              <w:rPr>
                <w:w w:val="105"/>
                <w:sz w:val="11"/>
              </w:rPr>
              <w:t>.871</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2"/>
              <w:ind w:left="213" w:right="213"/>
              <w:jc w:val="center"/>
              <w:rPr>
                <w:sz w:val="11"/>
              </w:rPr>
            </w:pPr>
            <w:r>
              <w:rPr>
                <w:w w:val="105"/>
                <w:sz w:val="11"/>
              </w:rPr>
              <w:t>.773</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2"/>
              <w:ind w:left="42" w:right="40"/>
              <w:jc w:val="center"/>
              <w:rPr>
                <w:sz w:val="11"/>
              </w:rPr>
            </w:pPr>
            <w:r>
              <w:rPr>
                <w:w w:val="105"/>
                <w:sz w:val="11"/>
              </w:rPr>
              <w:t>.857</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ight="62"/>
              <w:jc w:val="center"/>
              <w:rPr>
                <w:sz w:val="11"/>
              </w:rPr>
            </w:pPr>
            <w:r>
              <w:rPr>
                <w:w w:val="105"/>
                <w:sz w:val="11"/>
              </w:rPr>
              <w:t>.732</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2"/>
              <w:ind w:left="66" w:right="64"/>
              <w:jc w:val="center"/>
              <w:rPr>
                <w:sz w:val="11"/>
              </w:rPr>
            </w:pPr>
            <w:r>
              <w:rPr>
                <w:w w:val="105"/>
                <w:sz w:val="11"/>
              </w:rPr>
              <w:t>.975</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before="2"/>
              <w:ind w:left="88" w:right="81"/>
              <w:jc w:val="center"/>
              <w:rPr>
                <w:sz w:val="11"/>
              </w:rPr>
            </w:pPr>
            <w:r>
              <w:rPr>
                <w:w w:val="105"/>
                <w:sz w:val="11"/>
              </w:rPr>
              <w:t>1.026</w:t>
            </w:r>
          </w:p>
        </w:tc>
      </w:tr>
      <w:tr>
        <w:trPr>
          <w:trHeight w:val="168" w:hRule="exact"/>
        </w:trPr>
        <w:tc>
          <w:tcPr>
            <w:tcW w:w="350" w:type="dxa"/>
            <w:vMerge/>
            <w:tcBorders>
              <w:left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7"/>
              <w:ind w:left="54" w:right="52"/>
              <w:jc w:val="center"/>
              <w:rPr>
                <w:sz w:val="13"/>
              </w:rPr>
            </w:pPr>
            <w:r>
              <w:rPr>
                <w:w w:val="105"/>
                <w:sz w:val="13"/>
              </w:rPr>
              <w:t>Conocimiento</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17"/>
              <w:ind w:left="58" w:right="51"/>
              <w:jc w:val="center"/>
              <w:rPr>
                <w:sz w:val="11"/>
              </w:rPr>
            </w:pPr>
            <w:r>
              <w:rPr>
                <w:w w:val="105"/>
                <w:sz w:val="11"/>
              </w:rPr>
              <w:t>.401</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ight="45"/>
              <w:jc w:val="center"/>
              <w:rPr>
                <w:sz w:val="11"/>
              </w:rPr>
            </w:pPr>
            <w:r>
              <w:rPr>
                <w:w w:val="105"/>
                <w:sz w:val="11"/>
              </w:rPr>
              <w:t>.029</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before="17"/>
              <w:ind w:left="278"/>
              <w:rPr>
                <w:sz w:val="11"/>
              </w:rPr>
            </w:pPr>
            <w:r>
              <w:rPr>
                <w:w w:val="105"/>
                <w:sz w:val="11"/>
              </w:rPr>
              <w:t>.319</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17"/>
              <w:ind w:left="105"/>
              <w:rPr>
                <w:sz w:val="11"/>
              </w:rPr>
            </w:pPr>
            <w:r>
              <w:rPr>
                <w:w w:val="105"/>
                <w:sz w:val="11"/>
              </w:rPr>
              <w:t>13.817</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17"/>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7"/>
              <w:ind w:left="235"/>
              <w:rPr>
                <w:sz w:val="11"/>
              </w:rPr>
            </w:pPr>
            <w:r>
              <w:rPr>
                <w:w w:val="105"/>
                <w:sz w:val="11"/>
              </w:rPr>
              <w:t>.344</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7"/>
              <w:ind w:left="153"/>
              <w:rPr>
                <w:sz w:val="11"/>
              </w:rPr>
            </w:pPr>
            <w:r>
              <w:rPr>
                <w:w w:val="105"/>
                <w:sz w:val="11"/>
              </w:rPr>
              <w:t>.458</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7"/>
              <w:ind w:left="213" w:right="213"/>
              <w:jc w:val="center"/>
              <w:rPr>
                <w:sz w:val="11"/>
              </w:rPr>
            </w:pPr>
            <w:r>
              <w:rPr>
                <w:w w:val="105"/>
                <w:sz w:val="11"/>
              </w:rPr>
              <w:t>.495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7"/>
              <w:ind w:left="42" w:right="40"/>
              <w:jc w:val="center"/>
              <w:rPr>
                <w:sz w:val="11"/>
              </w:rPr>
            </w:pPr>
            <w:r>
              <w:rPr>
                <w:w w:val="105"/>
                <w:sz w:val="11"/>
              </w:rPr>
              <w:t>.561</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before="17"/>
              <w:ind w:left="62" w:right="62"/>
              <w:jc w:val="center"/>
              <w:rPr>
                <w:sz w:val="11"/>
              </w:rPr>
            </w:pPr>
            <w:r>
              <w:rPr>
                <w:w w:val="105"/>
                <w:sz w:val="11"/>
              </w:rPr>
              <w:t>.298</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17"/>
              <w:ind w:left="66" w:right="64"/>
              <w:jc w:val="center"/>
              <w:rPr>
                <w:sz w:val="11"/>
              </w:rPr>
            </w:pPr>
            <w:r>
              <w:rPr>
                <w:w w:val="105"/>
                <w:sz w:val="11"/>
              </w:rPr>
              <w:t>.869</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before="17"/>
              <w:ind w:left="88" w:right="81"/>
              <w:jc w:val="center"/>
              <w:rPr>
                <w:sz w:val="11"/>
              </w:rPr>
            </w:pPr>
            <w:r>
              <w:rPr>
                <w:w w:val="105"/>
                <w:sz w:val="11"/>
              </w:rPr>
              <w:t>1.151</w:t>
            </w:r>
          </w:p>
        </w:tc>
      </w:tr>
      <w:tr>
        <w:trPr>
          <w:trHeight w:val="163" w:hRule="exact"/>
        </w:trPr>
        <w:tc>
          <w:tcPr>
            <w:tcW w:w="350" w:type="dxa"/>
            <w:vMerge/>
            <w:tcBorders>
              <w:left w:val="single" w:sz="4" w:space="0" w:color="000000"/>
              <w:bottom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7"/>
              <w:ind w:left="54" w:right="54"/>
              <w:jc w:val="center"/>
              <w:rPr>
                <w:sz w:val="13"/>
              </w:rPr>
            </w:pPr>
            <w:r>
              <w:rPr>
                <w:w w:val="105"/>
                <w:sz w:val="13"/>
              </w:rPr>
              <w:t>estrategias</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12"/>
              <w:ind w:left="58" w:right="51"/>
              <w:jc w:val="center"/>
              <w:rPr>
                <w:sz w:val="11"/>
              </w:rPr>
            </w:pPr>
            <w:r>
              <w:rPr>
                <w:w w:val="105"/>
                <w:sz w:val="11"/>
              </w:rPr>
              <w:t>.273</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12"/>
              <w:ind w:left="52" w:right="45"/>
              <w:jc w:val="center"/>
              <w:rPr>
                <w:sz w:val="11"/>
              </w:rPr>
            </w:pPr>
            <w:r>
              <w:rPr>
                <w:w w:val="105"/>
                <w:sz w:val="11"/>
              </w:rPr>
              <w:t>.026</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before="12"/>
              <w:ind w:left="278"/>
              <w:rPr>
                <w:sz w:val="11"/>
              </w:rPr>
            </w:pPr>
            <w:r>
              <w:rPr>
                <w:w w:val="105"/>
                <w:sz w:val="11"/>
              </w:rPr>
              <w:t>.239</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12"/>
              <w:ind w:left="105"/>
              <w:rPr>
                <w:sz w:val="11"/>
              </w:rPr>
            </w:pPr>
            <w:r>
              <w:rPr>
                <w:w w:val="105"/>
                <w:sz w:val="11"/>
              </w:rPr>
              <w:t>10.411</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12"/>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2"/>
              <w:ind w:left="235"/>
              <w:rPr>
                <w:sz w:val="11"/>
              </w:rPr>
            </w:pPr>
            <w:r>
              <w:rPr>
                <w:w w:val="105"/>
                <w:sz w:val="11"/>
              </w:rPr>
              <w:t>.221</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2"/>
              <w:ind w:left="153"/>
              <w:rPr>
                <w:sz w:val="11"/>
              </w:rPr>
            </w:pPr>
            <w:r>
              <w:rPr>
                <w:w w:val="105"/>
                <w:sz w:val="11"/>
              </w:rPr>
              <w:t>.324</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2"/>
              <w:ind w:left="213" w:right="213"/>
              <w:jc w:val="center"/>
              <w:rPr>
                <w:sz w:val="11"/>
              </w:rPr>
            </w:pPr>
            <w:r>
              <w:rPr>
                <w:w w:val="105"/>
                <w:sz w:val="11"/>
              </w:rPr>
              <w:t>.314</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2"/>
              <w:ind w:left="42" w:right="40"/>
              <w:jc w:val="center"/>
              <w:rPr>
                <w:sz w:val="11"/>
              </w:rPr>
            </w:pPr>
            <w:r>
              <w:rPr>
                <w:w w:val="105"/>
                <w:sz w:val="11"/>
              </w:rPr>
              <w:t>.455</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before="12"/>
              <w:ind w:left="62" w:right="62"/>
              <w:jc w:val="center"/>
              <w:rPr>
                <w:sz w:val="11"/>
              </w:rPr>
            </w:pPr>
            <w:r>
              <w:rPr>
                <w:w w:val="105"/>
                <w:sz w:val="11"/>
              </w:rPr>
              <w:t>.224</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12"/>
              <w:ind w:left="66" w:right="64"/>
              <w:jc w:val="center"/>
              <w:rPr>
                <w:sz w:val="11"/>
              </w:rPr>
            </w:pPr>
            <w:r>
              <w:rPr>
                <w:w w:val="105"/>
                <w:sz w:val="11"/>
              </w:rPr>
              <w:t>.883</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before="12"/>
              <w:ind w:left="88" w:right="81"/>
              <w:jc w:val="center"/>
              <w:rPr>
                <w:sz w:val="11"/>
              </w:rPr>
            </w:pPr>
            <w:r>
              <w:rPr>
                <w:w w:val="105"/>
                <w:sz w:val="11"/>
              </w:rPr>
              <w:t>1.133</w:t>
            </w:r>
          </w:p>
        </w:tc>
      </w:tr>
      <w:tr>
        <w:trPr>
          <w:trHeight w:val="168" w:hRule="exact"/>
        </w:trPr>
        <w:tc>
          <w:tcPr>
            <w:tcW w:w="350" w:type="dxa"/>
            <w:vMerge w:val="restart"/>
            <w:tcBorders>
              <w:top w:val="single" w:sz="4" w:space="0" w:color="000000"/>
              <w:left w:val="single" w:sz="4" w:space="0" w:color="000000"/>
              <w:right w:val="single" w:sz="4" w:space="0" w:color="000000"/>
            </w:tcBorders>
          </w:tcPr>
          <w:p>
            <w:pPr>
              <w:pStyle w:val="TableParagraph"/>
              <w:rPr>
                <w:sz w:val="14"/>
              </w:rPr>
            </w:pPr>
          </w:p>
          <w:p>
            <w:pPr>
              <w:pStyle w:val="TableParagraph"/>
              <w:spacing w:before="7"/>
              <w:rPr>
                <w:sz w:val="14"/>
              </w:rPr>
            </w:pPr>
          </w:p>
          <w:p>
            <w:pPr>
              <w:pStyle w:val="TableParagraph"/>
              <w:ind w:left="3"/>
              <w:jc w:val="center"/>
              <w:rPr>
                <w:sz w:val="13"/>
              </w:rPr>
            </w:pPr>
            <w:r>
              <w:rPr>
                <w:w w:val="104"/>
                <w:sz w:val="13"/>
              </w:rPr>
              <w:t>4</w:t>
            </w: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12"/>
              <w:ind w:left="54" w:right="53"/>
              <w:jc w:val="center"/>
              <w:rPr>
                <w:sz w:val="13"/>
              </w:rPr>
            </w:pPr>
            <w:r>
              <w:rPr>
                <w:w w:val="105"/>
                <w:sz w:val="13"/>
              </w:rPr>
              <w:t>(Constante)</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17"/>
              <w:ind w:left="58" w:right="56"/>
              <w:jc w:val="center"/>
              <w:rPr>
                <w:sz w:val="11"/>
              </w:rPr>
            </w:pPr>
            <w:r>
              <w:rPr>
                <w:w w:val="105"/>
                <w:sz w:val="11"/>
              </w:rPr>
              <w:t>-11.547</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ight="45"/>
              <w:jc w:val="center"/>
              <w:rPr>
                <w:sz w:val="11"/>
              </w:rPr>
            </w:pPr>
            <w:r>
              <w:rPr>
                <w:w w:val="105"/>
                <w:sz w:val="11"/>
              </w:rPr>
              <w:t>.611</w:t>
            </w:r>
          </w:p>
        </w:tc>
        <w:tc>
          <w:tcPr>
            <w:tcW w:w="787" w:type="dxa"/>
            <w:tcBorders>
              <w:top w:val="single" w:sz="4" w:space="0" w:color="000000"/>
              <w:left w:val="single" w:sz="4" w:space="0" w:color="000000"/>
              <w:bottom w:val="single" w:sz="4" w:space="0" w:color="000000"/>
              <w:right w:val="single" w:sz="4" w:space="0" w:color="000000"/>
            </w:tcBorders>
          </w:tcPr>
          <w:p>
            <w:pP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17"/>
              <w:ind w:left="86"/>
              <w:rPr>
                <w:sz w:val="11"/>
              </w:rPr>
            </w:pPr>
            <w:r>
              <w:rPr>
                <w:w w:val="105"/>
                <w:sz w:val="11"/>
              </w:rPr>
              <w:t>-18.884</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17"/>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7"/>
              <w:ind w:left="148"/>
              <w:rPr>
                <w:sz w:val="11"/>
              </w:rPr>
            </w:pPr>
            <w:r>
              <w:rPr>
                <w:w w:val="105"/>
                <w:sz w:val="11"/>
              </w:rPr>
              <w:t>-12.749</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7"/>
              <w:ind w:left="71"/>
              <w:rPr>
                <w:sz w:val="11"/>
              </w:rPr>
            </w:pPr>
            <w:r>
              <w:rPr>
                <w:w w:val="105"/>
                <w:sz w:val="11"/>
              </w:rPr>
              <w:t>-10.345</w:t>
            </w:r>
          </w:p>
        </w:tc>
        <w:tc>
          <w:tcPr>
            <w:tcW w:w="701" w:type="dxa"/>
            <w:tcBorders>
              <w:top w:val="single" w:sz="4" w:space="0" w:color="000000"/>
              <w:left w:val="single" w:sz="4" w:space="0" w:color="000000"/>
              <w:bottom w:val="single" w:sz="4" w:space="0" w:color="000000"/>
              <w:right w:val="single" w:sz="4" w:space="0" w:color="000000"/>
            </w:tcBorders>
          </w:tcPr>
          <w:p>
            <w:pPr/>
          </w:p>
        </w:tc>
        <w:tc>
          <w:tcPr>
            <w:tcW w:w="552" w:type="dxa"/>
            <w:tcBorders>
              <w:top w:val="single" w:sz="4" w:space="0" w:color="000000"/>
              <w:left w:val="single" w:sz="4" w:space="0" w:color="000000"/>
              <w:bottom w:val="single" w:sz="4" w:space="0" w:color="000000"/>
              <w:right w:val="single" w:sz="4" w:space="0" w:color="000000"/>
            </w:tcBorders>
          </w:tcPr>
          <w:p>
            <w:pPr/>
          </w:p>
        </w:tc>
        <w:tc>
          <w:tcPr>
            <w:tcW w:w="782" w:type="dxa"/>
            <w:tcBorders>
              <w:top w:val="single" w:sz="4" w:space="0" w:color="000000"/>
              <w:left w:val="single" w:sz="4" w:space="0" w:color="000000"/>
              <w:bottom w:val="single" w:sz="4" w:space="0" w:color="000000"/>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
        </w:tc>
        <w:tc>
          <w:tcPr>
            <w:tcW w:w="509" w:type="dxa"/>
            <w:tcBorders>
              <w:top w:val="single" w:sz="4" w:space="0" w:color="000000"/>
              <w:left w:val="single" w:sz="4" w:space="0" w:color="000000"/>
              <w:bottom w:val="single" w:sz="4" w:space="0" w:color="000000"/>
              <w:right w:val="single" w:sz="4" w:space="0" w:color="000000"/>
            </w:tcBorders>
          </w:tcPr>
          <w:p>
            <w:pPr/>
          </w:p>
        </w:tc>
      </w:tr>
      <w:tr>
        <w:trPr>
          <w:trHeight w:val="149" w:hRule="exact"/>
        </w:trPr>
        <w:tc>
          <w:tcPr>
            <w:tcW w:w="350" w:type="dxa"/>
            <w:vMerge/>
            <w:tcBorders>
              <w:left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2"/>
              <w:ind w:left="54" w:right="55"/>
              <w:jc w:val="center"/>
              <w:rPr>
                <w:sz w:val="11"/>
              </w:rPr>
            </w:pPr>
            <w:r>
              <w:rPr>
                <w:w w:val="105"/>
                <w:sz w:val="11"/>
              </w:rPr>
              <w:t>Responsabilidad</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2"/>
              <w:ind w:left="58" w:right="51"/>
              <w:jc w:val="center"/>
              <w:rPr>
                <w:sz w:val="11"/>
              </w:rPr>
            </w:pPr>
            <w:r>
              <w:rPr>
                <w:w w:val="105"/>
                <w:sz w:val="11"/>
              </w:rPr>
              <w:t>.778</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2"/>
              <w:ind w:left="52" w:right="45"/>
              <w:jc w:val="center"/>
              <w:rPr>
                <w:sz w:val="11"/>
              </w:rPr>
            </w:pPr>
            <w:r>
              <w:rPr>
                <w:w w:val="105"/>
                <w:sz w:val="11"/>
              </w:rPr>
              <w:t>.023</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before="2"/>
              <w:ind w:left="278"/>
              <w:rPr>
                <w:sz w:val="11"/>
              </w:rPr>
            </w:pPr>
            <w:r>
              <w:rPr>
                <w:w w:val="105"/>
                <w:sz w:val="11"/>
              </w:rPr>
              <w:t>.700</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2"/>
              <w:ind w:left="105"/>
              <w:rPr>
                <w:sz w:val="11"/>
              </w:rPr>
            </w:pPr>
            <w:r>
              <w:rPr>
                <w:w w:val="105"/>
                <w:sz w:val="11"/>
              </w:rPr>
              <w:t>33.942</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2"/>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2"/>
              <w:ind w:left="235"/>
              <w:rPr>
                <w:sz w:val="11"/>
              </w:rPr>
            </w:pPr>
            <w:r>
              <w:rPr>
                <w:w w:val="105"/>
                <w:sz w:val="11"/>
              </w:rPr>
              <w:t>.733</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2"/>
              <w:ind w:left="153"/>
              <w:rPr>
                <w:sz w:val="11"/>
              </w:rPr>
            </w:pPr>
            <w:r>
              <w:rPr>
                <w:w w:val="105"/>
                <w:sz w:val="11"/>
              </w:rPr>
              <w:t>.823</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2"/>
              <w:ind w:left="213" w:right="213"/>
              <w:jc w:val="center"/>
              <w:rPr>
                <w:sz w:val="11"/>
              </w:rPr>
            </w:pPr>
            <w:r>
              <w:rPr>
                <w:w w:val="105"/>
                <w:sz w:val="11"/>
              </w:rPr>
              <w:t>.773</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2"/>
              <w:ind w:left="42" w:right="40"/>
              <w:jc w:val="center"/>
              <w:rPr>
                <w:sz w:val="11"/>
              </w:rPr>
            </w:pPr>
            <w:r>
              <w:rPr>
                <w:w w:val="105"/>
                <w:sz w:val="11"/>
              </w:rPr>
              <w:t>.857</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before="2"/>
              <w:ind w:left="62" w:right="62"/>
              <w:jc w:val="center"/>
              <w:rPr>
                <w:sz w:val="11"/>
              </w:rPr>
            </w:pPr>
            <w:r>
              <w:rPr>
                <w:w w:val="105"/>
                <w:sz w:val="11"/>
              </w:rPr>
              <w:t>.673</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2"/>
              <w:ind w:left="66" w:right="64"/>
              <w:jc w:val="center"/>
              <w:rPr>
                <w:sz w:val="11"/>
              </w:rPr>
            </w:pPr>
            <w:r>
              <w:rPr>
                <w:w w:val="105"/>
                <w:sz w:val="11"/>
              </w:rPr>
              <w:t>.924</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before="2"/>
              <w:ind w:left="88" w:right="81"/>
              <w:jc w:val="center"/>
              <w:rPr>
                <w:sz w:val="11"/>
              </w:rPr>
            </w:pPr>
            <w:r>
              <w:rPr>
                <w:w w:val="105"/>
                <w:sz w:val="11"/>
              </w:rPr>
              <w:t>1.083</w:t>
            </w:r>
          </w:p>
        </w:tc>
      </w:tr>
      <w:tr>
        <w:trPr>
          <w:trHeight w:val="168" w:hRule="exact"/>
        </w:trPr>
        <w:tc>
          <w:tcPr>
            <w:tcW w:w="350" w:type="dxa"/>
            <w:vMerge/>
            <w:tcBorders>
              <w:left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3"/>
              <w:ind w:left="54" w:right="52"/>
              <w:jc w:val="center"/>
              <w:rPr>
                <w:sz w:val="13"/>
              </w:rPr>
            </w:pPr>
            <w:r>
              <w:rPr>
                <w:w w:val="105"/>
                <w:sz w:val="13"/>
              </w:rPr>
              <w:t>Conocimiento</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7"/>
              <w:ind w:left="58" w:right="51"/>
              <w:jc w:val="center"/>
              <w:rPr>
                <w:sz w:val="11"/>
              </w:rPr>
            </w:pPr>
            <w:r>
              <w:rPr>
                <w:w w:val="105"/>
                <w:sz w:val="11"/>
              </w:rPr>
              <w:t>.326</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7"/>
              <w:ind w:left="52" w:right="45"/>
              <w:jc w:val="center"/>
              <w:rPr>
                <w:sz w:val="11"/>
              </w:rPr>
            </w:pPr>
            <w:r>
              <w:rPr>
                <w:w w:val="105"/>
                <w:sz w:val="11"/>
              </w:rPr>
              <w:t>.028</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before="7"/>
              <w:ind w:left="278"/>
              <w:rPr>
                <w:sz w:val="11"/>
              </w:rPr>
            </w:pPr>
            <w:r>
              <w:rPr>
                <w:w w:val="105"/>
                <w:sz w:val="11"/>
              </w:rPr>
              <w:t>.260</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7"/>
              <w:ind w:left="105"/>
              <w:rPr>
                <w:sz w:val="11"/>
              </w:rPr>
            </w:pPr>
            <w:r>
              <w:rPr>
                <w:w w:val="105"/>
                <w:sz w:val="11"/>
              </w:rPr>
              <w:t>11.630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7"/>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7"/>
              <w:ind w:left="235"/>
              <w:rPr>
                <w:sz w:val="11"/>
              </w:rPr>
            </w:pPr>
            <w:r>
              <w:rPr>
                <w:w w:val="105"/>
                <w:sz w:val="11"/>
              </w:rPr>
              <w:t>.271</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7"/>
              <w:ind w:left="153"/>
              <w:rPr>
                <w:sz w:val="11"/>
              </w:rPr>
            </w:pPr>
            <w:r>
              <w:rPr>
                <w:w w:val="105"/>
                <w:sz w:val="11"/>
              </w:rPr>
              <w:t>.381</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7"/>
              <w:ind w:left="213" w:right="213"/>
              <w:jc w:val="center"/>
              <w:rPr>
                <w:sz w:val="11"/>
              </w:rPr>
            </w:pPr>
            <w:r>
              <w:rPr>
                <w:w w:val="105"/>
                <w:sz w:val="11"/>
              </w:rPr>
              <w:t>.495</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7"/>
              <w:ind w:left="42" w:right="40"/>
              <w:jc w:val="center"/>
              <w:rPr>
                <w:sz w:val="11"/>
              </w:rPr>
            </w:pPr>
            <w:r>
              <w:rPr>
                <w:w w:val="105"/>
                <w:sz w:val="11"/>
              </w:rPr>
              <w:t>.496</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before="7"/>
              <w:ind w:left="62" w:right="62"/>
              <w:jc w:val="center"/>
              <w:rPr>
                <w:sz w:val="11"/>
              </w:rPr>
            </w:pPr>
            <w:r>
              <w:rPr>
                <w:w w:val="105"/>
                <w:sz w:val="11"/>
              </w:rPr>
              <w:t>.231</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7"/>
              <w:ind w:left="66" w:right="64"/>
              <w:jc w:val="center"/>
              <w:rPr>
                <w:sz w:val="11"/>
              </w:rPr>
            </w:pPr>
            <w:r>
              <w:rPr>
                <w:w w:val="105"/>
                <w:sz w:val="11"/>
              </w:rPr>
              <w:t>.788</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before="7"/>
              <w:ind w:left="88" w:right="81"/>
              <w:jc w:val="center"/>
              <w:rPr>
                <w:sz w:val="11"/>
              </w:rPr>
            </w:pPr>
            <w:r>
              <w:rPr>
                <w:w w:val="105"/>
                <w:sz w:val="11"/>
              </w:rPr>
              <w:t>1.269</w:t>
            </w:r>
          </w:p>
        </w:tc>
      </w:tr>
      <w:tr>
        <w:trPr>
          <w:trHeight w:val="163" w:hRule="exact"/>
        </w:trPr>
        <w:tc>
          <w:tcPr>
            <w:tcW w:w="350" w:type="dxa"/>
            <w:vMerge/>
            <w:tcBorders>
              <w:left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3"/>
              <w:ind w:left="54" w:right="54"/>
              <w:jc w:val="center"/>
              <w:rPr>
                <w:sz w:val="13"/>
              </w:rPr>
            </w:pPr>
            <w:r>
              <w:rPr>
                <w:w w:val="105"/>
                <w:sz w:val="13"/>
              </w:rPr>
              <w:t>estrategias</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7"/>
              <w:ind w:left="58" w:right="51"/>
              <w:jc w:val="center"/>
              <w:rPr>
                <w:sz w:val="11"/>
              </w:rPr>
            </w:pPr>
            <w:r>
              <w:rPr>
                <w:w w:val="105"/>
                <w:sz w:val="11"/>
              </w:rPr>
              <w:t>.376</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7"/>
              <w:ind w:left="52" w:right="45"/>
              <w:jc w:val="center"/>
              <w:rPr>
                <w:sz w:val="11"/>
              </w:rPr>
            </w:pPr>
            <w:r>
              <w:rPr>
                <w:w w:val="105"/>
                <w:sz w:val="11"/>
              </w:rPr>
              <w:t>.027</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before="7"/>
              <w:ind w:left="278"/>
              <w:rPr>
                <w:sz w:val="11"/>
              </w:rPr>
            </w:pPr>
            <w:r>
              <w:rPr>
                <w:w w:val="105"/>
                <w:sz w:val="11"/>
              </w:rPr>
              <w:t>.330</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7"/>
              <w:ind w:left="105"/>
              <w:rPr>
                <w:sz w:val="11"/>
              </w:rPr>
            </w:pPr>
            <w:r>
              <w:rPr>
                <w:w w:val="105"/>
                <w:sz w:val="11"/>
              </w:rPr>
              <w:t>14.016</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7"/>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7"/>
              <w:ind w:left="235"/>
              <w:rPr>
                <w:sz w:val="11"/>
              </w:rPr>
            </w:pPr>
            <w:r>
              <w:rPr>
                <w:w w:val="105"/>
                <w:sz w:val="11"/>
              </w:rPr>
              <w:t>.324</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7"/>
              <w:ind w:left="153"/>
              <w:rPr>
                <w:sz w:val="11"/>
              </w:rPr>
            </w:pPr>
            <w:r>
              <w:rPr>
                <w:w w:val="105"/>
                <w:sz w:val="11"/>
              </w:rPr>
              <w:t>.429</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7"/>
              <w:ind w:left="213" w:right="213"/>
              <w:jc w:val="center"/>
              <w:rPr>
                <w:sz w:val="11"/>
              </w:rPr>
            </w:pPr>
            <w:r>
              <w:rPr>
                <w:w w:val="105"/>
                <w:sz w:val="11"/>
              </w:rPr>
              <w:t>.314</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7"/>
              <w:ind w:left="42" w:right="40"/>
              <w:jc w:val="center"/>
              <w:rPr>
                <w:sz w:val="11"/>
              </w:rPr>
            </w:pPr>
            <w:r>
              <w:rPr>
                <w:w w:val="105"/>
                <w:sz w:val="11"/>
              </w:rPr>
              <w:t>.567</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before="7"/>
              <w:ind w:left="62" w:right="62"/>
              <w:jc w:val="center"/>
              <w:rPr>
                <w:sz w:val="11"/>
              </w:rPr>
            </w:pPr>
            <w:r>
              <w:rPr>
                <w:w w:val="105"/>
                <w:sz w:val="11"/>
              </w:rPr>
              <w:t>.278</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7"/>
              <w:ind w:left="66" w:right="64"/>
              <w:jc w:val="center"/>
              <w:rPr>
                <w:sz w:val="11"/>
              </w:rPr>
            </w:pPr>
            <w:r>
              <w:rPr>
                <w:w w:val="105"/>
                <w:sz w:val="11"/>
              </w:rPr>
              <w:t>.710</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before="7"/>
              <w:ind w:left="88" w:right="81"/>
              <w:jc w:val="center"/>
              <w:rPr>
                <w:sz w:val="11"/>
              </w:rPr>
            </w:pPr>
            <w:r>
              <w:rPr>
                <w:w w:val="105"/>
                <w:sz w:val="11"/>
              </w:rPr>
              <w:t>1.408</w:t>
            </w:r>
          </w:p>
        </w:tc>
      </w:tr>
      <w:tr>
        <w:trPr>
          <w:trHeight w:val="168" w:hRule="exact"/>
        </w:trPr>
        <w:tc>
          <w:tcPr>
            <w:tcW w:w="350" w:type="dxa"/>
            <w:vMerge/>
            <w:tcBorders>
              <w:left w:val="single" w:sz="4" w:space="0" w:color="000000"/>
              <w:bottom w:val="single" w:sz="4" w:space="0" w:color="000000"/>
              <w:right w:val="single" w:sz="4" w:space="0" w:color="000000"/>
            </w:tcBorders>
          </w:tcPr>
          <w:p>
            <w:pPr/>
          </w:p>
        </w:tc>
        <w:tc>
          <w:tcPr>
            <w:tcW w:w="1032" w:type="dxa"/>
            <w:tcBorders>
              <w:top w:val="single" w:sz="4" w:space="0" w:color="000000"/>
              <w:left w:val="single" w:sz="4" w:space="0" w:color="000000"/>
              <w:bottom w:val="single" w:sz="4" w:space="0" w:color="000000"/>
              <w:right w:val="single" w:sz="4" w:space="0" w:color="000000"/>
            </w:tcBorders>
          </w:tcPr>
          <w:p>
            <w:pPr>
              <w:pStyle w:val="TableParagraph"/>
              <w:spacing w:before="3"/>
              <w:ind w:left="54" w:right="54"/>
              <w:jc w:val="center"/>
              <w:rPr>
                <w:sz w:val="13"/>
              </w:rPr>
            </w:pPr>
            <w:r>
              <w:rPr>
                <w:w w:val="105"/>
                <w:sz w:val="13"/>
              </w:rPr>
              <w:t>conciencia</w:t>
            </w:r>
          </w:p>
        </w:tc>
        <w:tc>
          <w:tcPr>
            <w:tcW w:w="557" w:type="dxa"/>
            <w:tcBorders>
              <w:top w:val="single" w:sz="4" w:space="0" w:color="000000"/>
              <w:left w:val="single" w:sz="4" w:space="0" w:color="000000"/>
              <w:bottom w:val="single" w:sz="4" w:space="0" w:color="000000"/>
              <w:right w:val="single" w:sz="4" w:space="0" w:color="000000"/>
            </w:tcBorders>
          </w:tcPr>
          <w:p>
            <w:pPr>
              <w:pStyle w:val="TableParagraph"/>
              <w:spacing w:before="12"/>
              <w:ind w:left="58" w:right="51"/>
              <w:jc w:val="center"/>
              <w:rPr>
                <w:sz w:val="11"/>
              </w:rPr>
            </w:pPr>
            <w:r>
              <w:rPr>
                <w:w w:val="105"/>
                <w:sz w:val="11"/>
              </w:rPr>
              <w:t>.236</w:t>
            </w:r>
          </w:p>
        </w:tc>
        <w:tc>
          <w:tcPr>
            <w:tcW w:w="682" w:type="dxa"/>
            <w:tcBorders>
              <w:top w:val="single" w:sz="4" w:space="0" w:color="000000"/>
              <w:left w:val="single" w:sz="4" w:space="0" w:color="000000"/>
              <w:bottom w:val="single" w:sz="4" w:space="0" w:color="000000"/>
              <w:right w:val="single" w:sz="4" w:space="0" w:color="000000"/>
            </w:tcBorders>
          </w:tcPr>
          <w:p>
            <w:pPr>
              <w:pStyle w:val="TableParagraph"/>
              <w:spacing w:before="12"/>
              <w:ind w:left="52" w:right="45"/>
              <w:jc w:val="center"/>
              <w:rPr>
                <w:sz w:val="11"/>
              </w:rPr>
            </w:pPr>
            <w:r>
              <w:rPr>
                <w:w w:val="105"/>
                <w:sz w:val="11"/>
              </w:rPr>
              <w:t>.027</w:t>
            </w:r>
          </w:p>
        </w:tc>
        <w:tc>
          <w:tcPr>
            <w:tcW w:w="787" w:type="dxa"/>
            <w:tcBorders>
              <w:top w:val="single" w:sz="4" w:space="0" w:color="000000"/>
              <w:left w:val="single" w:sz="4" w:space="0" w:color="000000"/>
              <w:bottom w:val="single" w:sz="4" w:space="0" w:color="000000"/>
              <w:right w:val="single" w:sz="4" w:space="0" w:color="000000"/>
            </w:tcBorders>
          </w:tcPr>
          <w:p>
            <w:pPr>
              <w:pStyle w:val="TableParagraph"/>
              <w:spacing w:before="12"/>
              <w:ind w:left="278"/>
              <w:rPr>
                <w:sz w:val="11"/>
              </w:rPr>
            </w:pPr>
            <w:r>
              <w:rPr>
                <w:w w:val="105"/>
                <w:sz w:val="11"/>
              </w:rPr>
              <w:t>.202</w:t>
            </w:r>
          </w:p>
        </w:tc>
        <w:tc>
          <w:tcPr>
            <w:tcW w:w="581" w:type="dxa"/>
            <w:tcBorders>
              <w:top w:val="single" w:sz="4" w:space="0" w:color="000000"/>
              <w:left w:val="single" w:sz="4" w:space="0" w:color="000000"/>
              <w:bottom w:val="single" w:sz="4" w:space="0" w:color="000000"/>
              <w:right w:val="single" w:sz="4" w:space="0" w:color="000000"/>
            </w:tcBorders>
          </w:tcPr>
          <w:p>
            <w:pPr>
              <w:pStyle w:val="TableParagraph"/>
              <w:spacing w:before="12"/>
              <w:ind w:left="139"/>
              <w:rPr>
                <w:sz w:val="11"/>
              </w:rPr>
            </w:pPr>
            <w:r>
              <w:rPr>
                <w:w w:val="105"/>
                <w:sz w:val="11"/>
              </w:rPr>
              <w:t>8.747</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12"/>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tcPr>
          <w:p>
            <w:pPr>
              <w:pStyle w:val="TableParagraph"/>
              <w:spacing w:before="12"/>
              <w:ind w:left="235"/>
              <w:rPr>
                <w:sz w:val="11"/>
              </w:rPr>
            </w:pPr>
            <w:r>
              <w:rPr>
                <w:w w:val="105"/>
                <w:sz w:val="11"/>
              </w:rPr>
              <w:t>.183</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2"/>
              <w:ind w:left="153"/>
              <w:rPr>
                <w:sz w:val="11"/>
              </w:rPr>
            </w:pPr>
            <w:r>
              <w:rPr>
                <w:w w:val="105"/>
                <w:sz w:val="11"/>
              </w:rPr>
              <w:t>.289</w:t>
            </w:r>
          </w:p>
        </w:tc>
        <w:tc>
          <w:tcPr>
            <w:tcW w:w="701" w:type="dxa"/>
            <w:tcBorders>
              <w:top w:val="single" w:sz="4" w:space="0" w:color="000000"/>
              <w:left w:val="single" w:sz="4" w:space="0" w:color="000000"/>
              <w:bottom w:val="single" w:sz="4" w:space="0" w:color="000000"/>
              <w:right w:val="single" w:sz="4" w:space="0" w:color="000000"/>
            </w:tcBorders>
          </w:tcPr>
          <w:p>
            <w:pPr>
              <w:pStyle w:val="TableParagraph"/>
              <w:spacing w:before="12"/>
              <w:ind w:left="213" w:right="213"/>
              <w:jc w:val="center"/>
              <w:rPr>
                <w:sz w:val="11"/>
              </w:rPr>
            </w:pPr>
            <w:r>
              <w:rPr>
                <w:w w:val="105"/>
                <w:sz w:val="11"/>
              </w:rPr>
              <w:t>.312</w:t>
            </w:r>
          </w:p>
        </w:tc>
        <w:tc>
          <w:tcPr>
            <w:tcW w:w="552" w:type="dxa"/>
            <w:tcBorders>
              <w:top w:val="single" w:sz="4" w:space="0" w:color="000000"/>
              <w:left w:val="single" w:sz="4" w:space="0" w:color="000000"/>
              <w:bottom w:val="single" w:sz="4" w:space="0" w:color="000000"/>
              <w:right w:val="single" w:sz="4" w:space="0" w:color="000000"/>
            </w:tcBorders>
          </w:tcPr>
          <w:p>
            <w:pPr>
              <w:pStyle w:val="TableParagraph"/>
              <w:spacing w:before="12"/>
              <w:ind w:left="42" w:right="40"/>
              <w:jc w:val="center"/>
              <w:rPr>
                <w:sz w:val="11"/>
              </w:rPr>
            </w:pPr>
            <w:r>
              <w:rPr>
                <w:w w:val="105"/>
                <w:sz w:val="11"/>
              </w:rPr>
              <w:t>.395</w:t>
            </w:r>
          </w:p>
        </w:tc>
        <w:tc>
          <w:tcPr>
            <w:tcW w:w="782" w:type="dxa"/>
            <w:tcBorders>
              <w:top w:val="single" w:sz="4" w:space="0" w:color="000000"/>
              <w:left w:val="single" w:sz="4" w:space="0" w:color="000000"/>
              <w:bottom w:val="single" w:sz="4" w:space="0" w:color="000000"/>
              <w:right w:val="single" w:sz="4" w:space="0" w:color="000000"/>
            </w:tcBorders>
          </w:tcPr>
          <w:p>
            <w:pPr>
              <w:pStyle w:val="TableParagraph"/>
              <w:spacing w:before="12"/>
              <w:ind w:left="62" w:right="62"/>
              <w:jc w:val="center"/>
              <w:rPr>
                <w:sz w:val="11"/>
              </w:rPr>
            </w:pPr>
            <w:r>
              <w:rPr>
                <w:w w:val="105"/>
                <w:sz w:val="11"/>
              </w:rPr>
              <w:t>.173</w:t>
            </w: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12"/>
              <w:ind w:left="66" w:right="64"/>
              <w:jc w:val="center"/>
              <w:rPr>
                <w:sz w:val="11"/>
              </w:rPr>
            </w:pPr>
            <w:r>
              <w:rPr>
                <w:w w:val="105"/>
                <w:sz w:val="11"/>
              </w:rPr>
              <w:t>.734</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before="12"/>
              <w:ind w:left="88" w:right="81"/>
              <w:jc w:val="center"/>
              <w:rPr>
                <w:sz w:val="11"/>
              </w:rPr>
            </w:pPr>
            <w:r>
              <w:rPr>
                <w:w w:val="105"/>
                <w:sz w:val="11"/>
              </w:rPr>
              <w:t>1.362</w:t>
            </w:r>
          </w:p>
        </w:tc>
      </w:tr>
      <w:tr>
        <w:trPr>
          <w:trHeight w:val="163" w:hRule="exact"/>
        </w:trPr>
        <w:tc>
          <w:tcPr>
            <w:tcW w:w="350" w:type="dxa"/>
            <w:vMerge w:val="restart"/>
            <w:tcBorders>
              <w:top w:val="single" w:sz="4" w:space="0" w:color="000000"/>
              <w:left w:val="single" w:sz="4" w:space="0" w:color="000000"/>
              <w:right w:val="single" w:sz="4" w:space="0" w:color="000000"/>
            </w:tcBorders>
            <w:shd w:val="clear" w:color="auto" w:fill="D5DCE4"/>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4"/>
              </w:rPr>
            </w:pPr>
          </w:p>
          <w:p>
            <w:pPr>
              <w:pStyle w:val="TableParagraph"/>
              <w:ind w:left="3"/>
              <w:jc w:val="center"/>
              <w:rPr>
                <w:sz w:val="13"/>
              </w:rPr>
            </w:pPr>
            <w:r>
              <w:rPr>
                <w:w w:val="104"/>
                <w:sz w:val="13"/>
              </w:rPr>
              <w:t>5</w:t>
            </w:r>
          </w:p>
        </w:tc>
        <w:tc>
          <w:tcPr>
            <w:tcW w:w="103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3"/>
              <w:ind w:left="54" w:right="53"/>
              <w:jc w:val="center"/>
              <w:rPr>
                <w:sz w:val="13"/>
              </w:rPr>
            </w:pPr>
            <w:r>
              <w:rPr>
                <w:w w:val="105"/>
                <w:sz w:val="13"/>
              </w:rPr>
              <w:t>(Constante)</w:t>
            </w:r>
          </w:p>
        </w:tc>
        <w:tc>
          <w:tcPr>
            <w:tcW w:w="557"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7"/>
              <w:ind w:left="58" w:right="56"/>
              <w:jc w:val="center"/>
              <w:rPr>
                <w:sz w:val="11"/>
              </w:rPr>
            </w:pPr>
            <w:r>
              <w:rPr>
                <w:w w:val="105"/>
                <w:sz w:val="11"/>
              </w:rPr>
              <w:t>-12.368</w:t>
            </w:r>
          </w:p>
        </w:tc>
        <w:tc>
          <w:tcPr>
            <w:tcW w:w="68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7"/>
              <w:ind w:left="52" w:right="45"/>
              <w:jc w:val="center"/>
              <w:rPr>
                <w:sz w:val="11"/>
              </w:rPr>
            </w:pPr>
            <w:r>
              <w:rPr>
                <w:w w:val="105"/>
                <w:sz w:val="11"/>
              </w:rPr>
              <w:t>.666</w:t>
            </w:r>
          </w:p>
        </w:tc>
        <w:tc>
          <w:tcPr>
            <w:tcW w:w="787" w:type="dxa"/>
            <w:tcBorders>
              <w:top w:val="single" w:sz="4" w:space="0" w:color="000000"/>
              <w:left w:val="single" w:sz="4" w:space="0" w:color="000000"/>
              <w:bottom w:val="single" w:sz="4" w:space="0" w:color="000000"/>
              <w:right w:val="single" w:sz="4" w:space="0" w:color="000000"/>
            </w:tcBorders>
            <w:shd w:val="clear" w:color="auto" w:fill="D5DCE4"/>
          </w:tcPr>
          <w:p>
            <w:pPr/>
          </w:p>
        </w:tc>
        <w:tc>
          <w:tcPr>
            <w:tcW w:w="58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7"/>
              <w:ind w:left="86"/>
              <w:rPr>
                <w:sz w:val="11"/>
              </w:rPr>
            </w:pPr>
            <w:r>
              <w:rPr>
                <w:w w:val="105"/>
                <w:sz w:val="11"/>
              </w:rPr>
              <w:t>-18.561</w:t>
            </w:r>
          </w:p>
        </w:tc>
        <w:tc>
          <w:tcPr>
            <w:tcW w:w="413"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7"/>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7"/>
              <w:ind w:left="148"/>
              <w:rPr>
                <w:sz w:val="11"/>
              </w:rPr>
            </w:pPr>
            <w:r>
              <w:rPr>
                <w:w w:val="105"/>
                <w:sz w:val="11"/>
              </w:rPr>
              <w:t>-13.677</w:t>
            </w:r>
          </w:p>
        </w:tc>
        <w:tc>
          <w:tcPr>
            <w:tcW w:w="54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7"/>
              <w:ind w:left="71"/>
              <w:rPr>
                <w:sz w:val="11"/>
              </w:rPr>
            </w:pPr>
            <w:r>
              <w:rPr>
                <w:w w:val="105"/>
                <w:sz w:val="11"/>
              </w:rPr>
              <w:t>-11.058</w:t>
            </w:r>
          </w:p>
        </w:tc>
        <w:tc>
          <w:tcPr>
            <w:tcW w:w="701" w:type="dxa"/>
            <w:tcBorders>
              <w:top w:val="single" w:sz="4" w:space="0" w:color="000000"/>
              <w:left w:val="single" w:sz="4" w:space="0" w:color="000000"/>
              <w:bottom w:val="single" w:sz="4" w:space="0" w:color="000000"/>
              <w:right w:val="single" w:sz="4" w:space="0" w:color="000000"/>
            </w:tcBorders>
            <w:shd w:val="clear" w:color="auto" w:fill="D5DCE4"/>
          </w:tcPr>
          <w:p>
            <w:pPr/>
          </w:p>
        </w:tc>
        <w:tc>
          <w:tcPr>
            <w:tcW w:w="552" w:type="dxa"/>
            <w:tcBorders>
              <w:top w:val="single" w:sz="4" w:space="0" w:color="000000"/>
              <w:left w:val="single" w:sz="4" w:space="0" w:color="000000"/>
              <w:bottom w:val="single" w:sz="4" w:space="0" w:color="000000"/>
              <w:right w:val="single" w:sz="4" w:space="0" w:color="000000"/>
            </w:tcBorders>
            <w:shd w:val="clear" w:color="auto" w:fill="D5DCE4"/>
          </w:tcPr>
          <w:p>
            <w:pPr/>
          </w:p>
        </w:tc>
        <w:tc>
          <w:tcPr>
            <w:tcW w:w="782" w:type="dxa"/>
            <w:tcBorders>
              <w:top w:val="single" w:sz="4" w:space="0" w:color="000000"/>
              <w:left w:val="single" w:sz="4" w:space="0" w:color="000000"/>
              <w:bottom w:val="single" w:sz="4" w:space="0" w:color="000000"/>
              <w:right w:val="single" w:sz="4" w:space="0" w:color="000000"/>
            </w:tcBorders>
            <w:shd w:val="clear" w:color="auto" w:fill="D5DCE4"/>
          </w:tcPr>
          <w:p>
            <w:pPr/>
          </w:p>
        </w:tc>
        <w:tc>
          <w:tcPr>
            <w:tcW w:w="821" w:type="dxa"/>
            <w:tcBorders>
              <w:top w:val="single" w:sz="4" w:space="0" w:color="000000"/>
              <w:left w:val="single" w:sz="4" w:space="0" w:color="000000"/>
              <w:bottom w:val="single" w:sz="4" w:space="0" w:color="000000"/>
              <w:right w:val="single" w:sz="4" w:space="0" w:color="000000"/>
            </w:tcBorders>
            <w:shd w:val="clear" w:color="auto" w:fill="D5DCE4"/>
          </w:tcPr>
          <w:p>
            <w:pPr/>
          </w:p>
        </w:tc>
        <w:tc>
          <w:tcPr>
            <w:tcW w:w="509" w:type="dxa"/>
            <w:tcBorders>
              <w:top w:val="single" w:sz="4" w:space="0" w:color="000000"/>
              <w:left w:val="single" w:sz="4" w:space="0" w:color="000000"/>
              <w:bottom w:val="single" w:sz="4" w:space="0" w:color="000000"/>
              <w:right w:val="single" w:sz="4" w:space="0" w:color="000000"/>
            </w:tcBorders>
            <w:shd w:val="clear" w:color="auto" w:fill="D5DCE4"/>
          </w:tcPr>
          <w:p>
            <w:pPr/>
          </w:p>
        </w:tc>
      </w:tr>
      <w:tr>
        <w:trPr>
          <w:trHeight w:val="326" w:hRule="exact"/>
        </w:trPr>
        <w:tc>
          <w:tcPr>
            <w:tcW w:w="350" w:type="dxa"/>
            <w:vMerge/>
            <w:tcBorders>
              <w:left w:val="single" w:sz="4" w:space="0" w:color="000000"/>
              <w:right w:val="single" w:sz="4" w:space="0" w:color="000000"/>
            </w:tcBorders>
            <w:shd w:val="clear" w:color="auto" w:fill="D5DCE4"/>
          </w:tcPr>
          <w:p>
            <w:pPr/>
          </w:p>
        </w:tc>
        <w:tc>
          <w:tcPr>
            <w:tcW w:w="103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line="254" w:lineRule="auto" w:before="3"/>
              <w:ind w:left="124" w:hanging="39"/>
              <w:rPr>
                <w:sz w:val="13"/>
              </w:rPr>
            </w:pPr>
            <w:r>
              <w:rPr>
                <w:sz w:val="13"/>
              </w:rPr>
              <w:t>Responsabilid </w:t>
            </w:r>
            <w:r>
              <w:rPr>
                <w:w w:val="105"/>
                <w:sz w:val="13"/>
              </w:rPr>
              <w:t>ad ambiental</w:t>
            </w:r>
          </w:p>
        </w:tc>
        <w:tc>
          <w:tcPr>
            <w:tcW w:w="557"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58" w:right="51"/>
              <w:jc w:val="center"/>
              <w:rPr>
                <w:sz w:val="11"/>
              </w:rPr>
            </w:pPr>
            <w:r>
              <w:rPr>
                <w:w w:val="105"/>
                <w:sz w:val="11"/>
              </w:rPr>
              <w:t>.715</w:t>
            </w:r>
          </w:p>
        </w:tc>
        <w:tc>
          <w:tcPr>
            <w:tcW w:w="68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52" w:right="45"/>
              <w:jc w:val="center"/>
              <w:rPr>
                <w:sz w:val="11"/>
              </w:rPr>
            </w:pPr>
            <w:r>
              <w:rPr>
                <w:w w:val="105"/>
                <w:sz w:val="11"/>
              </w:rPr>
              <w:t>.031</w:t>
            </w:r>
          </w:p>
        </w:tc>
        <w:tc>
          <w:tcPr>
            <w:tcW w:w="787"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278"/>
              <w:rPr>
                <w:sz w:val="11"/>
              </w:rPr>
            </w:pPr>
            <w:r>
              <w:rPr>
                <w:w w:val="105"/>
                <w:sz w:val="11"/>
              </w:rPr>
              <w:t>.644</w:t>
            </w:r>
          </w:p>
        </w:tc>
        <w:tc>
          <w:tcPr>
            <w:tcW w:w="58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105"/>
              <w:rPr>
                <w:sz w:val="11"/>
              </w:rPr>
            </w:pPr>
            <w:r>
              <w:rPr>
                <w:w w:val="105"/>
                <w:sz w:val="11"/>
              </w:rPr>
              <w:t>23.096</w:t>
            </w:r>
          </w:p>
        </w:tc>
        <w:tc>
          <w:tcPr>
            <w:tcW w:w="413"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235"/>
              <w:rPr>
                <w:sz w:val="11"/>
              </w:rPr>
            </w:pPr>
            <w:r>
              <w:rPr>
                <w:w w:val="105"/>
                <w:sz w:val="11"/>
              </w:rPr>
              <w:t>.654</w:t>
            </w:r>
          </w:p>
        </w:tc>
        <w:tc>
          <w:tcPr>
            <w:tcW w:w="54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153"/>
              <w:rPr>
                <w:sz w:val="11"/>
              </w:rPr>
            </w:pPr>
            <w:r>
              <w:rPr>
                <w:w w:val="105"/>
                <w:sz w:val="11"/>
              </w:rPr>
              <w:t>.776</w:t>
            </w:r>
          </w:p>
        </w:tc>
        <w:tc>
          <w:tcPr>
            <w:tcW w:w="70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213" w:right="213"/>
              <w:jc w:val="center"/>
              <w:rPr>
                <w:sz w:val="11"/>
              </w:rPr>
            </w:pPr>
            <w:r>
              <w:rPr>
                <w:w w:val="105"/>
                <w:sz w:val="11"/>
              </w:rPr>
              <w:t>.773</w:t>
            </w:r>
          </w:p>
        </w:tc>
        <w:tc>
          <w:tcPr>
            <w:tcW w:w="55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42" w:right="40"/>
              <w:jc w:val="center"/>
              <w:rPr>
                <w:sz w:val="11"/>
              </w:rPr>
            </w:pPr>
            <w:r>
              <w:rPr>
                <w:w w:val="105"/>
                <w:sz w:val="11"/>
              </w:rPr>
              <w:t>.750</w:t>
            </w:r>
          </w:p>
        </w:tc>
        <w:tc>
          <w:tcPr>
            <w:tcW w:w="78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62" w:right="62"/>
              <w:jc w:val="center"/>
              <w:rPr>
                <w:sz w:val="11"/>
              </w:rPr>
            </w:pPr>
            <w:r>
              <w:rPr>
                <w:w w:val="105"/>
                <w:sz w:val="11"/>
              </w:rPr>
              <w:t>.454</w:t>
            </w:r>
          </w:p>
        </w:tc>
        <w:tc>
          <w:tcPr>
            <w:tcW w:w="82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66" w:right="64"/>
              <w:jc w:val="center"/>
              <w:rPr>
                <w:sz w:val="11"/>
              </w:rPr>
            </w:pPr>
            <w:r>
              <w:rPr>
                <w:w w:val="105"/>
                <w:sz w:val="11"/>
              </w:rPr>
              <w:t>.496</w:t>
            </w:r>
          </w:p>
        </w:tc>
        <w:tc>
          <w:tcPr>
            <w:tcW w:w="509"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93"/>
              <w:ind w:left="88" w:right="81"/>
              <w:jc w:val="center"/>
              <w:rPr>
                <w:sz w:val="11"/>
              </w:rPr>
            </w:pPr>
            <w:r>
              <w:rPr>
                <w:w w:val="105"/>
                <w:sz w:val="11"/>
              </w:rPr>
              <w:t>2.015</w:t>
            </w:r>
          </w:p>
        </w:tc>
      </w:tr>
      <w:tr>
        <w:trPr>
          <w:trHeight w:val="322" w:hRule="exact"/>
        </w:trPr>
        <w:tc>
          <w:tcPr>
            <w:tcW w:w="350" w:type="dxa"/>
            <w:vMerge/>
            <w:tcBorders>
              <w:left w:val="single" w:sz="4" w:space="0" w:color="000000"/>
              <w:right w:val="single" w:sz="4" w:space="0" w:color="000000"/>
            </w:tcBorders>
            <w:shd w:val="clear" w:color="auto" w:fill="D5DCE4"/>
          </w:tcPr>
          <w:p>
            <w:pPr/>
          </w:p>
        </w:tc>
        <w:tc>
          <w:tcPr>
            <w:tcW w:w="103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line="247" w:lineRule="auto" w:before="3"/>
              <w:ind w:left="215" w:hanging="116"/>
              <w:rPr>
                <w:sz w:val="13"/>
              </w:rPr>
            </w:pPr>
            <w:r>
              <w:rPr>
                <w:sz w:val="13"/>
              </w:rPr>
              <w:t>Conocimiento </w:t>
            </w:r>
            <w:r>
              <w:rPr>
                <w:w w:val="105"/>
                <w:sz w:val="13"/>
              </w:rPr>
              <w:t>ambiental</w:t>
            </w:r>
          </w:p>
        </w:tc>
        <w:tc>
          <w:tcPr>
            <w:tcW w:w="557"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58" w:right="51"/>
              <w:jc w:val="center"/>
              <w:rPr>
                <w:sz w:val="11"/>
              </w:rPr>
            </w:pPr>
            <w:r>
              <w:rPr>
                <w:w w:val="105"/>
                <w:sz w:val="11"/>
              </w:rPr>
              <w:t>.386</w:t>
            </w:r>
          </w:p>
        </w:tc>
        <w:tc>
          <w:tcPr>
            <w:tcW w:w="68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52" w:right="45"/>
              <w:jc w:val="center"/>
              <w:rPr>
                <w:sz w:val="11"/>
              </w:rPr>
            </w:pPr>
            <w:r>
              <w:rPr>
                <w:w w:val="105"/>
                <w:sz w:val="11"/>
              </w:rPr>
              <w:t>.034</w:t>
            </w:r>
          </w:p>
        </w:tc>
        <w:tc>
          <w:tcPr>
            <w:tcW w:w="787"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278"/>
              <w:rPr>
                <w:sz w:val="11"/>
              </w:rPr>
            </w:pPr>
            <w:r>
              <w:rPr>
                <w:w w:val="105"/>
                <w:sz w:val="11"/>
              </w:rPr>
              <w:t>.308</w:t>
            </w:r>
          </w:p>
        </w:tc>
        <w:tc>
          <w:tcPr>
            <w:tcW w:w="58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105"/>
              <w:rPr>
                <w:sz w:val="11"/>
              </w:rPr>
            </w:pPr>
            <w:r>
              <w:rPr>
                <w:w w:val="105"/>
                <w:sz w:val="11"/>
              </w:rPr>
              <w:t>11.209</w:t>
            </w:r>
          </w:p>
        </w:tc>
        <w:tc>
          <w:tcPr>
            <w:tcW w:w="413"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72" w:right="65"/>
              <w:jc w:val="center"/>
              <w:rPr>
                <w:sz w:val="11"/>
              </w:rPr>
            </w:pPr>
            <w:r>
              <w:rPr>
                <w:w w:val="105"/>
                <w:sz w:val="11"/>
              </w:rPr>
              <w:t>.000</w:t>
            </w:r>
          </w:p>
        </w:tc>
        <w:tc>
          <w:tcPr>
            <w:tcW w:w="706"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235"/>
              <w:rPr>
                <w:sz w:val="11"/>
              </w:rPr>
            </w:pPr>
            <w:r>
              <w:rPr>
                <w:w w:val="105"/>
                <w:sz w:val="11"/>
              </w:rPr>
              <w:t>.319</w:t>
            </w:r>
          </w:p>
        </w:tc>
        <w:tc>
          <w:tcPr>
            <w:tcW w:w="54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153"/>
              <w:rPr>
                <w:sz w:val="11"/>
              </w:rPr>
            </w:pPr>
            <w:r>
              <w:rPr>
                <w:w w:val="105"/>
                <w:sz w:val="11"/>
              </w:rPr>
              <w:t>.454</w:t>
            </w:r>
          </w:p>
        </w:tc>
        <w:tc>
          <w:tcPr>
            <w:tcW w:w="70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213" w:right="213"/>
              <w:jc w:val="center"/>
              <w:rPr>
                <w:sz w:val="11"/>
              </w:rPr>
            </w:pPr>
            <w:r>
              <w:rPr>
                <w:w w:val="105"/>
                <w:sz w:val="11"/>
              </w:rPr>
              <w:t>.495</w:t>
            </w:r>
          </w:p>
        </w:tc>
        <w:tc>
          <w:tcPr>
            <w:tcW w:w="55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42" w:right="40"/>
              <w:jc w:val="center"/>
              <w:rPr>
                <w:sz w:val="11"/>
              </w:rPr>
            </w:pPr>
            <w:r>
              <w:rPr>
                <w:w w:val="105"/>
                <w:sz w:val="11"/>
              </w:rPr>
              <w:t>.483</w:t>
            </w:r>
          </w:p>
        </w:tc>
        <w:tc>
          <w:tcPr>
            <w:tcW w:w="78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62" w:right="62"/>
              <w:jc w:val="center"/>
              <w:rPr>
                <w:sz w:val="11"/>
              </w:rPr>
            </w:pPr>
            <w:r>
              <w:rPr>
                <w:w w:val="105"/>
                <w:sz w:val="11"/>
              </w:rPr>
              <w:t>.220</w:t>
            </w:r>
          </w:p>
        </w:tc>
        <w:tc>
          <w:tcPr>
            <w:tcW w:w="82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66" w:right="64"/>
              <w:jc w:val="center"/>
              <w:rPr>
                <w:sz w:val="11"/>
              </w:rPr>
            </w:pPr>
            <w:r>
              <w:rPr>
                <w:w w:val="105"/>
                <w:sz w:val="11"/>
              </w:rPr>
              <w:t>.512</w:t>
            </w:r>
          </w:p>
        </w:tc>
        <w:tc>
          <w:tcPr>
            <w:tcW w:w="509"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88" w:right="81"/>
              <w:jc w:val="center"/>
              <w:rPr>
                <w:sz w:val="11"/>
              </w:rPr>
            </w:pPr>
            <w:r>
              <w:rPr>
                <w:w w:val="105"/>
                <w:sz w:val="11"/>
              </w:rPr>
              <w:t>1.955</w:t>
            </w:r>
          </w:p>
        </w:tc>
      </w:tr>
      <w:tr>
        <w:trPr>
          <w:trHeight w:val="166" w:hRule="exact"/>
        </w:trPr>
        <w:tc>
          <w:tcPr>
            <w:tcW w:w="350" w:type="dxa"/>
            <w:vMerge/>
            <w:tcBorders>
              <w:left w:val="single" w:sz="4" w:space="0" w:color="000000"/>
              <w:right w:val="single" w:sz="4" w:space="0" w:color="000000"/>
            </w:tcBorders>
            <w:shd w:val="clear" w:color="auto" w:fill="D5DCE4"/>
          </w:tcPr>
          <w:p>
            <w:pPr/>
          </w:p>
        </w:tc>
        <w:tc>
          <w:tcPr>
            <w:tcW w:w="1032" w:type="dxa"/>
            <w:tcBorders>
              <w:top w:val="single" w:sz="4" w:space="0" w:color="000000"/>
              <w:left w:val="single" w:sz="4" w:space="0" w:color="000000"/>
              <w:bottom w:val="single" w:sz="6" w:space="0" w:color="FFFFFF"/>
              <w:right w:val="single" w:sz="4" w:space="0" w:color="000000"/>
            </w:tcBorders>
            <w:shd w:val="clear" w:color="auto" w:fill="D5DCE4"/>
          </w:tcPr>
          <w:p>
            <w:pPr>
              <w:pStyle w:val="TableParagraph"/>
              <w:spacing w:before="3"/>
              <w:ind w:left="54" w:right="55"/>
              <w:jc w:val="center"/>
              <w:rPr>
                <w:sz w:val="13"/>
              </w:rPr>
            </w:pPr>
            <w:r>
              <w:rPr>
                <w:w w:val="105"/>
                <w:sz w:val="13"/>
              </w:rPr>
              <w:t>Estrategias de</w:t>
            </w:r>
          </w:p>
        </w:tc>
        <w:tc>
          <w:tcPr>
            <w:tcW w:w="557" w:type="dxa"/>
            <w:tcBorders>
              <w:top w:val="single" w:sz="4" w:space="0" w:color="000000"/>
              <w:left w:val="single" w:sz="4" w:space="0" w:color="000000"/>
              <w:bottom w:val="single" w:sz="6" w:space="0" w:color="FFFFFF"/>
              <w:right w:val="single" w:sz="4" w:space="0" w:color="000000"/>
            </w:tcBorders>
            <w:shd w:val="clear" w:color="auto" w:fill="D5DCE4"/>
          </w:tcPr>
          <w:p>
            <w:pPr/>
          </w:p>
        </w:tc>
        <w:tc>
          <w:tcPr>
            <w:tcW w:w="682" w:type="dxa"/>
            <w:tcBorders>
              <w:top w:val="single" w:sz="4" w:space="0" w:color="000000"/>
              <w:left w:val="single" w:sz="4" w:space="0" w:color="000000"/>
              <w:bottom w:val="single" w:sz="6" w:space="0" w:color="FFFFFF"/>
              <w:right w:val="single" w:sz="4" w:space="0" w:color="000000"/>
            </w:tcBorders>
            <w:shd w:val="clear" w:color="auto" w:fill="D5DCE4"/>
          </w:tcPr>
          <w:p>
            <w:pPr/>
          </w:p>
        </w:tc>
        <w:tc>
          <w:tcPr>
            <w:tcW w:w="787" w:type="dxa"/>
            <w:tcBorders>
              <w:top w:val="single" w:sz="4" w:space="0" w:color="000000"/>
              <w:left w:val="single" w:sz="4" w:space="0" w:color="000000"/>
              <w:bottom w:val="single" w:sz="6" w:space="0" w:color="FFFFFF"/>
              <w:right w:val="single" w:sz="4" w:space="0" w:color="000000"/>
            </w:tcBorders>
            <w:shd w:val="clear" w:color="auto" w:fill="D5DCE4"/>
          </w:tcPr>
          <w:p>
            <w:pPr/>
          </w:p>
        </w:tc>
        <w:tc>
          <w:tcPr>
            <w:tcW w:w="581" w:type="dxa"/>
            <w:tcBorders>
              <w:top w:val="single" w:sz="4" w:space="0" w:color="000000"/>
              <w:left w:val="single" w:sz="4" w:space="0" w:color="000000"/>
              <w:bottom w:val="single" w:sz="6" w:space="0" w:color="FFFFFF"/>
              <w:right w:val="single" w:sz="4" w:space="0" w:color="000000"/>
            </w:tcBorders>
            <w:shd w:val="clear" w:color="auto" w:fill="D5DCE4"/>
          </w:tcPr>
          <w:p>
            <w:pPr/>
          </w:p>
        </w:tc>
        <w:tc>
          <w:tcPr>
            <w:tcW w:w="413" w:type="dxa"/>
            <w:vMerge w:val="restart"/>
            <w:tcBorders>
              <w:top w:val="single" w:sz="4" w:space="0" w:color="000000"/>
              <w:left w:val="single" w:sz="4" w:space="0" w:color="000000"/>
              <w:right w:val="single" w:sz="4" w:space="0" w:color="000000"/>
            </w:tcBorders>
            <w:shd w:val="clear" w:color="auto" w:fill="D5DCE4"/>
          </w:tcPr>
          <w:p>
            <w:pPr>
              <w:pStyle w:val="TableParagraph"/>
              <w:spacing w:before="9"/>
              <w:rPr>
                <w:sz w:val="14"/>
              </w:rPr>
            </w:pPr>
          </w:p>
          <w:p>
            <w:pPr>
              <w:pStyle w:val="TableParagraph"/>
              <w:ind w:left="91"/>
              <w:rPr>
                <w:sz w:val="11"/>
              </w:rPr>
            </w:pPr>
            <w:r>
              <w:rPr>
                <w:w w:val="105"/>
                <w:sz w:val="11"/>
              </w:rPr>
              <w:t>.000</w:t>
            </w:r>
          </w:p>
        </w:tc>
        <w:tc>
          <w:tcPr>
            <w:tcW w:w="706" w:type="dxa"/>
            <w:vMerge w:val="restart"/>
            <w:tcBorders>
              <w:top w:val="single" w:sz="4" w:space="0" w:color="000000"/>
              <w:left w:val="single" w:sz="4" w:space="0" w:color="000000"/>
              <w:right w:val="single" w:sz="4" w:space="0" w:color="000000"/>
            </w:tcBorders>
            <w:shd w:val="clear" w:color="auto" w:fill="D5DCE4"/>
          </w:tcPr>
          <w:p>
            <w:pPr>
              <w:pStyle w:val="TableParagraph"/>
              <w:spacing w:before="9"/>
              <w:rPr>
                <w:sz w:val="14"/>
              </w:rPr>
            </w:pPr>
          </w:p>
          <w:p>
            <w:pPr>
              <w:pStyle w:val="TableParagraph"/>
              <w:ind w:left="216" w:right="214"/>
              <w:jc w:val="center"/>
              <w:rPr>
                <w:sz w:val="11"/>
              </w:rPr>
            </w:pPr>
            <w:r>
              <w:rPr>
                <w:w w:val="105"/>
                <w:sz w:val="11"/>
              </w:rPr>
              <w:t>.303</w:t>
            </w:r>
          </w:p>
        </w:tc>
        <w:tc>
          <w:tcPr>
            <w:tcW w:w="542" w:type="dxa"/>
            <w:vMerge w:val="restart"/>
            <w:tcBorders>
              <w:top w:val="single" w:sz="4" w:space="0" w:color="000000"/>
              <w:left w:val="single" w:sz="4" w:space="0" w:color="000000"/>
              <w:right w:val="single" w:sz="4" w:space="0" w:color="000000"/>
            </w:tcBorders>
            <w:shd w:val="clear" w:color="auto" w:fill="D5DCE4"/>
          </w:tcPr>
          <w:p>
            <w:pPr>
              <w:pStyle w:val="TableParagraph"/>
              <w:spacing w:before="9"/>
              <w:rPr>
                <w:sz w:val="14"/>
              </w:rPr>
            </w:pPr>
          </w:p>
          <w:p>
            <w:pPr>
              <w:pStyle w:val="TableParagraph"/>
              <w:ind w:left="153"/>
              <w:rPr>
                <w:sz w:val="11"/>
              </w:rPr>
            </w:pPr>
            <w:r>
              <w:rPr>
                <w:w w:val="105"/>
                <w:sz w:val="11"/>
              </w:rPr>
              <w:t>.411</w:t>
            </w:r>
          </w:p>
        </w:tc>
        <w:tc>
          <w:tcPr>
            <w:tcW w:w="701" w:type="dxa"/>
            <w:vMerge w:val="restart"/>
            <w:tcBorders>
              <w:top w:val="single" w:sz="4" w:space="0" w:color="000000"/>
              <w:left w:val="single" w:sz="4" w:space="0" w:color="000000"/>
              <w:right w:val="single" w:sz="4" w:space="0" w:color="000000"/>
            </w:tcBorders>
            <w:shd w:val="clear" w:color="auto" w:fill="D5DCE4"/>
          </w:tcPr>
          <w:p>
            <w:pPr>
              <w:pStyle w:val="TableParagraph"/>
              <w:spacing w:before="9"/>
              <w:rPr>
                <w:sz w:val="14"/>
              </w:rPr>
            </w:pPr>
          </w:p>
          <w:p>
            <w:pPr>
              <w:pStyle w:val="TableParagraph"/>
              <w:ind w:left="230" w:right="151"/>
              <w:rPr>
                <w:sz w:val="11"/>
              </w:rPr>
            </w:pPr>
            <w:r>
              <w:rPr>
                <w:w w:val="105"/>
                <w:sz w:val="11"/>
              </w:rPr>
              <w:t>.314</w:t>
            </w:r>
          </w:p>
        </w:tc>
        <w:tc>
          <w:tcPr>
            <w:tcW w:w="552" w:type="dxa"/>
            <w:vMerge w:val="restart"/>
            <w:tcBorders>
              <w:top w:val="single" w:sz="4" w:space="0" w:color="000000"/>
              <w:left w:val="single" w:sz="4" w:space="0" w:color="000000"/>
              <w:right w:val="single" w:sz="4" w:space="0" w:color="000000"/>
            </w:tcBorders>
            <w:shd w:val="clear" w:color="auto" w:fill="D5DCE4"/>
          </w:tcPr>
          <w:p>
            <w:pPr>
              <w:pStyle w:val="TableParagraph"/>
              <w:spacing w:before="9"/>
              <w:rPr>
                <w:sz w:val="14"/>
              </w:rPr>
            </w:pPr>
          </w:p>
          <w:p>
            <w:pPr>
              <w:pStyle w:val="TableParagraph"/>
              <w:ind w:left="158"/>
              <w:rPr>
                <w:sz w:val="11"/>
              </w:rPr>
            </w:pPr>
            <w:r>
              <w:rPr>
                <w:w w:val="105"/>
                <w:sz w:val="11"/>
              </w:rPr>
              <w:t>.539</w:t>
            </w:r>
          </w:p>
        </w:tc>
        <w:tc>
          <w:tcPr>
            <w:tcW w:w="782" w:type="dxa"/>
            <w:vMerge w:val="restart"/>
            <w:tcBorders>
              <w:top w:val="single" w:sz="4" w:space="0" w:color="000000"/>
              <w:left w:val="single" w:sz="4" w:space="0" w:color="000000"/>
              <w:right w:val="single" w:sz="4" w:space="0" w:color="000000"/>
            </w:tcBorders>
            <w:shd w:val="clear" w:color="auto" w:fill="D5DCE4"/>
          </w:tcPr>
          <w:p>
            <w:pPr>
              <w:pStyle w:val="TableParagraph"/>
              <w:spacing w:before="9"/>
              <w:rPr>
                <w:sz w:val="14"/>
              </w:rPr>
            </w:pPr>
          </w:p>
          <w:p>
            <w:pPr>
              <w:pStyle w:val="TableParagraph"/>
              <w:ind w:left="62" w:right="62"/>
              <w:jc w:val="center"/>
              <w:rPr>
                <w:sz w:val="11"/>
              </w:rPr>
            </w:pPr>
            <w:r>
              <w:rPr>
                <w:w w:val="105"/>
                <w:sz w:val="11"/>
              </w:rPr>
              <w:t>.256</w:t>
            </w:r>
          </w:p>
        </w:tc>
        <w:tc>
          <w:tcPr>
            <w:tcW w:w="821" w:type="dxa"/>
            <w:vMerge w:val="restart"/>
            <w:tcBorders>
              <w:top w:val="single" w:sz="4" w:space="0" w:color="000000"/>
              <w:left w:val="single" w:sz="4" w:space="0" w:color="000000"/>
              <w:right w:val="single" w:sz="4" w:space="0" w:color="000000"/>
            </w:tcBorders>
            <w:shd w:val="clear" w:color="auto" w:fill="D5DCE4"/>
          </w:tcPr>
          <w:p>
            <w:pPr>
              <w:pStyle w:val="TableParagraph"/>
              <w:spacing w:before="9"/>
              <w:rPr>
                <w:sz w:val="14"/>
              </w:rPr>
            </w:pPr>
          </w:p>
          <w:p>
            <w:pPr>
              <w:pStyle w:val="TableParagraph"/>
              <w:ind w:left="66" w:right="64"/>
              <w:jc w:val="center"/>
              <w:rPr>
                <w:sz w:val="11"/>
              </w:rPr>
            </w:pPr>
            <w:r>
              <w:rPr>
                <w:w w:val="105"/>
                <w:sz w:val="11"/>
              </w:rPr>
              <w:t>.670</w:t>
            </w:r>
          </w:p>
        </w:tc>
        <w:tc>
          <w:tcPr>
            <w:tcW w:w="509" w:type="dxa"/>
            <w:vMerge w:val="restart"/>
            <w:tcBorders>
              <w:top w:val="single" w:sz="4" w:space="0" w:color="000000"/>
              <w:left w:val="single" w:sz="4" w:space="0" w:color="000000"/>
              <w:right w:val="single" w:sz="4" w:space="0" w:color="000000"/>
            </w:tcBorders>
            <w:shd w:val="clear" w:color="auto" w:fill="D5DCE4"/>
          </w:tcPr>
          <w:p>
            <w:pPr>
              <w:pStyle w:val="TableParagraph"/>
              <w:spacing w:before="9"/>
              <w:rPr>
                <w:sz w:val="14"/>
              </w:rPr>
            </w:pPr>
          </w:p>
          <w:p>
            <w:pPr>
              <w:pStyle w:val="TableParagraph"/>
              <w:ind w:left="105"/>
              <w:rPr>
                <w:sz w:val="11"/>
              </w:rPr>
            </w:pPr>
            <w:r>
              <w:rPr>
                <w:w w:val="105"/>
                <w:sz w:val="11"/>
              </w:rPr>
              <w:t>1.492</w:t>
            </w:r>
          </w:p>
        </w:tc>
      </w:tr>
      <w:tr>
        <w:trPr>
          <w:trHeight w:val="312" w:hRule="exact"/>
        </w:trPr>
        <w:tc>
          <w:tcPr>
            <w:tcW w:w="350" w:type="dxa"/>
            <w:vMerge/>
            <w:tcBorders>
              <w:left w:val="single" w:sz="4" w:space="0" w:color="000000"/>
              <w:right w:val="single" w:sz="4" w:space="0" w:color="000000"/>
            </w:tcBorders>
            <w:shd w:val="clear" w:color="auto" w:fill="D5DCE4"/>
          </w:tcPr>
          <w:p>
            <w:pPr/>
          </w:p>
        </w:tc>
        <w:tc>
          <w:tcPr>
            <w:tcW w:w="1032" w:type="dxa"/>
            <w:tcBorders>
              <w:top w:val="single" w:sz="6" w:space="0" w:color="FFFFFF"/>
              <w:left w:val="single" w:sz="4" w:space="0" w:color="000000"/>
              <w:bottom w:val="single" w:sz="4" w:space="0" w:color="000000"/>
              <w:right w:val="single" w:sz="4" w:space="0" w:color="000000"/>
            </w:tcBorders>
            <w:shd w:val="clear" w:color="auto" w:fill="D5DCE4"/>
          </w:tcPr>
          <w:p>
            <w:pPr>
              <w:pStyle w:val="TableParagraph"/>
              <w:spacing w:line="254" w:lineRule="auto"/>
              <w:ind w:left="215" w:firstLine="105"/>
              <w:rPr>
                <w:sz w:val="13"/>
              </w:rPr>
            </w:pPr>
            <w:r>
              <w:rPr>
                <w:w w:val="105"/>
                <w:sz w:val="13"/>
              </w:rPr>
              <w:t>acción ambiental</w:t>
            </w:r>
          </w:p>
        </w:tc>
        <w:tc>
          <w:tcPr>
            <w:tcW w:w="557" w:type="dxa"/>
            <w:tcBorders>
              <w:top w:val="single" w:sz="6" w:space="0" w:color="FFFFFF"/>
              <w:left w:val="single" w:sz="4" w:space="0" w:color="000000"/>
              <w:bottom w:val="single" w:sz="4" w:space="0" w:color="000000"/>
              <w:right w:val="single" w:sz="4" w:space="0" w:color="000000"/>
            </w:tcBorders>
            <w:shd w:val="clear" w:color="auto" w:fill="D5DCE4"/>
          </w:tcPr>
          <w:p>
            <w:pPr>
              <w:pStyle w:val="TableParagraph"/>
              <w:spacing w:before="2"/>
              <w:ind w:left="58" w:right="51"/>
              <w:jc w:val="center"/>
              <w:rPr>
                <w:sz w:val="11"/>
              </w:rPr>
            </w:pPr>
            <w:r>
              <w:rPr>
                <w:w w:val="105"/>
                <w:sz w:val="11"/>
              </w:rPr>
              <w:t>.357</w:t>
            </w:r>
          </w:p>
        </w:tc>
        <w:tc>
          <w:tcPr>
            <w:tcW w:w="682" w:type="dxa"/>
            <w:tcBorders>
              <w:top w:val="single" w:sz="6" w:space="0" w:color="FFFFFF"/>
              <w:left w:val="single" w:sz="4" w:space="0" w:color="000000"/>
              <w:bottom w:val="single" w:sz="4" w:space="0" w:color="000000"/>
              <w:right w:val="single" w:sz="4" w:space="0" w:color="000000"/>
            </w:tcBorders>
            <w:shd w:val="clear" w:color="auto" w:fill="D5DCE4"/>
          </w:tcPr>
          <w:p>
            <w:pPr>
              <w:pStyle w:val="TableParagraph"/>
              <w:spacing w:before="2"/>
              <w:ind w:left="52" w:right="45"/>
              <w:jc w:val="center"/>
              <w:rPr>
                <w:sz w:val="11"/>
              </w:rPr>
            </w:pPr>
            <w:r>
              <w:rPr>
                <w:w w:val="105"/>
                <w:sz w:val="11"/>
              </w:rPr>
              <w:t>.027</w:t>
            </w:r>
          </w:p>
        </w:tc>
        <w:tc>
          <w:tcPr>
            <w:tcW w:w="787" w:type="dxa"/>
            <w:tcBorders>
              <w:top w:val="single" w:sz="6" w:space="0" w:color="FFFFFF"/>
              <w:left w:val="single" w:sz="4" w:space="0" w:color="000000"/>
              <w:bottom w:val="single" w:sz="4" w:space="0" w:color="000000"/>
              <w:right w:val="single" w:sz="4" w:space="0" w:color="000000"/>
            </w:tcBorders>
            <w:shd w:val="clear" w:color="auto" w:fill="D5DCE4"/>
          </w:tcPr>
          <w:p>
            <w:pPr>
              <w:pStyle w:val="TableParagraph"/>
              <w:spacing w:before="2"/>
              <w:ind w:left="278"/>
              <w:rPr>
                <w:sz w:val="11"/>
              </w:rPr>
            </w:pPr>
            <w:r>
              <w:rPr>
                <w:w w:val="105"/>
                <w:sz w:val="11"/>
              </w:rPr>
              <w:t>.313</w:t>
            </w:r>
          </w:p>
        </w:tc>
        <w:tc>
          <w:tcPr>
            <w:tcW w:w="581" w:type="dxa"/>
            <w:tcBorders>
              <w:top w:val="single" w:sz="6" w:space="0" w:color="FFFFFF"/>
              <w:left w:val="single" w:sz="4" w:space="0" w:color="000000"/>
              <w:bottom w:val="single" w:sz="4" w:space="0" w:color="000000"/>
              <w:right w:val="single" w:sz="4" w:space="0" w:color="000000"/>
            </w:tcBorders>
            <w:shd w:val="clear" w:color="auto" w:fill="D5DCE4"/>
          </w:tcPr>
          <w:p>
            <w:pPr>
              <w:pStyle w:val="TableParagraph"/>
              <w:spacing w:before="2"/>
              <w:ind w:left="105"/>
              <w:rPr>
                <w:sz w:val="11"/>
              </w:rPr>
            </w:pPr>
            <w:r>
              <w:rPr>
                <w:w w:val="105"/>
                <w:sz w:val="11"/>
              </w:rPr>
              <w:t>13.037</w:t>
            </w:r>
          </w:p>
        </w:tc>
        <w:tc>
          <w:tcPr>
            <w:tcW w:w="413" w:type="dxa"/>
            <w:vMerge/>
            <w:tcBorders>
              <w:left w:val="single" w:sz="4" w:space="0" w:color="000000"/>
              <w:bottom w:val="single" w:sz="4" w:space="0" w:color="000000"/>
              <w:right w:val="single" w:sz="4" w:space="0" w:color="000000"/>
            </w:tcBorders>
            <w:shd w:val="clear" w:color="auto" w:fill="D5DCE4"/>
          </w:tcPr>
          <w:p>
            <w:pPr/>
          </w:p>
        </w:tc>
        <w:tc>
          <w:tcPr>
            <w:tcW w:w="706" w:type="dxa"/>
            <w:vMerge/>
            <w:tcBorders>
              <w:left w:val="single" w:sz="4" w:space="0" w:color="000000"/>
              <w:bottom w:val="single" w:sz="4" w:space="0" w:color="000000"/>
              <w:right w:val="single" w:sz="4" w:space="0" w:color="000000"/>
            </w:tcBorders>
            <w:shd w:val="clear" w:color="auto" w:fill="D5DCE4"/>
          </w:tcPr>
          <w:p>
            <w:pPr/>
          </w:p>
        </w:tc>
        <w:tc>
          <w:tcPr>
            <w:tcW w:w="542" w:type="dxa"/>
            <w:vMerge/>
            <w:tcBorders>
              <w:left w:val="single" w:sz="4" w:space="0" w:color="000000"/>
              <w:bottom w:val="single" w:sz="4" w:space="0" w:color="000000"/>
              <w:right w:val="single" w:sz="4" w:space="0" w:color="000000"/>
            </w:tcBorders>
            <w:shd w:val="clear" w:color="auto" w:fill="D5DCE4"/>
          </w:tcPr>
          <w:p>
            <w:pPr/>
          </w:p>
        </w:tc>
        <w:tc>
          <w:tcPr>
            <w:tcW w:w="701" w:type="dxa"/>
            <w:vMerge/>
            <w:tcBorders>
              <w:left w:val="single" w:sz="4" w:space="0" w:color="000000"/>
              <w:bottom w:val="single" w:sz="4" w:space="0" w:color="000000"/>
              <w:right w:val="single" w:sz="4" w:space="0" w:color="000000"/>
            </w:tcBorders>
            <w:shd w:val="clear" w:color="auto" w:fill="D5DCE4"/>
          </w:tcPr>
          <w:p>
            <w:pPr/>
          </w:p>
        </w:tc>
        <w:tc>
          <w:tcPr>
            <w:tcW w:w="552" w:type="dxa"/>
            <w:vMerge/>
            <w:tcBorders>
              <w:left w:val="single" w:sz="4" w:space="0" w:color="000000"/>
              <w:bottom w:val="single" w:sz="4" w:space="0" w:color="000000"/>
              <w:right w:val="single" w:sz="4" w:space="0" w:color="000000"/>
            </w:tcBorders>
            <w:shd w:val="clear" w:color="auto" w:fill="D5DCE4"/>
          </w:tcPr>
          <w:p>
            <w:pPr/>
          </w:p>
        </w:tc>
        <w:tc>
          <w:tcPr>
            <w:tcW w:w="782" w:type="dxa"/>
            <w:vMerge/>
            <w:tcBorders>
              <w:left w:val="single" w:sz="4" w:space="0" w:color="000000"/>
              <w:bottom w:val="single" w:sz="4" w:space="0" w:color="000000"/>
              <w:right w:val="single" w:sz="4" w:space="0" w:color="000000"/>
            </w:tcBorders>
            <w:shd w:val="clear" w:color="auto" w:fill="D5DCE4"/>
          </w:tcPr>
          <w:p>
            <w:pPr/>
          </w:p>
        </w:tc>
        <w:tc>
          <w:tcPr>
            <w:tcW w:w="821" w:type="dxa"/>
            <w:vMerge/>
            <w:tcBorders>
              <w:left w:val="single" w:sz="4" w:space="0" w:color="000000"/>
              <w:bottom w:val="single" w:sz="4" w:space="0" w:color="000000"/>
              <w:right w:val="single" w:sz="4" w:space="0" w:color="000000"/>
            </w:tcBorders>
            <w:shd w:val="clear" w:color="auto" w:fill="D5DCE4"/>
          </w:tcPr>
          <w:p>
            <w:pPr/>
          </w:p>
        </w:tc>
        <w:tc>
          <w:tcPr>
            <w:tcW w:w="509" w:type="dxa"/>
            <w:vMerge/>
            <w:tcBorders>
              <w:left w:val="single" w:sz="4" w:space="0" w:color="000000"/>
              <w:bottom w:val="single" w:sz="4" w:space="0" w:color="000000"/>
              <w:right w:val="single" w:sz="4" w:space="0" w:color="000000"/>
            </w:tcBorders>
            <w:shd w:val="clear" w:color="auto" w:fill="D5DCE4"/>
          </w:tcPr>
          <w:p>
            <w:pPr/>
          </w:p>
        </w:tc>
      </w:tr>
      <w:tr>
        <w:trPr>
          <w:trHeight w:val="166" w:hRule="exact"/>
        </w:trPr>
        <w:tc>
          <w:tcPr>
            <w:tcW w:w="350" w:type="dxa"/>
            <w:vMerge/>
            <w:tcBorders>
              <w:left w:val="single" w:sz="4" w:space="0" w:color="000000"/>
              <w:right w:val="single" w:sz="4" w:space="0" w:color="000000"/>
            </w:tcBorders>
            <w:shd w:val="clear" w:color="auto" w:fill="D5DCE4"/>
          </w:tcPr>
          <w:p>
            <w:pPr/>
          </w:p>
        </w:tc>
        <w:tc>
          <w:tcPr>
            <w:tcW w:w="1032" w:type="dxa"/>
            <w:tcBorders>
              <w:top w:val="single" w:sz="4" w:space="0" w:color="000000"/>
              <w:left w:val="single" w:sz="4" w:space="0" w:color="000000"/>
              <w:bottom w:val="single" w:sz="4" w:space="0" w:color="FFFFFF"/>
              <w:right w:val="single" w:sz="4" w:space="0" w:color="000000"/>
            </w:tcBorders>
            <w:shd w:val="clear" w:color="auto" w:fill="D5DCE4"/>
          </w:tcPr>
          <w:p>
            <w:pPr>
              <w:pStyle w:val="TableParagraph"/>
              <w:spacing w:before="10"/>
              <w:ind w:left="54" w:right="47"/>
              <w:jc w:val="center"/>
              <w:rPr>
                <w:sz w:val="13"/>
              </w:rPr>
            </w:pPr>
            <w:r>
              <w:rPr>
                <w:w w:val="105"/>
                <w:sz w:val="13"/>
              </w:rPr>
              <w:t>Locus de</w:t>
            </w:r>
          </w:p>
        </w:tc>
        <w:tc>
          <w:tcPr>
            <w:tcW w:w="557" w:type="dxa"/>
            <w:tcBorders>
              <w:top w:val="single" w:sz="4" w:space="0" w:color="000000"/>
              <w:left w:val="single" w:sz="4" w:space="0" w:color="000000"/>
              <w:bottom w:val="single" w:sz="4" w:space="0" w:color="FFFFFF"/>
              <w:right w:val="single" w:sz="4" w:space="0" w:color="000000"/>
            </w:tcBorders>
            <w:shd w:val="clear" w:color="auto" w:fill="D5DCE4"/>
          </w:tcPr>
          <w:p>
            <w:pPr/>
          </w:p>
        </w:tc>
        <w:tc>
          <w:tcPr>
            <w:tcW w:w="682" w:type="dxa"/>
            <w:tcBorders>
              <w:top w:val="single" w:sz="4" w:space="0" w:color="000000"/>
              <w:left w:val="single" w:sz="4" w:space="0" w:color="000000"/>
              <w:bottom w:val="single" w:sz="4" w:space="0" w:color="FFFFFF"/>
              <w:right w:val="single" w:sz="4" w:space="0" w:color="000000"/>
            </w:tcBorders>
            <w:shd w:val="clear" w:color="auto" w:fill="D5DCE4"/>
          </w:tcPr>
          <w:p>
            <w:pPr/>
          </w:p>
        </w:tc>
        <w:tc>
          <w:tcPr>
            <w:tcW w:w="787" w:type="dxa"/>
            <w:tcBorders>
              <w:top w:val="single" w:sz="4" w:space="0" w:color="000000"/>
              <w:left w:val="single" w:sz="4" w:space="0" w:color="000000"/>
              <w:bottom w:val="single" w:sz="4" w:space="0" w:color="FFFFFF"/>
              <w:right w:val="single" w:sz="4" w:space="0" w:color="000000"/>
            </w:tcBorders>
            <w:shd w:val="clear" w:color="auto" w:fill="D5DCE4"/>
          </w:tcPr>
          <w:p>
            <w:pPr/>
          </w:p>
        </w:tc>
        <w:tc>
          <w:tcPr>
            <w:tcW w:w="581" w:type="dxa"/>
            <w:tcBorders>
              <w:top w:val="single" w:sz="4" w:space="0" w:color="000000"/>
              <w:left w:val="single" w:sz="4" w:space="0" w:color="000000"/>
              <w:bottom w:val="single" w:sz="4" w:space="0" w:color="FFFFFF"/>
              <w:right w:val="single" w:sz="4" w:space="0" w:color="000000"/>
            </w:tcBorders>
            <w:shd w:val="clear" w:color="auto" w:fill="D5DCE4"/>
          </w:tcPr>
          <w:p>
            <w:pPr/>
          </w:p>
        </w:tc>
        <w:tc>
          <w:tcPr>
            <w:tcW w:w="413" w:type="dxa"/>
            <w:vMerge w:val="restart"/>
            <w:tcBorders>
              <w:top w:val="single" w:sz="4" w:space="0" w:color="000000"/>
              <w:left w:val="single" w:sz="4" w:space="0" w:color="000000"/>
              <w:right w:val="single" w:sz="4" w:space="0" w:color="000000"/>
            </w:tcBorders>
            <w:shd w:val="clear" w:color="auto" w:fill="D5DCE4"/>
          </w:tcPr>
          <w:p>
            <w:pPr>
              <w:pStyle w:val="TableParagraph"/>
              <w:spacing w:before="7"/>
              <w:rPr>
                <w:sz w:val="14"/>
              </w:rPr>
            </w:pPr>
          </w:p>
          <w:p>
            <w:pPr>
              <w:pStyle w:val="TableParagraph"/>
              <w:ind w:left="91"/>
              <w:rPr>
                <w:sz w:val="11"/>
              </w:rPr>
            </w:pPr>
            <w:r>
              <w:rPr>
                <w:w w:val="105"/>
                <w:sz w:val="11"/>
              </w:rPr>
              <w:t>.000</w:t>
            </w:r>
          </w:p>
        </w:tc>
        <w:tc>
          <w:tcPr>
            <w:tcW w:w="706" w:type="dxa"/>
            <w:vMerge w:val="restart"/>
            <w:tcBorders>
              <w:top w:val="single" w:sz="4" w:space="0" w:color="000000"/>
              <w:left w:val="single" w:sz="4" w:space="0" w:color="000000"/>
              <w:right w:val="single" w:sz="4" w:space="0" w:color="000000"/>
            </w:tcBorders>
            <w:shd w:val="clear" w:color="auto" w:fill="D5DCE4"/>
          </w:tcPr>
          <w:p>
            <w:pPr>
              <w:pStyle w:val="TableParagraph"/>
              <w:spacing w:before="7"/>
              <w:rPr>
                <w:sz w:val="14"/>
              </w:rPr>
            </w:pPr>
          </w:p>
          <w:p>
            <w:pPr>
              <w:pStyle w:val="TableParagraph"/>
              <w:ind w:left="216" w:right="214"/>
              <w:jc w:val="center"/>
              <w:rPr>
                <w:sz w:val="11"/>
              </w:rPr>
            </w:pPr>
            <w:r>
              <w:rPr>
                <w:w w:val="105"/>
                <w:sz w:val="11"/>
              </w:rPr>
              <w:t>.169</w:t>
            </w:r>
          </w:p>
        </w:tc>
        <w:tc>
          <w:tcPr>
            <w:tcW w:w="542" w:type="dxa"/>
            <w:vMerge w:val="restart"/>
            <w:tcBorders>
              <w:top w:val="single" w:sz="4" w:space="0" w:color="000000"/>
              <w:left w:val="single" w:sz="4" w:space="0" w:color="000000"/>
              <w:right w:val="single" w:sz="4" w:space="0" w:color="000000"/>
            </w:tcBorders>
            <w:shd w:val="clear" w:color="auto" w:fill="D5DCE4"/>
          </w:tcPr>
          <w:p>
            <w:pPr>
              <w:pStyle w:val="TableParagraph"/>
              <w:spacing w:before="7"/>
              <w:rPr>
                <w:sz w:val="14"/>
              </w:rPr>
            </w:pPr>
          </w:p>
          <w:p>
            <w:pPr>
              <w:pStyle w:val="TableParagraph"/>
              <w:ind w:left="153"/>
              <w:rPr>
                <w:sz w:val="11"/>
              </w:rPr>
            </w:pPr>
            <w:r>
              <w:rPr>
                <w:w w:val="105"/>
                <w:sz w:val="11"/>
              </w:rPr>
              <w:t>.276</w:t>
            </w:r>
          </w:p>
        </w:tc>
        <w:tc>
          <w:tcPr>
            <w:tcW w:w="701" w:type="dxa"/>
            <w:vMerge w:val="restart"/>
            <w:tcBorders>
              <w:top w:val="single" w:sz="4" w:space="0" w:color="000000"/>
              <w:left w:val="single" w:sz="4" w:space="0" w:color="000000"/>
              <w:right w:val="single" w:sz="4" w:space="0" w:color="000000"/>
            </w:tcBorders>
            <w:shd w:val="clear" w:color="auto" w:fill="D5DCE4"/>
          </w:tcPr>
          <w:p>
            <w:pPr>
              <w:pStyle w:val="TableParagraph"/>
              <w:spacing w:before="7"/>
              <w:rPr>
                <w:sz w:val="14"/>
              </w:rPr>
            </w:pPr>
          </w:p>
          <w:p>
            <w:pPr>
              <w:pStyle w:val="TableParagraph"/>
              <w:ind w:left="230" w:right="151"/>
              <w:rPr>
                <w:sz w:val="11"/>
              </w:rPr>
            </w:pPr>
            <w:r>
              <w:rPr>
                <w:w w:val="105"/>
                <w:sz w:val="11"/>
              </w:rPr>
              <w:t>.312</w:t>
            </w:r>
          </w:p>
        </w:tc>
        <w:tc>
          <w:tcPr>
            <w:tcW w:w="552" w:type="dxa"/>
            <w:vMerge w:val="restart"/>
            <w:tcBorders>
              <w:top w:val="single" w:sz="4" w:space="0" w:color="000000"/>
              <w:left w:val="single" w:sz="4" w:space="0" w:color="000000"/>
              <w:right w:val="single" w:sz="4" w:space="0" w:color="000000"/>
            </w:tcBorders>
            <w:shd w:val="clear" w:color="auto" w:fill="D5DCE4"/>
          </w:tcPr>
          <w:p>
            <w:pPr>
              <w:pStyle w:val="TableParagraph"/>
              <w:spacing w:before="7"/>
              <w:rPr>
                <w:sz w:val="14"/>
              </w:rPr>
            </w:pPr>
          </w:p>
          <w:p>
            <w:pPr>
              <w:pStyle w:val="TableParagraph"/>
              <w:ind w:left="158"/>
              <w:rPr>
                <w:sz w:val="11"/>
              </w:rPr>
            </w:pPr>
            <w:r>
              <w:rPr>
                <w:w w:val="105"/>
                <w:sz w:val="11"/>
              </w:rPr>
              <w:t>.374</w:t>
            </w:r>
          </w:p>
        </w:tc>
        <w:tc>
          <w:tcPr>
            <w:tcW w:w="782" w:type="dxa"/>
            <w:vMerge w:val="restart"/>
            <w:tcBorders>
              <w:top w:val="single" w:sz="4" w:space="0" w:color="000000"/>
              <w:left w:val="single" w:sz="4" w:space="0" w:color="000000"/>
              <w:right w:val="single" w:sz="4" w:space="0" w:color="000000"/>
            </w:tcBorders>
            <w:shd w:val="clear" w:color="auto" w:fill="D5DCE4"/>
          </w:tcPr>
          <w:p>
            <w:pPr>
              <w:pStyle w:val="TableParagraph"/>
              <w:spacing w:before="7"/>
              <w:rPr>
                <w:sz w:val="14"/>
              </w:rPr>
            </w:pPr>
          </w:p>
          <w:p>
            <w:pPr>
              <w:pStyle w:val="TableParagraph"/>
              <w:ind w:left="62" w:right="62"/>
              <w:jc w:val="center"/>
              <w:rPr>
                <w:sz w:val="11"/>
              </w:rPr>
            </w:pPr>
            <w:r>
              <w:rPr>
                <w:w w:val="105"/>
                <w:sz w:val="11"/>
              </w:rPr>
              <w:t>.161</w:t>
            </w:r>
          </w:p>
        </w:tc>
        <w:tc>
          <w:tcPr>
            <w:tcW w:w="821" w:type="dxa"/>
            <w:vMerge w:val="restart"/>
            <w:tcBorders>
              <w:top w:val="single" w:sz="4" w:space="0" w:color="000000"/>
              <w:left w:val="single" w:sz="4" w:space="0" w:color="000000"/>
              <w:right w:val="single" w:sz="4" w:space="0" w:color="000000"/>
            </w:tcBorders>
            <w:shd w:val="clear" w:color="auto" w:fill="D5DCE4"/>
          </w:tcPr>
          <w:p>
            <w:pPr>
              <w:pStyle w:val="TableParagraph"/>
              <w:spacing w:before="7"/>
              <w:rPr>
                <w:sz w:val="14"/>
              </w:rPr>
            </w:pPr>
          </w:p>
          <w:p>
            <w:pPr>
              <w:pStyle w:val="TableParagraph"/>
              <w:ind w:left="66" w:right="64"/>
              <w:jc w:val="center"/>
              <w:rPr>
                <w:sz w:val="11"/>
              </w:rPr>
            </w:pPr>
            <w:r>
              <w:rPr>
                <w:w w:val="105"/>
                <w:sz w:val="11"/>
              </w:rPr>
              <w:t>.713</w:t>
            </w:r>
          </w:p>
        </w:tc>
        <w:tc>
          <w:tcPr>
            <w:tcW w:w="509" w:type="dxa"/>
            <w:vMerge w:val="restart"/>
            <w:tcBorders>
              <w:top w:val="single" w:sz="4" w:space="0" w:color="000000"/>
              <w:left w:val="single" w:sz="4" w:space="0" w:color="000000"/>
              <w:right w:val="single" w:sz="4" w:space="0" w:color="000000"/>
            </w:tcBorders>
            <w:shd w:val="clear" w:color="auto" w:fill="D5DCE4"/>
          </w:tcPr>
          <w:p>
            <w:pPr>
              <w:pStyle w:val="TableParagraph"/>
              <w:spacing w:before="7"/>
              <w:rPr>
                <w:sz w:val="14"/>
              </w:rPr>
            </w:pPr>
          </w:p>
          <w:p>
            <w:pPr>
              <w:pStyle w:val="TableParagraph"/>
              <w:ind w:left="105"/>
              <w:rPr>
                <w:sz w:val="11"/>
              </w:rPr>
            </w:pPr>
            <w:r>
              <w:rPr>
                <w:w w:val="105"/>
                <w:sz w:val="11"/>
              </w:rPr>
              <w:t>1.403</w:t>
            </w:r>
          </w:p>
        </w:tc>
      </w:tr>
      <w:tr>
        <w:trPr>
          <w:trHeight w:val="317" w:hRule="exact"/>
        </w:trPr>
        <w:tc>
          <w:tcPr>
            <w:tcW w:w="350" w:type="dxa"/>
            <w:vMerge/>
            <w:tcBorders>
              <w:left w:val="single" w:sz="4" w:space="0" w:color="000000"/>
              <w:right w:val="single" w:sz="4" w:space="0" w:color="000000"/>
            </w:tcBorders>
            <w:shd w:val="clear" w:color="auto" w:fill="D5DCE4"/>
          </w:tcPr>
          <w:p>
            <w:pPr/>
          </w:p>
        </w:tc>
        <w:tc>
          <w:tcPr>
            <w:tcW w:w="1032" w:type="dxa"/>
            <w:tcBorders>
              <w:top w:val="single" w:sz="4" w:space="0" w:color="FFFFFF"/>
              <w:left w:val="single" w:sz="4" w:space="0" w:color="000000"/>
              <w:bottom w:val="single" w:sz="4" w:space="0" w:color="000000"/>
              <w:right w:val="single" w:sz="4" w:space="0" w:color="000000"/>
            </w:tcBorders>
            <w:shd w:val="clear" w:color="auto" w:fill="D5DCE4"/>
          </w:tcPr>
          <w:p>
            <w:pPr>
              <w:pStyle w:val="TableParagraph"/>
              <w:spacing w:line="254" w:lineRule="auto"/>
              <w:ind w:left="148" w:firstLine="163"/>
              <w:rPr>
                <w:sz w:val="13"/>
              </w:rPr>
            </w:pPr>
            <w:r>
              <w:rPr>
                <w:w w:val="105"/>
                <w:sz w:val="13"/>
              </w:rPr>
              <w:t>control </w:t>
            </w:r>
            <w:r>
              <w:rPr>
                <w:sz w:val="13"/>
              </w:rPr>
              <w:t>(conciencia)</w:t>
            </w:r>
          </w:p>
        </w:tc>
        <w:tc>
          <w:tcPr>
            <w:tcW w:w="557" w:type="dxa"/>
            <w:tcBorders>
              <w:top w:val="single" w:sz="4" w:space="0" w:color="FFFFFF"/>
              <w:left w:val="single" w:sz="4" w:space="0" w:color="000000"/>
              <w:bottom w:val="single" w:sz="4" w:space="0" w:color="000000"/>
              <w:right w:val="single" w:sz="4" w:space="0" w:color="000000"/>
            </w:tcBorders>
            <w:shd w:val="clear" w:color="auto" w:fill="D5DCE4"/>
          </w:tcPr>
          <w:p>
            <w:pPr>
              <w:pStyle w:val="TableParagraph"/>
              <w:spacing w:before="2"/>
              <w:ind w:left="58" w:right="51"/>
              <w:jc w:val="center"/>
              <w:rPr>
                <w:sz w:val="11"/>
              </w:rPr>
            </w:pPr>
            <w:r>
              <w:rPr>
                <w:w w:val="105"/>
                <w:sz w:val="11"/>
              </w:rPr>
              <w:t>.222</w:t>
            </w:r>
          </w:p>
        </w:tc>
        <w:tc>
          <w:tcPr>
            <w:tcW w:w="682" w:type="dxa"/>
            <w:tcBorders>
              <w:top w:val="single" w:sz="4" w:space="0" w:color="FFFFFF"/>
              <w:left w:val="single" w:sz="4" w:space="0" w:color="000000"/>
              <w:bottom w:val="single" w:sz="4" w:space="0" w:color="000000"/>
              <w:right w:val="single" w:sz="4" w:space="0" w:color="000000"/>
            </w:tcBorders>
            <w:shd w:val="clear" w:color="auto" w:fill="D5DCE4"/>
          </w:tcPr>
          <w:p>
            <w:pPr>
              <w:pStyle w:val="TableParagraph"/>
              <w:spacing w:before="2"/>
              <w:ind w:left="52" w:right="45"/>
              <w:jc w:val="center"/>
              <w:rPr>
                <w:sz w:val="11"/>
              </w:rPr>
            </w:pPr>
            <w:r>
              <w:rPr>
                <w:w w:val="105"/>
                <w:sz w:val="11"/>
              </w:rPr>
              <w:t>.027</w:t>
            </w:r>
          </w:p>
        </w:tc>
        <w:tc>
          <w:tcPr>
            <w:tcW w:w="787" w:type="dxa"/>
            <w:tcBorders>
              <w:top w:val="single" w:sz="4" w:space="0" w:color="FFFFFF"/>
              <w:left w:val="single" w:sz="4" w:space="0" w:color="000000"/>
              <w:bottom w:val="single" w:sz="4" w:space="0" w:color="000000"/>
              <w:right w:val="single" w:sz="4" w:space="0" w:color="000000"/>
            </w:tcBorders>
            <w:shd w:val="clear" w:color="auto" w:fill="D5DCE4"/>
          </w:tcPr>
          <w:p>
            <w:pPr>
              <w:pStyle w:val="TableParagraph"/>
              <w:spacing w:before="2"/>
              <w:ind w:left="278"/>
              <w:rPr>
                <w:sz w:val="11"/>
              </w:rPr>
            </w:pPr>
            <w:r>
              <w:rPr>
                <w:w w:val="105"/>
                <w:sz w:val="11"/>
              </w:rPr>
              <w:t>.191</w:t>
            </w:r>
          </w:p>
        </w:tc>
        <w:tc>
          <w:tcPr>
            <w:tcW w:w="581" w:type="dxa"/>
            <w:tcBorders>
              <w:top w:val="single" w:sz="4" w:space="0" w:color="FFFFFF"/>
              <w:left w:val="single" w:sz="4" w:space="0" w:color="000000"/>
              <w:bottom w:val="single" w:sz="4" w:space="0" w:color="000000"/>
              <w:right w:val="single" w:sz="4" w:space="0" w:color="000000"/>
            </w:tcBorders>
            <w:shd w:val="clear" w:color="auto" w:fill="D5DCE4"/>
          </w:tcPr>
          <w:p>
            <w:pPr>
              <w:pStyle w:val="TableParagraph"/>
              <w:spacing w:before="2"/>
              <w:ind w:left="139"/>
              <w:rPr>
                <w:sz w:val="11"/>
              </w:rPr>
            </w:pPr>
            <w:r>
              <w:rPr>
                <w:w w:val="105"/>
                <w:sz w:val="11"/>
              </w:rPr>
              <w:t>8.196</w:t>
            </w:r>
          </w:p>
        </w:tc>
        <w:tc>
          <w:tcPr>
            <w:tcW w:w="413" w:type="dxa"/>
            <w:vMerge/>
            <w:tcBorders>
              <w:left w:val="single" w:sz="4" w:space="0" w:color="000000"/>
              <w:bottom w:val="single" w:sz="4" w:space="0" w:color="000000"/>
              <w:right w:val="single" w:sz="4" w:space="0" w:color="000000"/>
            </w:tcBorders>
            <w:shd w:val="clear" w:color="auto" w:fill="D5DCE4"/>
          </w:tcPr>
          <w:p>
            <w:pPr/>
          </w:p>
        </w:tc>
        <w:tc>
          <w:tcPr>
            <w:tcW w:w="706" w:type="dxa"/>
            <w:vMerge/>
            <w:tcBorders>
              <w:left w:val="single" w:sz="4" w:space="0" w:color="000000"/>
              <w:bottom w:val="single" w:sz="4" w:space="0" w:color="000000"/>
              <w:right w:val="single" w:sz="4" w:space="0" w:color="000000"/>
            </w:tcBorders>
            <w:shd w:val="clear" w:color="auto" w:fill="D5DCE4"/>
          </w:tcPr>
          <w:p>
            <w:pPr/>
          </w:p>
        </w:tc>
        <w:tc>
          <w:tcPr>
            <w:tcW w:w="542" w:type="dxa"/>
            <w:vMerge/>
            <w:tcBorders>
              <w:left w:val="single" w:sz="4" w:space="0" w:color="000000"/>
              <w:bottom w:val="single" w:sz="4" w:space="0" w:color="000000"/>
              <w:right w:val="single" w:sz="4" w:space="0" w:color="000000"/>
            </w:tcBorders>
            <w:shd w:val="clear" w:color="auto" w:fill="D5DCE4"/>
          </w:tcPr>
          <w:p>
            <w:pPr/>
          </w:p>
        </w:tc>
        <w:tc>
          <w:tcPr>
            <w:tcW w:w="701" w:type="dxa"/>
            <w:vMerge/>
            <w:tcBorders>
              <w:left w:val="single" w:sz="4" w:space="0" w:color="000000"/>
              <w:bottom w:val="single" w:sz="4" w:space="0" w:color="000000"/>
              <w:right w:val="single" w:sz="4" w:space="0" w:color="000000"/>
            </w:tcBorders>
            <w:shd w:val="clear" w:color="auto" w:fill="D5DCE4"/>
          </w:tcPr>
          <w:p>
            <w:pPr/>
          </w:p>
        </w:tc>
        <w:tc>
          <w:tcPr>
            <w:tcW w:w="552" w:type="dxa"/>
            <w:vMerge/>
            <w:tcBorders>
              <w:left w:val="single" w:sz="4" w:space="0" w:color="000000"/>
              <w:bottom w:val="single" w:sz="4" w:space="0" w:color="000000"/>
              <w:right w:val="single" w:sz="4" w:space="0" w:color="000000"/>
            </w:tcBorders>
            <w:shd w:val="clear" w:color="auto" w:fill="D5DCE4"/>
          </w:tcPr>
          <w:p>
            <w:pPr/>
          </w:p>
        </w:tc>
        <w:tc>
          <w:tcPr>
            <w:tcW w:w="782" w:type="dxa"/>
            <w:vMerge/>
            <w:tcBorders>
              <w:left w:val="single" w:sz="4" w:space="0" w:color="000000"/>
              <w:bottom w:val="single" w:sz="4" w:space="0" w:color="000000"/>
              <w:right w:val="single" w:sz="4" w:space="0" w:color="000000"/>
            </w:tcBorders>
            <w:shd w:val="clear" w:color="auto" w:fill="D5DCE4"/>
          </w:tcPr>
          <w:p>
            <w:pPr/>
          </w:p>
        </w:tc>
        <w:tc>
          <w:tcPr>
            <w:tcW w:w="821" w:type="dxa"/>
            <w:vMerge/>
            <w:tcBorders>
              <w:left w:val="single" w:sz="4" w:space="0" w:color="000000"/>
              <w:bottom w:val="single" w:sz="4" w:space="0" w:color="000000"/>
              <w:right w:val="single" w:sz="4" w:space="0" w:color="000000"/>
            </w:tcBorders>
            <w:shd w:val="clear" w:color="auto" w:fill="D5DCE4"/>
          </w:tcPr>
          <w:p>
            <w:pPr/>
          </w:p>
        </w:tc>
        <w:tc>
          <w:tcPr>
            <w:tcW w:w="509" w:type="dxa"/>
            <w:vMerge/>
            <w:tcBorders>
              <w:left w:val="single" w:sz="4" w:space="0" w:color="000000"/>
              <w:bottom w:val="single" w:sz="4" w:space="0" w:color="000000"/>
              <w:right w:val="single" w:sz="4" w:space="0" w:color="000000"/>
            </w:tcBorders>
            <w:shd w:val="clear" w:color="auto" w:fill="D5DCE4"/>
          </w:tcPr>
          <w:p>
            <w:pPr/>
          </w:p>
        </w:tc>
      </w:tr>
      <w:tr>
        <w:trPr>
          <w:trHeight w:val="322" w:hRule="exact"/>
        </w:trPr>
        <w:tc>
          <w:tcPr>
            <w:tcW w:w="350" w:type="dxa"/>
            <w:vMerge/>
            <w:tcBorders>
              <w:left w:val="single" w:sz="4" w:space="0" w:color="000000"/>
              <w:bottom w:val="single" w:sz="4" w:space="0" w:color="000000"/>
              <w:right w:val="single" w:sz="4" w:space="0" w:color="000000"/>
            </w:tcBorders>
            <w:shd w:val="clear" w:color="auto" w:fill="D5DCE4"/>
          </w:tcPr>
          <w:p>
            <w:pPr/>
          </w:p>
        </w:tc>
        <w:tc>
          <w:tcPr>
            <w:tcW w:w="103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line="254" w:lineRule="auto" w:before="3"/>
              <w:ind w:left="148" w:firstLine="14"/>
              <w:rPr>
                <w:sz w:val="13"/>
              </w:rPr>
            </w:pPr>
            <w:r>
              <w:rPr>
                <w:w w:val="105"/>
                <w:sz w:val="13"/>
              </w:rPr>
              <w:t>Actividades ambientales</w:t>
            </w:r>
          </w:p>
        </w:tc>
        <w:tc>
          <w:tcPr>
            <w:tcW w:w="557"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58" w:right="51"/>
              <w:jc w:val="center"/>
              <w:rPr>
                <w:sz w:val="11"/>
              </w:rPr>
            </w:pPr>
            <w:r>
              <w:rPr>
                <w:w w:val="105"/>
                <w:sz w:val="11"/>
              </w:rPr>
              <w:t>.079</w:t>
            </w:r>
          </w:p>
        </w:tc>
        <w:tc>
          <w:tcPr>
            <w:tcW w:w="68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52" w:right="45"/>
              <w:jc w:val="center"/>
              <w:rPr>
                <w:sz w:val="11"/>
              </w:rPr>
            </w:pPr>
            <w:r>
              <w:rPr>
                <w:w w:val="105"/>
                <w:sz w:val="11"/>
              </w:rPr>
              <w:t>.027</w:t>
            </w:r>
          </w:p>
        </w:tc>
        <w:tc>
          <w:tcPr>
            <w:tcW w:w="787"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278"/>
              <w:rPr>
                <w:sz w:val="11"/>
              </w:rPr>
            </w:pPr>
            <w:r>
              <w:rPr>
                <w:w w:val="105"/>
                <w:sz w:val="11"/>
              </w:rPr>
              <w:t>.089</w:t>
            </w:r>
          </w:p>
        </w:tc>
        <w:tc>
          <w:tcPr>
            <w:tcW w:w="58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139"/>
              <w:rPr>
                <w:sz w:val="11"/>
              </w:rPr>
            </w:pPr>
            <w:r>
              <w:rPr>
                <w:w w:val="105"/>
                <w:sz w:val="11"/>
              </w:rPr>
              <w:t>2.958</w:t>
            </w:r>
          </w:p>
        </w:tc>
        <w:tc>
          <w:tcPr>
            <w:tcW w:w="413"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72" w:right="65"/>
              <w:jc w:val="center"/>
              <w:rPr>
                <w:sz w:val="11"/>
              </w:rPr>
            </w:pPr>
            <w:r>
              <w:rPr>
                <w:w w:val="105"/>
                <w:sz w:val="11"/>
              </w:rPr>
              <w:t>.003</w:t>
            </w:r>
          </w:p>
        </w:tc>
        <w:tc>
          <w:tcPr>
            <w:tcW w:w="706"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235"/>
              <w:rPr>
                <w:sz w:val="11"/>
              </w:rPr>
            </w:pPr>
            <w:r>
              <w:rPr>
                <w:w w:val="105"/>
                <w:sz w:val="11"/>
              </w:rPr>
              <w:t>.027</w:t>
            </w:r>
          </w:p>
        </w:tc>
        <w:tc>
          <w:tcPr>
            <w:tcW w:w="54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153"/>
              <w:rPr>
                <w:sz w:val="11"/>
              </w:rPr>
            </w:pPr>
            <w:r>
              <w:rPr>
                <w:w w:val="105"/>
                <w:sz w:val="11"/>
              </w:rPr>
              <w:t>.132</w:t>
            </w:r>
          </w:p>
        </w:tc>
        <w:tc>
          <w:tcPr>
            <w:tcW w:w="70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213" w:right="213"/>
              <w:jc w:val="center"/>
              <w:rPr>
                <w:sz w:val="11"/>
              </w:rPr>
            </w:pPr>
            <w:r>
              <w:rPr>
                <w:w w:val="105"/>
                <w:sz w:val="11"/>
              </w:rPr>
              <w:t>.358</w:t>
            </w:r>
          </w:p>
        </w:tc>
        <w:tc>
          <w:tcPr>
            <w:tcW w:w="55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42" w:right="40"/>
              <w:jc w:val="center"/>
              <w:rPr>
                <w:sz w:val="11"/>
              </w:rPr>
            </w:pPr>
            <w:r>
              <w:rPr>
                <w:w w:val="105"/>
                <w:sz w:val="11"/>
              </w:rPr>
              <w:t>.144</w:t>
            </w:r>
          </w:p>
        </w:tc>
        <w:tc>
          <w:tcPr>
            <w:tcW w:w="782"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62" w:right="62"/>
              <w:jc w:val="center"/>
              <w:rPr>
                <w:sz w:val="11"/>
              </w:rPr>
            </w:pPr>
            <w:r>
              <w:rPr>
                <w:w w:val="105"/>
                <w:sz w:val="11"/>
              </w:rPr>
              <w:t>.058</w:t>
            </w:r>
          </w:p>
        </w:tc>
        <w:tc>
          <w:tcPr>
            <w:tcW w:w="821"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66" w:right="64"/>
              <w:jc w:val="center"/>
              <w:rPr>
                <w:sz w:val="11"/>
              </w:rPr>
            </w:pPr>
            <w:r>
              <w:rPr>
                <w:w w:val="105"/>
                <w:sz w:val="11"/>
              </w:rPr>
              <w:t>.425</w:t>
            </w:r>
          </w:p>
        </w:tc>
        <w:tc>
          <w:tcPr>
            <w:tcW w:w="509" w:type="dxa"/>
            <w:tcBorders>
              <w:top w:val="single" w:sz="4" w:space="0" w:color="000000"/>
              <w:left w:val="single" w:sz="4" w:space="0" w:color="000000"/>
              <w:bottom w:val="single" w:sz="4" w:space="0" w:color="000000"/>
              <w:right w:val="single" w:sz="4" w:space="0" w:color="000000"/>
            </w:tcBorders>
            <w:shd w:val="clear" w:color="auto" w:fill="D5DCE4"/>
          </w:tcPr>
          <w:p>
            <w:pPr>
              <w:pStyle w:val="TableParagraph"/>
              <w:spacing w:before="89"/>
              <w:ind w:left="88" w:right="81"/>
              <w:jc w:val="center"/>
              <w:rPr>
                <w:sz w:val="11"/>
              </w:rPr>
            </w:pPr>
            <w:r>
              <w:rPr>
                <w:w w:val="105"/>
                <w:sz w:val="11"/>
              </w:rPr>
              <w:t>2.355</w:t>
            </w:r>
          </w:p>
        </w:tc>
      </w:tr>
      <w:tr>
        <w:trPr>
          <w:trHeight w:val="168" w:hRule="exact"/>
        </w:trPr>
        <w:tc>
          <w:tcPr>
            <w:tcW w:w="9014" w:type="dxa"/>
            <w:gridSpan w:val="14"/>
            <w:tcBorders>
              <w:top w:val="single" w:sz="4" w:space="0" w:color="000000"/>
              <w:left w:val="single" w:sz="4" w:space="0" w:color="000000"/>
              <w:bottom w:val="single" w:sz="4" w:space="0" w:color="000000"/>
              <w:right w:val="single" w:sz="4" w:space="0" w:color="000000"/>
            </w:tcBorders>
          </w:tcPr>
          <w:p>
            <w:pPr>
              <w:pStyle w:val="TableParagraph"/>
              <w:spacing w:before="3"/>
              <w:ind w:left="3220"/>
              <w:rPr>
                <w:sz w:val="13"/>
              </w:rPr>
            </w:pPr>
            <w:r>
              <w:rPr>
                <w:w w:val="105"/>
                <w:sz w:val="13"/>
              </w:rPr>
              <w:t>a. Variable dependiente: Actitud ambiental</w:t>
            </w:r>
          </w:p>
        </w:tc>
      </w:tr>
    </w:tbl>
    <w:p>
      <w:pPr>
        <w:spacing w:line="218" w:lineRule="exact" w:before="0"/>
        <w:ind w:left="3163" w:right="514" w:firstLine="0"/>
        <w:jc w:val="left"/>
        <w:rPr>
          <w:b/>
          <w:sz w:val="19"/>
        </w:rPr>
      </w:pPr>
      <w:r>
        <w:rPr>
          <w:b/>
          <w:w w:val="105"/>
          <w:sz w:val="19"/>
        </w:rPr>
        <w:t>Tabla No. 5. Resumen del modelo</w:t>
      </w:r>
    </w:p>
    <w:p>
      <w:pPr>
        <w:pStyle w:val="BodyText"/>
        <w:spacing w:before="7"/>
        <w:rPr>
          <w:b/>
          <w:sz w:val="5"/>
        </w:rPr>
      </w:pPr>
    </w:p>
    <w:tbl>
      <w:tblPr>
        <w:tblW w:w="0" w:type="auto"/>
        <w:jc w:val="left"/>
        <w:tblInd w:w="2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9"/>
        <w:gridCol w:w="547"/>
        <w:gridCol w:w="1080"/>
        <w:gridCol w:w="1082"/>
        <w:gridCol w:w="1229"/>
        <w:gridCol w:w="1082"/>
        <w:gridCol w:w="955"/>
        <w:gridCol w:w="427"/>
        <w:gridCol w:w="511"/>
        <w:gridCol w:w="1058"/>
      </w:tblGrid>
      <w:tr>
        <w:trPr>
          <w:trHeight w:val="221" w:hRule="exact"/>
        </w:trPr>
        <w:tc>
          <w:tcPr>
            <w:tcW w:w="989" w:type="dxa"/>
            <w:vMerge w:val="restart"/>
          </w:tcPr>
          <w:p>
            <w:pPr>
              <w:pStyle w:val="TableParagraph"/>
              <w:spacing w:before="3"/>
              <w:ind w:left="196"/>
              <w:rPr>
                <w:sz w:val="17"/>
              </w:rPr>
            </w:pPr>
            <w:r>
              <w:rPr>
                <w:w w:val="105"/>
                <w:sz w:val="17"/>
              </w:rPr>
              <w:t>Modelo</w:t>
            </w:r>
          </w:p>
        </w:tc>
        <w:tc>
          <w:tcPr>
            <w:tcW w:w="547" w:type="dxa"/>
            <w:vMerge w:val="restart"/>
          </w:tcPr>
          <w:p>
            <w:pPr>
              <w:pStyle w:val="TableParagraph"/>
              <w:spacing w:before="3"/>
              <w:ind w:left="3"/>
              <w:jc w:val="center"/>
              <w:rPr>
                <w:sz w:val="17"/>
              </w:rPr>
            </w:pPr>
            <w:r>
              <w:rPr>
                <w:w w:val="104"/>
                <w:sz w:val="17"/>
              </w:rPr>
              <w:t>R</w:t>
            </w:r>
          </w:p>
        </w:tc>
        <w:tc>
          <w:tcPr>
            <w:tcW w:w="1080" w:type="dxa"/>
            <w:vMerge w:val="restart"/>
          </w:tcPr>
          <w:p>
            <w:pPr>
              <w:pStyle w:val="TableParagraph"/>
              <w:spacing w:before="3"/>
              <w:ind w:left="81"/>
              <w:rPr>
                <w:sz w:val="17"/>
              </w:rPr>
            </w:pPr>
            <w:r>
              <w:rPr>
                <w:w w:val="105"/>
                <w:sz w:val="17"/>
              </w:rPr>
              <w:t>R cuadrado</w:t>
            </w:r>
          </w:p>
        </w:tc>
        <w:tc>
          <w:tcPr>
            <w:tcW w:w="1082" w:type="dxa"/>
            <w:vMerge w:val="restart"/>
            <w:tcBorders>
              <w:right w:val="single" w:sz="2" w:space="0" w:color="000000"/>
            </w:tcBorders>
          </w:tcPr>
          <w:p>
            <w:pPr>
              <w:pStyle w:val="TableParagraph"/>
              <w:spacing w:line="247" w:lineRule="auto" w:before="3"/>
              <w:ind w:left="177" w:hanging="96"/>
              <w:rPr>
                <w:sz w:val="17"/>
              </w:rPr>
            </w:pPr>
            <w:r>
              <w:rPr>
                <w:w w:val="105"/>
                <w:sz w:val="17"/>
              </w:rPr>
              <w:t>R cuadrado corregida</w:t>
            </w:r>
          </w:p>
        </w:tc>
        <w:tc>
          <w:tcPr>
            <w:tcW w:w="1229" w:type="dxa"/>
            <w:vMerge w:val="restart"/>
            <w:tcBorders>
              <w:left w:val="single" w:sz="2" w:space="0" w:color="000000"/>
              <w:right w:val="single" w:sz="2" w:space="0" w:color="000000"/>
            </w:tcBorders>
          </w:tcPr>
          <w:p>
            <w:pPr>
              <w:pStyle w:val="TableParagraph"/>
              <w:spacing w:line="247" w:lineRule="auto" w:before="3"/>
              <w:ind w:left="105" w:right="9" w:firstLine="48"/>
              <w:rPr>
                <w:sz w:val="17"/>
              </w:rPr>
            </w:pPr>
            <w:r>
              <w:rPr>
                <w:w w:val="105"/>
                <w:sz w:val="17"/>
              </w:rPr>
              <w:t>Error típ. de la estimación</w:t>
            </w:r>
          </w:p>
        </w:tc>
        <w:tc>
          <w:tcPr>
            <w:tcW w:w="4034" w:type="dxa"/>
            <w:gridSpan w:val="5"/>
            <w:tcBorders>
              <w:left w:val="single" w:sz="2" w:space="0" w:color="000000"/>
            </w:tcBorders>
          </w:tcPr>
          <w:p>
            <w:pPr>
              <w:pStyle w:val="TableParagraph"/>
              <w:spacing w:before="3"/>
              <w:ind w:left="1113"/>
              <w:rPr>
                <w:sz w:val="17"/>
              </w:rPr>
            </w:pPr>
            <w:r>
              <w:rPr>
                <w:w w:val="105"/>
                <w:sz w:val="17"/>
              </w:rPr>
              <w:t>Estadísticos de cambio</w:t>
            </w:r>
          </w:p>
        </w:tc>
      </w:tr>
      <w:tr>
        <w:trPr>
          <w:trHeight w:val="370" w:hRule="exact"/>
        </w:trPr>
        <w:tc>
          <w:tcPr>
            <w:tcW w:w="989" w:type="dxa"/>
            <w:vMerge/>
          </w:tcPr>
          <w:p>
            <w:pPr/>
          </w:p>
        </w:tc>
        <w:tc>
          <w:tcPr>
            <w:tcW w:w="547" w:type="dxa"/>
            <w:vMerge/>
          </w:tcPr>
          <w:p>
            <w:pPr/>
          </w:p>
        </w:tc>
        <w:tc>
          <w:tcPr>
            <w:tcW w:w="1080" w:type="dxa"/>
            <w:vMerge/>
          </w:tcPr>
          <w:p>
            <w:pPr/>
          </w:p>
        </w:tc>
        <w:tc>
          <w:tcPr>
            <w:tcW w:w="1082" w:type="dxa"/>
            <w:vMerge/>
            <w:tcBorders>
              <w:right w:val="single" w:sz="2" w:space="0" w:color="000000"/>
            </w:tcBorders>
          </w:tcPr>
          <w:p>
            <w:pPr/>
          </w:p>
        </w:tc>
        <w:tc>
          <w:tcPr>
            <w:tcW w:w="1229" w:type="dxa"/>
            <w:vMerge/>
            <w:tcBorders>
              <w:left w:val="single" w:sz="2" w:space="0" w:color="000000"/>
              <w:right w:val="single" w:sz="2" w:space="0" w:color="000000"/>
            </w:tcBorders>
          </w:tcPr>
          <w:p>
            <w:pPr/>
          </w:p>
        </w:tc>
        <w:tc>
          <w:tcPr>
            <w:tcW w:w="1082" w:type="dxa"/>
            <w:tcBorders>
              <w:left w:val="single" w:sz="2" w:space="0" w:color="000000"/>
            </w:tcBorders>
          </w:tcPr>
          <w:p>
            <w:pPr>
              <w:pStyle w:val="TableParagraph"/>
              <w:spacing w:line="247" w:lineRule="auto" w:before="3"/>
              <w:ind w:left="211" w:hanging="125"/>
              <w:rPr>
                <w:sz w:val="15"/>
              </w:rPr>
            </w:pPr>
            <w:r>
              <w:rPr>
                <w:w w:val="105"/>
                <w:sz w:val="15"/>
              </w:rPr>
              <w:t>Cambio en R cuadrado</w:t>
            </w:r>
          </w:p>
        </w:tc>
        <w:tc>
          <w:tcPr>
            <w:tcW w:w="955" w:type="dxa"/>
          </w:tcPr>
          <w:p>
            <w:pPr>
              <w:pStyle w:val="TableParagraph"/>
              <w:spacing w:line="247" w:lineRule="auto" w:before="3"/>
              <w:ind w:left="427" w:right="7" w:hanging="327"/>
              <w:rPr>
                <w:sz w:val="15"/>
              </w:rPr>
            </w:pPr>
            <w:r>
              <w:rPr>
                <w:w w:val="105"/>
                <w:sz w:val="15"/>
              </w:rPr>
              <w:t>Cambio en F</w:t>
            </w:r>
          </w:p>
        </w:tc>
        <w:tc>
          <w:tcPr>
            <w:tcW w:w="427" w:type="dxa"/>
          </w:tcPr>
          <w:p>
            <w:pPr>
              <w:pStyle w:val="TableParagraph"/>
              <w:spacing w:before="3"/>
              <w:ind w:left="105"/>
              <w:rPr>
                <w:sz w:val="15"/>
              </w:rPr>
            </w:pPr>
            <w:r>
              <w:rPr>
                <w:w w:val="105"/>
                <w:sz w:val="15"/>
              </w:rPr>
              <w:t>gl1</w:t>
            </w:r>
          </w:p>
        </w:tc>
        <w:tc>
          <w:tcPr>
            <w:tcW w:w="511" w:type="dxa"/>
            <w:tcBorders>
              <w:right w:val="single" w:sz="2" w:space="0" w:color="000000"/>
            </w:tcBorders>
          </w:tcPr>
          <w:p>
            <w:pPr>
              <w:pStyle w:val="TableParagraph"/>
              <w:spacing w:before="3"/>
              <w:ind w:left="81" w:right="77"/>
              <w:jc w:val="center"/>
              <w:rPr>
                <w:sz w:val="15"/>
              </w:rPr>
            </w:pPr>
            <w:r>
              <w:rPr>
                <w:w w:val="105"/>
                <w:sz w:val="15"/>
              </w:rPr>
              <w:t>gl2</w:t>
            </w:r>
          </w:p>
        </w:tc>
        <w:tc>
          <w:tcPr>
            <w:tcW w:w="1058" w:type="dxa"/>
            <w:tcBorders>
              <w:left w:val="single" w:sz="2" w:space="0" w:color="000000"/>
            </w:tcBorders>
          </w:tcPr>
          <w:p>
            <w:pPr>
              <w:pStyle w:val="TableParagraph"/>
              <w:spacing w:line="247" w:lineRule="auto" w:before="3"/>
              <w:ind w:left="374" w:hanging="264"/>
              <w:rPr>
                <w:sz w:val="15"/>
              </w:rPr>
            </w:pPr>
            <w:r>
              <w:rPr>
                <w:w w:val="105"/>
                <w:sz w:val="15"/>
              </w:rPr>
              <w:t>Sig. Cambio en F</w:t>
            </w:r>
          </w:p>
        </w:tc>
      </w:tr>
      <w:tr>
        <w:trPr>
          <w:trHeight w:val="307" w:hRule="exact"/>
        </w:trPr>
        <w:tc>
          <w:tcPr>
            <w:tcW w:w="989" w:type="dxa"/>
          </w:tcPr>
          <w:p>
            <w:pPr>
              <w:pStyle w:val="TableParagraph"/>
              <w:spacing w:before="51"/>
              <w:ind w:left="57"/>
              <w:rPr>
                <w:sz w:val="17"/>
              </w:rPr>
            </w:pPr>
            <w:r>
              <w:rPr>
                <w:w w:val="104"/>
                <w:sz w:val="17"/>
              </w:rPr>
              <w:t>1</w:t>
            </w:r>
          </w:p>
        </w:tc>
        <w:tc>
          <w:tcPr>
            <w:tcW w:w="547" w:type="dxa"/>
          </w:tcPr>
          <w:p>
            <w:pPr>
              <w:pStyle w:val="TableParagraph"/>
              <w:spacing w:before="18"/>
              <w:ind w:left="46" w:right="39"/>
              <w:jc w:val="center"/>
              <w:rPr>
                <w:sz w:val="11"/>
              </w:rPr>
            </w:pPr>
            <w:r>
              <w:rPr>
                <w:w w:val="105"/>
                <w:sz w:val="17"/>
              </w:rPr>
              <w:t>.773</w:t>
            </w:r>
            <w:r>
              <w:rPr>
                <w:w w:val="105"/>
                <w:position w:val="9"/>
                <w:sz w:val="11"/>
              </w:rPr>
              <w:t>a</w:t>
            </w:r>
          </w:p>
        </w:tc>
        <w:tc>
          <w:tcPr>
            <w:tcW w:w="1080" w:type="dxa"/>
          </w:tcPr>
          <w:p>
            <w:pPr>
              <w:pStyle w:val="TableParagraph"/>
              <w:spacing w:before="51"/>
              <w:ind w:right="364"/>
              <w:jc w:val="right"/>
              <w:rPr>
                <w:sz w:val="17"/>
              </w:rPr>
            </w:pPr>
            <w:r>
              <w:rPr>
                <w:w w:val="105"/>
                <w:sz w:val="17"/>
              </w:rPr>
              <w:t>.598</w:t>
            </w:r>
          </w:p>
        </w:tc>
        <w:tc>
          <w:tcPr>
            <w:tcW w:w="1082" w:type="dxa"/>
            <w:tcBorders>
              <w:right w:val="single" w:sz="2" w:space="0" w:color="000000"/>
            </w:tcBorders>
          </w:tcPr>
          <w:p>
            <w:pPr>
              <w:pStyle w:val="TableParagraph"/>
              <w:spacing w:before="51"/>
              <w:ind w:left="167" w:right="165"/>
              <w:jc w:val="center"/>
              <w:rPr>
                <w:sz w:val="17"/>
              </w:rPr>
            </w:pPr>
            <w:r>
              <w:rPr>
                <w:w w:val="105"/>
                <w:sz w:val="17"/>
              </w:rPr>
              <w:t>.597</w:t>
            </w:r>
          </w:p>
        </w:tc>
        <w:tc>
          <w:tcPr>
            <w:tcW w:w="1229" w:type="dxa"/>
            <w:tcBorders>
              <w:left w:val="single" w:sz="2" w:space="0" w:color="000000"/>
              <w:right w:val="single" w:sz="2" w:space="0" w:color="000000"/>
            </w:tcBorders>
          </w:tcPr>
          <w:p>
            <w:pPr>
              <w:pStyle w:val="TableParagraph"/>
              <w:spacing w:before="51"/>
              <w:ind w:right="288"/>
              <w:jc w:val="right"/>
              <w:rPr>
                <w:sz w:val="17"/>
              </w:rPr>
            </w:pPr>
            <w:r>
              <w:rPr>
                <w:w w:val="105"/>
                <w:sz w:val="17"/>
              </w:rPr>
              <w:t>1.91090</w:t>
            </w:r>
          </w:p>
        </w:tc>
        <w:tc>
          <w:tcPr>
            <w:tcW w:w="1082" w:type="dxa"/>
            <w:tcBorders>
              <w:left w:val="single" w:sz="2" w:space="0" w:color="000000"/>
            </w:tcBorders>
          </w:tcPr>
          <w:p>
            <w:pPr>
              <w:pStyle w:val="TableParagraph"/>
              <w:spacing w:before="51"/>
              <w:ind w:left="167" w:right="167"/>
              <w:jc w:val="center"/>
              <w:rPr>
                <w:sz w:val="17"/>
              </w:rPr>
            </w:pPr>
            <w:r>
              <w:rPr>
                <w:w w:val="105"/>
                <w:sz w:val="17"/>
              </w:rPr>
              <w:t>.598</w:t>
            </w:r>
          </w:p>
        </w:tc>
        <w:tc>
          <w:tcPr>
            <w:tcW w:w="955" w:type="dxa"/>
          </w:tcPr>
          <w:p>
            <w:pPr>
              <w:pStyle w:val="TableParagraph"/>
              <w:spacing w:before="51"/>
              <w:ind w:right="154"/>
              <w:jc w:val="right"/>
              <w:rPr>
                <w:sz w:val="17"/>
              </w:rPr>
            </w:pPr>
            <w:r>
              <w:rPr>
                <w:w w:val="105"/>
                <w:sz w:val="17"/>
              </w:rPr>
              <w:t>621.610</w:t>
            </w:r>
          </w:p>
        </w:tc>
        <w:tc>
          <w:tcPr>
            <w:tcW w:w="427" w:type="dxa"/>
          </w:tcPr>
          <w:p>
            <w:pPr>
              <w:pStyle w:val="TableParagraph"/>
              <w:spacing w:before="51"/>
              <w:ind w:left="163"/>
              <w:rPr>
                <w:sz w:val="17"/>
              </w:rPr>
            </w:pPr>
            <w:r>
              <w:rPr>
                <w:w w:val="104"/>
                <w:sz w:val="17"/>
              </w:rPr>
              <w:t>1</w:t>
            </w:r>
          </w:p>
        </w:tc>
        <w:tc>
          <w:tcPr>
            <w:tcW w:w="511" w:type="dxa"/>
            <w:tcBorders>
              <w:right w:val="single" w:sz="2" w:space="0" w:color="000000"/>
            </w:tcBorders>
          </w:tcPr>
          <w:p>
            <w:pPr>
              <w:pStyle w:val="TableParagraph"/>
              <w:spacing w:before="51"/>
              <w:ind w:left="89" w:right="77"/>
              <w:jc w:val="center"/>
              <w:rPr>
                <w:sz w:val="17"/>
              </w:rPr>
            </w:pPr>
            <w:r>
              <w:rPr>
                <w:w w:val="105"/>
                <w:sz w:val="17"/>
              </w:rPr>
              <w:t>418</w:t>
            </w:r>
          </w:p>
        </w:tc>
        <w:tc>
          <w:tcPr>
            <w:tcW w:w="1058" w:type="dxa"/>
            <w:tcBorders>
              <w:left w:val="single" w:sz="2" w:space="0" w:color="000000"/>
            </w:tcBorders>
          </w:tcPr>
          <w:p>
            <w:pPr>
              <w:pStyle w:val="TableParagraph"/>
              <w:spacing w:before="51"/>
              <w:ind w:left="360"/>
              <w:rPr>
                <w:sz w:val="17"/>
              </w:rPr>
            </w:pPr>
            <w:r>
              <w:rPr>
                <w:w w:val="105"/>
                <w:sz w:val="17"/>
              </w:rPr>
              <w:t>.000</w:t>
            </w:r>
          </w:p>
        </w:tc>
      </w:tr>
      <w:tr>
        <w:trPr>
          <w:trHeight w:val="288" w:hRule="exact"/>
        </w:trPr>
        <w:tc>
          <w:tcPr>
            <w:tcW w:w="989" w:type="dxa"/>
          </w:tcPr>
          <w:p>
            <w:pPr>
              <w:pStyle w:val="TableParagraph"/>
              <w:spacing w:before="47"/>
              <w:ind w:left="57"/>
              <w:rPr>
                <w:sz w:val="17"/>
              </w:rPr>
            </w:pPr>
            <w:r>
              <w:rPr>
                <w:w w:val="104"/>
                <w:sz w:val="17"/>
              </w:rPr>
              <w:t>2</w:t>
            </w:r>
          </w:p>
        </w:tc>
        <w:tc>
          <w:tcPr>
            <w:tcW w:w="547" w:type="dxa"/>
          </w:tcPr>
          <w:p>
            <w:pPr>
              <w:pStyle w:val="TableParagraph"/>
              <w:spacing w:before="13"/>
              <w:ind w:left="46" w:right="39"/>
              <w:jc w:val="center"/>
              <w:rPr>
                <w:sz w:val="11"/>
              </w:rPr>
            </w:pPr>
            <w:r>
              <w:rPr>
                <w:w w:val="105"/>
                <w:sz w:val="17"/>
              </w:rPr>
              <w:t>.870</w:t>
            </w:r>
            <w:r>
              <w:rPr>
                <w:w w:val="105"/>
                <w:position w:val="9"/>
                <w:sz w:val="11"/>
              </w:rPr>
              <w:t>b</w:t>
            </w:r>
          </w:p>
        </w:tc>
        <w:tc>
          <w:tcPr>
            <w:tcW w:w="1080" w:type="dxa"/>
          </w:tcPr>
          <w:p>
            <w:pPr>
              <w:pStyle w:val="TableParagraph"/>
              <w:spacing w:before="47"/>
              <w:ind w:right="364"/>
              <w:jc w:val="right"/>
              <w:rPr>
                <w:sz w:val="17"/>
              </w:rPr>
            </w:pPr>
            <w:r>
              <w:rPr>
                <w:w w:val="105"/>
                <w:sz w:val="17"/>
              </w:rPr>
              <w:t>.756</w:t>
            </w:r>
          </w:p>
        </w:tc>
        <w:tc>
          <w:tcPr>
            <w:tcW w:w="1082" w:type="dxa"/>
            <w:tcBorders>
              <w:right w:val="single" w:sz="2" w:space="0" w:color="000000"/>
            </w:tcBorders>
          </w:tcPr>
          <w:p>
            <w:pPr>
              <w:pStyle w:val="TableParagraph"/>
              <w:spacing w:before="47"/>
              <w:ind w:left="167" w:right="165"/>
              <w:jc w:val="center"/>
              <w:rPr>
                <w:sz w:val="17"/>
              </w:rPr>
            </w:pPr>
            <w:r>
              <w:rPr>
                <w:w w:val="105"/>
                <w:sz w:val="17"/>
              </w:rPr>
              <w:t>.755</w:t>
            </w:r>
          </w:p>
        </w:tc>
        <w:tc>
          <w:tcPr>
            <w:tcW w:w="1229" w:type="dxa"/>
            <w:tcBorders>
              <w:left w:val="single" w:sz="2" w:space="0" w:color="000000"/>
              <w:right w:val="single" w:sz="2" w:space="0" w:color="000000"/>
            </w:tcBorders>
          </w:tcPr>
          <w:p>
            <w:pPr>
              <w:pStyle w:val="TableParagraph"/>
              <w:spacing w:before="47"/>
              <w:ind w:right="288"/>
              <w:jc w:val="right"/>
              <w:rPr>
                <w:sz w:val="17"/>
              </w:rPr>
            </w:pPr>
            <w:r>
              <w:rPr>
                <w:w w:val="105"/>
                <w:sz w:val="17"/>
              </w:rPr>
              <w:t>1.48937</w:t>
            </w:r>
          </w:p>
        </w:tc>
        <w:tc>
          <w:tcPr>
            <w:tcW w:w="1082" w:type="dxa"/>
            <w:tcBorders>
              <w:left w:val="single" w:sz="2" w:space="0" w:color="000000"/>
            </w:tcBorders>
          </w:tcPr>
          <w:p>
            <w:pPr>
              <w:pStyle w:val="TableParagraph"/>
              <w:spacing w:before="47"/>
              <w:ind w:left="167" w:right="167"/>
              <w:jc w:val="center"/>
              <w:rPr>
                <w:sz w:val="17"/>
              </w:rPr>
            </w:pPr>
            <w:r>
              <w:rPr>
                <w:w w:val="105"/>
                <w:sz w:val="17"/>
              </w:rPr>
              <w:t>.158</w:t>
            </w:r>
          </w:p>
        </w:tc>
        <w:tc>
          <w:tcPr>
            <w:tcW w:w="955" w:type="dxa"/>
          </w:tcPr>
          <w:p>
            <w:pPr>
              <w:pStyle w:val="TableParagraph"/>
              <w:spacing w:before="47"/>
              <w:ind w:right="154"/>
              <w:jc w:val="right"/>
              <w:rPr>
                <w:sz w:val="17"/>
              </w:rPr>
            </w:pPr>
            <w:r>
              <w:rPr>
                <w:w w:val="105"/>
                <w:sz w:val="17"/>
              </w:rPr>
              <w:t>271.092</w:t>
            </w:r>
          </w:p>
        </w:tc>
        <w:tc>
          <w:tcPr>
            <w:tcW w:w="427" w:type="dxa"/>
          </w:tcPr>
          <w:p>
            <w:pPr>
              <w:pStyle w:val="TableParagraph"/>
              <w:spacing w:before="47"/>
              <w:ind w:left="163"/>
              <w:rPr>
                <w:sz w:val="17"/>
              </w:rPr>
            </w:pPr>
            <w:r>
              <w:rPr>
                <w:w w:val="104"/>
                <w:sz w:val="17"/>
              </w:rPr>
              <w:t>1</w:t>
            </w:r>
          </w:p>
        </w:tc>
        <w:tc>
          <w:tcPr>
            <w:tcW w:w="511" w:type="dxa"/>
            <w:tcBorders>
              <w:right w:val="single" w:sz="2" w:space="0" w:color="000000"/>
            </w:tcBorders>
          </w:tcPr>
          <w:p>
            <w:pPr>
              <w:pStyle w:val="TableParagraph"/>
              <w:spacing w:before="47"/>
              <w:ind w:left="89" w:right="77"/>
              <w:jc w:val="center"/>
              <w:rPr>
                <w:sz w:val="17"/>
              </w:rPr>
            </w:pPr>
            <w:r>
              <w:rPr>
                <w:w w:val="105"/>
                <w:sz w:val="17"/>
              </w:rPr>
              <w:t>417</w:t>
            </w:r>
          </w:p>
        </w:tc>
        <w:tc>
          <w:tcPr>
            <w:tcW w:w="1058" w:type="dxa"/>
            <w:tcBorders>
              <w:left w:val="single" w:sz="2" w:space="0" w:color="000000"/>
            </w:tcBorders>
          </w:tcPr>
          <w:p>
            <w:pPr>
              <w:pStyle w:val="TableParagraph"/>
              <w:spacing w:before="47"/>
              <w:ind w:left="360"/>
              <w:rPr>
                <w:sz w:val="17"/>
              </w:rPr>
            </w:pPr>
            <w:r>
              <w:rPr>
                <w:w w:val="105"/>
                <w:sz w:val="17"/>
              </w:rPr>
              <w:t>.000</w:t>
            </w:r>
          </w:p>
        </w:tc>
      </w:tr>
      <w:tr>
        <w:trPr>
          <w:trHeight w:val="298" w:hRule="exact"/>
        </w:trPr>
        <w:tc>
          <w:tcPr>
            <w:tcW w:w="989" w:type="dxa"/>
          </w:tcPr>
          <w:p>
            <w:pPr>
              <w:pStyle w:val="TableParagraph"/>
              <w:spacing w:before="47"/>
              <w:ind w:left="57"/>
              <w:rPr>
                <w:sz w:val="17"/>
              </w:rPr>
            </w:pPr>
            <w:r>
              <w:rPr>
                <w:w w:val="104"/>
                <w:sz w:val="17"/>
              </w:rPr>
              <w:t>3</w:t>
            </w:r>
          </w:p>
        </w:tc>
        <w:tc>
          <w:tcPr>
            <w:tcW w:w="547" w:type="dxa"/>
          </w:tcPr>
          <w:p>
            <w:pPr>
              <w:pStyle w:val="TableParagraph"/>
              <w:spacing w:before="13"/>
              <w:ind w:left="46" w:right="36"/>
              <w:jc w:val="center"/>
              <w:rPr>
                <w:sz w:val="11"/>
              </w:rPr>
            </w:pPr>
            <w:r>
              <w:rPr>
                <w:w w:val="105"/>
                <w:sz w:val="17"/>
              </w:rPr>
              <w:t>.898</w:t>
            </w:r>
            <w:r>
              <w:rPr>
                <w:w w:val="105"/>
                <w:position w:val="9"/>
                <w:sz w:val="11"/>
              </w:rPr>
              <w:t>c</w:t>
            </w:r>
          </w:p>
        </w:tc>
        <w:tc>
          <w:tcPr>
            <w:tcW w:w="1080" w:type="dxa"/>
          </w:tcPr>
          <w:p>
            <w:pPr>
              <w:pStyle w:val="TableParagraph"/>
              <w:spacing w:before="47"/>
              <w:ind w:right="364"/>
              <w:jc w:val="right"/>
              <w:rPr>
                <w:sz w:val="17"/>
              </w:rPr>
            </w:pPr>
            <w:r>
              <w:rPr>
                <w:w w:val="105"/>
                <w:sz w:val="17"/>
              </w:rPr>
              <w:t>.807</w:t>
            </w:r>
          </w:p>
        </w:tc>
        <w:tc>
          <w:tcPr>
            <w:tcW w:w="1082" w:type="dxa"/>
            <w:tcBorders>
              <w:right w:val="single" w:sz="2" w:space="0" w:color="000000"/>
            </w:tcBorders>
          </w:tcPr>
          <w:p>
            <w:pPr>
              <w:pStyle w:val="TableParagraph"/>
              <w:spacing w:before="47"/>
              <w:ind w:left="167" w:right="165"/>
              <w:jc w:val="center"/>
              <w:rPr>
                <w:sz w:val="17"/>
              </w:rPr>
            </w:pPr>
            <w:r>
              <w:rPr>
                <w:w w:val="105"/>
                <w:sz w:val="17"/>
              </w:rPr>
              <w:t>.805</w:t>
            </w:r>
          </w:p>
        </w:tc>
        <w:tc>
          <w:tcPr>
            <w:tcW w:w="1229" w:type="dxa"/>
            <w:tcBorders>
              <w:left w:val="single" w:sz="2" w:space="0" w:color="000000"/>
              <w:right w:val="single" w:sz="2" w:space="0" w:color="000000"/>
            </w:tcBorders>
          </w:tcPr>
          <w:p>
            <w:pPr>
              <w:pStyle w:val="TableParagraph"/>
              <w:spacing w:before="47"/>
              <w:ind w:right="288"/>
              <w:jc w:val="right"/>
              <w:rPr>
                <w:sz w:val="17"/>
              </w:rPr>
            </w:pPr>
            <w:r>
              <w:rPr>
                <w:w w:val="105"/>
                <w:sz w:val="17"/>
              </w:rPr>
              <w:t>1.32814</w:t>
            </w:r>
          </w:p>
        </w:tc>
        <w:tc>
          <w:tcPr>
            <w:tcW w:w="1082" w:type="dxa"/>
            <w:tcBorders>
              <w:left w:val="single" w:sz="2" w:space="0" w:color="000000"/>
            </w:tcBorders>
          </w:tcPr>
          <w:p>
            <w:pPr>
              <w:pStyle w:val="TableParagraph"/>
              <w:spacing w:before="47"/>
              <w:ind w:left="167" w:right="167"/>
              <w:jc w:val="center"/>
              <w:rPr>
                <w:sz w:val="17"/>
              </w:rPr>
            </w:pPr>
            <w:r>
              <w:rPr>
                <w:w w:val="105"/>
                <w:sz w:val="17"/>
              </w:rPr>
              <w:t>.050</w:t>
            </w:r>
          </w:p>
        </w:tc>
        <w:tc>
          <w:tcPr>
            <w:tcW w:w="955" w:type="dxa"/>
          </w:tcPr>
          <w:p>
            <w:pPr>
              <w:pStyle w:val="TableParagraph"/>
              <w:spacing w:before="47"/>
              <w:ind w:right="154"/>
              <w:jc w:val="right"/>
              <w:rPr>
                <w:sz w:val="17"/>
              </w:rPr>
            </w:pPr>
            <w:r>
              <w:rPr>
                <w:w w:val="105"/>
                <w:sz w:val="17"/>
              </w:rPr>
              <w:t>108.389</w:t>
            </w:r>
          </w:p>
        </w:tc>
        <w:tc>
          <w:tcPr>
            <w:tcW w:w="427" w:type="dxa"/>
          </w:tcPr>
          <w:p>
            <w:pPr>
              <w:pStyle w:val="TableParagraph"/>
              <w:spacing w:before="47"/>
              <w:ind w:left="163"/>
              <w:rPr>
                <w:sz w:val="17"/>
              </w:rPr>
            </w:pPr>
            <w:r>
              <w:rPr>
                <w:w w:val="104"/>
                <w:sz w:val="17"/>
              </w:rPr>
              <w:t>1</w:t>
            </w:r>
          </w:p>
        </w:tc>
        <w:tc>
          <w:tcPr>
            <w:tcW w:w="511" w:type="dxa"/>
            <w:tcBorders>
              <w:right w:val="single" w:sz="2" w:space="0" w:color="000000"/>
            </w:tcBorders>
          </w:tcPr>
          <w:p>
            <w:pPr>
              <w:pStyle w:val="TableParagraph"/>
              <w:spacing w:before="47"/>
              <w:ind w:left="89" w:right="77"/>
              <w:jc w:val="center"/>
              <w:rPr>
                <w:sz w:val="17"/>
              </w:rPr>
            </w:pPr>
            <w:r>
              <w:rPr>
                <w:w w:val="105"/>
                <w:sz w:val="17"/>
              </w:rPr>
              <w:t>416</w:t>
            </w:r>
          </w:p>
        </w:tc>
        <w:tc>
          <w:tcPr>
            <w:tcW w:w="1058" w:type="dxa"/>
            <w:tcBorders>
              <w:left w:val="single" w:sz="2" w:space="0" w:color="000000"/>
            </w:tcBorders>
          </w:tcPr>
          <w:p>
            <w:pPr>
              <w:pStyle w:val="TableParagraph"/>
              <w:spacing w:before="47"/>
              <w:ind w:left="360"/>
              <w:rPr>
                <w:sz w:val="17"/>
              </w:rPr>
            </w:pPr>
            <w:r>
              <w:rPr>
                <w:w w:val="105"/>
                <w:sz w:val="17"/>
              </w:rPr>
              <w:t>.000</w:t>
            </w:r>
          </w:p>
        </w:tc>
      </w:tr>
      <w:tr>
        <w:trPr>
          <w:trHeight w:val="293" w:hRule="exact"/>
        </w:trPr>
        <w:tc>
          <w:tcPr>
            <w:tcW w:w="989" w:type="dxa"/>
          </w:tcPr>
          <w:p>
            <w:pPr>
              <w:pStyle w:val="TableParagraph"/>
              <w:spacing w:before="47"/>
              <w:ind w:left="57"/>
              <w:rPr>
                <w:sz w:val="17"/>
              </w:rPr>
            </w:pPr>
            <w:r>
              <w:rPr>
                <w:w w:val="104"/>
                <w:sz w:val="17"/>
              </w:rPr>
              <w:t>4</w:t>
            </w:r>
          </w:p>
        </w:tc>
        <w:tc>
          <w:tcPr>
            <w:tcW w:w="547" w:type="dxa"/>
          </w:tcPr>
          <w:p>
            <w:pPr>
              <w:pStyle w:val="TableParagraph"/>
              <w:spacing w:before="13"/>
              <w:ind w:left="46" w:right="39"/>
              <w:jc w:val="center"/>
              <w:rPr>
                <w:sz w:val="11"/>
              </w:rPr>
            </w:pPr>
            <w:r>
              <w:rPr>
                <w:w w:val="105"/>
                <w:sz w:val="17"/>
              </w:rPr>
              <w:t>.915</w:t>
            </w:r>
            <w:r>
              <w:rPr>
                <w:w w:val="105"/>
                <w:position w:val="9"/>
                <w:sz w:val="11"/>
              </w:rPr>
              <w:t>d</w:t>
            </w:r>
          </w:p>
        </w:tc>
        <w:tc>
          <w:tcPr>
            <w:tcW w:w="1080" w:type="dxa"/>
          </w:tcPr>
          <w:p>
            <w:pPr>
              <w:pStyle w:val="TableParagraph"/>
              <w:spacing w:before="47"/>
              <w:ind w:right="364"/>
              <w:jc w:val="right"/>
              <w:rPr>
                <w:sz w:val="17"/>
              </w:rPr>
            </w:pPr>
            <w:r>
              <w:rPr>
                <w:w w:val="105"/>
                <w:sz w:val="17"/>
              </w:rPr>
              <w:t>.837</w:t>
            </w:r>
          </w:p>
        </w:tc>
        <w:tc>
          <w:tcPr>
            <w:tcW w:w="1082" w:type="dxa"/>
            <w:tcBorders>
              <w:right w:val="single" w:sz="2" w:space="0" w:color="000000"/>
            </w:tcBorders>
          </w:tcPr>
          <w:p>
            <w:pPr>
              <w:pStyle w:val="TableParagraph"/>
              <w:spacing w:before="47"/>
              <w:ind w:left="167" w:right="165"/>
              <w:jc w:val="center"/>
              <w:rPr>
                <w:sz w:val="17"/>
              </w:rPr>
            </w:pPr>
            <w:r>
              <w:rPr>
                <w:w w:val="105"/>
                <w:sz w:val="17"/>
              </w:rPr>
              <w:t>.835</w:t>
            </w:r>
          </w:p>
        </w:tc>
        <w:tc>
          <w:tcPr>
            <w:tcW w:w="1229" w:type="dxa"/>
            <w:tcBorders>
              <w:left w:val="single" w:sz="2" w:space="0" w:color="000000"/>
              <w:right w:val="single" w:sz="2" w:space="0" w:color="000000"/>
            </w:tcBorders>
          </w:tcPr>
          <w:p>
            <w:pPr>
              <w:pStyle w:val="TableParagraph"/>
              <w:spacing w:before="47"/>
              <w:ind w:right="288"/>
              <w:jc w:val="right"/>
              <w:rPr>
                <w:sz w:val="17"/>
              </w:rPr>
            </w:pPr>
            <w:r>
              <w:rPr>
                <w:w w:val="105"/>
                <w:sz w:val="17"/>
              </w:rPr>
              <w:t>1.22188</w:t>
            </w:r>
          </w:p>
        </w:tc>
        <w:tc>
          <w:tcPr>
            <w:tcW w:w="1082" w:type="dxa"/>
            <w:tcBorders>
              <w:left w:val="single" w:sz="2" w:space="0" w:color="000000"/>
            </w:tcBorders>
          </w:tcPr>
          <w:p>
            <w:pPr>
              <w:pStyle w:val="TableParagraph"/>
              <w:spacing w:before="47"/>
              <w:ind w:left="167" w:right="167"/>
              <w:jc w:val="center"/>
              <w:rPr>
                <w:sz w:val="17"/>
              </w:rPr>
            </w:pPr>
            <w:r>
              <w:rPr>
                <w:w w:val="105"/>
                <w:sz w:val="17"/>
              </w:rPr>
              <w:t>.030</w:t>
            </w:r>
          </w:p>
        </w:tc>
        <w:tc>
          <w:tcPr>
            <w:tcW w:w="955" w:type="dxa"/>
          </w:tcPr>
          <w:p>
            <w:pPr>
              <w:pStyle w:val="TableParagraph"/>
              <w:spacing w:before="47"/>
              <w:ind w:right="197"/>
              <w:jc w:val="right"/>
              <w:rPr>
                <w:sz w:val="17"/>
              </w:rPr>
            </w:pPr>
            <w:r>
              <w:rPr>
                <w:w w:val="105"/>
                <w:sz w:val="17"/>
              </w:rPr>
              <w:t>76.503</w:t>
            </w:r>
          </w:p>
        </w:tc>
        <w:tc>
          <w:tcPr>
            <w:tcW w:w="427" w:type="dxa"/>
          </w:tcPr>
          <w:p>
            <w:pPr>
              <w:pStyle w:val="TableParagraph"/>
              <w:spacing w:before="47"/>
              <w:ind w:left="163"/>
              <w:rPr>
                <w:sz w:val="17"/>
              </w:rPr>
            </w:pPr>
            <w:r>
              <w:rPr>
                <w:w w:val="104"/>
                <w:sz w:val="17"/>
              </w:rPr>
              <w:t>1</w:t>
            </w:r>
          </w:p>
        </w:tc>
        <w:tc>
          <w:tcPr>
            <w:tcW w:w="511" w:type="dxa"/>
            <w:tcBorders>
              <w:right w:val="single" w:sz="2" w:space="0" w:color="000000"/>
            </w:tcBorders>
          </w:tcPr>
          <w:p>
            <w:pPr>
              <w:pStyle w:val="TableParagraph"/>
              <w:spacing w:before="47"/>
              <w:ind w:left="89" w:right="77"/>
              <w:jc w:val="center"/>
              <w:rPr>
                <w:sz w:val="17"/>
              </w:rPr>
            </w:pPr>
            <w:r>
              <w:rPr>
                <w:w w:val="105"/>
                <w:sz w:val="17"/>
              </w:rPr>
              <w:t>415</w:t>
            </w:r>
          </w:p>
        </w:tc>
        <w:tc>
          <w:tcPr>
            <w:tcW w:w="1058" w:type="dxa"/>
            <w:tcBorders>
              <w:left w:val="single" w:sz="2" w:space="0" w:color="000000"/>
            </w:tcBorders>
          </w:tcPr>
          <w:p>
            <w:pPr>
              <w:pStyle w:val="TableParagraph"/>
              <w:spacing w:before="47"/>
              <w:ind w:left="360"/>
              <w:rPr>
                <w:sz w:val="17"/>
              </w:rPr>
            </w:pPr>
            <w:r>
              <w:rPr>
                <w:w w:val="105"/>
                <w:sz w:val="17"/>
              </w:rPr>
              <w:t>.000</w:t>
            </w:r>
          </w:p>
        </w:tc>
      </w:tr>
      <w:tr>
        <w:trPr>
          <w:trHeight w:val="293" w:hRule="exact"/>
        </w:trPr>
        <w:tc>
          <w:tcPr>
            <w:tcW w:w="989" w:type="dxa"/>
          </w:tcPr>
          <w:p>
            <w:pPr>
              <w:pStyle w:val="TableParagraph"/>
              <w:spacing w:before="47"/>
              <w:ind w:left="57"/>
              <w:rPr>
                <w:sz w:val="17"/>
              </w:rPr>
            </w:pPr>
            <w:r>
              <w:rPr>
                <w:w w:val="104"/>
                <w:sz w:val="17"/>
              </w:rPr>
              <w:t>5</w:t>
            </w:r>
          </w:p>
        </w:tc>
        <w:tc>
          <w:tcPr>
            <w:tcW w:w="547" w:type="dxa"/>
          </w:tcPr>
          <w:p>
            <w:pPr>
              <w:pStyle w:val="TableParagraph"/>
              <w:spacing w:before="13"/>
              <w:ind w:left="46" w:right="39"/>
              <w:jc w:val="center"/>
              <w:rPr>
                <w:sz w:val="11"/>
              </w:rPr>
            </w:pPr>
            <w:r>
              <w:rPr>
                <w:w w:val="105"/>
                <w:sz w:val="17"/>
              </w:rPr>
              <w:t>.917</w:t>
            </w:r>
            <w:r>
              <w:rPr>
                <w:w w:val="105"/>
                <w:position w:val="9"/>
                <w:sz w:val="11"/>
              </w:rPr>
              <w:t>e</w:t>
            </w:r>
          </w:p>
        </w:tc>
        <w:tc>
          <w:tcPr>
            <w:tcW w:w="1080" w:type="dxa"/>
          </w:tcPr>
          <w:p>
            <w:pPr>
              <w:pStyle w:val="TableParagraph"/>
              <w:spacing w:before="42"/>
              <w:ind w:right="364"/>
              <w:jc w:val="right"/>
              <w:rPr>
                <w:b/>
                <w:sz w:val="17"/>
              </w:rPr>
            </w:pPr>
            <w:r>
              <w:rPr>
                <w:b/>
                <w:w w:val="105"/>
                <w:sz w:val="17"/>
              </w:rPr>
              <w:t>.840</w:t>
            </w:r>
          </w:p>
        </w:tc>
        <w:tc>
          <w:tcPr>
            <w:tcW w:w="1082" w:type="dxa"/>
            <w:tcBorders>
              <w:right w:val="single" w:sz="2" w:space="0" w:color="000000"/>
            </w:tcBorders>
          </w:tcPr>
          <w:p>
            <w:pPr>
              <w:pStyle w:val="TableParagraph"/>
              <w:spacing w:before="42"/>
              <w:ind w:left="167" w:right="165"/>
              <w:jc w:val="center"/>
              <w:rPr>
                <w:b/>
                <w:sz w:val="17"/>
              </w:rPr>
            </w:pPr>
            <w:r>
              <w:rPr>
                <w:b/>
                <w:w w:val="105"/>
                <w:sz w:val="17"/>
              </w:rPr>
              <w:t>.838</w:t>
            </w:r>
          </w:p>
        </w:tc>
        <w:tc>
          <w:tcPr>
            <w:tcW w:w="1229" w:type="dxa"/>
            <w:tcBorders>
              <w:left w:val="single" w:sz="2" w:space="0" w:color="000000"/>
              <w:right w:val="single" w:sz="2" w:space="0" w:color="000000"/>
            </w:tcBorders>
          </w:tcPr>
          <w:p>
            <w:pPr>
              <w:pStyle w:val="TableParagraph"/>
              <w:spacing w:before="47"/>
              <w:ind w:right="288"/>
              <w:jc w:val="right"/>
              <w:rPr>
                <w:sz w:val="17"/>
              </w:rPr>
            </w:pPr>
            <w:r>
              <w:rPr>
                <w:w w:val="105"/>
                <w:sz w:val="17"/>
              </w:rPr>
              <w:t>1.21063</w:t>
            </w:r>
          </w:p>
        </w:tc>
        <w:tc>
          <w:tcPr>
            <w:tcW w:w="1082" w:type="dxa"/>
            <w:tcBorders>
              <w:left w:val="single" w:sz="2" w:space="0" w:color="000000"/>
            </w:tcBorders>
          </w:tcPr>
          <w:p>
            <w:pPr>
              <w:pStyle w:val="TableParagraph"/>
              <w:spacing w:before="47"/>
              <w:ind w:left="167" w:right="167"/>
              <w:jc w:val="center"/>
              <w:rPr>
                <w:sz w:val="17"/>
              </w:rPr>
            </w:pPr>
            <w:r>
              <w:rPr>
                <w:w w:val="105"/>
                <w:sz w:val="17"/>
              </w:rPr>
              <w:t>.003</w:t>
            </w:r>
          </w:p>
        </w:tc>
        <w:tc>
          <w:tcPr>
            <w:tcW w:w="955" w:type="dxa"/>
          </w:tcPr>
          <w:p>
            <w:pPr>
              <w:pStyle w:val="TableParagraph"/>
              <w:spacing w:before="47"/>
              <w:ind w:right="249"/>
              <w:jc w:val="right"/>
              <w:rPr>
                <w:sz w:val="17"/>
              </w:rPr>
            </w:pPr>
            <w:r>
              <w:rPr>
                <w:sz w:val="17"/>
              </w:rPr>
              <w:t>8.751</w:t>
            </w:r>
          </w:p>
        </w:tc>
        <w:tc>
          <w:tcPr>
            <w:tcW w:w="427" w:type="dxa"/>
          </w:tcPr>
          <w:p>
            <w:pPr>
              <w:pStyle w:val="TableParagraph"/>
              <w:spacing w:before="47"/>
              <w:ind w:left="163"/>
              <w:rPr>
                <w:sz w:val="17"/>
              </w:rPr>
            </w:pPr>
            <w:r>
              <w:rPr>
                <w:w w:val="104"/>
                <w:sz w:val="17"/>
              </w:rPr>
              <w:t>1</w:t>
            </w:r>
          </w:p>
        </w:tc>
        <w:tc>
          <w:tcPr>
            <w:tcW w:w="511" w:type="dxa"/>
            <w:tcBorders>
              <w:right w:val="single" w:sz="2" w:space="0" w:color="000000"/>
            </w:tcBorders>
          </w:tcPr>
          <w:p>
            <w:pPr>
              <w:pStyle w:val="TableParagraph"/>
              <w:spacing w:before="47"/>
              <w:ind w:left="89" w:right="77"/>
              <w:jc w:val="center"/>
              <w:rPr>
                <w:sz w:val="17"/>
              </w:rPr>
            </w:pPr>
            <w:r>
              <w:rPr>
                <w:w w:val="105"/>
                <w:sz w:val="17"/>
              </w:rPr>
              <w:t>414</w:t>
            </w:r>
          </w:p>
        </w:tc>
        <w:tc>
          <w:tcPr>
            <w:tcW w:w="1058" w:type="dxa"/>
            <w:tcBorders>
              <w:left w:val="single" w:sz="2" w:space="0" w:color="000000"/>
            </w:tcBorders>
          </w:tcPr>
          <w:p>
            <w:pPr>
              <w:pStyle w:val="TableParagraph"/>
              <w:spacing w:before="47"/>
              <w:ind w:left="360"/>
              <w:rPr>
                <w:sz w:val="17"/>
              </w:rPr>
            </w:pPr>
            <w:r>
              <w:rPr>
                <w:w w:val="105"/>
                <w:sz w:val="17"/>
              </w:rPr>
              <w:t>.003</w:t>
            </w:r>
          </w:p>
        </w:tc>
      </w:tr>
      <w:tr>
        <w:trPr>
          <w:trHeight w:val="312" w:hRule="exact"/>
        </w:trPr>
        <w:tc>
          <w:tcPr>
            <w:tcW w:w="8962" w:type="dxa"/>
            <w:gridSpan w:val="10"/>
          </w:tcPr>
          <w:p>
            <w:pPr>
              <w:pStyle w:val="TableParagraph"/>
              <w:spacing w:before="3"/>
              <w:ind w:left="57"/>
              <w:rPr>
                <w:sz w:val="17"/>
              </w:rPr>
            </w:pPr>
            <w:r>
              <w:rPr>
                <w:w w:val="105"/>
                <w:sz w:val="17"/>
              </w:rPr>
              <w:t>a. Variables predictoras: (Constante), responsabilidad ambiental</w:t>
            </w:r>
          </w:p>
        </w:tc>
      </w:tr>
      <w:tr>
        <w:trPr>
          <w:trHeight w:val="288" w:hRule="exact"/>
        </w:trPr>
        <w:tc>
          <w:tcPr>
            <w:tcW w:w="8962" w:type="dxa"/>
            <w:gridSpan w:val="10"/>
          </w:tcPr>
          <w:p>
            <w:pPr>
              <w:pStyle w:val="TableParagraph"/>
              <w:spacing w:before="3"/>
              <w:ind w:left="57"/>
              <w:rPr>
                <w:sz w:val="17"/>
              </w:rPr>
            </w:pPr>
            <w:r>
              <w:rPr>
                <w:w w:val="105"/>
                <w:sz w:val="17"/>
              </w:rPr>
              <w:t>b. Variables predictoras: (Constante), responsabilidad ambiental, conocimiento ambiental</w:t>
            </w:r>
          </w:p>
        </w:tc>
      </w:tr>
      <w:tr>
        <w:trPr>
          <w:trHeight w:val="293" w:hRule="exact"/>
        </w:trPr>
        <w:tc>
          <w:tcPr>
            <w:tcW w:w="8962" w:type="dxa"/>
            <w:gridSpan w:val="10"/>
          </w:tcPr>
          <w:p>
            <w:pPr>
              <w:pStyle w:val="TableParagraph"/>
              <w:spacing w:before="3"/>
              <w:ind w:left="57"/>
              <w:rPr>
                <w:sz w:val="17"/>
              </w:rPr>
            </w:pPr>
            <w:r>
              <w:rPr>
                <w:w w:val="105"/>
                <w:sz w:val="17"/>
              </w:rPr>
              <w:t>c. Variables predictoras: (Constante), responsabilidad ambiental, conocimiento ambiental, estrategias</w:t>
            </w:r>
          </w:p>
        </w:tc>
      </w:tr>
      <w:tr>
        <w:trPr>
          <w:trHeight w:val="298" w:hRule="exact"/>
        </w:trPr>
        <w:tc>
          <w:tcPr>
            <w:tcW w:w="8962" w:type="dxa"/>
            <w:gridSpan w:val="10"/>
          </w:tcPr>
          <w:p>
            <w:pPr>
              <w:pStyle w:val="TableParagraph"/>
              <w:spacing w:before="3"/>
              <w:ind w:left="57"/>
              <w:rPr>
                <w:sz w:val="17"/>
              </w:rPr>
            </w:pPr>
            <w:r>
              <w:rPr>
                <w:spacing w:val="3"/>
                <w:w w:val="105"/>
                <w:sz w:val="17"/>
              </w:rPr>
              <w:t>d.</w:t>
            </w:r>
            <w:r>
              <w:rPr>
                <w:spacing w:val="-27"/>
                <w:w w:val="105"/>
                <w:sz w:val="17"/>
              </w:rPr>
              <w:t> </w:t>
            </w:r>
            <w:r>
              <w:rPr>
                <w:w w:val="105"/>
                <w:sz w:val="17"/>
              </w:rPr>
              <w:t>Variables</w:t>
            </w:r>
            <w:r>
              <w:rPr>
                <w:spacing w:val="-27"/>
                <w:w w:val="105"/>
                <w:sz w:val="17"/>
              </w:rPr>
              <w:t> </w:t>
            </w:r>
            <w:r>
              <w:rPr>
                <w:w w:val="105"/>
                <w:sz w:val="17"/>
              </w:rPr>
              <w:t>predictoras:</w:t>
            </w:r>
            <w:r>
              <w:rPr>
                <w:spacing w:val="-27"/>
                <w:w w:val="105"/>
                <w:sz w:val="17"/>
              </w:rPr>
              <w:t> </w:t>
            </w:r>
            <w:r>
              <w:rPr>
                <w:w w:val="105"/>
                <w:sz w:val="17"/>
              </w:rPr>
              <w:t>(Constante),</w:t>
            </w:r>
            <w:r>
              <w:rPr>
                <w:spacing w:val="-27"/>
                <w:w w:val="105"/>
                <w:sz w:val="17"/>
              </w:rPr>
              <w:t> </w:t>
            </w:r>
            <w:r>
              <w:rPr>
                <w:w w:val="105"/>
                <w:sz w:val="17"/>
              </w:rPr>
              <w:t>responsabilidad</w:t>
            </w:r>
            <w:r>
              <w:rPr>
                <w:spacing w:val="-22"/>
                <w:w w:val="105"/>
                <w:sz w:val="17"/>
              </w:rPr>
              <w:t> </w:t>
            </w:r>
            <w:r>
              <w:rPr>
                <w:w w:val="105"/>
                <w:sz w:val="17"/>
              </w:rPr>
              <w:t>ambiental,</w:t>
            </w:r>
            <w:r>
              <w:rPr>
                <w:spacing w:val="-27"/>
                <w:w w:val="105"/>
                <w:sz w:val="17"/>
              </w:rPr>
              <w:t> </w:t>
            </w:r>
            <w:r>
              <w:rPr>
                <w:w w:val="105"/>
                <w:sz w:val="17"/>
              </w:rPr>
              <w:t>conocimiento</w:t>
            </w:r>
            <w:r>
              <w:rPr>
                <w:spacing w:val="-22"/>
                <w:w w:val="105"/>
                <w:sz w:val="17"/>
              </w:rPr>
              <w:t> </w:t>
            </w:r>
            <w:r>
              <w:rPr>
                <w:w w:val="105"/>
                <w:sz w:val="17"/>
              </w:rPr>
              <w:t>ambiental,</w:t>
            </w:r>
            <w:r>
              <w:rPr>
                <w:spacing w:val="-27"/>
                <w:w w:val="105"/>
                <w:sz w:val="17"/>
              </w:rPr>
              <w:t> </w:t>
            </w:r>
            <w:r>
              <w:rPr>
                <w:w w:val="105"/>
                <w:sz w:val="17"/>
              </w:rPr>
              <w:t>estrategias,</w:t>
            </w:r>
            <w:r>
              <w:rPr>
                <w:spacing w:val="-20"/>
                <w:w w:val="105"/>
                <w:sz w:val="17"/>
              </w:rPr>
              <w:t> </w:t>
            </w:r>
            <w:r>
              <w:rPr>
                <w:w w:val="105"/>
                <w:sz w:val="17"/>
              </w:rPr>
              <w:t>conciencia</w:t>
            </w:r>
          </w:p>
        </w:tc>
      </w:tr>
      <w:tr>
        <w:trPr>
          <w:trHeight w:val="408" w:hRule="exact"/>
        </w:trPr>
        <w:tc>
          <w:tcPr>
            <w:tcW w:w="8962" w:type="dxa"/>
            <w:gridSpan w:val="10"/>
          </w:tcPr>
          <w:p>
            <w:pPr>
              <w:pStyle w:val="TableParagraph"/>
              <w:spacing w:line="247" w:lineRule="auto" w:before="3"/>
              <w:ind w:left="57"/>
              <w:rPr>
                <w:sz w:val="17"/>
              </w:rPr>
            </w:pPr>
            <w:r>
              <w:rPr>
                <w:w w:val="105"/>
                <w:sz w:val="17"/>
              </w:rPr>
              <w:t>e. Variables predictoras: (Constante), responsabilidad ambiental, conocimientos ambientales, estrategias, </w:t>
            </w:r>
            <w:r>
              <w:rPr>
                <w:sz w:val="17"/>
              </w:rPr>
              <w:t>conciencia, actividades</w:t>
            </w:r>
          </w:p>
        </w:tc>
      </w:tr>
    </w:tbl>
    <w:p>
      <w:pPr>
        <w:spacing w:after="0" w:line="247" w:lineRule="auto"/>
        <w:rPr>
          <w:sz w:val="17"/>
        </w:rPr>
        <w:sectPr>
          <w:footerReference w:type="default" r:id="rId72"/>
          <w:pgSz w:w="11910" w:h="16840"/>
          <w:pgMar w:footer="1715" w:header="1066" w:top="1460" w:bottom="1900" w:left="1560" w:right="200"/>
          <w:pgNumType w:start="110"/>
        </w:sectPr>
      </w:pPr>
    </w:p>
    <w:p>
      <w:pPr>
        <w:pStyle w:val="BodyText"/>
        <w:rPr>
          <w:b/>
          <w:sz w:val="20"/>
        </w:rPr>
      </w:pPr>
    </w:p>
    <w:p>
      <w:pPr>
        <w:pStyle w:val="BodyText"/>
        <w:spacing w:before="10"/>
        <w:rPr>
          <w:b/>
          <w:sz w:val="17"/>
        </w:rPr>
      </w:pPr>
    </w:p>
    <w:p>
      <w:pPr>
        <w:pStyle w:val="BodyText"/>
        <w:spacing w:line="364" w:lineRule="auto" w:before="74"/>
        <w:ind w:left="115" w:right="900"/>
        <w:jc w:val="both"/>
      </w:pPr>
      <w:r>
        <w:rPr/>
        <w:t>En la tabla No. 3, la estadística descriptiva muestra que el conocimiento ambiental fue     </w:t>
      </w:r>
      <w:r>
        <w:rPr>
          <w:spacing w:val="-5"/>
        </w:rPr>
        <w:t>la </w:t>
      </w:r>
      <w:r>
        <w:rPr/>
        <w:t>variable con mayor valor de respuesta con respecto a </w:t>
      </w:r>
      <w:r>
        <w:rPr>
          <w:spacing w:val="-5"/>
        </w:rPr>
        <w:t>la </w:t>
      </w:r>
      <w:r>
        <w:rPr/>
        <w:t>media (4.2), mientras que conciencia ambiental fue la variable con menor evaluación (2.6). El resto  de  las  variables se mantuvieron entre 3.2 y 3.9 </w:t>
      </w:r>
      <w:r>
        <w:rPr>
          <w:spacing w:val="2"/>
        </w:rPr>
        <w:t> </w:t>
      </w:r>
      <w:r>
        <w:rPr/>
        <w:t>respectivamente.</w:t>
      </w:r>
    </w:p>
    <w:p>
      <w:pPr>
        <w:pStyle w:val="ListParagraph"/>
        <w:numPr>
          <w:ilvl w:val="2"/>
          <w:numId w:val="30"/>
        </w:numPr>
        <w:tabs>
          <w:tab w:pos="817" w:val="left" w:leader="none"/>
        </w:tabs>
        <w:spacing w:line="240" w:lineRule="auto" w:before="125" w:after="0"/>
        <w:ind w:left="816" w:right="0" w:hanging="350"/>
        <w:jc w:val="left"/>
        <w:rPr>
          <w:i/>
          <w:sz w:val="23"/>
        </w:rPr>
      </w:pPr>
      <w:r>
        <w:rPr>
          <w:i/>
          <w:sz w:val="23"/>
        </w:rPr>
        <w:t>Conocimiento</w:t>
      </w:r>
      <w:r>
        <w:rPr>
          <w:i/>
          <w:spacing w:val="24"/>
          <w:sz w:val="23"/>
        </w:rPr>
        <w:t> </w:t>
      </w:r>
      <w:r>
        <w:rPr>
          <w:i/>
          <w:sz w:val="23"/>
        </w:rPr>
        <w:t>Ambiental</w:t>
      </w:r>
    </w:p>
    <w:p>
      <w:pPr>
        <w:pStyle w:val="BodyText"/>
        <w:rPr>
          <w:i/>
          <w:sz w:val="22"/>
        </w:rPr>
      </w:pPr>
    </w:p>
    <w:p>
      <w:pPr>
        <w:pStyle w:val="BodyText"/>
        <w:spacing w:line="364" w:lineRule="auto" w:before="1"/>
        <w:ind w:left="115" w:right="900"/>
        <w:jc w:val="both"/>
      </w:pPr>
      <w:r>
        <w:rPr/>
        <w:t>Esta variable fue </w:t>
      </w:r>
      <w:r>
        <w:rPr>
          <w:spacing w:val="-5"/>
        </w:rPr>
        <w:t>la </w:t>
      </w:r>
      <w:r>
        <w:rPr/>
        <w:t>mejor evaluada por los visitantes, debido a que se respetan las indicaciones de protección del PNDL, se tiene conocimiento del valor del patrimonio natural, y de </w:t>
      </w:r>
      <w:r>
        <w:rPr>
          <w:spacing w:val="-5"/>
        </w:rPr>
        <w:t>la </w:t>
      </w:r>
      <w:r>
        <w:rPr/>
        <w:t>forma de preservación de la biodiversidad. 53% de  los  visitantes  expresó satisfacción al estar en contacto </w:t>
      </w:r>
      <w:r>
        <w:rPr>
          <w:spacing w:val="2"/>
        </w:rPr>
        <w:t>con </w:t>
      </w:r>
      <w:r>
        <w:rPr/>
        <w:t>la  naturaleza,  manifestando  saber cuidarla.</w:t>
      </w:r>
    </w:p>
    <w:p>
      <w:pPr>
        <w:pStyle w:val="ListParagraph"/>
        <w:numPr>
          <w:ilvl w:val="2"/>
          <w:numId w:val="30"/>
        </w:numPr>
        <w:tabs>
          <w:tab w:pos="817" w:val="left" w:leader="none"/>
        </w:tabs>
        <w:spacing w:line="240" w:lineRule="auto" w:before="120" w:after="0"/>
        <w:ind w:left="816" w:right="0" w:hanging="350"/>
        <w:jc w:val="left"/>
        <w:rPr>
          <w:i/>
          <w:sz w:val="23"/>
        </w:rPr>
      </w:pPr>
      <w:r>
        <w:rPr>
          <w:i/>
          <w:sz w:val="23"/>
        </w:rPr>
        <w:t>Actividades</w:t>
      </w:r>
      <w:r>
        <w:rPr>
          <w:i/>
          <w:spacing w:val="23"/>
          <w:sz w:val="23"/>
        </w:rPr>
        <w:t> </w:t>
      </w:r>
      <w:r>
        <w:rPr>
          <w:i/>
          <w:sz w:val="23"/>
        </w:rPr>
        <w:t>ambientales</w:t>
      </w:r>
    </w:p>
    <w:p>
      <w:pPr>
        <w:pStyle w:val="BodyText"/>
        <w:rPr>
          <w:i/>
          <w:sz w:val="22"/>
        </w:rPr>
      </w:pPr>
    </w:p>
    <w:p>
      <w:pPr>
        <w:pStyle w:val="BodyText"/>
        <w:spacing w:line="364" w:lineRule="auto" w:before="1"/>
        <w:ind w:left="115" w:right="897"/>
        <w:jc w:val="both"/>
      </w:pPr>
      <w:r>
        <w:rPr/>
        <w:t>La media indica que los visitantes pocas veces realizan actividades de protección al ambiente en su vida diaria (reciclaje, compra de productos de bajo impacto ambiental y participación en actividades de preservación). El mayor valor se localizó en la inquietud de participar en actividades de protección a la naturaleza; por lo contrario, los visitantes no manifestaron disponibilidad para comprar productos de bajo impacto </w:t>
      </w:r>
      <w:r>
        <w:rPr>
          <w:spacing w:val="19"/>
        </w:rPr>
        <w:t> </w:t>
      </w:r>
      <w:r>
        <w:rPr/>
        <w:t>ambiental.</w:t>
      </w:r>
    </w:p>
    <w:p>
      <w:pPr>
        <w:pStyle w:val="ListParagraph"/>
        <w:numPr>
          <w:ilvl w:val="2"/>
          <w:numId w:val="30"/>
        </w:numPr>
        <w:tabs>
          <w:tab w:pos="817" w:val="left" w:leader="none"/>
        </w:tabs>
        <w:spacing w:line="240" w:lineRule="auto" w:before="125" w:after="0"/>
        <w:ind w:left="816" w:right="0" w:hanging="350"/>
        <w:jc w:val="left"/>
        <w:rPr>
          <w:i/>
          <w:sz w:val="23"/>
        </w:rPr>
      </w:pPr>
      <w:r>
        <w:rPr>
          <w:i/>
          <w:sz w:val="23"/>
        </w:rPr>
        <w:t>Actitud</w:t>
      </w:r>
      <w:r>
        <w:rPr>
          <w:i/>
          <w:spacing w:val="19"/>
          <w:sz w:val="23"/>
        </w:rPr>
        <w:t> </w:t>
      </w:r>
      <w:r>
        <w:rPr>
          <w:i/>
          <w:sz w:val="23"/>
        </w:rPr>
        <w:t>Ambiental</w:t>
      </w:r>
    </w:p>
    <w:p>
      <w:pPr>
        <w:pStyle w:val="BodyText"/>
        <w:rPr>
          <w:i/>
          <w:sz w:val="22"/>
        </w:rPr>
      </w:pPr>
    </w:p>
    <w:p>
      <w:pPr>
        <w:pStyle w:val="BodyText"/>
        <w:spacing w:line="364" w:lineRule="auto" w:before="1"/>
        <w:ind w:left="115" w:right="897"/>
        <w:jc w:val="both"/>
      </w:pPr>
      <w:r>
        <w:rPr/>
        <w:t>La actitud ambiental mantiene una media de 3.4, donde 53% de los visitantes percibe  que utilizar productos ecológicos  otorga beneficios sobre </w:t>
      </w:r>
      <w:r>
        <w:rPr>
          <w:spacing w:val="-5"/>
        </w:rPr>
        <w:t>la  </w:t>
      </w:r>
      <w:r>
        <w:rPr/>
        <w:t>de otro tipo de productos.  No obstante, la dimensión de preocupación ambiental por </w:t>
      </w:r>
      <w:r>
        <w:rPr>
          <w:spacing w:val="-5"/>
        </w:rPr>
        <w:t>la </w:t>
      </w:r>
      <w:r>
        <w:rPr/>
        <w:t>escasez de agua y aplicar acciones en favor del cuidado de la naturaleza, fue un factor poco valorado por los encuestados.</w:t>
      </w:r>
    </w:p>
    <w:p>
      <w:pPr>
        <w:pStyle w:val="ListParagraph"/>
        <w:numPr>
          <w:ilvl w:val="2"/>
          <w:numId w:val="30"/>
        </w:numPr>
        <w:tabs>
          <w:tab w:pos="817" w:val="left" w:leader="none"/>
        </w:tabs>
        <w:spacing w:line="240" w:lineRule="auto" w:before="120" w:after="0"/>
        <w:ind w:left="816" w:right="0" w:hanging="350"/>
        <w:jc w:val="left"/>
        <w:rPr>
          <w:i/>
          <w:sz w:val="23"/>
        </w:rPr>
      </w:pPr>
      <w:r>
        <w:rPr>
          <w:i/>
          <w:sz w:val="23"/>
        </w:rPr>
        <w:t>Estrategias de acción</w:t>
      </w:r>
      <w:r>
        <w:rPr>
          <w:i/>
          <w:spacing w:val="38"/>
          <w:sz w:val="23"/>
        </w:rPr>
        <w:t> </w:t>
      </w:r>
      <w:r>
        <w:rPr>
          <w:i/>
          <w:sz w:val="23"/>
        </w:rPr>
        <w:t>ambiental</w:t>
      </w:r>
    </w:p>
    <w:p>
      <w:pPr>
        <w:pStyle w:val="BodyText"/>
        <w:rPr>
          <w:i/>
          <w:sz w:val="22"/>
        </w:rPr>
      </w:pPr>
    </w:p>
    <w:p>
      <w:pPr>
        <w:pStyle w:val="BodyText"/>
        <w:spacing w:line="364" w:lineRule="auto" w:before="1"/>
        <w:ind w:left="115" w:right="893"/>
        <w:jc w:val="both"/>
      </w:pPr>
      <w:r>
        <w:rPr/>
        <w:t>Los estadísticos descriptivos para esta variable indican que los visitantes están de acuerdo y dispuestos  a implementar prácticas para reducir la contaminación y </w:t>
      </w:r>
      <w:r>
        <w:rPr>
          <w:spacing w:val="2"/>
        </w:rPr>
        <w:t>con </w:t>
      </w:r>
      <w:r>
        <w:rPr/>
        <w:t>ello   </w:t>
      </w:r>
      <w:r>
        <w:rPr>
          <w:spacing w:val="-5"/>
        </w:rPr>
        <w:t>la </w:t>
      </w:r>
      <w:r>
        <w:rPr/>
        <w:t>crisis ambiental; además, 74% indica que procuran colocar la basura </w:t>
      </w:r>
      <w:r>
        <w:rPr>
          <w:spacing w:val="5"/>
        </w:rPr>
        <w:t>en </w:t>
      </w:r>
      <w:r>
        <w:rPr>
          <w:spacing w:val="3"/>
        </w:rPr>
        <w:t>su </w:t>
      </w:r>
      <w:r>
        <w:rPr/>
        <w:t>lugar cuando están en </w:t>
      </w:r>
      <w:r>
        <w:rPr>
          <w:spacing w:val="-3"/>
        </w:rPr>
        <w:t>un </w:t>
      </w:r>
      <w:r>
        <w:rPr/>
        <w:t>área natural, y 49% incitan a más personas a  hacerlo.  Sin  embargo, también piensan que una de las </w:t>
      </w:r>
      <w:r>
        <w:rPr>
          <w:spacing w:val="-3"/>
        </w:rPr>
        <w:t>mejores </w:t>
      </w:r>
      <w:r>
        <w:rPr/>
        <w:t>estrategias de acción ambiental es que</w:t>
      </w:r>
      <w:r>
        <w:rPr>
          <w:spacing w:val="17"/>
        </w:rPr>
        <w:t> </w:t>
      </w:r>
      <w:r>
        <w:rPr/>
        <w:t>la</w:t>
      </w:r>
      <w:r>
        <w:rPr>
          <w:spacing w:val="12"/>
        </w:rPr>
        <w:t> </w:t>
      </w:r>
      <w:r>
        <w:rPr/>
        <w:t>misma</w:t>
      </w:r>
      <w:r>
        <w:rPr>
          <w:spacing w:val="17"/>
        </w:rPr>
        <w:t> </w:t>
      </w:r>
      <w:r>
        <w:rPr/>
        <w:t>naturaleza</w:t>
      </w:r>
      <w:r>
        <w:rPr>
          <w:spacing w:val="17"/>
        </w:rPr>
        <w:t> </w:t>
      </w:r>
      <w:r>
        <w:rPr/>
        <w:t>ofrece</w:t>
      </w:r>
      <w:r>
        <w:rPr>
          <w:spacing w:val="12"/>
        </w:rPr>
        <w:t> </w:t>
      </w:r>
      <w:r>
        <w:rPr/>
        <w:t>revertir</w:t>
      </w:r>
      <w:r>
        <w:rPr>
          <w:spacing w:val="16"/>
        </w:rPr>
        <w:t> </w:t>
      </w:r>
      <w:r>
        <w:rPr/>
        <w:t>los</w:t>
      </w:r>
      <w:r>
        <w:rPr>
          <w:spacing w:val="20"/>
        </w:rPr>
        <w:t> </w:t>
      </w:r>
      <w:r>
        <w:rPr/>
        <w:t>efectos</w:t>
      </w:r>
      <w:r>
        <w:rPr>
          <w:spacing w:val="20"/>
        </w:rPr>
        <w:t> </w:t>
      </w:r>
      <w:r>
        <w:rPr/>
        <w:t>de</w:t>
      </w:r>
      <w:r>
        <w:rPr>
          <w:spacing w:val="17"/>
        </w:rPr>
        <w:t> </w:t>
      </w:r>
      <w:r>
        <w:rPr/>
        <w:t>la</w:t>
      </w:r>
      <w:r>
        <w:rPr>
          <w:spacing w:val="17"/>
        </w:rPr>
        <w:t> </w:t>
      </w:r>
      <w:r>
        <w:rPr/>
        <w:t>contaminación</w:t>
      </w:r>
      <w:r>
        <w:rPr>
          <w:spacing w:val="17"/>
        </w:rPr>
        <w:t> </w:t>
      </w:r>
      <w:r>
        <w:rPr/>
        <w:t>a</w:t>
      </w:r>
      <w:r>
        <w:rPr>
          <w:spacing w:val="12"/>
        </w:rPr>
        <w:t> </w:t>
      </w:r>
      <w:r>
        <w:rPr/>
        <w:t>través</w:t>
      </w:r>
      <w:r>
        <w:rPr>
          <w:spacing w:val="15"/>
        </w:rPr>
        <w:t> </w:t>
      </w:r>
      <w:r>
        <w:rPr/>
        <w:t>de</w:t>
      </w:r>
      <w:r>
        <w:rPr>
          <w:spacing w:val="7"/>
        </w:rPr>
        <w:t> </w:t>
      </w:r>
      <w:r>
        <w:rPr>
          <w:spacing w:val="2"/>
        </w:rPr>
        <w:t>sus</w:t>
      </w:r>
    </w:p>
    <w:p>
      <w:pPr>
        <w:pStyle w:val="BodyText"/>
        <w:spacing w:before="10"/>
        <w:ind w:left="115"/>
        <w:jc w:val="both"/>
      </w:pPr>
      <w:r>
        <w:rPr/>
        <w:t>propios procesos.</w:t>
      </w:r>
    </w:p>
    <w:p>
      <w:pPr>
        <w:spacing w:after="0"/>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ListParagraph"/>
        <w:numPr>
          <w:ilvl w:val="2"/>
          <w:numId w:val="30"/>
        </w:numPr>
        <w:tabs>
          <w:tab w:pos="817" w:val="left" w:leader="none"/>
        </w:tabs>
        <w:spacing w:line="240" w:lineRule="auto" w:before="74" w:after="0"/>
        <w:ind w:left="816" w:right="0" w:hanging="350"/>
        <w:jc w:val="left"/>
        <w:rPr>
          <w:i/>
          <w:sz w:val="23"/>
        </w:rPr>
      </w:pPr>
      <w:r>
        <w:rPr>
          <w:i/>
          <w:sz w:val="23"/>
        </w:rPr>
        <w:t>Conciencia ambiental (Locus </w:t>
      </w:r>
      <w:r>
        <w:rPr>
          <w:i/>
          <w:spacing w:val="-3"/>
          <w:sz w:val="23"/>
        </w:rPr>
        <w:t>de</w:t>
      </w:r>
      <w:r>
        <w:rPr>
          <w:i/>
          <w:spacing w:val="51"/>
          <w:sz w:val="23"/>
        </w:rPr>
        <w:t> </w:t>
      </w:r>
      <w:r>
        <w:rPr>
          <w:i/>
          <w:sz w:val="23"/>
        </w:rPr>
        <w:t>control)</w:t>
      </w:r>
    </w:p>
    <w:p>
      <w:pPr>
        <w:pStyle w:val="BodyText"/>
        <w:rPr>
          <w:i/>
          <w:sz w:val="22"/>
        </w:rPr>
      </w:pPr>
    </w:p>
    <w:p>
      <w:pPr>
        <w:pStyle w:val="BodyText"/>
        <w:spacing w:line="364" w:lineRule="auto" w:before="1"/>
        <w:ind w:left="115" w:right="899"/>
        <w:jc w:val="both"/>
      </w:pPr>
      <w:r>
        <w:rPr/>
        <w:t>Esta variable fue la que presentó </w:t>
      </w:r>
      <w:r>
        <w:rPr>
          <w:spacing w:val="-5"/>
        </w:rPr>
        <w:t>la </w:t>
      </w:r>
      <w:r>
        <w:rPr/>
        <w:t>media más baja (2.6), lo cual indica que  los  visitantes en lo que concierne al valor de respuesta de los ítems, consideran que  no están totalmente conscientes de </w:t>
      </w:r>
      <w:r>
        <w:rPr>
          <w:spacing w:val="-3"/>
        </w:rPr>
        <w:t>que </w:t>
      </w:r>
      <w:r>
        <w:rPr/>
        <w:t>deben de respetar a todas las especies de flora y fauna, porque gracias a estos respiran aire puro en un 60%, no siempre  prestan  atención a las medidas </w:t>
      </w:r>
      <w:r>
        <w:rPr>
          <w:spacing w:val="-3"/>
        </w:rPr>
        <w:t>de </w:t>
      </w:r>
      <w:r>
        <w:rPr/>
        <w:t>protección de </w:t>
      </w:r>
      <w:r>
        <w:rPr>
          <w:spacing w:val="-5"/>
        </w:rPr>
        <w:t>la </w:t>
      </w:r>
      <w:r>
        <w:rPr/>
        <w:t>naturaleza del parque (80%), no apoyarían económicamente a alguna fundación u organización que se encarga de resguardar los recursos naturales del PNDL y a un 70% le </w:t>
      </w:r>
      <w:r>
        <w:rPr>
          <w:spacing w:val="-3"/>
        </w:rPr>
        <w:t>es </w:t>
      </w:r>
      <w:r>
        <w:rPr/>
        <w:t>complicado adquirir empaques reusables que no impacten en </w:t>
      </w:r>
      <w:r>
        <w:rPr>
          <w:spacing w:val="-5"/>
        </w:rPr>
        <w:t>la </w:t>
      </w:r>
      <w:r>
        <w:rPr/>
        <w:t>naturaleza, </w:t>
      </w:r>
      <w:r>
        <w:rPr>
          <w:spacing w:val="-5"/>
        </w:rPr>
        <w:t>lo </w:t>
      </w:r>
      <w:r>
        <w:rPr/>
        <w:t>que denota que ciertamente los visitantes que arriban al PNDL, no son en su mayoría visitantes consientes de los impactos negativos que puede producir su comportamiento en un área natural </w:t>
      </w:r>
      <w:r>
        <w:rPr>
          <w:spacing w:val="10"/>
        </w:rPr>
        <w:t> </w:t>
      </w:r>
      <w:r>
        <w:rPr/>
        <w:t>protegida.</w:t>
      </w:r>
    </w:p>
    <w:p>
      <w:pPr>
        <w:pStyle w:val="ListParagraph"/>
        <w:numPr>
          <w:ilvl w:val="2"/>
          <w:numId w:val="30"/>
        </w:numPr>
        <w:tabs>
          <w:tab w:pos="816" w:val="left" w:leader="none"/>
          <w:tab w:pos="817" w:val="left" w:leader="none"/>
        </w:tabs>
        <w:spacing w:line="240" w:lineRule="auto" w:before="120" w:after="0"/>
        <w:ind w:left="816" w:right="0" w:hanging="350"/>
        <w:jc w:val="left"/>
        <w:rPr>
          <w:i/>
          <w:sz w:val="23"/>
        </w:rPr>
      </w:pPr>
      <w:r>
        <w:rPr>
          <w:i/>
          <w:sz w:val="23"/>
        </w:rPr>
        <w:t>Responsabilidad</w:t>
      </w:r>
      <w:r>
        <w:rPr>
          <w:i/>
          <w:spacing w:val="28"/>
          <w:sz w:val="23"/>
        </w:rPr>
        <w:t> </w:t>
      </w:r>
      <w:r>
        <w:rPr>
          <w:i/>
          <w:sz w:val="23"/>
        </w:rPr>
        <w:t>ambiental</w:t>
      </w:r>
    </w:p>
    <w:p>
      <w:pPr>
        <w:pStyle w:val="BodyText"/>
        <w:spacing w:before="5"/>
        <w:rPr>
          <w:i/>
          <w:sz w:val="22"/>
        </w:rPr>
      </w:pPr>
    </w:p>
    <w:p>
      <w:pPr>
        <w:pStyle w:val="BodyText"/>
        <w:spacing w:line="364" w:lineRule="auto"/>
        <w:ind w:left="115" w:right="891"/>
        <w:jc w:val="both"/>
      </w:pPr>
      <w:r>
        <w:rPr/>
        <w:t>Los visitantes manifiestan estar en un proceso de cambio hacia la adopción de una  mayor responsabilidad con respecto a las cuestiones ambientales, 80% aseguran tener   el interés y la intención de cambiar sus hábitos de consumo, estilos de vida e incluso realizar acciones que aminoren los efectos </w:t>
      </w:r>
      <w:r>
        <w:rPr>
          <w:spacing w:val="-3"/>
        </w:rPr>
        <w:t>de </w:t>
      </w:r>
      <w:r>
        <w:rPr/>
        <w:t>la contaminación y aseguren el bienestar de </w:t>
      </w:r>
      <w:r>
        <w:rPr>
          <w:spacing w:val="-5"/>
        </w:rPr>
        <w:t>la</w:t>
      </w:r>
      <w:r>
        <w:rPr>
          <w:spacing w:val="22"/>
        </w:rPr>
        <w:t> </w:t>
      </w:r>
      <w:r>
        <w:rPr/>
        <w:t>naturaleza.</w:t>
      </w:r>
    </w:p>
    <w:p>
      <w:pPr>
        <w:pStyle w:val="BodyText"/>
        <w:spacing w:line="364" w:lineRule="auto" w:before="120"/>
        <w:ind w:left="115" w:right="894"/>
        <w:jc w:val="both"/>
      </w:pPr>
      <w:r>
        <w:rPr/>
        <w:t>La tabla 4, presenta los resultados de </w:t>
      </w:r>
      <w:r>
        <w:rPr>
          <w:spacing w:val="-5"/>
        </w:rPr>
        <w:t>la </w:t>
      </w:r>
      <w:r>
        <w:rPr/>
        <w:t>regresión múltiple, que se utilizó bajo  el  supuesto </w:t>
      </w:r>
      <w:r>
        <w:rPr>
          <w:spacing w:val="-3"/>
        </w:rPr>
        <w:t>de </w:t>
      </w:r>
      <w:r>
        <w:rPr/>
        <w:t>que existe una relación entre variables independientes y otra dependiente. La prueba demuestra que las variables responsabilidad ambiental, conocimientos ambientales, estrategias de acción ambiental, locus de control (conciencia),  y  actividades ambientales componen la relación causal significativa del comportamiento proambiental. Por lo tanto interpretando el cuadro de coeficientes el CPA de los  visitantes del Parque Nacional Desierto de los Leones está explicado de acuerdo al modelo de regresión de la siguiente</w:t>
      </w:r>
      <w:r>
        <w:rPr>
          <w:spacing w:val="44"/>
        </w:rPr>
        <w:t> </w:t>
      </w:r>
      <w:r>
        <w:rPr/>
        <w:t>forma:</w:t>
      </w:r>
    </w:p>
    <w:p>
      <w:pPr>
        <w:pStyle w:val="BodyText"/>
        <w:rPr>
          <w:sz w:val="22"/>
        </w:rPr>
      </w:pPr>
    </w:p>
    <w:p>
      <w:pPr>
        <w:pStyle w:val="BodyText"/>
        <w:spacing w:before="6"/>
      </w:pPr>
    </w:p>
    <w:p>
      <w:pPr>
        <w:pStyle w:val="Heading2"/>
        <w:spacing w:before="0"/>
        <w:ind w:left="1493" w:right="989"/>
        <w:jc w:val="left"/>
      </w:pPr>
      <w:r>
        <w:rPr/>
        <w:t>ICPA = Ra + Ca + Ea + Lc + Aa</w:t>
      </w:r>
    </w:p>
    <w:p>
      <w:pPr>
        <w:pStyle w:val="BodyText"/>
        <w:rPr>
          <w:b/>
          <w:sz w:val="22"/>
        </w:rPr>
      </w:pPr>
    </w:p>
    <w:p>
      <w:pPr>
        <w:pStyle w:val="BodyText"/>
        <w:spacing w:before="1"/>
        <w:ind w:left="115"/>
        <w:jc w:val="both"/>
      </w:pPr>
      <w:r>
        <w:rPr/>
        <w:t>Donde:</w:t>
      </w:r>
    </w:p>
    <w:p>
      <w:pPr>
        <w:pStyle w:val="BodyText"/>
        <w:spacing w:line="520" w:lineRule="atLeast" w:before="3"/>
        <w:ind w:left="115" w:right="5012"/>
      </w:pPr>
      <w:r>
        <w:rPr/>
        <w:t>ICPA: Índice de comportamiento proambiental Ra: Responsabilidad ambiental</w:t>
      </w:r>
    </w:p>
    <w:p>
      <w:pPr>
        <w:spacing w:after="0" w:line="520" w:lineRule="atLeast"/>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before="74"/>
        <w:ind w:left="115" w:right="989"/>
      </w:pPr>
      <w:r>
        <w:rPr/>
        <w:t>Ca: Conocimiento ambiental</w:t>
      </w:r>
    </w:p>
    <w:p>
      <w:pPr>
        <w:pStyle w:val="BodyText"/>
        <w:spacing w:line="350" w:lineRule="auto" w:before="114"/>
        <w:ind w:left="115" w:right="6345"/>
      </w:pPr>
      <w:r>
        <w:rPr/>
        <w:t>Ea: Estrategias de acción ambiental Lc: Locus de control (conciencia) Aa: Actividades</w:t>
      </w:r>
      <w:r>
        <w:rPr>
          <w:spacing w:val="26"/>
        </w:rPr>
        <w:t> </w:t>
      </w:r>
      <w:r>
        <w:rPr/>
        <w:t>ambientales</w:t>
      </w:r>
    </w:p>
    <w:p>
      <w:pPr>
        <w:pStyle w:val="BodyText"/>
        <w:rPr>
          <w:sz w:val="22"/>
        </w:rPr>
      </w:pPr>
    </w:p>
    <w:p>
      <w:pPr>
        <w:pStyle w:val="BodyText"/>
        <w:spacing w:before="7"/>
      </w:pPr>
    </w:p>
    <w:p>
      <w:pPr>
        <w:pStyle w:val="BodyText"/>
        <w:ind w:left="115" w:right="989"/>
        <w:rPr>
          <w:i/>
        </w:rPr>
      </w:pPr>
      <w:r>
        <w:rPr/>
        <w:t>De lo anterior se deduce que la ecuación de regresión con el coeficiente tipificado </w:t>
      </w:r>
      <w:r>
        <w:rPr>
          <w:i/>
        </w:rPr>
        <w:t>beta</w:t>
      </w:r>
    </w:p>
    <w:p>
      <w:pPr>
        <w:pStyle w:val="BodyText"/>
        <w:spacing w:before="138"/>
        <w:ind w:left="115" w:right="989"/>
      </w:pPr>
      <w:r>
        <w:rPr/>
        <w:t>es:</w:t>
      </w:r>
    </w:p>
    <w:p>
      <w:pPr>
        <w:pStyle w:val="BodyText"/>
        <w:rPr>
          <w:sz w:val="22"/>
        </w:rPr>
      </w:pPr>
    </w:p>
    <w:p>
      <w:pPr>
        <w:pStyle w:val="BodyText"/>
        <w:spacing w:before="1"/>
        <w:ind w:right="794"/>
        <w:jc w:val="center"/>
        <w:rPr>
          <w:sz w:val="15"/>
        </w:rPr>
      </w:pPr>
      <w:r>
        <w:rPr/>
        <w:t>Y = -12.368 + .644X</w:t>
      </w:r>
      <w:r>
        <w:rPr>
          <w:position w:val="-1"/>
          <w:sz w:val="15"/>
        </w:rPr>
        <w:t>1  </w:t>
      </w:r>
      <w:r>
        <w:rPr/>
        <w:t>+ 0.308X</w:t>
      </w:r>
      <w:r>
        <w:rPr>
          <w:position w:val="-1"/>
          <w:sz w:val="15"/>
        </w:rPr>
        <w:t>2  </w:t>
      </w:r>
      <w:r>
        <w:rPr/>
        <w:t>+ .313X</w:t>
      </w:r>
      <w:r>
        <w:rPr>
          <w:position w:val="-1"/>
          <w:sz w:val="15"/>
        </w:rPr>
        <w:t>3 </w:t>
      </w:r>
      <w:r>
        <w:rPr/>
        <w:t>+ 0.191X</w:t>
      </w:r>
      <w:r>
        <w:rPr>
          <w:position w:val="-1"/>
          <w:sz w:val="15"/>
        </w:rPr>
        <w:t>4  </w:t>
      </w:r>
      <w:r>
        <w:rPr/>
        <w:t>+ .89X</w:t>
      </w:r>
      <w:r>
        <w:rPr>
          <w:position w:val="-1"/>
          <w:sz w:val="15"/>
        </w:rPr>
        <w:t>5</w:t>
      </w:r>
    </w:p>
    <w:p>
      <w:pPr>
        <w:pStyle w:val="BodyText"/>
        <w:spacing w:before="2"/>
        <w:rPr>
          <w:sz w:val="22"/>
        </w:rPr>
      </w:pPr>
    </w:p>
    <w:p>
      <w:pPr>
        <w:pStyle w:val="BodyText"/>
        <w:ind w:left="116" w:right="989"/>
      </w:pPr>
      <w:r>
        <w:rPr/>
        <w:t>Donde:</w:t>
      </w:r>
    </w:p>
    <w:p>
      <w:pPr>
        <w:pStyle w:val="BodyText"/>
        <w:rPr>
          <w:sz w:val="22"/>
        </w:rPr>
      </w:pPr>
    </w:p>
    <w:p>
      <w:pPr>
        <w:pStyle w:val="BodyText"/>
        <w:spacing w:line="343" w:lineRule="auto" w:before="1"/>
        <w:ind w:left="116" w:right="3394"/>
      </w:pPr>
      <w:r>
        <w:rPr/>
        <w:t>Y: Índice de Comportamiento Proambiental (Actitud ambiental) X</w:t>
      </w:r>
      <w:r>
        <w:rPr>
          <w:position w:val="-2"/>
          <w:sz w:val="15"/>
        </w:rPr>
        <w:t>1</w:t>
      </w:r>
      <w:r>
        <w:rPr/>
        <w:t>: Responsabilidad ambiental</w:t>
      </w:r>
    </w:p>
    <w:p>
      <w:pPr>
        <w:pStyle w:val="BodyText"/>
        <w:spacing w:line="273" w:lineRule="exact"/>
        <w:ind w:left="116" w:right="989"/>
      </w:pPr>
      <w:r>
        <w:rPr/>
        <w:t>X</w:t>
      </w:r>
      <w:r>
        <w:rPr>
          <w:position w:val="-2"/>
          <w:sz w:val="15"/>
        </w:rPr>
        <w:t>2</w:t>
      </w:r>
      <w:r>
        <w:rPr/>
        <w:t>: Conocimiento ambiental</w:t>
      </w:r>
    </w:p>
    <w:p>
      <w:pPr>
        <w:pStyle w:val="BodyText"/>
        <w:spacing w:line="338" w:lineRule="auto" w:before="106"/>
        <w:ind w:left="115" w:right="6366"/>
      </w:pPr>
      <w:r>
        <w:rPr/>
        <w:t>X</w:t>
      </w:r>
      <w:r>
        <w:rPr>
          <w:position w:val="-2"/>
          <w:sz w:val="15"/>
        </w:rPr>
        <w:t>3</w:t>
      </w:r>
      <w:r>
        <w:rPr/>
        <w:t>: Estrategias de acción ambiental X</w:t>
      </w:r>
      <w:r>
        <w:rPr>
          <w:position w:val="-2"/>
          <w:sz w:val="15"/>
        </w:rPr>
        <w:t>4</w:t>
      </w:r>
      <w:r>
        <w:rPr/>
        <w:t>: Locus de Control (conciencia) X</w:t>
      </w:r>
      <w:r>
        <w:rPr>
          <w:position w:val="-1"/>
          <w:sz w:val="15"/>
        </w:rPr>
        <w:t>5</w:t>
      </w:r>
      <w:r>
        <w:rPr/>
        <w:t>: Actividades ambientales</w:t>
      </w:r>
    </w:p>
    <w:p>
      <w:pPr>
        <w:pStyle w:val="BodyText"/>
        <w:rPr>
          <w:sz w:val="24"/>
        </w:rPr>
      </w:pPr>
    </w:p>
    <w:p>
      <w:pPr>
        <w:pStyle w:val="BodyText"/>
        <w:spacing w:before="10"/>
        <w:rPr>
          <w:sz w:val="21"/>
        </w:rPr>
      </w:pPr>
    </w:p>
    <w:p>
      <w:pPr>
        <w:pStyle w:val="BodyText"/>
        <w:spacing w:line="367" w:lineRule="auto" w:before="1"/>
        <w:ind w:left="115" w:right="903"/>
        <w:jc w:val="both"/>
      </w:pPr>
      <w:r>
        <w:rPr/>
        <w:t>Los valores de los coeficientes, permiten determinar entonces que la variable que más aporta a la predicción de los comportamientos proambientales es la responsabilidad ambiental y la que menos contribuye son las actividades  ambientales.</w:t>
      </w:r>
    </w:p>
    <w:p>
      <w:pPr>
        <w:pStyle w:val="BodyText"/>
        <w:spacing w:line="364" w:lineRule="auto" w:before="156"/>
        <w:ind w:left="115" w:right="898"/>
        <w:jc w:val="both"/>
      </w:pPr>
      <w:r>
        <w:rPr/>
        <w:t>Por otro lado, las correlaciones bivariadas, muestran que hay una relación significativa entre las variables. Y a fin de conocer las relaciones existentes entre las variables, se realizó un análisis de regresión lineal múltiple en pasos sucesivos, utilizando como predictores las distintas variables generadas con las puntuaciones de los factores extraídos por el análisis factorial, las diferentes escalas y como variable dependiente, la actitud ambiental. En </w:t>
      </w:r>
      <w:r>
        <w:rPr>
          <w:spacing w:val="-5"/>
        </w:rPr>
        <w:t>la </w:t>
      </w:r>
      <w:r>
        <w:rPr/>
        <w:t>tabla 5 se observa </w:t>
      </w:r>
      <w:r>
        <w:rPr>
          <w:spacing w:val="-3"/>
        </w:rPr>
        <w:t>que </w:t>
      </w:r>
      <w:r>
        <w:rPr/>
        <w:t>el modelo tiene un valor de R2 = 0.840, valor que una vez corregido por el efecto de la muestra y de las  variables  independientes  resulta  R2c  =  0.838,  equivalente  al  83.8%.  Dicho  valor  </w:t>
      </w:r>
      <w:r>
        <w:rPr>
          <w:spacing w:val="3"/>
        </w:rPr>
        <w:t>se    </w:t>
      </w:r>
      <w:r>
        <w:rPr>
          <w:spacing w:val="24"/>
        </w:rPr>
        <w:t> </w:t>
      </w:r>
      <w:r>
        <w:rPr/>
        <w:t>puede</w:t>
      </w:r>
    </w:p>
    <w:p>
      <w:pPr>
        <w:spacing w:after="0" w:line="364" w:lineRule="auto"/>
        <w:jc w:val="both"/>
        <w:sectPr>
          <w:pgSz w:w="11910" w:h="16840"/>
          <w:pgMar w:header="1066" w:footer="1715" w:top="1460" w:bottom="1900" w:left="1540" w:right="200"/>
        </w:sectPr>
      </w:pPr>
    </w:p>
    <w:p>
      <w:pPr>
        <w:pStyle w:val="BodyText"/>
        <w:spacing w:line="265" w:lineRule="exact"/>
        <w:ind w:left="115"/>
        <w:rPr>
          <w:b/>
          <w:sz w:val="15"/>
        </w:rPr>
      </w:pPr>
      <w:r>
        <w:rPr/>
        <w:pict>
          <v:shape style="position:absolute;margin-left:319.920013pt;margin-top:5.995655pt;width:5.6pt;height:7.75pt;mso-position-horizontal-relative:page;mso-position-vertical-relative:paragraph;z-index:-243016" type="#_x0000_t202" filled="false" stroked="false">
            <v:textbox inset="0,0,0,0">
              <w:txbxContent>
                <w:p>
                  <w:pPr>
                    <w:spacing w:line="154" w:lineRule="exact" w:before="0"/>
                    <w:ind w:left="0" w:right="0" w:firstLine="0"/>
                    <w:jc w:val="left"/>
                    <w:rPr>
                      <w:b/>
                      <w:sz w:val="15"/>
                    </w:rPr>
                  </w:pPr>
                  <w:r>
                    <w:rPr>
                      <w:b/>
                      <w:w w:val="102"/>
                      <w:sz w:val="15"/>
                    </w:rPr>
                    <w:t>C</w:t>
                  </w:r>
                </w:p>
              </w:txbxContent>
            </v:textbox>
            <w10:wrap type="none"/>
          </v:shape>
        </w:pict>
      </w:r>
      <w:r>
        <w:rPr/>
        <w:t>considerar como aceptable, ya que explica  </w:t>
      </w:r>
      <w:r>
        <w:rPr>
          <w:b/>
        </w:rPr>
        <w:t>R</w:t>
      </w:r>
      <w:r>
        <w:rPr>
          <w:b/>
          <w:position w:val="11"/>
          <w:sz w:val="15"/>
        </w:rPr>
        <w:t>2</w:t>
      </w:r>
    </w:p>
    <w:p>
      <w:pPr>
        <w:spacing w:before="0"/>
        <w:ind w:left="-37" w:right="0" w:firstLine="0"/>
        <w:jc w:val="left"/>
        <w:rPr>
          <w:sz w:val="23"/>
        </w:rPr>
      </w:pPr>
      <w:r>
        <w:rPr/>
        <w:br w:type="column"/>
      </w:r>
      <w:r>
        <w:rPr>
          <w:b/>
          <w:sz w:val="23"/>
        </w:rPr>
        <w:t>: 83% </w:t>
      </w:r>
      <w:r>
        <w:rPr>
          <w:sz w:val="23"/>
        </w:rPr>
        <w:t>de la predicción.</w:t>
      </w:r>
    </w:p>
    <w:p>
      <w:pPr>
        <w:spacing w:after="0"/>
        <w:jc w:val="left"/>
        <w:rPr>
          <w:sz w:val="23"/>
        </w:rPr>
        <w:sectPr>
          <w:type w:val="continuous"/>
          <w:pgSz w:w="11910" w:h="16840"/>
          <w:pgMar w:top="1000" w:bottom="280" w:left="1540" w:right="200"/>
          <w:cols w:num="2" w:equalWidth="0">
            <w:col w:w="4970" w:space="40"/>
            <w:col w:w="5160"/>
          </w:cols>
        </w:sectPr>
      </w:pPr>
    </w:p>
    <w:p>
      <w:pPr>
        <w:pStyle w:val="BodyText"/>
        <w:rPr>
          <w:sz w:val="20"/>
        </w:rPr>
      </w:pPr>
    </w:p>
    <w:p>
      <w:pPr>
        <w:pStyle w:val="BodyText"/>
        <w:rPr>
          <w:sz w:val="20"/>
        </w:rPr>
      </w:pPr>
    </w:p>
    <w:p>
      <w:pPr>
        <w:pStyle w:val="BodyText"/>
        <w:rPr>
          <w:sz w:val="20"/>
        </w:rPr>
      </w:pPr>
    </w:p>
    <w:p>
      <w:pPr>
        <w:pStyle w:val="BodyText"/>
      </w:pPr>
    </w:p>
    <w:p>
      <w:pPr>
        <w:pStyle w:val="Heading2"/>
        <w:numPr>
          <w:ilvl w:val="1"/>
          <w:numId w:val="30"/>
        </w:numPr>
        <w:tabs>
          <w:tab w:pos="803" w:val="left" w:leader="none"/>
        </w:tabs>
        <w:spacing w:line="240" w:lineRule="auto" w:before="73" w:after="0"/>
        <w:ind w:left="802" w:right="0" w:hanging="686"/>
        <w:jc w:val="both"/>
      </w:pPr>
      <w:r>
        <w:rPr/>
        <w:t>Discusión</w:t>
      </w:r>
    </w:p>
    <w:p>
      <w:pPr>
        <w:pStyle w:val="BodyText"/>
        <w:rPr>
          <w:b/>
          <w:sz w:val="22"/>
        </w:rPr>
      </w:pPr>
    </w:p>
    <w:p>
      <w:pPr>
        <w:pStyle w:val="BodyText"/>
        <w:spacing w:line="364" w:lineRule="auto" w:before="1"/>
        <w:ind w:left="115" w:right="893"/>
        <w:jc w:val="both"/>
      </w:pPr>
      <w:r>
        <w:rPr/>
        <w:t>El estudio del comportamiento proambiental a través </w:t>
      </w:r>
      <w:r>
        <w:rPr>
          <w:spacing w:val="-3"/>
        </w:rPr>
        <w:t>del </w:t>
      </w:r>
      <w:r>
        <w:rPr/>
        <w:t>tiempo ha sido muy exhaustivo desde el punto de vista de la psicología ambiental, centrándose principalmente en la identificación de actitudes ambientales, el grado de conciencia ecológica y en las acciones referentes al consumo </w:t>
      </w:r>
      <w:r>
        <w:rPr>
          <w:spacing w:val="-3"/>
        </w:rPr>
        <w:t>de </w:t>
      </w:r>
      <w:r>
        <w:rPr/>
        <w:t>energía, ahorro de agua, reciclaje entre otras. Sin embargo, de acuerdo con Amérigo </w:t>
      </w:r>
      <w:r>
        <w:rPr>
          <w:i/>
        </w:rPr>
        <w:t>et al. </w:t>
      </w:r>
      <w:r>
        <w:rPr/>
        <w:t>(2011),  el comportamiento  proambiental va  más </w:t>
      </w:r>
      <w:r>
        <w:rPr>
          <w:spacing w:val="-3"/>
        </w:rPr>
        <w:t>allá </w:t>
      </w:r>
      <w:r>
        <w:rPr/>
        <w:t>de </w:t>
      </w:r>
      <w:r>
        <w:rPr>
          <w:spacing w:val="-5"/>
        </w:rPr>
        <w:t>la </w:t>
      </w:r>
      <w:r>
        <w:rPr/>
        <w:t>visión materialista de la reducción de consumo, pues para lograr un verdadero efecto que remedie la problemática ambiental, es necesario que el </w:t>
      </w:r>
      <w:r>
        <w:rPr>
          <w:spacing w:val="2"/>
        </w:rPr>
        <w:t>ser  </w:t>
      </w:r>
      <w:r>
        <w:rPr/>
        <w:t>humano en sí mismo, tenga un equilibrio emocional con el ambiente, en  el  que  la relación hombre-naturaleza fluya en completa</w:t>
      </w:r>
      <w:r>
        <w:rPr>
          <w:spacing w:val="57"/>
        </w:rPr>
        <w:t> </w:t>
      </w:r>
      <w:r>
        <w:rPr/>
        <w:t>armonía.</w:t>
      </w:r>
    </w:p>
    <w:p>
      <w:pPr>
        <w:pStyle w:val="BodyText"/>
        <w:spacing w:line="364" w:lineRule="auto" w:before="120"/>
        <w:ind w:left="116" w:right="896"/>
        <w:jc w:val="both"/>
      </w:pPr>
      <w:r>
        <w:rPr/>
        <w:t>De acuerdo a los resultados obtenidos para el </w:t>
      </w:r>
      <w:r>
        <w:rPr>
          <w:spacing w:val="2"/>
        </w:rPr>
        <w:t>caso </w:t>
      </w:r>
      <w:r>
        <w:rPr>
          <w:spacing w:val="-3"/>
        </w:rPr>
        <w:t>de </w:t>
      </w:r>
      <w:r>
        <w:rPr/>
        <w:t>estudio de la Área Natural Protegida, permiten exponer que el turismo en primera instancia es un fenómeno noble que permite la interacción libre </w:t>
      </w:r>
      <w:r>
        <w:rPr>
          <w:spacing w:val="2"/>
        </w:rPr>
        <w:t>del </w:t>
      </w:r>
      <w:r>
        <w:rPr/>
        <w:t>hombre con su entorno natural y social, capaz de propiciar comportamientos proambientales. Sin embargo, los estudios realizados,  son aún un tema con gran potencial para </w:t>
      </w:r>
      <w:r>
        <w:rPr>
          <w:spacing w:val="-5"/>
        </w:rPr>
        <w:t>la  </w:t>
      </w:r>
      <w:r>
        <w:rPr/>
        <w:t>investigación, ya que  poco </w:t>
      </w:r>
      <w:r>
        <w:rPr>
          <w:spacing w:val="3"/>
        </w:rPr>
        <w:t>se </w:t>
      </w:r>
      <w:r>
        <w:rPr/>
        <w:t>ha explorado  y que sin lugar a dudas resultan necesarios para aminorar los efectos de la crisis  ambiental.</w:t>
      </w:r>
    </w:p>
    <w:p>
      <w:pPr>
        <w:pStyle w:val="BodyText"/>
        <w:spacing w:line="364" w:lineRule="auto" w:before="125"/>
        <w:ind w:left="116" w:right="898"/>
        <w:jc w:val="both"/>
      </w:pPr>
      <w:r>
        <w:rPr/>
        <w:t>Este trabajo permitió determinar que los modelos, las escalas y las variables propuestas para el </w:t>
      </w:r>
      <w:r>
        <w:rPr>
          <w:spacing w:val="2"/>
        </w:rPr>
        <w:t>caso </w:t>
      </w:r>
      <w:r>
        <w:rPr/>
        <w:t>se estudió fueron aceptables para analizar </w:t>
      </w:r>
      <w:r>
        <w:rPr>
          <w:spacing w:val="-5"/>
        </w:rPr>
        <w:t>la </w:t>
      </w:r>
      <w:r>
        <w:rPr/>
        <w:t>medida en que se puede identificar el comportamiento proambiental del visitante en el PNDL, este resultado expone que </w:t>
      </w:r>
      <w:r>
        <w:rPr>
          <w:spacing w:val="-3"/>
        </w:rPr>
        <w:t>es </w:t>
      </w:r>
      <w:r>
        <w:rPr/>
        <w:t>quizás el primer paso para profundizar más en el estudio de áreas naturales protegidas y en </w:t>
      </w:r>
      <w:r>
        <w:rPr>
          <w:spacing w:val="-5"/>
        </w:rPr>
        <w:t>la  </w:t>
      </w:r>
      <w:r>
        <w:rPr/>
        <w:t>generación de comportamientos proambientales mediante  el</w:t>
      </w:r>
      <w:r>
        <w:rPr>
          <w:spacing w:val="6"/>
        </w:rPr>
        <w:t> </w:t>
      </w:r>
      <w:r>
        <w:rPr/>
        <w:t>turismo.</w:t>
      </w:r>
    </w:p>
    <w:p>
      <w:pPr>
        <w:pStyle w:val="BodyText"/>
        <w:rPr>
          <w:sz w:val="22"/>
        </w:rPr>
      </w:pPr>
    </w:p>
    <w:p>
      <w:pPr>
        <w:pStyle w:val="BodyText"/>
        <w:rPr>
          <w:sz w:val="22"/>
        </w:rPr>
      </w:pPr>
    </w:p>
    <w:p>
      <w:pPr>
        <w:pStyle w:val="Heading2"/>
        <w:spacing w:before="137"/>
        <w:ind w:left="116"/>
      </w:pPr>
      <w:bookmarkStart w:name="_TOC_250001" w:id="34"/>
      <w:bookmarkEnd w:id="34"/>
      <w:r>
        <w:rPr/>
        <w:t>Conclusiones</w:t>
      </w:r>
    </w:p>
    <w:p>
      <w:pPr>
        <w:pStyle w:val="BodyText"/>
        <w:spacing w:line="364" w:lineRule="auto" w:before="138"/>
        <w:ind w:left="116" w:right="898"/>
        <w:jc w:val="both"/>
      </w:pPr>
      <w:r>
        <w:rPr/>
        <w:t>La recolección de los datos fue realizada en el Parque Nacional Desierto de los Leones (PNDL), se aplicó un instrumento con 24 reactivos a 420 visitantes del área natural, diseñado a partir de la escala del Nuevo Paradigma Ecológico y el modelo de conducta</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115" w:right="906"/>
        <w:jc w:val="both"/>
      </w:pPr>
      <w:r>
        <w:rPr/>
        <w:t>ecológica de Hines, Hungerford y Tomera (1987) estructurado bajo variables sociodemográficas, cognitivas y</w:t>
      </w:r>
      <w:r>
        <w:rPr>
          <w:spacing w:val="51"/>
        </w:rPr>
        <w:t> </w:t>
      </w:r>
      <w:r>
        <w:rPr/>
        <w:t>psicosociales.</w:t>
      </w:r>
    </w:p>
    <w:p>
      <w:pPr>
        <w:pStyle w:val="BodyText"/>
        <w:spacing w:line="364" w:lineRule="auto" w:before="123"/>
        <w:ind w:left="115" w:right="898"/>
        <w:jc w:val="both"/>
      </w:pPr>
      <w:r>
        <w:rPr/>
        <w:t>El análisis de confiabilidad del instrumento realizado mediante el alfa  de  Cronbach  arrojó resultados satisfactorios, lo que en primera instancia permitió validar </w:t>
      </w:r>
      <w:r>
        <w:rPr>
          <w:spacing w:val="4"/>
        </w:rPr>
        <w:t>el  </w:t>
      </w:r>
      <w:r>
        <w:rPr/>
        <w:t>instrumento diseñado para el estudio de caso en un Área Natural Protegida con  presencia de uso</w:t>
      </w:r>
      <w:r>
        <w:rPr>
          <w:spacing w:val="33"/>
        </w:rPr>
        <w:t> </w:t>
      </w:r>
      <w:r>
        <w:rPr/>
        <w:t>turístico.</w:t>
      </w:r>
    </w:p>
    <w:p>
      <w:pPr>
        <w:pStyle w:val="BodyText"/>
        <w:spacing w:line="364" w:lineRule="auto" w:before="120"/>
        <w:ind w:left="115" w:right="896"/>
        <w:jc w:val="both"/>
      </w:pPr>
      <w:r>
        <w:rPr/>
        <w:t>Posteriormente, se hizo un análisis de correlaciones identificando que la relación entre  las variables es significativa. Este análisis sirvió para determinar cuál de las variables descritas en el modelo se relaciona más con el resto </w:t>
      </w:r>
      <w:r>
        <w:rPr>
          <w:spacing w:val="4"/>
        </w:rPr>
        <w:t>de </w:t>
      </w:r>
      <w:r>
        <w:rPr/>
        <w:t>las variables, a lo que se  observó que tanto las actitudes, como la responsabilidad ambiental y las actividades ambientales que realizan los visitantes, son las que en mayor medida determinan </w:t>
      </w:r>
      <w:r>
        <w:rPr>
          <w:spacing w:val="4"/>
        </w:rPr>
        <w:t>el </w:t>
      </w:r>
      <w:r>
        <w:rPr/>
        <w:t>comportamiento proambiental manifestado en su visita al </w:t>
      </w:r>
      <w:r>
        <w:rPr>
          <w:spacing w:val="14"/>
        </w:rPr>
        <w:t> </w:t>
      </w:r>
      <w:r>
        <w:rPr/>
        <w:t>PNDL.</w:t>
      </w:r>
    </w:p>
    <w:p>
      <w:pPr>
        <w:pStyle w:val="BodyText"/>
        <w:spacing w:line="364" w:lineRule="auto" w:before="125"/>
        <w:ind w:left="115" w:right="902"/>
        <w:jc w:val="both"/>
      </w:pPr>
      <w:r>
        <w:rPr/>
        <w:t>Finalmente para conocer cuál es el efecto </w:t>
      </w:r>
      <w:r>
        <w:rPr>
          <w:spacing w:val="-3"/>
        </w:rPr>
        <w:t>que </w:t>
      </w:r>
      <w:r>
        <w:rPr/>
        <w:t>tiene una variable sobre otra y </w:t>
      </w:r>
      <w:r>
        <w:rPr>
          <w:spacing w:val="4"/>
        </w:rPr>
        <w:t>el </w:t>
      </w:r>
      <w:r>
        <w:rPr/>
        <w:t>grado   de aceptación del modelo utilizado </w:t>
      </w:r>
      <w:r>
        <w:rPr>
          <w:spacing w:val="3"/>
        </w:rPr>
        <w:t>se </w:t>
      </w:r>
      <w:r>
        <w:rPr/>
        <w:t>realizó una regresión lineal la cual dio como resultado un 83% de predicción, </w:t>
      </w:r>
      <w:r>
        <w:rPr>
          <w:spacing w:val="-5"/>
        </w:rPr>
        <w:t>lo </w:t>
      </w:r>
      <w:r>
        <w:rPr/>
        <w:t>que nos condujo a deducir que el  modelo  es aceptable para el caso de estudio y que las variables identificadas si permiten predecir   el comportamiento proambiental </w:t>
      </w:r>
      <w:r>
        <w:rPr>
          <w:spacing w:val="2"/>
        </w:rPr>
        <w:t>del </w:t>
      </w:r>
      <w:r>
        <w:rPr/>
        <w:t>visitante del</w:t>
      </w:r>
      <w:r>
        <w:rPr>
          <w:spacing w:val="52"/>
        </w:rPr>
        <w:t> </w:t>
      </w:r>
      <w:r>
        <w:rPr/>
        <w:t>PNDL.</w:t>
      </w:r>
    </w:p>
    <w:p>
      <w:pPr>
        <w:pStyle w:val="BodyText"/>
        <w:rPr>
          <w:sz w:val="22"/>
        </w:rPr>
      </w:pPr>
    </w:p>
    <w:p>
      <w:pPr>
        <w:pStyle w:val="BodyText"/>
        <w:rPr>
          <w:sz w:val="22"/>
        </w:rPr>
      </w:pPr>
    </w:p>
    <w:p>
      <w:pPr>
        <w:pStyle w:val="Heading2"/>
        <w:spacing w:before="132"/>
        <w:ind w:right="989"/>
        <w:jc w:val="left"/>
      </w:pPr>
      <w:bookmarkStart w:name="_TOC_250000" w:id="35"/>
      <w:bookmarkEnd w:id="35"/>
      <w:r>
        <w:rPr/>
        <w:t>Referencias</w:t>
      </w:r>
    </w:p>
    <w:p>
      <w:pPr>
        <w:pStyle w:val="BodyText"/>
        <w:rPr>
          <w:b/>
          <w:sz w:val="22"/>
        </w:rPr>
      </w:pPr>
    </w:p>
    <w:p>
      <w:pPr>
        <w:pStyle w:val="BodyText"/>
        <w:spacing w:line="369" w:lineRule="auto" w:before="1"/>
        <w:ind w:left="807" w:right="989" w:hanging="692"/>
      </w:pPr>
      <w:r>
        <w:rPr/>
        <w:t>Barker, R., (1968), </w:t>
      </w:r>
      <w:r>
        <w:rPr>
          <w:i/>
        </w:rPr>
        <w:t>Ecological Psychology</w:t>
      </w:r>
      <w:r>
        <w:rPr/>
        <w:t>: Concepts and Methods for Studing the Environment of Human Behavior.California: Standford University  Press.</w:t>
      </w:r>
    </w:p>
    <w:p>
      <w:pPr>
        <w:pStyle w:val="BodyText"/>
        <w:spacing w:line="362" w:lineRule="auto" w:before="115"/>
        <w:ind w:left="807" w:right="989" w:hanging="692"/>
      </w:pPr>
      <w:r>
        <w:rPr/>
        <w:t>Baum, A., Fleming, R., Singer, J., (1983), Coping with Victimization by Technological Disaster, </w:t>
      </w:r>
      <w:r>
        <w:rPr>
          <w:i/>
        </w:rPr>
        <w:t>Journal of Social Issues</w:t>
      </w:r>
      <w:r>
        <w:rPr/>
        <w:t>,</w:t>
      </w:r>
      <w:r>
        <w:rPr>
          <w:spacing w:val="51"/>
        </w:rPr>
        <w:t> </w:t>
      </w:r>
      <w:r>
        <w:rPr/>
        <w:t>39:117-138.</w:t>
      </w:r>
    </w:p>
    <w:p>
      <w:pPr>
        <w:pStyle w:val="BodyText"/>
        <w:spacing w:line="364" w:lineRule="auto" w:before="123"/>
        <w:ind w:left="49" w:right="891"/>
        <w:jc w:val="right"/>
      </w:pPr>
      <w:r>
        <w:rPr/>
        <w:t>Baum, A., Singer, J. y Baum, C.,</w:t>
      </w:r>
      <w:r>
        <w:rPr>
          <w:spacing w:val="53"/>
        </w:rPr>
        <w:t> </w:t>
      </w:r>
      <w:r>
        <w:rPr/>
        <w:t>(1982) “Stress</w:t>
      </w:r>
      <w:r>
        <w:rPr>
          <w:spacing w:val="55"/>
        </w:rPr>
        <w:t> </w:t>
      </w:r>
      <w:r>
        <w:rPr/>
        <w:t>and</w:t>
      </w:r>
      <w:r>
        <w:rPr>
          <w:spacing w:val="51"/>
        </w:rPr>
        <w:t> </w:t>
      </w:r>
      <w:r>
        <w:rPr/>
        <w:t>the</w:t>
      </w:r>
      <w:r>
        <w:rPr>
          <w:spacing w:val="52"/>
        </w:rPr>
        <w:t> </w:t>
      </w:r>
      <w:r>
        <w:rPr/>
        <w:t>Environment” en</w:t>
      </w:r>
      <w:r>
        <w:rPr>
          <w:spacing w:val="52"/>
        </w:rPr>
        <w:t> </w:t>
      </w:r>
      <w:r>
        <w:rPr/>
        <w:t>G. Evans</w:t>
      </w:r>
      <w:r>
        <w:rPr>
          <w:w w:val="101"/>
        </w:rPr>
        <w:t> </w:t>
      </w:r>
      <w:r>
        <w:rPr/>
        <w:t>(Ed.). Environmental Stress. Cambridge, UK: Cambridge University Press,  15-44.</w:t>
      </w:r>
    </w:p>
    <w:p>
      <w:pPr>
        <w:spacing w:line="364" w:lineRule="auto" w:before="125"/>
        <w:ind w:left="807" w:right="891" w:hanging="692"/>
        <w:jc w:val="left"/>
        <w:rPr>
          <w:sz w:val="23"/>
        </w:rPr>
      </w:pPr>
      <w:r>
        <w:rPr>
          <w:sz w:val="23"/>
        </w:rPr>
        <w:t>Calhoun, J., (1962), </w:t>
      </w:r>
      <w:r>
        <w:rPr>
          <w:i/>
          <w:sz w:val="23"/>
        </w:rPr>
        <w:t>Population Density and Social Pathology</w:t>
      </w:r>
      <w:r>
        <w:rPr>
          <w:sz w:val="23"/>
        </w:rPr>
        <w:t>, Scientific American, 206: 139-148.</w:t>
      </w:r>
    </w:p>
    <w:p>
      <w:pPr>
        <w:spacing w:before="120"/>
        <w:ind w:left="116" w:right="0" w:firstLine="0"/>
        <w:jc w:val="both"/>
        <w:rPr>
          <w:sz w:val="23"/>
        </w:rPr>
      </w:pPr>
      <w:r>
        <w:rPr>
          <w:sz w:val="23"/>
        </w:rPr>
        <w:t>Campbell, J., (1983), </w:t>
      </w:r>
      <w:r>
        <w:rPr>
          <w:i/>
          <w:sz w:val="23"/>
        </w:rPr>
        <w:t>Ambient Stressors, Environment and Behavior</w:t>
      </w:r>
      <w:r>
        <w:rPr>
          <w:sz w:val="23"/>
        </w:rPr>
        <w:t>, 15:  355-380.</w:t>
      </w:r>
    </w:p>
    <w:p>
      <w:pPr>
        <w:spacing w:after="0"/>
        <w:jc w:val="both"/>
        <w:rPr>
          <w:sz w:val="23"/>
        </w:rPr>
        <w:sectPr>
          <w:pgSz w:w="11910" w:h="16840"/>
          <w:pgMar w:header="1066" w:footer="1715" w:top="1460" w:bottom="1900" w:left="1540" w:right="200"/>
        </w:sectPr>
      </w:pPr>
    </w:p>
    <w:p>
      <w:pPr>
        <w:pStyle w:val="BodyText"/>
        <w:rPr>
          <w:sz w:val="20"/>
        </w:rPr>
      </w:pPr>
    </w:p>
    <w:p>
      <w:pPr>
        <w:pStyle w:val="BodyText"/>
        <w:spacing w:before="10"/>
        <w:rPr>
          <w:sz w:val="17"/>
        </w:rPr>
      </w:pPr>
    </w:p>
    <w:p>
      <w:pPr>
        <w:spacing w:line="362" w:lineRule="auto" w:before="74"/>
        <w:ind w:left="807" w:right="892" w:hanging="692"/>
        <w:jc w:val="both"/>
        <w:rPr>
          <w:sz w:val="23"/>
        </w:rPr>
      </w:pPr>
      <w:r>
        <w:rPr>
          <w:sz w:val="23"/>
        </w:rPr>
        <w:t>Canter, D. y Craik, K., (1981), Environmental Psychology, </w:t>
      </w:r>
      <w:r>
        <w:rPr>
          <w:i/>
          <w:sz w:val="23"/>
        </w:rPr>
        <w:t>Journal of  Environmental </w:t>
      </w:r>
      <w:r>
        <w:rPr>
          <w:i/>
          <w:sz w:val="23"/>
        </w:rPr>
        <w:t>Psych ology</w:t>
      </w:r>
      <w:r>
        <w:rPr>
          <w:sz w:val="23"/>
        </w:rPr>
        <w:t>, 1:1-11.</w:t>
      </w:r>
    </w:p>
    <w:p>
      <w:pPr>
        <w:spacing w:line="364" w:lineRule="auto" w:before="123"/>
        <w:ind w:left="807" w:right="892" w:hanging="692"/>
        <w:jc w:val="both"/>
        <w:rPr>
          <w:sz w:val="23"/>
        </w:rPr>
      </w:pPr>
      <w:r>
        <w:rPr>
          <w:sz w:val="23"/>
        </w:rPr>
        <w:t>Craik, K., (1973), Environmental Psychology, </w:t>
      </w:r>
      <w:r>
        <w:rPr>
          <w:i/>
          <w:sz w:val="23"/>
        </w:rPr>
        <w:t>Annual Review of Psychology</w:t>
      </w:r>
      <w:r>
        <w:rPr>
          <w:sz w:val="23"/>
        </w:rPr>
        <w:t>, 24:  403- 422.</w:t>
      </w:r>
    </w:p>
    <w:p>
      <w:pPr>
        <w:pStyle w:val="BodyText"/>
        <w:spacing w:line="364" w:lineRule="auto" w:before="125"/>
        <w:ind w:left="807" w:right="894" w:hanging="692"/>
        <w:jc w:val="both"/>
      </w:pPr>
      <w:r>
        <w:rPr/>
        <w:t>Downs, R. y Stea, D., (1977), Maps in Minds: Reflections on Cognitive Mapping. Nueva York: Harper and Row.</w:t>
      </w:r>
    </w:p>
    <w:p>
      <w:pPr>
        <w:pStyle w:val="BodyText"/>
        <w:spacing w:before="120"/>
        <w:ind w:left="116"/>
      </w:pPr>
      <w:r>
        <w:rPr/>
        <w:t>Geller, S., (1979), Applications of Behavioral Analysis for Litter Control en: D. Glenwick  y</w:t>
      </w:r>
    </w:p>
    <w:p>
      <w:pPr>
        <w:spacing w:line="369" w:lineRule="auto" w:before="134"/>
        <w:ind w:left="807" w:right="989" w:firstLine="0"/>
        <w:jc w:val="left"/>
        <w:rPr>
          <w:sz w:val="23"/>
        </w:rPr>
      </w:pPr>
      <w:r>
        <w:rPr>
          <w:sz w:val="23"/>
        </w:rPr>
        <w:t>L. Jason (eds.), </w:t>
      </w:r>
      <w:r>
        <w:rPr>
          <w:i/>
          <w:sz w:val="23"/>
        </w:rPr>
        <w:t>Behavioral Community Psychology</w:t>
      </w:r>
      <w:r>
        <w:rPr>
          <w:sz w:val="23"/>
        </w:rPr>
        <w:t>. </w:t>
      </w:r>
      <w:r>
        <w:rPr>
          <w:i/>
          <w:sz w:val="23"/>
        </w:rPr>
        <w:t>Progress and Prospects</w:t>
      </w:r>
      <w:r>
        <w:rPr>
          <w:sz w:val="23"/>
        </w:rPr>
        <w:t>. Nueva York: Praeger Press.</w:t>
      </w:r>
    </w:p>
    <w:p>
      <w:pPr>
        <w:pStyle w:val="BodyText"/>
        <w:spacing w:line="364" w:lineRule="auto" w:before="115"/>
        <w:ind w:left="807" w:right="896" w:hanging="692"/>
        <w:jc w:val="both"/>
      </w:pPr>
      <w:r>
        <w:rPr/>
        <w:t>Geller, E. S. (1995a). Actively caring for the environment. An integration of behaviorism and humanism. Environment and Behavior, 27(2),  184-195.</w:t>
      </w:r>
    </w:p>
    <w:p>
      <w:pPr>
        <w:pStyle w:val="BodyText"/>
        <w:spacing w:line="369" w:lineRule="auto" w:before="120"/>
        <w:ind w:left="807" w:right="900" w:hanging="692"/>
        <w:jc w:val="both"/>
      </w:pPr>
      <w:r>
        <w:rPr/>
        <w:t>Geller, E. S. (1995b). Integrating behaviorism and humanism for environmental  protection. Journal of Social Issues, 51(4),</w:t>
      </w:r>
      <w:r>
        <w:rPr>
          <w:spacing w:val="56"/>
        </w:rPr>
        <w:t> </w:t>
      </w:r>
      <w:r>
        <w:rPr/>
        <w:t>179-195.</w:t>
      </w:r>
    </w:p>
    <w:p>
      <w:pPr>
        <w:pStyle w:val="BodyText"/>
        <w:spacing w:line="362" w:lineRule="auto" w:before="115"/>
        <w:ind w:left="807" w:right="905" w:hanging="692"/>
        <w:jc w:val="both"/>
      </w:pPr>
      <w:r>
        <w:rPr/>
        <w:t>Geller, J. M. &amp; Lasley, P. (1985). The New Environmental Paradigm Scale: A reexamination. Journal of Environmental Education, 17(1),  9-13.</w:t>
      </w:r>
    </w:p>
    <w:p>
      <w:pPr>
        <w:pStyle w:val="BodyText"/>
        <w:spacing w:line="369" w:lineRule="auto" w:before="123"/>
        <w:ind w:left="807" w:right="898" w:hanging="692"/>
        <w:jc w:val="both"/>
      </w:pPr>
      <w:r>
        <w:rPr/>
        <w:t>Geller, E. S., Winnett, R. A. &amp; Everett, E. B. (1982). Preserving the environment. New strategies for behavior change. Nueva York, NY, EE. UU.: Pergamon  Press.</w:t>
      </w:r>
    </w:p>
    <w:p>
      <w:pPr>
        <w:pStyle w:val="BodyText"/>
        <w:spacing w:line="472" w:lineRule="auto" w:before="115"/>
        <w:ind w:left="116" w:right="1227"/>
      </w:pPr>
      <w:r>
        <w:rPr/>
        <w:t>Hall, E., (1966), The Hidden Dimension. Garden city, Nueva York: Doubleday. Holahan, C. J. (1991). Psicología Ambiental. Un enfoque general. México. Limusa. Howard, G. S. (2000). Adapting human lifestyles for the 21st century. American Psychologist, 55(5), 509-515.</w:t>
      </w:r>
    </w:p>
    <w:p>
      <w:pPr>
        <w:pStyle w:val="BodyText"/>
        <w:spacing w:line="364" w:lineRule="auto" w:before="4"/>
        <w:ind w:left="807" w:right="892" w:hanging="692"/>
        <w:jc w:val="both"/>
      </w:pPr>
      <w:r>
        <w:rPr/>
        <w:t>Kaplan (eds.), (1976), Experiencing the Environment.  Nueva York:  Plenum  Press, 55- 81.</w:t>
      </w:r>
    </w:p>
    <w:p>
      <w:pPr>
        <w:pStyle w:val="BodyText"/>
        <w:spacing w:line="364" w:lineRule="auto" w:before="120"/>
        <w:ind w:left="807" w:right="891" w:hanging="692"/>
        <w:jc w:val="both"/>
      </w:pPr>
      <w:r>
        <w:rPr/>
        <w:t>Kaplan, R., (1984), The Impact of Urban Nature: a Theoretical Analysis, </w:t>
      </w:r>
      <w:r>
        <w:rPr>
          <w:i/>
        </w:rPr>
        <w:t>Urban Ecology</w:t>
      </w:r>
      <w:r>
        <w:rPr/>
        <w:t>,  8:</w:t>
      </w:r>
      <w:r>
        <w:rPr>
          <w:spacing w:val="15"/>
        </w:rPr>
        <w:t> </w:t>
      </w:r>
      <w:r>
        <w:rPr/>
        <w:t>189-197.</w:t>
      </w:r>
    </w:p>
    <w:p>
      <w:pPr>
        <w:pStyle w:val="BodyText"/>
        <w:spacing w:line="364" w:lineRule="auto" w:before="125"/>
        <w:ind w:left="807" w:right="892" w:hanging="692"/>
        <w:jc w:val="both"/>
      </w:pPr>
      <w:r>
        <w:rPr/>
        <w:t>Lévy-Leboyer, C., Bonnes, M., Chase, J., Ferreira-Marques &amp; Pawlik, K. (1996). Determinants of pro-environmental behaviors: a five-country comparison. European Psychologist,</w:t>
      </w:r>
      <w:r>
        <w:rPr>
          <w:spacing w:val="36"/>
        </w:rPr>
        <w:t> </w:t>
      </w:r>
      <w:r>
        <w:rPr/>
        <w:t>123-129.</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4" w:lineRule="auto" w:before="74"/>
        <w:ind w:left="807" w:right="898" w:hanging="692"/>
        <w:jc w:val="both"/>
      </w:pPr>
      <w:r>
        <w:rPr/>
        <w:t>Levy-Levoyer, C., (1982), Psychologie, Environment et Vandalisme, Ponencia  presentada en la Séptima Conferencia Internacional sobre el Hombre y su Entorno. Barcelona,</w:t>
      </w:r>
      <w:r>
        <w:rPr>
          <w:spacing w:val="34"/>
        </w:rPr>
        <w:t> </w:t>
      </w:r>
      <w:r>
        <w:rPr/>
        <w:t>España.</w:t>
      </w:r>
    </w:p>
    <w:p>
      <w:pPr>
        <w:spacing w:line="364" w:lineRule="auto" w:before="120"/>
        <w:ind w:left="807" w:right="893" w:hanging="692"/>
        <w:jc w:val="both"/>
        <w:rPr>
          <w:sz w:val="23"/>
        </w:rPr>
      </w:pPr>
      <w:r>
        <w:rPr>
          <w:sz w:val="23"/>
        </w:rPr>
        <w:t>Limme, D., (1972), </w:t>
      </w:r>
      <w:r>
        <w:rPr>
          <w:i/>
          <w:sz w:val="23"/>
        </w:rPr>
        <w:t>Behavioral Research in Outdoor Recreation Management: an  </w:t>
      </w:r>
      <w:r>
        <w:rPr>
          <w:i/>
          <w:sz w:val="23"/>
        </w:rPr>
        <w:t>Example of How Visitors Select Campgrounds </w:t>
      </w:r>
      <w:r>
        <w:rPr>
          <w:spacing w:val="-3"/>
          <w:sz w:val="23"/>
        </w:rPr>
        <w:t>en: </w:t>
      </w:r>
      <w:r>
        <w:rPr>
          <w:spacing w:val="3"/>
          <w:sz w:val="23"/>
        </w:rPr>
        <w:t>J. </w:t>
      </w:r>
      <w:r>
        <w:rPr>
          <w:sz w:val="23"/>
        </w:rPr>
        <w:t>Wolhwill y D. Carson (eds.), Environment and the Social Sciences: Perspectives  and  Applications. Washington, D.C.: American Psychological Association, </w:t>
      </w:r>
      <w:r>
        <w:rPr>
          <w:spacing w:val="9"/>
          <w:sz w:val="23"/>
        </w:rPr>
        <w:t> </w:t>
      </w:r>
      <w:r>
        <w:rPr>
          <w:sz w:val="23"/>
        </w:rPr>
        <w:t>198-206.</w:t>
      </w:r>
    </w:p>
    <w:p>
      <w:pPr>
        <w:pStyle w:val="BodyText"/>
        <w:spacing w:before="120"/>
        <w:ind w:left="116" w:right="989"/>
      </w:pPr>
      <w:r>
        <w:rPr/>
        <w:t>Lynch, K. (ed.). A Theory of Good City Form. Cambridge: MIT,  1981.</w:t>
      </w:r>
    </w:p>
    <w:p>
      <w:pPr>
        <w:pStyle w:val="BodyText"/>
        <w:spacing w:before="5"/>
        <w:rPr>
          <w:sz w:val="22"/>
        </w:rPr>
      </w:pPr>
    </w:p>
    <w:p>
      <w:pPr>
        <w:pStyle w:val="BodyText"/>
        <w:spacing w:line="364" w:lineRule="auto"/>
        <w:ind w:left="807" w:right="893" w:hanging="692"/>
        <w:jc w:val="both"/>
      </w:pPr>
      <w:r>
        <w:rPr/>
        <w:t>Marans, R., (1972), Outdoor Recreation Behavior in Residencial Environments” en: J. Wolhwill y D. Carson (eds.), Environment and the Social Sciences: Perspectives and Applications. Washington, D.C.: American Psychological  Association.</w:t>
      </w:r>
    </w:p>
    <w:p>
      <w:pPr>
        <w:spacing w:line="364" w:lineRule="auto" w:before="120"/>
        <w:ind w:left="807" w:right="898" w:hanging="692"/>
        <w:jc w:val="both"/>
        <w:rPr>
          <w:sz w:val="23"/>
        </w:rPr>
      </w:pPr>
      <w:r>
        <w:rPr>
          <w:sz w:val="23"/>
        </w:rPr>
        <w:t>McKechnie, G., (1974), </w:t>
      </w:r>
      <w:r>
        <w:rPr>
          <w:i/>
          <w:sz w:val="23"/>
        </w:rPr>
        <w:t>Environmental Response Inventory</w:t>
      </w:r>
      <w:r>
        <w:rPr>
          <w:sz w:val="23"/>
        </w:rPr>
        <w:t>. Palo Alto: Consulting Psychologists Press.</w:t>
      </w:r>
    </w:p>
    <w:p>
      <w:pPr>
        <w:pStyle w:val="BodyText"/>
        <w:spacing w:line="364" w:lineRule="auto" w:before="120"/>
        <w:ind w:left="807" w:right="894" w:hanging="692"/>
        <w:jc w:val="both"/>
      </w:pPr>
      <w:r>
        <w:rPr/>
        <w:t>Mercado, S. y Covarrubias, J., (1979), La reacción humana ante la complejidad arquitectónica: hacia una estrategia urbana más humana, </w:t>
      </w:r>
      <w:r>
        <w:rPr>
          <w:i/>
        </w:rPr>
        <w:t>Cuadernos de </w:t>
      </w:r>
      <w:r>
        <w:rPr>
          <w:i/>
        </w:rPr>
        <w:t>Comunicación</w:t>
      </w:r>
      <w:r>
        <w:rPr/>
        <w:t>, 4: 15-21.</w:t>
      </w:r>
    </w:p>
    <w:p>
      <w:pPr>
        <w:pStyle w:val="BodyText"/>
        <w:spacing w:line="362" w:lineRule="auto" w:before="125"/>
        <w:ind w:left="807" w:right="897" w:hanging="692"/>
        <w:jc w:val="both"/>
      </w:pPr>
      <w:r>
        <w:rPr/>
        <w:t>Moore, G., (1979), Knowing about Environmental Knowing: The Current State of Theory and Research on Environmental Cognition, </w:t>
      </w:r>
      <w:r>
        <w:rPr>
          <w:i/>
        </w:rPr>
        <w:t>Environment and Behavior,  </w:t>
      </w:r>
      <w:r>
        <w:rPr/>
        <w:t>11:33-70.</w:t>
      </w:r>
    </w:p>
    <w:p>
      <w:pPr>
        <w:pStyle w:val="BodyText"/>
        <w:spacing w:line="364" w:lineRule="auto" w:before="127"/>
        <w:ind w:left="807" w:right="896" w:hanging="692"/>
        <w:jc w:val="both"/>
      </w:pPr>
      <w:r>
        <w:rPr/>
        <w:t>Moos, R. y Smail, P., (1974), Characterizing Treatment Environments en  R.  Moos  (eds.), Evaluation Treatment Environments: A Social Ecological Approach. Nueva York: Wiley,</w:t>
      </w:r>
      <w:r>
        <w:rPr>
          <w:spacing w:val="19"/>
        </w:rPr>
        <w:t> </w:t>
      </w:r>
      <w:r>
        <w:rPr/>
        <w:t>3-32.</w:t>
      </w:r>
    </w:p>
    <w:p>
      <w:pPr>
        <w:pStyle w:val="BodyText"/>
        <w:spacing w:line="364" w:lineRule="auto" w:before="120"/>
        <w:ind w:left="807" w:right="891" w:hanging="692"/>
        <w:jc w:val="both"/>
      </w:pPr>
      <w:r>
        <w:rPr/>
        <w:t>Osmond, H., (1957), Function </w:t>
      </w:r>
      <w:r>
        <w:rPr>
          <w:spacing w:val="-3"/>
        </w:rPr>
        <w:t>as </w:t>
      </w:r>
      <w:r>
        <w:rPr/>
        <w:t>the Basis of Psychiatric Ward Desing”,  Mental Hospitals, 8:</w:t>
      </w:r>
      <w:r>
        <w:rPr>
          <w:spacing w:val="24"/>
        </w:rPr>
        <w:t> </w:t>
      </w:r>
      <w:r>
        <w:rPr/>
        <w:t>23-30.</w:t>
      </w:r>
    </w:p>
    <w:p>
      <w:pPr>
        <w:pStyle w:val="BodyText"/>
        <w:spacing w:line="364" w:lineRule="auto" w:before="120"/>
        <w:ind w:left="807" w:right="897" w:hanging="692"/>
        <w:jc w:val="both"/>
      </w:pPr>
      <w:r>
        <w:rPr/>
        <w:t>Palys, T. y Little, B., (1980), A proyect-based Analysis of Community Dynamics and Satisfactions. Ponencia presentada en EDRA-1 1: Annual Meeting of Environmental Design Research Association, Charleston,  S.C.</w:t>
      </w:r>
    </w:p>
    <w:p>
      <w:pPr>
        <w:pStyle w:val="BodyText"/>
        <w:spacing w:line="364" w:lineRule="auto" w:before="120"/>
        <w:ind w:left="807" w:right="895" w:hanging="692"/>
        <w:jc w:val="both"/>
      </w:pPr>
      <w:r>
        <w:rPr/>
        <w:t>Proshansky, H., Ittelson, W. y Rivlin, L. (eds.), (1970), Environmental Psychology: Man and his Physical Setting. Nueva York: Holt, Rinehart and  Winston.</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807" w:right="892" w:hanging="692"/>
        <w:jc w:val="both"/>
      </w:pPr>
      <w:r>
        <w:rPr/>
        <w:t>Stokols, D., (1978), Environmental Psychology, Annual Review of Psychology, , 29, 253- 295.</w:t>
      </w:r>
    </w:p>
    <w:p>
      <w:pPr>
        <w:pStyle w:val="BodyText"/>
        <w:spacing w:line="364" w:lineRule="auto" w:before="123"/>
        <w:ind w:left="807" w:right="891" w:hanging="692"/>
        <w:jc w:val="both"/>
      </w:pPr>
      <w:r>
        <w:rPr/>
        <w:t>Tyler, L., (1981), More stately mansions: Psychology extends its boundaries, Annual Review of Psychology, 32: 1-20.</w:t>
      </w:r>
    </w:p>
    <w:p>
      <w:pPr>
        <w:pStyle w:val="BodyText"/>
        <w:spacing w:line="364" w:lineRule="auto" w:before="125"/>
        <w:ind w:left="807" w:right="891" w:hanging="692"/>
        <w:jc w:val="both"/>
      </w:pPr>
      <w:r>
        <w:rPr/>
        <w:t>WoIhwill, J. y Carson, D. (eds.), (1972), Environment and the Social Sciences: Perspectives and Applications. Washington, D.C.: American Psychological Association.</w:t>
      </w:r>
    </w:p>
    <w:p>
      <w:pPr>
        <w:pStyle w:val="BodyText"/>
        <w:spacing w:line="369" w:lineRule="auto" w:before="120"/>
        <w:ind w:left="807" w:right="899" w:hanging="692"/>
        <w:jc w:val="both"/>
      </w:pPr>
      <w:r>
        <w:rPr/>
        <w:t>Wolf, P., (1974), </w:t>
      </w:r>
      <w:r>
        <w:rPr>
          <w:i/>
        </w:rPr>
        <w:t>The Future of the City</w:t>
      </w:r>
      <w:r>
        <w:rPr/>
        <w:t>, New Directions in Urban Planning. Nueva York: Whitney Library of Design.</w:t>
      </w:r>
    </w:p>
    <w:p>
      <w:pPr>
        <w:pStyle w:val="BodyText"/>
        <w:spacing w:line="364" w:lineRule="auto" w:before="115"/>
        <w:ind w:left="807" w:right="900" w:hanging="692"/>
        <w:jc w:val="both"/>
      </w:pPr>
      <w:r>
        <w:rPr/>
        <w:t>Zlutnick, S. y Altman, I., (1972), Crowding and Human Behavior” en: J. Wolhwill y D. Carson (eds.), Environment and the Social Sciences: Perspectives and Applications. Washington D.C.: American Psychological  Association.</w:t>
      </w:r>
    </w:p>
    <w:p>
      <w:pPr>
        <w:pStyle w:val="BodyText"/>
        <w:spacing w:line="362" w:lineRule="auto" w:before="125"/>
        <w:ind w:left="807" w:right="899" w:hanging="692"/>
        <w:jc w:val="both"/>
      </w:pPr>
      <w:r>
        <w:rPr/>
        <w:t>Zube, E., Pitt, D., (1981), Cross-cultural Perceptions of Scenic  </w:t>
      </w:r>
      <w:r>
        <w:rPr>
          <w:spacing w:val="-3"/>
        </w:rPr>
        <w:t>and  </w:t>
      </w:r>
      <w:r>
        <w:rPr/>
        <w:t>Heritage  Landscapes, </w:t>
      </w:r>
      <w:r>
        <w:rPr>
          <w:i/>
        </w:rPr>
        <w:t>Landscape Planning</w:t>
      </w:r>
      <w:r>
        <w:rPr/>
        <w:t>, 8:</w:t>
      </w:r>
      <w:r>
        <w:rPr>
          <w:spacing w:val="47"/>
        </w:rPr>
        <w:t> </w:t>
      </w:r>
      <w:r>
        <w:rPr/>
        <w:t>69-87.</w:t>
      </w:r>
    </w:p>
    <w:p>
      <w:pPr>
        <w:pStyle w:val="BodyText"/>
        <w:spacing w:line="364" w:lineRule="auto" w:before="123"/>
        <w:ind w:left="807" w:right="899" w:hanging="692"/>
        <w:jc w:val="both"/>
      </w:pPr>
      <w:r>
        <w:rPr/>
        <w:t>Zube, E., Sell, J. y Taylor, J., (1982), Landscape Perception: Research, Application and Theory, </w:t>
      </w:r>
      <w:r>
        <w:rPr>
          <w:i/>
        </w:rPr>
        <w:t>Landscape Planning</w:t>
      </w:r>
      <w:r>
        <w:rPr/>
        <w:t>, 9: 1-33.</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Heading2"/>
        <w:ind w:left="0" w:right="781"/>
        <w:jc w:val="center"/>
      </w:pPr>
      <w:r>
        <w:rPr/>
        <w:t>CONCLUSIONES</w:t>
      </w:r>
    </w:p>
    <w:p>
      <w:pPr>
        <w:pStyle w:val="BodyText"/>
        <w:rPr>
          <w:b/>
          <w:sz w:val="22"/>
        </w:rPr>
      </w:pPr>
    </w:p>
    <w:p>
      <w:pPr>
        <w:pStyle w:val="BodyText"/>
        <w:rPr>
          <w:b/>
          <w:sz w:val="22"/>
        </w:rPr>
      </w:pPr>
    </w:p>
    <w:p>
      <w:pPr>
        <w:pStyle w:val="BodyText"/>
        <w:spacing w:before="1"/>
        <w:rPr>
          <w:b/>
        </w:rPr>
      </w:pPr>
    </w:p>
    <w:p>
      <w:pPr>
        <w:pStyle w:val="BodyText"/>
        <w:spacing w:line="364" w:lineRule="auto" w:before="1"/>
        <w:ind w:left="116" w:right="899"/>
        <w:jc w:val="both"/>
      </w:pPr>
      <w:r>
        <w:rPr/>
        <w:t>La preocupación actual por la situación ambiental y la consiguiente toma de conciencia de </w:t>
      </w:r>
      <w:r>
        <w:rPr>
          <w:spacing w:val="-5"/>
        </w:rPr>
        <w:t>la </w:t>
      </w:r>
      <w:r>
        <w:rPr/>
        <w:t>importancia de respetar y proteger el  ambiente requieren un cambio de actitudes  en las relaciones entre las personas y su entorno natural, que se traduce </w:t>
      </w:r>
      <w:r>
        <w:rPr>
          <w:spacing w:val="-3"/>
        </w:rPr>
        <w:t>en </w:t>
      </w:r>
      <w:r>
        <w:rPr/>
        <w:t>la consideración de </w:t>
      </w:r>
      <w:r>
        <w:rPr>
          <w:spacing w:val="-5"/>
        </w:rPr>
        <w:t>la </w:t>
      </w:r>
      <w:r>
        <w:rPr/>
        <w:t>naturaleza </w:t>
      </w:r>
      <w:r>
        <w:rPr>
          <w:spacing w:val="2"/>
        </w:rPr>
        <w:t>por </w:t>
      </w:r>
      <w:r>
        <w:rPr/>
        <w:t>su valor intrínseco y no solo por </w:t>
      </w:r>
      <w:r>
        <w:rPr>
          <w:spacing w:val="3"/>
        </w:rPr>
        <w:t>su </w:t>
      </w:r>
      <w:r>
        <w:rPr/>
        <w:t>utilidad en la mejora de la calidad de vida</w:t>
      </w:r>
      <w:r>
        <w:rPr>
          <w:spacing w:val="44"/>
        </w:rPr>
        <w:t> </w:t>
      </w:r>
      <w:r>
        <w:rPr/>
        <w:t>humana.</w:t>
      </w:r>
    </w:p>
    <w:p>
      <w:pPr>
        <w:pStyle w:val="BodyText"/>
        <w:spacing w:line="367" w:lineRule="auto" w:before="120"/>
        <w:ind w:left="116" w:right="895"/>
        <w:jc w:val="both"/>
      </w:pPr>
      <w:r>
        <w:rPr/>
        <w:t>Las áreas naturales protegidas son espacios que  resguardan  recursos  naturales  de gran importancia para el ser humano porque que le proveen recursos naturales para su subsistencia además de paisajes, vivencias y experiencias que ha venido disfrutando desde hace mucho tiempo, motivo por el cual es necesario  protegerlos.</w:t>
      </w:r>
    </w:p>
    <w:p>
      <w:pPr>
        <w:pStyle w:val="BodyText"/>
        <w:spacing w:line="364" w:lineRule="auto"/>
        <w:ind w:left="116" w:right="894"/>
        <w:jc w:val="both"/>
      </w:pPr>
      <w:r>
        <w:rPr/>
        <w:t>La conservación de la riqueza biológica y el goce de estar en contacto con la naturaleza han intentado conjuntarse en una actividad llamada turismo. Una actividad que muchas veces ha mermado la calidad de los recursos naturales, pero que aboga por convertirse en una alternativa para su conservación. Sin embargo, en el afán por contemplar esos paisajes, entrar en contacto con la naturaleza, obtener vivencias  y  experiencias  en áreas naturales, el ser humano ha olvidado muchas veces la importancia de conservar esos sitios y lo que en ellos habita, ocasionando impactos naturales que producen su degradación y con ello la preocupación ambiental por actuar en  consecuencia.</w:t>
      </w:r>
    </w:p>
    <w:p>
      <w:pPr>
        <w:pStyle w:val="BodyText"/>
        <w:spacing w:line="364" w:lineRule="auto" w:before="5"/>
        <w:ind w:left="115" w:right="897"/>
        <w:jc w:val="both"/>
      </w:pPr>
      <w:r>
        <w:rPr/>
        <w:t>La sustentabilidad aparece entonces como la solución idónea a </w:t>
      </w:r>
      <w:r>
        <w:rPr>
          <w:spacing w:val="-5"/>
        </w:rPr>
        <w:t>la </w:t>
      </w:r>
      <w:r>
        <w:rPr/>
        <w:t>crisis ambiental, en donde el gobierno, las instituciones y las organizaciones no gubernamentales (ONG´s), plantean que </w:t>
      </w:r>
      <w:r>
        <w:rPr>
          <w:spacing w:val="-3"/>
        </w:rPr>
        <w:t>es </w:t>
      </w:r>
      <w:r>
        <w:rPr/>
        <w:t>el camino a seguir para frenar los problemas  ambientales.  Sin  embargo, el asegurar las necesidades del presente sin comprometer  las  necesidades  de las generaciones futuras, no depende únicamente del discurso y las buenas intenciones del individuo. Para lograr esa sustentabilidad y convertirla verdaderamente  en el mecanismo que frene </w:t>
      </w:r>
      <w:r>
        <w:rPr>
          <w:spacing w:val="-5"/>
        </w:rPr>
        <w:t>la </w:t>
      </w:r>
      <w:r>
        <w:rPr/>
        <w:t>degradación ambiental y asegure la conservación de los recursos naturales, </w:t>
      </w:r>
      <w:r>
        <w:rPr>
          <w:spacing w:val="-3"/>
        </w:rPr>
        <w:t>es </w:t>
      </w:r>
      <w:r>
        <w:rPr/>
        <w:t>necesario que cada ser humano tome conciencia sobre la  situación ambiental que se vive en los últimos  años, que conozca las consecuencias  que produce el consumo desmedido y también las estrategias que ayudan a controlarlo, pero  sobre  todo  </w:t>
      </w:r>
      <w:r>
        <w:rPr>
          <w:spacing w:val="-3"/>
        </w:rPr>
        <w:t>que  </w:t>
      </w:r>
      <w:r>
        <w:rPr/>
        <w:t>revalorice  sus  actitudes  hacia  el  ambiente,  manifestando    </w:t>
      </w:r>
      <w:r>
        <w:rPr>
          <w:spacing w:val="12"/>
        </w:rPr>
        <w:t> </w:t>
      </w:r>
      <w:r>
        <w:rPr/>
        <w:t>en</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BodyText"/>
        <w:spacing w:line="362" w:lineRule="auto" w:before="74"/>
        <w:ind w:left="115" w:right="903"/>
        <w:jc w:val="both"/>
      </w:pPr>
      <w:r>
        <w:rPr/>
        <w:t>acciones concretas, actividades que ayuden a preservar y proteger la naturaleza y todo  el ambiente que </w:t>
      </w:r>
      <w:r>
        <w:rPr>
          <w:spacing w:val="-5"/>
        </w:rPr>
        <w:t>lo</w:t>
      </w:r>
      <w:r>
        <w:rPr>
          <w:spacing w:val="35"/>
        </w:rPr>
        <w:t> </w:t>
      </w:r>
      <w:r>
        <w:rPr/>
        <w:t>rodea.</w:t>
      </w:r>
    </w:p>
    <w:p>
      <w:pPr>
        <w:pStyle w:val="BodyText"/>
        <w:spacing w:line="364" w:lineRule="auto" w:before="7"/>
        <w:ind w:left="115" w:right="891"/>
        <w:jc w:val="both"/>
      </w:pPr>
      <w:r>
        <w:rPr/>
        <w:t>Y es aquí en donde, </w:t>
      </w:r>
      <w:r>
        <w:rPr>
          <w:spacing w:val="-5"/>
        </w:rPr>
        <w:t>la  </w:t>
      </w:r>
      <w:r>
        <w:rPr/>
        <w:t>Psicología Ambiental, aparece como la  “disciplina que estudia  las relaciones recíprocas entre la conducta de las personas y el ambiente sociofísico tanto natural como construido” (Aragonés y Amérigo, 1998: 24), tiene un carácter de  “área aplicada de </w:t>
      </w:r>
      <w:r>
        <w:rPr>
          <w:spacing w:val="-5"/>
        </w:rPr>
        <w:t>la </w:t>
      </w:r>
      <w:r>
        <w:rPr/>
        <w:t>psicología cuyo objetivo es estudiar el comportamiento humano en   el marco de problemas o tópicos ambientales delimitados” (Corral-Verdugo, 2001:  38). En esencia la psicología ambiental es una herramienta que ayuda  a  conectar  la  relación hombre –naturaleza, </w:t>
      </w:r>
      <w:r>
        <w:rPr>
          <w:spacing w:val="2"/>
        </w:rPr>
        <w:t>con </w:t>
      </w:r>
      <w:r>
        <w:rPr>
          <w:spacing w:val="-5"/>
        </w:rPr>
        <w:t>la </w:t>
      </w:r>
      <w:r>
        <w:rPr/>
        <w:t>finalidad de propiciar en  el  individuo comportamientos proambientales que contribuyan a hacer efectivos los principios de la sustentabilidad para salvaguardar a la</w:t>
      </w:r>
      <w:r>
        <w:rPr>
          <w:spacing w:val="53"/>
        </w:rPr>
        <w:t> </w:t>
      </w:r>
      <w:r>
        <w:rPr/>
        <w:t>naturaleza.</w:t>
      </w:r>
    </w:p>
    <w:p>
      <w:pPr>
        <w:pStyle w:val="BodyText"/>
        <w:spacing w:line="364" w:lineRule="auto" w:before="120"/>
        <w:ind w:left="115" w:right="896"/>
        <w:jc w:val="both"/>
      </w:pPr>
      <w:r>
        <w:rPr/>
        <w:t>En el trabajo de investigación que se desarrolló, se planteó la necesidad urgente de analizar la actividad turística en las áreas naturales protegidas, específicamente en el Parque Nacional Desierto de los Leones (PNDL), con la intención de frenar la degradación que </w:t>
      </w:r>
      <w:r>
        <w:rPr>
          <w:spacing w:val="3"/>
        </w:rPr>
        <w:t>se </w:t>
      </w:r>
      <w:r>
        <w:rPr/>
        <w:t>está presentando en este espacio, debido al comportamiento de los visitantes. Para </w:t>
      </w:r>
      <w:r>
        <w:rPr>
          <w:spacing w:val="-3"/>
        </w:rPr>
        <w:t>ello </w:t>
      </w:r>
      <w:r>
        <w:rPr/>
        <w:t>se apoyó de </w:t>
      </w:r>
      <w:r>
        <w:rPr>
          <w:spacing w:val="-5"/>
        </w:rPr>
        <w:t>la </w:t>
      </w:r>
      <w:r>
        <w:rPr/>
        <w:t>sustentación teórica que la psicología ambiental  aporta para el análisis e identificación de los factores que determinan los comportamientos proambientales y así determinar las áreas de oportunidad en las que  se pueden implementar acciones que contribuyan a </w:t>
      </w:r>
      <w:r>
        <w:rPr>
          <w:spacing w:val="-5"/>
        </w:rPr>
        <w:t>la </w:t>
      </w:r>
      <w:r>
        <w:rPr>
          <w:spacing w:val="26"/>
        </w:rPr>
        <w:t> </w:t>
      </w:r>
      <w:r>
        <w:rPr/>
        <w:t>sustentabilidad.</w:t>
      </w:r>
    </w:p>
    <w:p>
      <w:pPr>
        <w:pStyle w:val="BodyText"/>
        <w:spacing w:line="364" w:lineRule="auto" w:before="120"/>
        <w:ind w:left="115" w:right="893"/>
        <w:jc w:val="both"/>
      </w:pPr>
      <w:r>
        <w:rPr/>
        <w:t>En este sentido, de acuerdo con </w:t>
      </w:r>
      <w:r>
        <w:rPr>
          <w:spacing w:val="-5"/>
        </w:rPr>
        <w:t>la </w:t>
      </w:r>
      <w:r>
        <w:rPr/>
        <w:t>teoría y los hallazgos que se han expuesto con respecto al estudio de los comportamientos proambientales a lo largo  de  la investigación se ha llegado a la conclusión que en el caso particular </w:t>
      </w:r>
      <w:r>
        <w:rPr>
          <w:spacing w:val="2"/>
        </w:rPr>
        <w:t>del </w:t>
      </w:r>
      <w:r>
        <w:rPr>
          <w:spacing w:val="11"/>
        </w:rPr>
        <w:t> </w:t>
      </w:r>
      <w:r>
        <w:rPr/>
        <w:t>PNDL:</w:t>
      </w:r>
    </w:p>
    <w:p>
      <w:pPr>
        <w:pStyle w:val="ListParagraph"/>
        <w:numPr>
          <w:ilvl w:val="0"/>
          <w:numId w:val="32"/>
        </w:numPr>
        <w:tabs>
          <w:tab w:pos="529" w:val="left" w:leader="none"/>
        </w:tabs>
        <w:spacing w:line="360" w:lineRule="auto" w:before="119" w:after="0"/>
        <w:ind w:left="528" w:right="900" w:hanging="350"/>
        <w:jc w:val="both"/>
        <w:rPr>
          <w:sz w:val="23"/>
        </w:rPr>
      </w:pPr>
      <w:r>
        <w:rPr>
          <w:sz w:val="23"/>
        </w:rPr>
        <w:t>Hay una conciencia ambiental por parte de los visitantes pero </w:t>
      </w:r>
      <w:r>
        <w:rPr>
          <w:spacing w:val="-3"/>
          <w:sz w:val="23"/>
        </w:rPr>
        <w:t>no  </w:t>
      </w:r>
      <w:r>
        <w:rPr>
          <w:spacing w:val="-5"/>
          <w:sz w:val="23"/>
        </w:rPr>
        <w:t>la  </w:t>
      </w:r>
      <w:r>
        <w:rPr>
          <w:sz w:val="23"/>
        </w:rPr>
        <w:t>manifiestan  hacia un comportamiento</w:t>
      </w:r>
      <w:r>
        <w:rPr>
          <w:spacing w:val="40"/>
          <w:sz w:val="23"/>
        </w:rPr>
        <w:t> </w:t>
      </w:r>
      <w:r>
        <w:rPr>
          <w:sz w:val="23"/>
        </w:rPr>
        <w:t>proambiental.</w:t>
      </w:r>
    </w:p>
    <w:p>
      <w:pPr>
        <w:pStyle w:val="ListParagraph"/>
        <w:numPr>
          <w:ilvl w:val="0"/>
          <w:numId w:val="32"/>
        </w:numPr>
        <w:tabs>
          <w:tab w:pos="467" w:val="left" w:leader="none"/>
        </w:tabs>
        <w:spacing w:line="362" w:lineRule="auto" w:before="4" w:after="0"/>
        <w:ind w:left="466" w:right="900" w:hanging="350"/>
        <w:jc w:val="both"/>
        <w:rPr>
          <w:sz w:val="23"/>
        </w:rPr>
      </w:pPr>
      <w:r>
        <w:rPr>
          <w:sz w:val="23"/>
        </w:rPr>
        <w:t>Existen factores contextuales y personales del visitante que inciden en su comportamiento proambiental dentro del parque, lo que determina en cierto modo   sus acciones con respecto a la naturaleza del</w:t>
      </w:r>
      <w:r>
        <w:rPr>
          <w:spacing w:val="53"/>
          <w:sz w:val="23"/>
        </w:rPr>
        <w:t> </w:t>
      </w:r>
      <w:r>
        <w:rPr>
          <w:sz w:val="23"/>
        </w:rPr>
        <w:t>lugar.</w:t>
      </w:r>
    </w:p>
    <w:p>
      <w:pPr>
        <w:pStyle w:val="ListParagraph"/>
        <w:numPr>
          <w:ilvl w:val="0"/>
          <w:numId w:val="32"/>
        </w:numPr>
        <w:tabs>
          <w:tab w:pos="467" w:val="left" w:leader="none"/>
        </w:tabs>
        <w:spacing w:line="362" w:lineRule="auto" w:before="1" w:after="0"/>
        <w:ind w:left="466" w:right="895" w:hanging="350"/>
        <w:jc w:val="both"/>
        <w:rPr>
          <w:sz w:val="23"/>
        </w:rPr>
      </w:pPr>
      <w:r>
        <w:rPr>
          <w:sz w:val="23"/>
        </w:rPr>
        <w:t>Los factores de comportamiento proambiental identificados en los visitantes del parque fueron psicosociales y cognitivos, de los cuales ambos tienen una relación significativa.</w:t>
      </w:r>
    </w:p>
    <w:p>
      <w:pPr>
        <w:spacing w:after="0" w:line="362" w:lineRule="auto"/>
        <w:jc w:val="both"/>
        <w:rPr>
          <w:sz w:val="23"/>
        </w:rPr>
        <w:sectPr>
          <w:footerReference w:type="default" r:id="rId73"/>
          <w:pgSz w:w="11910" w:h="16840"/>
          <w:pgMar w:footer="1715" w:header="1066" w:top="1460" w:bottom="1900" w:left="1540" w:right="200"/>
          <w:pgNumType w:start="120"/>
        </w:sectPr>
      </w:pPr>
    </w:p>
    <w:p>
      <w:pPr>
        <w:pStyle w:val="BodyText"/>
        <w:rPr>
          <w:sz w:val="20"/>
        </w:rPr>
      </w:pPr>
    </w:p>
    <w:p>
      <w:pPr>
        <w:pStyle w:val="BodyText"/>
        <w:spacing w:before="6"/>
        <w:rPr>
          <w:sz w:val="18"/>
        </w:rPr>
      </w:pPr>
    </w:p>
    <w:p>
      <w:pPr>
        <w:pStyle w:val="ListParagraph"/>
        <w:numPr>
          <w:ilvl w:val="0"/>
          <w:numId w:val="32"/>
        </w:numPr>
        <w:tabs>
          <w:tab w:pos="467" w:val="left" w:leader="none"/>
        </w:tabs>
        <w:spacing w:line="362" w:lineRule="auto" w:before="61" w:after="0"/>
        <w:ind w:left="466" w:right="898" w:hanging="350"/>
        <w:jc w:val="both"/>
        <w:rPr>
          <w:sz w:val="23"/>
        </w:rPr>
      </w:pPr>
      <w:r>
        <w:rPr>
          <w:sz w:val="23"/>
        </w:rPr>
        <w:t>Con respecto a la metodología utilizada, esta permitió demostrar que la escala fue la adecuada y que el modelo tuvo un 83% de aceptación lo que permitió obtener resultados concisos para el caso de</w:t>
      </w:r>
      <w:r>
        <w:rPr>
          <w:spacing w:val="49"/>
          <w:sz w:val="23"/>
        </w:rPr>
        <w:t> </w:t>
      </w:r>
      <w:r>
        <w:rPr>
          <w:sz w:val="23"/>
        </w:rPr>
        <w:t>estudio.</w:t>
      </w:r>
    </w:p>
    <w:p>
      <w:pPr>
        <w:pStyle w:val="ListParagraph"/>
        <w:numPr>
          <w:ilvl w:val="0"/>
          <w:numId w:val="32"/>
        </w:numPr>
        <w:tabs>
          <w:tab w:pos="467" w:val="left" w:leader="none"/>
        </w:tabs>
        <w:spacing w:line="360" w:lineRule="auto" w:before="6" w:after="0"/>
        <w:ind w:left="466" w:right="902" w:hanging="350"/>
        <w:jc w:val="both"/>
        <w:rPr>
          <w:sz w:val="23"/>
        </w:rPr>
      </w:pPr>
      <w:r>
        <w:rPr>
          <w:sz w:val="23"/>
        </w:rPr>
        <w:t>Se identificó también que los visitantes que acuden al parque tienen diferentes motivaciones, mientras unos </w:t>
      </w:r>
      <w:r>
        <w:rPr>
          <w:spacing w:val="-5"/>
          <w:sz w:val="23"/>
        </w:rPr>
        <w:t>lo </w:t>
      </w:r>
      <w:r>
        <w:rPr>
          <w:sz w:val="23"/>
        </w:rPr>
        <w:t>hacen </w:t>
      </w:r>
      <w:r>
        <w:rPr>
          <w:spacing w:val="-3"/>
          <w:sz w:val="23"/>
        </w:rPr>
        <w:t>por </w:t>
      </w:r>
      <w:r>
        <w:rPr>
          <w:sz w:val="23"/>
        </w:rPr>
        <w:t>deporte, otros acuden para apreciar la naturaleza, descansar y en </w:t>
      </w:r>
      <w:r>
        <w:rPr>
          <w:spacing w:val="3"/>
          <w:sz w:val="23"/>
        </w:rPr>
        <w:t>su </w:t>
      </w:r>
      <w:r>
        <w:rPr>
          <w:sz w:val="23"/>
        </w:rPr>
        <w:t>mayoría para convivir con la</w:t>
      </w:r>
      <w:r>
        <w:rPr>
          <w:spacing w:val="57"/>
          <w:sz w:val="23"/>
        </w:rPr>
        <w:t> </w:t>
      </w:r>
      <w:r>
        <w:rPr>
          <w:sz w:val="23"/>
        </w:rPr>
        <w:t>familia.</w:t>
      </w:r>
    </w:p>
    <w:p>
      <w:pPr>
        <w:pStyle w:val="ListParagraph"/>
        <w:numPr>
          <w:ilvl w:val="0"/>
          <w:numId w:val="32"/>
        </w:numPr>
        <w:tabs>
          <w:tab w:pos="467" w:val="left" w:leader="none"/>
        </w:tabs>
        <w:spacing w:line="362" w:lineRule="auto" w:before="9" w:after="0"/>
        <w:ind w:left="466" w:right="902" w:hanging="350"/>
        <w:jc w:val="both"/>
        <w:rPr>
          <w:sz w:val="23"/>
        </w:rPr>
      </w:pPr>
      <w:r>
        <w:rPr>
          <w:sz w:val="23"/>
        </w:rPr>
        <w:t>Dentro de las actividades identificadas, la que está generando impactos ambientales en el parque por la acumulación de basura, contaminación de fuentes hídricas y la agresión a especies de flora y fauna; es </w:t>
      </w:r>
      <w:r>
        <w:rPr>
          <w:spacing w:val="-5"/>
          <w:sz w:val="23"/>
        </w:rPr>
        <w:t>la </w:t>
      </w:r>
      <w:r>
        <w:rPr>
          <w:sz w:val="23"/>
        </w:rPr>
        <w:t>práctica de días de campo y convivencias familiares por parte de los</w:t>
      </w:r>
      <w:r>
        <w:rPr>
          <w:spacing w:val="39"/>
          <w:sz w:val="23"/>
        </w:rPr>
        <w:t> </w:t>
      </w:r>
      <w:r>
        <w:rPr>
          <w:sz w:val="23"/>
        </w:rPr>
        <w:t>visitantes.</w:t>
      </w:r>
    </w:p>
    <w:p>
      <w:pPr>
        <w:pStyle w:val="BodyText"/>
        <w:rPr>
          <w:sz w:val="22"/>
        </w:rPr>
      </w:pPr>
    </w:p>
    <w:p>
      <w:pPr>
        <w:pStyle w:val="BodyText"/>
        <w:spacing w:line="364" w:lineRule="auto" w:before="153"/>
        <w:ind w:left="116" w:right="894"/>
        <w:jc w:val="both"/>
      </w:pPr>
      <w:r>
        <w:rPr/>
        <w:t>Finalmente los principales hallazgos reportan que el visitante si tiene conocimiento de temas ambientales y de </w:t>
      </w:r>
      <w:r>
        <w:rPr>
          <w:spacing w:val="-4"/>
        </w:rPr>
        <w:t>las </w:t>
      </w:r>
      <w:r>
        <w:rPr/>
        <w:t>estrategias de acción ambiental, pero que </w:t>
      </w:r>
      <w:r>
        <w:rPr>
          <w:spacing w:val="-5"/>
        </w:rPr>
        <w:t>la  </w:t>
      </w:r>
      <w:r>
        <w:rPr/>
        <w:t>mayoría de  estos realizan pocas actividades en favor del ambiente a pesar de haber manifestado tener actitud y responsabilidad ambiental con respecto al cuidado de los espacios naturales donde se permite la actividad turística. De </w:t>
      </w:r>
      <w:r>
        <w:rPr>
          <w:spacing w:val="-3"/>
        </w:rPr>
        <w:t>ello </w:t>
      </w:r>
      <w:r>
        <w:rPr/>
        <w:t>se obtuvo que el visitante  reporta un mayor comportamiento proambiental cuando </w:t>
      </w:r>
      <w:r>
        <w:rPr>
          <w:spacing w:val="3"/>
        </w:rPr>
        <w:t>su </w:t>
      </w:r>
      <w:r>
        <w:rPr/>
        <w:t>conocimiento es mayor, </w:t>
      </w:r>
      <w:r>
        <w:rPr>
          <w:spacing w:val="4"/>
        </w:rPr>
        <w:t>al </w:t>
      </w:r>
      <w:r>
        <w:rPr/>
        <w:t>igual que </w:t>
      </w:r>
      <w:r>
        <w:rPr>
          <w:spacing w:val="3"/>
        </w:rPr>
        <w:t>su </w:t>
      </w:r>
      <w:r>
        <w:rPr/>
        <w:t>responsabilidad y actitud ambiental, por el contrario, un menor comportamiento a favor de la conservación y preservación de los espacios naturales, se da cuando desconoce las estrategias de acción ambiental, su conciencia ambiental es menor y sus actividades a favor del ambiente son </w:t>
      </w:r>
      <w:r>
        <w:rPr>
          <w:spacing w:val="2"/>
        </w:rPr>
        <w:t> </w:t>
      </w:r>
      <w:r>
        <w:rPr/>
        <w:t>limitadas.</w:t>
      </w:r>
    </w:p>
    <w:p>
      <w:pPr>
        <w:spacing w:after="0" w:line="364" w:lineRule="auto"/>
        <w:jc w:val="both"/>
        <w:sectPr>
          <w:pgSz w:w="11910" w:h="16840"/>
          <w:pgMar w:header="1066" w:footer="1715" w:top="1460" w:bottom="1900" w:left="1540" w:right="200"/>
        </w:sectPr>
      </w:pPr>
    </w:p>
    <w:p>
      <w:pPr>
        <w:pStyle w:val="BodyText"/>
        <w:rPr>
          <w:sz w:val="20"/>
        </w:rPr>
      </w:pPr>
    </w:p>
    <w:p>
      <w:pPr>
        <w:pStyle w:val="BodyText"/>
        <w:spacing w:before="10"/>
        <w:rPr>
          <w:sz w:val="17"/>
        </w:rPr>
      </w:pPr>
    </w:p>
    <w:p>
      <w:pPr>
        <w:pStyle w:val="Heading2"/>
        <w:ind w:left="3150" w:right="897"/>
        <w:jc w:val="left"/>
      </w:pPr>
      <w:r>
        <w:rPr/>
        <w:t>FUENTES DE INFORMACIÓN</w:t>
      </w:r>
    </w:p>
    <w:p>
      <w:pPr>
        <w:pStyle w:val="BodyText"/>
        <w:spacing w:before="114"/>
        <w:ind w:left="112" w:right="897"/>
      </w:pPr>
      <w:r>
        <w:rPr/>
        <w:t>(2002), Análisis del turista alemán en:  </w:t>
      </w:r>
      <w:hyperlink r:id="rId74">
        <w:r>
          <w:rPr>
            <w:color w:val="0563C1"/>
            <w:u w:val="single" w:color="0563C1"/>
          </w:rPr>
          <w:t>http://ec.europa.eu/environment/news.htm</w:t>
        </w:r>
      </w:hyperlink>
    </w:p>
    <w:p>
      <w:pPr>
        <w:pStyle w:val="BodyText"/>
        <w:spacing w:before="7"/>
        <w:rPr>
          <w:sz w:val="15"/>
        </w:rPr>
      </w:pPr>
    </w:p>
    <w:p>
      <w:pPr>
        <w:pStyle w:val="BodyText"/>
        <w:spacing w:before="74"/>
        <w:ind w:left="111" w:right="897"/>
      </w:pPr>
      <w:r>
        <w:rPr/>
        <w:t>(2002), Encuesta sobre el turista austriaco en:  </w:t>
      </w:r>
      <w:hyperlink r:id="rId75">
        <w:r>
          <w:rPr>
            <w:color w:val="0563C1"/>
            <w:u w:val="single" w:color="0563C1"/>
          </w:rPr>
          <w:t>http://ec.europ/environment/news.es.htm</w:t>
        </w:r>
      </w:hyperlink>
    </w:p>
    <w:p>
      <w:pPr>
        <w:pStyle w:val="BodyText"/>
        <w:spacing w:before="1"/>
        <w:rPr>
          <w:sz w:val="16"/>
        </w:rPr>
      </w:pPr>
    </w:p>
    <w:p>
      <w:pPr>
        <w:pStyle w:val="BodyText"/>
        <w:spacing w:line="364" w:lineRule="auto" w:before="73"/>
        <w:ind w:left="803" w:right="899" w:hanging="692"/>
        <w:jc w:val="both"/>
      </w:pPr>
      <w:r>
        <w:rPr/>
        <w:t>Agras, W.S., Jacob, R.G. y Ledebeck, M. (1980). The California drought: A quasiexperimental analysis of social policy. Journal of Applied Behavior Analysis, 13,</w:t>
      </w:r>
      <w:r>
        <w:rPr>
          <w:spacing w:val="21"/>
        </w:rPr>
        <w:t> </w:t>
      </w:r>
      <w:r>
        <w:rPr/>
        <w:t>561-570.</w:t>
      </w:r>
    </w:p>
    <w:p>
      <w:pPr>
        <w:pStyle w:val="BodyText"/>
        <w:spacing w:line="364" w:lineRule="auto" w:before="120"/>
        <w:ind w:left="803" w:right="898" w:hanging="692"/>
        <w:jc w:val="both"/>
      </w:pPr>
      <w:r>
        <w:rPr/>
        <w:t>Aguirre, M.; Echeverría, C.; Charterina, J.; Vicente, A. (2003) El consumidor ecológico: un modelo de comportamiento a partir de la recopilación y análisis de la evidencia empírica. Facultad de Ciencias Económicas y Empresariales. Universidad del País Vasco. </w:t>
      </w:r>
      <w:r>
        <w:rPr>
          <w:i/>
        </w:rPr>
        <w:t>Distribución y Consumo</w:t>
      </w:r>
      <w:r>
        <w:rPr/>
        <w:t>.</w:t>
      </w:r>
    </w:p>
    <w:p>
      <w:pPr>
        <w:pStyle w:val="BodyText"/>
        <w:spacing w:line="369" w:lineRule="auto" w:before="120"/>
        <w:ind w:left="803" w:right="904" w:hanging="692"/>
        <w:jc w:val="both"/>
      </w:pPr>
      <w:r>
        <w:rPr/>
        <w:t>Amérigo, M. &amp; González, </w:t>
      </w:r>
      <w:r>
        <w:rPr>
          <w:spacing w:val="3"/>
        </w:rPr>
        <w:t>A. </w:t>
      </w:r>
      <w:r>
        <w:rPr/>
        <w:t>(1996). Preocupación medioambiental en la  población  escolar. Revista de Psicología Social Aplicada, 6(1), </w:t>
      </w:r>
      <w:r>
        <w:rPr>
          <w:spacing w:val="13"/>
        </w:rPr>
        <w:t> </w:t>
      </w:r>
      <w:r>
        <w:rPr/>
        <w:t>75-92.</w:t>
      </w:r>
    </w:p>
    <w:p>
      <w:pPr>
        <w:pStyle w:val="BodyText"/>
        <w:spacing w:line="364" w:lineRule="auto" w:before="115"/>
        <w:ind w:left="803" w:right="899" w:hanging="692"/>
        <w:jc w:val="both"/>
      </w:pPr>
      <w:r>
        <w:rPr/>
        <w:t>Amérigo, M. &amp; González, A. (2001). </w:t>
      </w:r>
      <w:r>
        <w:rPr>
          <w:spacing w:val="-3"/>
        </w:rPr>
        <w:t>Los </w:t>
      </w:r>
      <w:r>
        <w:rPr/>
        <w:t>valores y las creencias medioambientales en relación </w:t>
      </w:r>
      <w:r>
        <w:rPr>
          <w:spacing w:val="2"/>
        </w:rPr>
        <w:t>con </w:t>
      </w:r>
      <w:r>
        <w:rPr/>
        <w:t>las decisiones sobre dilemas ecológicos. Estudios de  Psicología,  22(1),</w:t>
      </w:r>
      <w:r>
        <w:rPr>
          <w:spacing w:val="14"/>
        </w:rPr>
        <w:t> </w:t>
      </w:r>
      <w:r>
        <w:rPr/>
        <w:t>65-73.</w:t>
      </w:r>
    </w:p>
    <w:p>
      <w:pPr>
        <w:pStyle w:val="BodyText"/>
        <w:spacing w:line="364" w:lineRule="auto" w:before="125"/>
        <w:ind w:left="803" w:right="893" w:hanging="692"/>
        <w:jc w:val="both"/>
      </w:pPr>
      <w:r>
        <w:rPr/>
        <w:t>Amérigo, M. y González, A. (2000). </w:t>
      </w:r>
      <w:r>
        <w:rPr>
          <w:spacing w:val="-3"/>
        </w:rPr>
        <w:t>Los </w:t>
      </w:r>
      <w:r>
        <w:rPr/>
        <w:t>valores y las creencias medioambientales en relación con las decisiones sobre dilemas ecológicos. </w:t>
      </w:r>
      <w:r>
        <w:rPr>
          <w:i/>
        </w:rPr>
        <w:t>Estudios de Psicología</w:t>
      </w:r>
      <w:r>
        <w:rPr/>
        <w:t>, 22  (1):</w:t>
      </w:r>
      <w:r>
        <w:rPr>
          <w:spacing w:val="12"/>
        </w:rPr>
        <w:t> </w:t>
      </w:r>
      <w:r>
        <w:rPr/>
        <w:t>65-73.</w:t>
      </w:r>
    </w:p>
    <w:p>
      <w:pPr>
        <w:pStyle w:val="BodyText"/>
        <w:spacing w:line="364" w:lineRule="auto" w:before="120"/>
        <w:ind w:left="803" w:right="892" w:hanging="692"/>
        <w:jc w:val="both"/>
      </w:pPr>
      <w:r>
        <w:rPr/>
        <w:t>Amérigo, M., González, A. &amp; Aragonés, </w:t>
      </w:r>
      <w:r>
        <w:rPr>
          <w:spacing w:val="3"/>
        </w:rPr>
        <w:t>J. </w:t>
      </w:r>
      <w:r>
        <w:rPr/>
        <w:t>I. (1995). Antropocentrismo versus  ecocentrismo en una muestra de estudiantes. En E. Garrido &amp; C.  Herrero  (Comps.), Psicología Política, jurídica y Ambiental (pp. 337-344). Salamanca.: España.</w:t>
      </w:r>
      <w:r>
        <w:rPr>
          <w:spacing w:val="23"/>
        </w:rPr>
        <w:t> </w:t>
      </w:r>
      <w:r>
        <w:rPr/>
        <w:t>Eudema.</w:t>
      </w:r>
    </w:p>
    <w:p>
      <w:pPr>
        <w:spacing w:before="120"/>
        <w:ind w:left="111" w:right="897" w:firstLine="0"/>
        <w:jc w:val="left"/>
        <w:rPr>
          <w:sz w:val="23"/>
        </w:rPr>
      </w:pPr>
      <w:r>
        <w:rPr>
          <w:sz w:val="23"/>
        </w:rPr>
        <w:t>Aragonés y M. Amérigo (Coords.). (2001). </w:t>
      </w:r>
      <w:r>
        <w:rPr>
          <w:i/>
          <w:sz w:val="23"/>
        </w:rPr>
        <w:t>Psicología ambiental</w:t>
      </w:r>
      <w:r>
        <w:rPr>
          <w:sz w:val="23"/>
        </w:rPr>
        <w:t>. Madrid:  Pirámide.</w:t>
      </w:r>
    </w:p>
    <w:p>
      <w:pPr>
        <w:pStyle w:val="BodyText"/>
        <w:spacing w:before="5"/>
        <w:rPr>
          <w:sz w:val="22"/>
        </w:rPr>
      </w:pPr>
    </w:p>
    <w:p>
      <w:pPr>
        <w:pStyle w:val="BodyText"/>
        <w:spacing w:line="364" w:lineRule="auto"/>
        <w:ind w:left="803" w:right="897" w:hanging="692"/>
        <w:jc w:val="both"/>
      </w:pPr>
      <w:r>
        <w:rPr/>
        <w:t>Aragonés, J.I. y Amérigo, M. (1998). Psicología ambiental. Aspectos conceptuales y metodológicos. En J.I Aragonés y M. Amérigo (eds.),  Psicología  Ambiental.  Madrid: Ediciones</w:t>
      </w:r>
      <w:r>
        <w:rPr>
          <w:spacing w:val="31"/>
        </w:rPr>
        <w:t> </w:t>
      </w:r>
      <w:r>
        <w:rPr/>
        <w:t>Pirámide.</w:t>
      </w:r>
    </w:p>
    <w:p>
      <w:pPr>
        <w:pStyle w:val="BodyText"/>
        <w:spacing w:before="120"/>
        <w:ind w:left="111" w:right="897"/>
      </w:pPr>
      <w:r>
        <w:rPr/>
        <w:t>Aragonés, Juan Ignacio y Amérigo, María (2000) Psicología Ambiental. Edit.  Pirámide.</w:t>
      </w:r>
    </w:p>
    <w:p>
      <w:pPr>
        <w:pStyle w:val="BodyText"/>
        <w:rPr>
          <w:sz w:val="22"/>
        </w:rPr>
      </w:pPr>
    </w:p>
    <w:p>
      <w:pPr>
        <w:pStyle w:val="BodyText"/>
        <w:spacing w:line="369" w:lineRule="auto" w:before="1"/>
        <w:ind w:left="803" w:right="908" w:hanging="692"/>
        <w:jc w:val="both"/>
      </w:pPr>
      <w:r>
        <w:rPr/>
        <w:t>Arriaga Cabrera, L.; Espinoza Rodríguez, J. M.; Aguilar Zúñiga, C., (Coord.). (2000), Regiones Terrestres Prioritarias de México. México:  CONABIO.</w:t>
      </w:r>
    </w:p>
    <w:p>
      <w:pPr>
        <w:spacing w:after="0" w:line="369" w:lineRule="auto"/>
        <w:jc w:val="both"/>
        <w:sectPr>
          <w:pgSz w:w="11910" w:h="16840"/>
          <w:pgMar w:header="1066" w:footer="1715"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899" w:hanging="692"/>
        <w:jc w:val="both"/>
      </w:pPr>
      <w:r>
        <w:rPr/>
        <w:t>Azqueta Oyarsun, D. (1996) Métodos para la determinación de la demanda de servicios recreativos de los espacios naturales en Gestión de espacios naturales: La demanda de los servicios recreativos. Azqueta, D. y Perez, L. (coord.). Madrid Mc Graw-</w:t>
      </w:r>
      <w:r>
        <w:rPr>
          <w:spacing w:val="8"/>
        </w:rPr>
        <w:t> </w:t>
      </w:r>
      <w:r>
        <w:rPr/>
        <w:t>Hill.</w:t>
      </w:r>
    </w:p>
    <w:p>
      <w:pPr>
        <w:pStyle w:val="BodyText"/>
        <w:spacing w:line="364" w:lineRule="auto" w:before="125"/>
        <w:ind w:left="803" w:right="892" w:hanging="692"/>
        <w:jc w:val="both"/>
      </w:pPr>
      <w:r>
        <w:rPr/>
        <w:t>Azqueta Oyarsun, D. (2000) Gestión de espacios naturales: La demanda de los servicios recreativos. Métodos para </w:t>
      </w:r>
      <w:r>
        <w:rPr>
          <w:spacing w:val="-5"/>
        </w:rPr>
        <w:t>la </w:t>
      </w:r>
      <w:r>
        <w:rPr/>
        <w:t>determinación de </w:t>
      </w:r>
      <w:r>
        <w:rPr>
          <w:spacing w:val="-5"/>
        </w:rPr>
        <w:t>la </w:t>
      </w:r>
      <w:r>
        <w:rPr/>
        <w:t>demanda de servicios recreativos de los espacios naturales en Azqueta, D. y Pérez, L. (coord.). Madrid: Mc Graw - Hill.</w:t>
      </w:r>
    </w:p>
    <w:p>
      <w:pPr>
        <w:spacing w:before="125"/>
        <w:ind w:left="112" w:right="897" w:firstLine="0"/>
        <w:jc w:val="left"/>
        <w:rPr>
          <w:sz w:val="23"/>
        </w:rPr>
      </w:pPr>
      <w:r>
        <w:rPr>
          <w:sz w:val="23"/>
        </w:rPr>
        <w:t>Azqueta,  Diego, et al. (2007), </w:t>
      </w:r>
      <w:r>
        <w:rPr>
          <w:i/>
          <w:sz w:val="23"/>
        </w:rPr>
        <w:t>Introducción a la economía ambiental</w:t>
      </w:r>
      <w:r>
        <w:rPr>
          <w:sz w:val="23"/>
        </w:rPr>
        <w:t>.  Ed.   Mc  Graw   Hill.</w:t>
      </w:r>
    </w:p>
    <w:p>
      <w:pPr>
        <w:pStyle w:val="BodyText"/>
        <w:spacing w:before="138"/>
        <w:ind w:left="803" w:right="897"/>
      </w:pPr>
      <w:r>
        <w:rPr/>
        <w:t>España.</w:t>
      </w:r>
    </w:p>
    <w:p>
      <w:pPr>
        <w:pStyle w:val="BodyText"/>
        <w:rPr>
          <w:sz w:val="22"/>
        </w:rPr>
      </w:pPr>
    </w:p>
    <w:p>
      <w:pPr>
        <w:pStyle w:val="BodyText"/>
        <w:spacing w:line="362" w:lineRule="auto" w:before="1"/>
        <w:ind w:left="803" w:right="902" w:hanging="692"/>
        <w:jc w:val="both"/>
      </w:pPr>
      <w:r>
        <w:rPr/>
        <w:t>Baldi Lopez, G. (2006), Una aproximación a la psicología ambiental. España:  Fundamentos de</w:t>
      </w:r>
      <w:r>
        <w:rPr>
          <w:spacing w:val="40"/>
        </w:rPr>
        <w:t> </w:t>
      </w:r>
      <w:r>
        <w:rPr/>
        <w:t>Humanidades.</w:t>
      </w:r>
    </w:p>
    <w:p>
      <w:pPr>
        <w:spacing w:line="364" w:lineRule="auto" w:before="127"/>
        <w:ind w:left="803" w:right="903" w:hanging="692"/>
        <w:jc w:val="both"/>
        <w:rPr>
          <w:sz w:val="23"/>
        </w:rPr>
      </w:pPr>
      <w:r>
        <w:rPr>
          <w:sz w:val="23"/>
        </w:rPr>
        <w:t>Barker, R., (1968). </w:t>
      </w:r>
      <w:r>
        <w:rPr>
          <w:i/>
          <w:sz w:val="23"/>
        </w:rPr>
        <w:t>Ecological Psychology: Concepts and Methods for Studing the </w:t>
      </w:r>
      <w:r>
        <w:rPr>
          <w:i/>
          <w:sz w:val="23"/>
        </w:rPr>
        <w:t>Environment of Human Behavior</w:t>
      </w:r>
      <w:r>
        <w:rPr>
          <w:sz w:val="23"/>
        </w:rPr>
        <w:t>. California: Standford University  Press.</w:t>
      </w:r>
    </w:p>
    <w:p>
      <w:pPr>
        <w:pStyle w:val="BodyText"/>
        <w:spacing w:line="364" w:lineRule="auto" w:before="120"/>
        <w:ind w:left="803" w:right="897" w:hanging="692"/>
        <w:jc w:val="both"/>
      </w:pPr>
      <w:r>
        <w:rPr/>
        <w:t>Barkin, David (2004), La responsabilización ambiental de las empresas en México. Comercio Exterior, Vol. 54, No. 10. Universidad Autónoma Metropolitana- Xochimilco, México.</w:t>
      </w:r>
    </w:p>
    <w:p>
      <w:pPr>
        <w:pStyle w:val="BodyText"/>
        <w:spacing w:line="364" w:lineRule="auto" w:before="120"/>
        <w:ind w:left="803" w:right="900" w:hanging="692"/>
        <w:jc w:val="both"/>
      </w:pPr>
      <w:r>
        <w:rPr/>
        <w:t>Barreiro, J.M.; López, María Ángeles; Lozada, Fernando y Ruzo, Emilio (2002), Análisis  de las dimensiones cognoscitiva y afectiva del comportamiento ecológico del consumidor. Revista Galega de Economía.</w:t>
      </w:r>
      <w:r>
        <w:rPr>
          <w:spacing w:val="54"/>
        </w:rPr>
        <w:t> </w:t>
      </w:r>
      <w:r>
        <w:rPr/>
        <w:t>11(2).</w:t>
      </w:r>
    </w:p>
    <w:p>
      <w:pPr>
        <w:spacing w:line="364" w:lineRule="auto" w:before="125"/>
        <w:ind w:left="803" w:right="899" w:hanging="692"/>
        <w:jc w:val="both"/>
        <w:rPr>
          <w:sz w:val="23"/>
        </w:rPr>
      </w:pPr>
      <w:r>
        <w:rPr>
          <w:sz w:val="23"/>
        </w:rPr>
        <w:t>Bastida Aguilar, Abraham (2004), </w:t>
      </w:r>
      <w:r>
        <w:rPr>
          <w:i/>
          <w:sz w:val="23"/>
        </w:rPr>
        <w:t>El desarrollo humano a un ambiente sano</w:t>
      </w:r>
      <w:r>
        <w:rPr>
          <w:sz w:val="23"/>
        </w:rPr>
        <w:t>, 6° certamen de ensayo sobre derechos humanos y medio ambiente,  México.</w:t>
      </w:r>
    </w:p>
    <w:p>
      <w:pPr>
        <w:pStyle w:val="BodyText"/>
        <w:spacing w:line="362" w:lineRule="auto" w:before="120"/>
        <w:ind w:left="803" w:right="897" w:hanging="692"/>
        <w:jc w:val="both"/>
      </w:pPr>
      <w:r>
        <w:rPr/>
        <w:t>Baum, A., Fleming, R., Singer, </w:t>
      </w:r>
      <w:r>
        <w:rPr>
          <w:spacing w:val="3"/>
        </w:rPr>
        <w:t>J. </w:t>
      </w:r>
      <w:r>
        <w:rPr/>
        <w:t>(1983). Coping with Victimization by Technological Disaster, </w:t>
      </w:r>
      <w:r>
        <w:rPr>
          <w:i/>
        </w:rPr>
        <w:t>Journal of Social Issues</w:t>
      </w:r>
      <w:r>
        <w:rPr/>
        <w:t>, 39:</w:t>
      </w:r>
      <w:r>
        <w:rPr>
          <w:spacing w:val="57"/>
        </w:rPr>
        <w:t> </w:t>
      </w:r>
      <w:r>
        <w:rPr/>
        <w:t>117-138.</w:t>
      </w:r>
    </w:p>
    <w:p>
      <w:pPr>
        <w:spacing w:before="123"/>
        <w:ind w:left="112" w:right="897" w:firstLine="0"/>
        <w:jc w:val="left"/>
        <w:rPr>
          <w:sz w:val="23"/>
        </w:rPr>
      </w:pPr>
      <w:r>
        <w:rPr>
          <w:sz w:val="23"/>
        </w:rPr>
        <w:t>Baum, A., Singer, J. y Baum, C., (1982), </w:t>
      </w:r>
      <w:r>
        <w:rPr>
          <w:i/>
          <w:sz w:val="23"/>
        </w:rPr>
        <w:t>Stress and the Environment </w:t>
      </w:r>
      <w:r>
        <w:rPr>
          <w:sz w:val="23"/>
        </w:rPr>
        <w:t>en G. Evans (Ed.).</w:t>
      </w:r>
    </w:p>
    <w:p>
      <w:pPr>
        <w:pStyle w:val="BodyText"/>
        <w:spacing w:before="143"/>
        <w:ind w:left="803" w:right="897"/>
      </w:pPr>
      <w:r>
        <w:rPr/>
        <w:t>Environmental Stress.Cambridge, UK: Cambridge University Press,  15-44.</w:t>
      </w:r>
    </w:p>
    <w:p>
      <w:pPr>
        <w:pStyle w:val="BodyText"/>
        <w:rPr>
          <w:sz w:val="22"/>
        </w:rPr>
      </w:pPr>
    </w:p>
    <w:p>
      <w:pPr>
        <w:pStyle w:val="BodyText"/>
        <w:spacing w:line="364" w:lineRule="auto" w:before="1"/>
        <w:ind w:left="803" w:right="892" w:hanging="692"/>
        <w:jc w:val="both"/>
      </w:pPr>
      <w:r>
        <w:rPr/>
        <w:t>Bechtel, R.B., Corral-Verdugo, V. y Pinheiro, J.Q. (1999). Environmental belief systems. United States, Brazil, and Mexico. Journal of Crosscultural Psychology, 30, </w:t>
      </w:r>
      <w:r>
        <w:rPr>
          <w:spacing w:val="2"/>
        </w:rPr>
        <w:t>122- </w:t>
      </w:r>
      <w:r>
        <w:rPr/>
        <w:t>128.</w:t>
      </w:r>
    </w:p>
    <w:p>
      <w:pPr>
        <w:spacing w:after="0" w:line="364" w:lineRule="auto"/>
        <w:jc w:val="both"/>
        <w:sectPr>
          <w:pgSz w:w="11910" w:h="16840"/>
          <w:pgMar w:header="1066" w:footer="1715" w:top="1460" w:bottom="1900" w:left="1400" w:right="200"/>
        </w:sectPr>
      </w:pPr>
    </w:p>
    <w:p>
      <w:pPr>
        <w:pStyle w:val="BodyText"/>
        <w:rPr>
          <w:sz w:val="20"/>
        </w:rPr>
      </w:pPr>
    </w:p>
    <w:p>
      <w:pPr>
        <w:pStyle w:val="BodyText"/>
        <w:spacing w:before="10"/>
        <w:rPr>
          <w:sz w:val="17"/>
        </w:rPr>
      </w:pPr>
    </w:p>
    <w:p>
      <w:pPr>
        <w:pStyle w:val="BodyText"/>
        <w:spacing w:line="362" w:lineRule="auto" w:before="74"/>
        <w:ind w:left="803" w:right="903" w:hanging="692"/>
        <w:jc w:val="both"/>
      </w:pPr>
      <w:r>
        <w:rPr/>
        <w:t>Berenguer, J.M. y Corraliza, J.A. (2000), Preocupación ambiental y comportamientos ecológicos. </w:t>
      </w:r>
      <w:r>
        <w:rPr>
          <w:i/>
        </w:rPr>
        <w:t>Psicothema</w:t>
      </w:r>
      <w:r>
        <w:rPr/>
        <w:t>, 12(3):</w:t>
      </w:r>
      <w:r>
        <w:rPr>
          <w:spacing w:val="53"/>
        </w:rPr>
        <w:t> </w:t>
      </w:r>
      <w:r>
        <w:rPr/>
        <w:t>325-329.</w:t>
      </w:r>
    </w:p>
    <w:p>
      <w:pPr>
        <w:pStyle w:val="BodyText"/>
        <w:spacing w:line="367" w:lineRule="auto" w:before="123"/>
        <w:ind w:left="803" w:right="892" w:hanging="692"/>
        <w:jc w:val="both"/>
      </w:pPr>
      <w:r>
        <w:rPr/>
        <w:t>Berenguer, J.M., Corraliza, J.A, Martín, R. y Oceja, L. (2000). Preocupación ecológica y acciones  ambientales. Un proceso interactivo. Estudios de Psicología, 22, </w:t>
      </w:r>
      <w:r>
        <w:rPr>
          <w:spacing w:val="-3"/>
        </w:rPr>
        <w:t>1, </w:t>
      </w:r>
      <w:r>
        <w:rPr>
          <w:spacing w:val="2"/>
        </w:rPr>
        <w:t>37-  </w:t>
      </w:r>
      <w:r>
        <w:rPr/>
        <w:t>52.</w:t>
      </w:r>
    </w:p>
    <w:p>
      <w:pPr>
        <w:pStyle w:val="BodyText"/>
        <w:spacing w:line="362" w:lineRule="auto" w:before="117"/>
        <w:ind w:left="803" w:right="901" w:hanging="692"/>
        <w:jc w:val="both"/>
      </w:pPr>
      <w:r>
        <w:rPr/>
        <w:t>Berger, I. (1997). The demographics of recycling and the structure of environmental behavior. Environment &amp; Behavior, 29,</w:t>
      </w:r>
      <w:r>
        <w:rPr>
          <w:spacing w:val="60"/>
        </w:rPr>
        <w:t> </w:t>
      </w:r>
      <w:r>
        <w:rPr/>
        <w:t>515-531.</w:t>
      </w:r>
    </w:p>
    <w:p>
      <w:pPr>
        <w:spacing w:before="123"/>
        <w:ind w:left="112" w:right="897" w:firstLine="0"/>
        <w:jc w:val="left"/>
        <w:rPr>
          <w:sz w:val="23"/>
        </w:rPr>
      </w:pPr>
      <w:r>
        <w:rPr>
          <w:color w:val="1D1B11"/>
          <w:sz w:val="23"/>
        </w:rPr>
        <w:t>Blanquer Criado, D. (1999), </w:t>
      </w:r>
      <w:r>
        <w:rPr>
          <w:i/>
          <w:color w:val="1D1B11"/>
          <w:sz w:val="23"/>
        </w:rPr>
        <w:t>Derecho del Turismo</w:t>
      </w:r>
      <w:r>
        <w:rPr>
          <w:color w:val="1D1B11"/>
          <w:sz w:val="23"/>
        </w:rPr>
        <w:t>, Valencia: Tirant lo  Blanch.</w:t>
      </w:r>
    </w:p>
    <w:p>
      <w:pPr>
        <w:pStyle w:val="BodyText"/>
        <w:spacing w:before="10"/>
        <w:rPr>
          <w:sz w:val="22"/>
        </w:rPr>
      </w:pPr>
    </w:p>
    <w:p>
      <w:pPr>
        <w:pStyle w:val="BodyText"/>
        <w:spacing w:line="364" w:lineRule="auto"/>
        <w:ind w:left="803" w:right="896" w:hanging="692"/>
        <w:jc w:val="both"/>
      </w:pPr>
      <w:r>
        <w:rPr/>
        <w:t>Bolzan de Campos, Camila y Pol, Enric (2009) Sistemas de Gestión Ambiental y comportamiento ecológico: una discusión teórica de sus relaciones posibles. Aletheia, No. 29, enero-junio. Universidad Luterana do  Brasil.</w:t>
      </w:r>
    </w:p>
    <w:p>
      <w:pPr>
        <w:pStyle w:val="BodyText"/>
        <w:spacing w:line="364" w:lineRule="auto" w:before="120"/>
        <w:ind w:left="803" w:right="897" w:hanging="692"/>
        <w:jc w:val="both"/>
      </w:pPr>
      <w:r>
        <w:rPr/>
        <w:t>Bonnes, M. y Bonaiuto, M. (2002). Environmental psychology: from spatial physical environment to sustainable development. </w:t>
      </w:r>
      <w:r>
        <w:rPr>
          <w:spacing w:val="3"/>
        </w:rPr>
        <w:t>En </w:t>
      </w:r>
      <w:r>
        <w:rPr/>
        <w:t>R.B. Bechtel y A. Churchman (Eds.), Handbook of Environmental Psychology. New York:</w:t>
      </w:r>
      <w:r>
        <w:rPr>
          <w:spacing w:val="61"/>
        </w:rPr>
        <w:t> </w:t>
      </w:r>
      <w:r>
        <w:rPr/>
        <w:t>Wiley.</w:t>
      </w:r>
    </w:p>
    <w:p>
      <w:pPr>
        <w:pStyle w:val="BodyText"/>
        <w:spacing w:line="364" w:lineRule="auto" w:before="120"/>
        <w:ind w:left="803" w:right="898" w:hanging="692"/>
        <w:jc w:val="both"/>
      </w:pPr>
      <w:r>
        <w:rPr/>
        <w:t>Bratt, C. (1999). Consumers’ environmental behavior: Generalized, sector-based, or compensatory? </w:t>
      </w:r>
      <w:r>
        <w:rPr>
          <w:i/>
        </w:rPr>
        <w:t>Environment &amp; Behavior</w:t>
      </w:r>
      <w:r>
        <w:rPr/>
        <w:t>, 31,</w:t>
      </w:r>
      <w:r>
        <w:rPr>
          <w:spacing w:val="61"/>
        </w:rPr>
        <w:t> </w:t>
      </w:r>
      <w:r>
        <w:rPr/>
        <w:t>28-44.</w:t>
      </w:r>
    </w:p>
    <w:p>
      <w:pPr>
        <w:spacing w:line="364" w:lineRule="auto" w:before="125"/>
        <w:ind w:left="803" w:right="897" w:hanging="692"/>
        <w:jc w:val="both"/>
        <w:rPr>
          <w:sz w:val="23"/>
        </w:rPr>
      </w:pPr>
      <w:r>
        <w:rPr>
          <w:sz w:val="23"/>
        </w:rPr>
        <w:t>Brook, A.T. (2001). </w:t>
      </w:r>
      <w:r>
        <w:rPr>
          <w:i/>
          <w:sz w:val="23"/>
        </w:rPr>
        <w:t>What is Conservation Psychology</w:t>
      </w:r>
      <w:r>
        <w:rPr>
          <w:sz w:val="23"/>
        </w:rPr>
        <w:t>?, Population and Environmental Psychology Bulletin, 27, 1-2.</w:t>
      </w:r>
    </w:p>
    <w:p>
      <w:pPr>
        <w:pStyle w:val="BodyText"/>
        <w:spacing w:line="364" w:lineRule="auto" w:before="120"/>
        <w:ind w:left="803" w:right="899" w:hanging="692"/>
        <w:jc w:val="both"/>
      </w:pPr>
      <w:r>
        <w:rPr/>
        <w:t>Brown, L.R. y Flavin, C. (1999). A new economy for a new century. In L. Starke  (Ed.),  State of the World. A Worldwatch Institute Report on Progress Toward a  Sustainable Society. New York: W.W.  Norton &amp; </w:t>
      </w:r>
      <w:r>
        <w:rPr>
          <w:spacing w:val="4"/>
        </w:rPr>
        <w:t> </w:t>
      </w:r>
      <w:r>
        <w:rPr/>
        <w:t>Company.</w:t>
      </w:r>
    </w:p>
    <w:p>
      <w:pPr>
        <w:pStyle w:val="BodyText"/>
        <w:spacing w:line="364" w:lineRule="auto" w:before="120"/>
        <w:ind w:left="803" w:right="906" w:hanging="692"/>
        <w:jc w:val="both"/>
      </w:pPr>
      <w:r>
        <w:rPr/>
        <w:t>Burgess, R.L., Clark, R.N., y Hendee, J.C. (1971). An experimental analysis of antilitter procedures. Journal of Applied Behavior Analysis, 4,  71-75.</w:t>
      </w:r>
    </w:p>
    <w:p>
      <w:pPr>
        <w:spacing w:line="364" w:lineRule="auto" w:before="120"/>
        <w:ind w:left="803" w:right="902" w:hanging="692"/>
        <w:jc w:val="both"/>
        <w:rPr>
          <w:sz w:val="23"/>
        </w:rPr>
      </w:pPr>
      <w:r>
        <w:rPr>
          <w:sz w:val="23"/>
        </w:rPr>
        <w:t>Burgueño Susana. (2005). </w:t>
      </w:r>
      <w:r>
        <w:rPr>
          <w:i/>
          <w:sz w:val="23"/>
        </w:rPr>
        <w:t>Análisis de la actividad turística  en  Áreas  Naturales </w:t>
      </w:r>
      <w:r>
        <w:rPr>
          <w:i/>
          <w:sz w:val="23"/>
        </w:rPr>
        <w:t>Protegidas</w:t>
      </w:r>
      <w:r>
        <w:rPr>
          <w:sz w:val="23"/>
        </w:rPr>
        <w:t>. México: CIIEMAD-IPN.</w:t>
      </w:r>
    </w:p>
    <w:p>
      <w:pPr>
        <w:pStyle w:val="BodyText"/>
        <w:spacing w:line="362" w:lineRule="auto" w:before="125"/>
        <w:ind w:left="803" w:right="913" w:hanging="692"/>
        <w:jc w:val="both"/>
      </w:pPr>
      <w:r>
        <w:rPr/>
        <w:t>Buttel, Frederick H. y Flinn, William L. (1978). The Structure of Support for the Environmental Movement 1968-1970. Rural Sociology, 39(1),  56-69.</w:t>
      </w:r>
    </w:p>
    <w:p>
      <w:pPr>
        <w:spacing w:after="0" w:line="362" w:lineRule="auto"/>
        <w:jc w:val="both"/>
        <w:sectPr>
          <w:pgSz w:w="11910" w:h="16840"/>
          <w:pgMar w:header="1066" w:footer="1715"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897" w:hanging="692"/>
        <w:jc w:val="both"/>
      </w:pPr>
      <w:r>
        <w:rPr/>
        <w:t>Cabrini Luigi (2003).Sostenibilidad, ecoturismo y medio ambiente: Retos para el futuro. Organización Mundial del Turismo. Conferencia  Internacional  Publituris/BTL, Lisboa.</w:t>
      </w:r>
    </w:p>
    <w:p>
      <w:pPr>
        <w:pStyle w:val="BodyText"/>
        <w:spacing w:line="369" w:lineRule="auto" w:before="120"/>
        <w:ind w:left="803" w:right="897" w:hanging="692"/>
        <w:jc w:val="both"/>
      </w:pPr>
      <w:r>
        <w:rPr/>
        <w:t>Calhoun, J., (1962), Population Density and Social Pathology, Scientific American, 206: 139-148.</w:t>
      </w:r>
    </w:p>
    <w:p>
      <w:pPr>
        <w:spacing w:line="470" w:lineRule="auto" w:before="115"/>
        <w:ind w:left="112" w:right="1192" w:firstLine="0"/>
        <w:jc w:val="left"/>
        <w:rPr>
          <w:sz w:val="23"/>
        </w:rPr>
      </w:pPr>
      <w:r>
        <w:rPr>
          <w:sz w:val="23"/>
        </w:rPr>
        <w:t>Campbell, J., (1983), Ambient Stressors, </w:t>
      </w:r>
      <w:r>
        <w:rPr>
          <w:i/>
          <w:sz w:val="23"/>
        </w:rPr>
        <w:t>Environment and Behavior</w:t>
      </w:r>
      <w:r>
        <w:rPr>
          <w:sz w:val="23"/>
        </w:rPr>
        <w:t>, 15:355-380. Canter, D. (2002). Editorial reflections. </w:t>
      </w:r>
      <w:r>
        <w:rPr>
          <w:i/>
          <w:sz w:val="23"/>
        </w:rPr>
        <w:t>Journal of Environmental Psychology</w:t>
      </w:r>
      <w:r>
        <w:rPr>
          <w:sz w:val="23"/>
        </w:rPr>
        <w:t>, 22,  1-3.</w:t>
      </w:r>
    </w:p>
    <w:p>
      <w:pPr>
        <w:spacing w:line="369" w:lineRule="auto" w:before="7"/>
        <w:ind w:left="803" w:right="897" w:hanging="692"/>
        <w:jc w:val="both"/>
        <w:rPr>
          <w:sz w:val="23"/>
        </w:rPr>
      </w:pPr>
      <w:r>
        <w:rPr>
          <w:sz w:val="23"/>
        </w:rPr>
        <w:t>Canter, D. y Craik, K., (1981), Environmental Psychology, </w:t>
      </w:r>
      <w:r>
        <w:rPr>
          <w:i/>
          <w:sz w:val="23"/>
        </w:rPr>
        <w:t>Journal of Environmental </w:t>
      </w:r>
      <w:r>
        <w:rPr>
          <w:i/>
          <w:sz w:val="23"/>
        </w:rPr>
        <w:t>Psychology</w:t>
      </w:r>
      <w:r>
        <w:rPr>
          <w:sz w:val="23"/>
        </w:rPr>
        <w:t>, 1: 1-11.</w:t>
      </w:r>
    </w:p>
    <w:p>
      <w:pPr>
        <w:pStyle w:val="BodyText"/>
        <w:spacing w:line="362" w:lineRule="auto" w:before="115"/>
        <w:ind w:left="803" w:right="899" w:hanging="692"/>
        <w:jc w:val="both"/>
      </w:pPr>
      <w:r>
        <w:rPr/>
        <w:t>Carson, R. (1962). </w:t>
      </w:r>
      <w:r>
        <w:rPr>
          <w:i/>
        </w:rPr>
        <w:t>Silent spring</w:t>
      </w:r>
      <w:r>
        <w:rPr/>
        <w:t>. Boston, EE. UU.: Houghton Mifflin. (Trad. cast. En Grijalbo, México, 1980).</w:t>
      </w:r>
    </w:p>
    <w:p>
      <w:pPr>
        <w:pStyle w:val="BodyText"/>
        <w:spacing w:line="369" w:lineRule="auto" w:before="123"/>
        <w:ind w:left="803" w:right="907" w:hanging="692"/>
        <w:jc w:val="both"/>
      </w:pPr>
      <w:r>
        <w:rPr/>
        <w:t>Carta de Turismo Sostenible (1995), “Conferencia mundial de turismo sostenible, Lanzarote”, España, en:</w:t>
      </w:r>
      <w:r>
        <w:rPr>
          <w:spacing w:val="56"/>
        </w:rPr>
        <w:t> </w:t>
      </w:r>
      <w:hyperlink r:id="rId76">
        <w:r>
          <w:rPr>
            <w:u w:val="single"/>
          </w:rPr>
          <w:t>www.imacmexico.org</w:t>
        </w:r>
      </w:hyperlink>
    </w:p>
    <w:p>
      <w:pPr>
        <w:pStyle w:val="BodyText"/>
        <w:tabs>
          <w:tab w:pos="1396" w:val="left" w:leader="none"/>
        </w:tabs>
        <w:spacing w:line="364" w:lineRule="auto" w:before="115"/>
        <w:ind w:left="803" w:right="902" w:hanging="692"/>
      </w:pPr>
      <w:r>
        <w:rPr/>
        <w:t>Carta </w:t>
      </w:r>
      <w:r>
        <w:rPr>
          <w:spacing w:val="13"/>
        </w:rPr>
        <w:t> </w:t>
      </w:r>
      <w:r>
        <w:rPr/>
        <w:t>del</w:t>
        <w:tab/>
        <w:t>Turismo  y  Código  del  Turista,  (1985),  OMT,  Bulgaria,   </w:t>
      </w:r>
      <w:r>
        <w:rPr>
          <w:spacing w:val="4"/>
        </w:rPr>
        <w:t> </w:t>
      </w:r>
      <w:r>
        <w:rPr/>
        <w:t>en: </w:t>
      </w:r>
      <w:r>
        <w:rPr>
          <w:spacing w:val="21"/>
        </w:rPr>
        <w:t> </w:t>
      </w:r>
      <w:r>
        <w:rPr>
          <w:color w:val="0563C1"/>
          <w:u w:val="single" w:color="0563C1"/>
        </w:rPr>
        <w:t>www.turismo-</w:t>
      </w:r>
      <w:r>
        <w:rPr>
          <w:color w:val="0563C1"/>
          <w:w w:val="101"/>
        </w:rPr>
        <w:t> </w:t>
      </w:r>
      <w:r>
        <w:rPr>
          <w:color w:val="0563C1"/>
          <w:u w:val="single" w:color="0563C1"/>
        </w:rPr>
        <w:t>responsable.net</w:t>
      </w:r>
    </w:p>
    <w:p>
      <w:pPr>
        <w:pStyle w:val="BodyText"/>
        <w:spacing w:line="364" w:lineRule="auto" w:before="120"/>
        <w:ind w:left="803" w:right="897" w:hanging="692"/>
      </w:pPr>
      <w:r>
        <w:rPr/>
        <w:t>Carta Europea del Turismo Sostenible en los Espacios Protegidos, (1992), en: </w:t>
      </w:r>
      <w:hyperlink r:id="rId77">
        <w:r>
          <w:rPr>
            <w:color w:val="0563C1"/>
            <w:u w:val="single" w:color="0563C1"/>
          </w:rPr>
          <w:t>www.turismo-responsable.net</w:t>
        </w:r>
      </w:hyperlink>
    </w:p>
    <w:p>
      <w:pPr>
        <w:pStyle w:val="BodyText"/>
        <w:spacing w:line="364" w:lineRule="auto" w:before="120"/>
        <w:ind w:left="803" w:right="899" w:hanging="692"/>
        <w:jc w:val="both"/>
      </w:pPr>
      <w:r>
        <w:rPr/>
        <w:t>Casanueva Rocha, Cristóbal; García del Junco, Julio y Caro González, Francisco (2004), Organización y Gestión de empresas turísticas. Ed. Pirámide.  España.</w:t>
      </w:r>
    </w:p>
    <w:p>
      <w:pPr>
        <w:pStyle w:val="BodyText"/>
        <w:spacing w:line="369" w:lineRule="auto" w:before="120"/>
        <w:ind w:left="803" w:right="900" w:hanging="692"/>
        <w:jc w:val="both"/>
      </w:pPr>
      <w:r>
        <w:rPr/>
        <w:t>Castro R. (2001). Naturaleza y funciones de las actitudes ambientales. Estudios de Psicología. España</w:t>
      </w:r>
    </w:p>
    <w:p>
      <w:pPr>
        <w:pStyle w:val="BodyText"/>
        <w:spacing w:line="364" w:lineRule="auto" w:before="115"/>
        <w:ind w:left="803" w:right="898" w:hanging="692"/>
        <w:jc w:val="both"/>
      </w:pPr>
      <w:r>
        <w:rPr/>
        <w:t>Castro R. (2002). Medio ambiente y comportamiento humano. Estudios de Psicología, Resma, España.</w:t>
      </w:r>
    </w:p>
    <w:p>
      <w:pPr>
        <w:spacing w:line="364" w:lineRule="auto" w:before="120"/>
        <w:ind w:left="803" w:right="899" w:hanging="692"/>
        <w:jc w:val="both"/>
        <w:rPr>
          <w:sz w:val="23"/>
        </w:rPr>
      </w:pPr>
      <w:r>
        <w:rPr>
          <w:sz w:val="23"/>
        </w:rPr>
        <w:t>Castro, R. (2011). ¿Estamos dispuestos a proteger nuestro ambiente? Intención de conducta y comportamiento proambiental. </w:t>
      </w:r>
      <w:r>
        <w:rPr>
          <w:i/>
          <w:sz w:val="23"/>
        </w:rPr>
        <w:t>Medio Ambiente y Comportamiento </w:t>
      </w:r>
      <w:r>
        <w:rPr>
          <w:i/>
          <w:sz w:val="23"/>
        </w:rPr>
        <w:t>Humano</w:t>
      </w:r>
      <w:r>
        <w:rPr>
          <w:sz w:val="23"/>
        </w:rPr>
        <w:t>, 3: 107-118.</w:t>
      </w:r>
    </w:p>
    <w:p>
      <w:pPr>
        <w:pStyle w:val="BodyText"/>
        <w:spacing w:before="120"/>
        <w:ind w:left="112" w:right="897"/>
      </w:pPr>
      <w:r>
        <w:rPr/>
        <w:t>Chan,  R.  Y.  (2001).  Determinants  of  Chinese  consumers'  green  purchase    behavior.</w:t>
      </w:r>
    </w:p>
    <w:p>
      <w:pPr>
        <w:pStyle w:val="BodyText"/>
        <w:spacing w:before="138"/>
        <w:ind w:left="803" w:right="897"/>
      </w:pPr>
      <w:r>
        <w:rPr/>
        <w:t>Psychology &amp; Marketing, 18,</w:t>
      </w:r>
      <w:r>
        <w:rPr>
          <w:spacing w:val="50"/>
        </w:rPr>
        <w:t> </w:t>
      </w:r>
      <w:r>
        <w:rPr/>
        <w:t>389–413.</w:t>
      </w:r>
    </w:p>
    <w:p>
      <w:pPr>
        <w:spacing w:after="0"/>
        <w:sectPr>
          <w:pgSz w:w="11910" w:h="16840"/>
          <w:pgMar w:header="1066" w:footer="1715"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892" w:hanging="692"/>
        <w:jc w:val="both"/>
      </w:pPr>
      <w:r>
        <w:rPr/>
        <w:t>Charterina, J. y Vicente, A. (2003) El consumidor ecológico. Un modelo de compor- tamiento a partir de la recopilación y análisis de la evidencia  empírica.  </w:t>
      </w:r>
      <w:r>
        <w:rPr>
          <w:i/>
        </w:rPr>
        <w:t>Dis-  </w:t>
      </w:r>
      <w:r>
        <w:rPr>
          <w:i/>
        </w:rPr>
        <w:t>tribución y Consumo</w:t>
      </w:r>
      <w:r>
        <w:rPr/>
        <w:t>, 13 (67):</w:t>
      </w:r>
      <w:r>
        <w:rPr>
          <w:spacing w:val="47"/>
        </w:rPr>
        <w:t> </w:t>
      </w:r>
      <w:r>
        <w:rPr/>
        <w:t>41-53.</w:t>
      </w:r>
    </w:p>
    <w:p>
      <w:pPr>
        <w:pStyle w:val="BodyText"/>
        <w:spacing w:line="369" w:lineRule="auto" w:before="120"/>
        <w:ind w:left="803" w:right="901" w:hanging="692"/>
        <w:jc w:val="both"/>
      </w:pPr>
      <w:r>
        <w:rPr/>
        <w:t>Chuliá, E. (1995). La conciencia medioambiental de los españoles en los Noventa. </w:t>
      </w:r>
      <w:r>
        <w:rPr>
          <w:i/>
        </w:rPr>
        <w:t>ASP </w:t>
      </w:r>
      <w:r>
        <w:rPr>
          <w:i/>
        </w:rPr>
        <w:t>Research Paper</w:t>
      </w:r>
      <w:r>
        <w:rPr/>
        <w:t>, 12 (a), 1-36.</w:t>
      </w:r>
    </w:p>
    <w:p>
      <w:pPr>
        <w:pStyle w:val="BodyText"/>
        <w:spacing w:line="362" w:lineRule="auto" w:before="115"/>
        <w:ind w:left="803" w:right="903" w:hanging="692"/>
        <w:jc w:val="both"/>
      </w:pPr>
      <w:r>
        <w:rPr/>
        <w:t>Clayton, S. (2000). Models of justice in the environmental debate. Journal  of  Social Issues, 56(3),</w:t>
      </w:r>
      <w:r>
        <w:rPr>
          <w:spacing w:val="31"/>
        </w:rPr>
        <w:t> </w:t>
      </w:r>
      <w:r>
        <w:rPr/>
        <w:t>459-454.</w:t>
      </w:r>
    </w:p>
    <w:p>
      <w:pPr>
        <w:pStyle w:val="BodyText"/>
        <w:spacing w:line="369" w:lineRule="auto" w:before="123"/>
        <w:ind w:left="803" w:right="904" w:hanging="692"/>
        <w:jc w:val="both"/>
      </w:pPr>
      <w:r>
        <w:rPr/>
        <w:t>Código Ético Mundial para el Turismo (2001), Resolución adoptada por la Asamblea General de las Naciones Unidas. OMT,  Chile.</w:t>
      </w:r>
    </w:p>
    <w:p>
      <w:pPr>
        <w:pStyle w:val="BodyText"/>
        <w:spacing w:before="115"/>
        <w:ind w:left="111" w:right="897"/>
      </w:pPr>
      <w:r>
        <w:rPr/>
        <w:t>Cone,   J.D.   y   Hayes,   S.C.   (1980).   Environmental   problems.   Behavioral  solutions.</w:t>
      </w:r>
    </w:p>
    <w:p>
      <w:pPr>
        <w:pStyle w:val="BodyText"/>
        <w:spacing w:before="138"/>
        <w:ind w:left="803" w:right="897"/>
      </w:pPr>
      <w:r>
        <w:rPr/>
        <w:t>Monterey, CA: Brooks Cole.</w:t>
      </w:r>
    </w:p>
    <w:p>
      <w:pPr>
        <w:pStyle w:val="BodyText"/>
        <w:rPr>
          <w:sz w:val="22"/>
        </w:rPr>
      </w:pPr>
    </w:p>
    <w:p>
      <w:pPr>
        <w:pStyle w:val="BodyText"/>
        <w:spacing w:line="369" w:lineRule="auto" w:before="1"/>
        <w:ind w:left="803" w:right="899" w:hanging="692"/>
        <w:jc w:val="both"/>
      </w:pPr>
      <w:r>
        <w:rPr/>
        <w:t>Conesa Fernández, Vicente (1997), Instrumentos de la gestión ambiental en la empresa, Ed. Mundi-Prensa. Madrid.</w:t>
      </w:r>
    </w:p>
    <w:p>
      <w:pPr>
        <w:pStyle w:val="BodyText"/>
        <w:spacing w:line="362" w:lineRule="auto" w:before="115"/>
        <w:ind w:left="803" w:right="900" w:hanging="692"/>
        <w:jc w:val="both"/>
      </w:pPr>
      <w:r>
        <w:rPr/>
        <w:t>Corral Verdugo, Víctor (2010) Psicología de la sustentabilidad: un análisis que nos hace pro ecológicos y pro sociales. Edit. Trillas,</w:t>
      </w:r>
      <w:r>
        <w:rPr>
          <w:spacing w:val="56"/>
        </w:rPr>
        <w:t> </w:t>
      </w:r>
      <w:r>
        <w:rPr/>
        <w:t>México.</w:t>
      </w:r>
    </w:p>
    <w:p>
      <w:pPr>
        <w:pStyle w:val="BodyText"/>
        <w:spacing w:line="369" w:lineRule="auto" w:before="123"/>
        <w:ind w:left="803" w:right="901" w:hanging="692"/>
        <w:jc w:val="both"/>
      </w:pPr>
      <w:r>
        <w:rPr/>
        <w:t>Corral, V. (2001). Comportamiento proambiental. Una introducción al estudio de las conductas protectoras del ambiente. Tenerife:  Resma.</w:t>
      </w:r>
    </w:p>
    <w:p>
      <w:pPr>
        <w:pStyle w:val="BodyText"/>
        <w:spacing w:before="115"/>
        <w:ind w:left="111" w:right="897"/>
      </w:pPr>
      <w:r>
        <w:rPr/>
        <w:t>Corral, V. V. (2010). Psicología de la sustentabilidad. México:  Trillas</w:t>
      </w:r>
    </w:p>
    <w:p>
      <w:pPr>
        <w:pStyle w:val="BodyText"/>
        <w:rPr>
          <w:sz w:val="22"/>
        </w:rPr>
      </w:pPr>
    </w:p>
    <w:p>
      <w:pPr>
        <w:pStyle w:val="BodyText"/>
        <w:spacing w:line="364" w:lineRule="auto" w:before="1"/>
        <w:ind w:left="803" w:right="894" w:hanging="692"/>
        <w:jc w:val="both"/>
      </w:pPr>
      <w:r>
        <w:rPr/>
        <w:t>Corraliza, J. &amp; Berenguer, J. (2000) Environmental values, beliefs and actions:  a  situational approach. Environment and Behavior, 32 (6): </w:t>
      </w:r>
      <w:r>
        <w:rPr>
          <w:spacing w:val="8"/>
        </w:rPr>
        <w:t> </w:t>
      </w:r>
      <w:r>
        <w:rPr/>
        <w:t>832.</w:t>
      </w:r>
    </w:p>
    <w:p>
      <w:pPr>
        <w:pStyle w:val="BodyText"/>
        <w:spacing w:before="125"/>
        <w:ind w:left="111" w:right="897"/>
      </w:pPr>
      <w:r>
        <w:rPr/>
        <w:t>Corraliza,   J.   A.   &amp;   Berenger,   J.   (1998).   Estructura   de   las   actitudes ambientales:</w:t>
      </w:r>
    </w:p>
    <w:p>
      <w:pPr>
        <w:spacing w:line="362" w:lineRule="auto" w:before="138"/>
        <w:ind w:left="803" w:right="1192" w:firstLine="0"/>
        <w:jc w:val="left"/>
        <w:rPr>
          <w:sz w:val="23"/>
        </w:rPr>
      </w:pPr>
      <w:r>
        <w:rPr>
          <w:sz w:val="23"/>
        </w:rPr>
        <w:t>¿Orientación general o especialización actitudinal? </w:t>
      </w:r>
      <w:r>
        <w:rPr>
          <w:i/>
          <w:sz w:val="23"/>
        </w:rPr>
        <w:t>Revista de Psicología Social</w:t>
      </w:r>
      <w:r>
        <w:rPr>
          <w:sz w:val="23"/>
        </w:rPr>
        <w:t>,  13,</w:t>
      </w:r>
      <w:r>
        <w:rPr>
          <w:spacing w:val="21"/>
          <w:sz w:val="23"/>
        </w:rPr>
        <w:t> </w:t>
      </w:r>
      <w:r>
        <w:rPr>
          <w:sz w:val="23"/>
        </w:rPr>
        <w:t>399-406.</w:t>
      </w:r>
    </w:p>
    <w:p>
      <w:pPr>
        <w:pStyle w:val="BodyText"/>
        <w:spacing w:before="123"/>
        <w:ind w:left="111" w:right="897"/>
      </w:pPr>
      <w:r>
        <w:rPr/>
        <w:t>Corraliza,  J.  A.  (2001).  El  comportamiento  humano  y  los  problemas        ambientales.</w:t>
      </w:r>
    </w:p>
    <w:p>
      <w:pPr>
        <w:spacing w:before="138"/>
        <w:ind w:left="803" w:right="897" w:firstLine="0"/>
        <w:jc w:val="left"/>
        <w:rPr>
          <w:sz w:val="23"/>
        </w:rPr>
      </w:pPr>
      <w:r>
        <w:rPr>
          <w:i/>
          <w:sz w:val="23"/>
        </w:rPr>
        <w:t>Estudios de Psicología</w:t>
      </w:r>
      <w:r>
        <w:rPr>
          <w:sz w:val="23"/>
        </w:rPr>
        <w:t>, 22(1), 3-9.</w:t>
      </w:r>
    </w:p>
    <w:p>
      <w:pPr>
        <w:pStyle w:val="BodyText"/>
        <w:spacing w:before="5"/>
        <w:rPr>
          <w:sz w:val="22"/>
        </w:rPr>
      </w:pPr>
    </w:p>
    <w:p>
      <w:pPr>
        <w:spacing w:line="364" w:lineRule="auto" w:before="0"/>
        <w:ind w:left="803" w:right="897" w:hanging="692"/>
        <w:jc w:val="both"/>
        <w:rPr>
          <w:sz w:val="23"/>
        </w:rPr>
      </w:pPr>
      <w:r>
        <w:rPr>
          <w:sz w:val="23"/>
        </w:rPr>
        <w:t>Corral-Verdugo, V. &amp; Encinas-Narzagaray, L. (2002). Variables disposicionales, situacionales y demográficas en el reciclaje de metal y papel. </w:t>
      </w:r>
      <w:r>
        <w:rPr>
          <w:i/>
          <w:sz w:val="23"/>
        </w:rPr>
        <w:t>Medio Ambiente y </w:t>
      </w:r>
      <w:r>
        <w:rPr>
          <w:i/>
          <w:sz w:val="23"/>
        </w:rPr>
        <w:t>Comportamiento Humano </w:t>
      </w:r>
      <w:r>
        <w:rPr>
          <w:sz w:val="23"/>
        </w:rPr>
        <w:t>2 (2), 1-19.</w:t>
      </w:r>
    </w:p>
    <w:p>
      <w:pPr>
        <w:spacing w:after="0" w:line="364" w:lineRule="auto"/>
        <w:jc w:val="both"/>
        <w:rPr>
          <w:sz w:val="23"/>
        </w:rPr>
        <w:sectPr>
          <w:pgSz w:w="11910" w:h="16840"/>
          <w:pgMar w:header="1066" w:footer="1715"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903" w:hanging="692"/>
        <w:jc w:val="both"/>
      </w:pPr>
      <w:r>
        <w:rPr/>
        <w:t>Corral-Verdugo, </w:t>
      </w:r>
      <w:r>
        <w:rPr>
          <w:spacing w:val="3"/>
        </w:rPr>
        <w:t>V. </w:t>
      </w:r>
      <w:r>
        <w:rPr/>
        <w:t>&amp; Zaragoza, F. (2000). Bases sociodemográficas y psicológicas de la conducta de reutilización: un modelo estructural. Medio Ambiente y  Comportamiento Humano, 1(1),</w:t>
      </w:r>
      <w:r>
        <w:rPr>
          <w:spacing w:val="44"/>
        </w:rPr>
        <w:t> </w:t>
      </w:r>
      <w:r>
        <w:rPr/>
        <w:t>9-29.</w:t>
      </w:r>
    </w:p>
    <w:p>
      <w:pPr>
        <w:pStyle w:val="BodyText"/>
        <w:spacing w:line="364" w:lineRule="auto" w:before="120"/>
        <w:ind w:left="803" w:right="897" w:hanging="692"/>
        <w:jc w:val="both"/>
      </w:pPr>
      <w:r>
        <w:rPr/>
        <w:t>Corral-Verdugo, V. (2001). Comportamiento  Proambiental.  Una Introducción al Estudio  de las Conductas Protectoras del Ambiente. Santa Cruz de Tenerife, España: RESMA United Nations (2001). Sustainable development: Indicators. </w:t>
      </w:r>
      <w:hyperlink r:id="rId78">
        <w:r>
          <w:rPr/>
          <w:t>http://www.un.org/esa/agenda21/natlinfo/indicato.htm.</w:t>
        </w:r>
      </w:hyperlink>
    </w:p>
    <w:p>
      <w:pPr>
        <w:pStyle w:val="BodyText"/>
        <w:tabs>
          <w:tab w:pos="1978" w:val="left" w:leader="none"/>
        </w:tabs>
        <w:spacing w:before="120"/>
        <w:ind w:left="112"/>
      </w:pPr>
      <w:r>
        <w:rPr/>
        <w:t>Corral-Verdugo,</w:t>
        <w:tab/>
        <w:t>V.   (2002).   A   structural   model   of   proenvironmental   </w:t>
      </w:r>
      <w:r>
        <w:rPr>
          <w:spacing w:val="45"/>
        </w:rPr>
        <w:t> </w:t>
      </w:r>
      <w:r>
        <w:rPr/>
        <w:t>competency.</w:t>
      </w:r>
    </w:p>
    <w:p>
      <w:pPr>
        <w:pStyle w:val="BodyText"/>
        <w:spacing w:before="143"/>
        <w:ind w:left="803" w:right="897"/>
      </w:pPr>
      <w:r>
        <w:rPr/>
        <w:t>Environment and Behavior, 34(4),</w:t>
      </w:r>
      <w:r>
        <w:rPr>
          <w:spacing w:val="52"/>
        </w:rPr>
        <w:t> </w:t>
      </w:r>
      <w:r>
        <w:rPr/>
        <w:t>531-549.</w:t>
      </w:r>
    </w:p>
    <w:p>
      <w:pPr>
        <w:pStyle w:val="BodyText"/>
        <w:rPr>
          <w:sz w:val="22"/>
        </w:rPr>
      </w:pPr>
    </w:p>
    <w:p>
      <w:pPr>
        <w:pStyle w:val="BodyText"/>
        <w:spacing w:line="364" w:lineRule="auto" w:before="1"/>
        <w:ind w:left="803" w:right="892" w:hanging="692"/>
        <w:jc w:val="both"/>
      </w:pPr>
      <w:r>
        <w:rPr/>
        <w:t>Corral-Verdugo, </w:t>
      </w:r>
      <w:r>
        <w:rPr>
          <w:spacing w:val="3"/>
        </w:rPr>
        <w:t>V. </w:t>
      </w:r>
      <w:r>
        <w:rPr/>
        <w:t>(2002a). Psicología de </w:t>
      </w:r>
      <w:r>
        <w:rPr>
          <w:spacing w:val="-5"/>
        </w:rPr>
        <w:t>la </w:t>
      </w:r>
      <w:r>
        <w:rPr/>
        <w:t>Conservación: El estudio de las conductas protectoras del ambiente. En V. Corral- Verdugo (Ed.). Conductas protectoras del Ambiente. México:</w:t>
      </w:r>
      <w:r>
        <w:rPr>
          <w:spacing w:val="50"/>
        </w:rPr>
        <w:t> </w:t>
      </w:r>
      <w:r>
        <w:rPr/>
        <w:t>CONACyT-UniSon.</w:t>
      </w:r>
    </w:p>
    <w:p>
      <w:pPr>
        <w:pStyle w:val="BodyText"/>
        <w:spacing w:line="364" w:lineRule="auto" w:before="125"/>
        <w:ind w:left="803" w:right="908" w:hanging="692"/>
        <w:jc w:val="both"/>
      </w:pPr>
      <w:r>
        <w:rPr/>
        <w:t>Corral-Verdugo, V. (2003). Percepción de riesgos, conducta proambiental y variables demográficas en una comunidad de Sonora, México: Región y  Sociedad.</w:t>
      </w:r>
    </w:p>
    <w:p>
      <w:pPr>
        <w:pStyle w:val="BodyText"/>
        <w:spacing w:line="364" w:lineRule="auto" w:before="120"/>
        <w:ind w:left="803" w:right="893" w:hanging="692"/>
        <w:jc w:val="both"/>
      </w:pPr>
      <w:r>
        <w:rPr/>
        <w:t>Corral-Verdugo, V. (2012). Psicología de la Conservación: El estudio de las conductas protectoras del ambiente. En V. Corral- Verdugo (Ed.). Conductas protectoras del Ambiente. México:</w:t>
      </w:r>
      <w:r>
        <w:rPr>
          <w:spacing w:val="50"/>
        </w:rPr>
        <w:t> </w:t>
      </w:r>
      <w:r>
        <w:rPr/>
        <w:t>CONACyT-UniSon.</w:t>
      </w:r>
    </w:p>
    <w:p>
      <w:pPr>
        <w:pStyle w:val="BodyText"/>
        <w:spacing w:line="364" w:lineRule="auto" w:before="120"/>
        <w:ind w:left="803" w:right="898" w:hanging="692"/>
        <w:jc w:val="both"/>
      </w:pPr>
      <w:r>
        <w:rPr/>
        <w:t>Corral-Verdugo, V., Bechtel, R. B., Armendáriz, L. I. &amp; Esquer, A. N. (1997). La estructura de las creencias ambientales en universitarios mexicanos: El Nuevo Paradigma Ambiental. Revista Mexicana de Psicología, 14(2), 173-  181.</w:t>
      </w:r>
    </w:p>
    <w:p>
      <w:pPr>
        <w:pStyle w:val="BodyText"/>
        <w:spacing w:line="364" w:lineRule="auto" w:before="125"/>
        <w:ind w:left="803" w:right="900" w:hanging="692"/>
        <w:jc w:val="both"/>
      </w:pPr>
      <w:r>
        <w:rPr/>
        <w:t>Corral-Verdugo, Víctor y Pinheiro, José (2004), Aproximaciones al estudio de la conducta sustentable. Revista Medio Ambiente y Comportamiento  Humano.</w:t>
      </w:r>
    </w:p>
    <w:p>
      <w:pPr>
        <w:pStyle w:val="BodyText"/>
        <w:spacing w:line="364" w:lineRule="auto" w:before="120"/>
        <w:ind w:left="803" w:right="902" w:hanging="692"/>
        <w:jc w:val="both"/>
      </w:pPr>
      <w:r>
        <w:rPr/>
        <w:t>Cortés Peña, Omar Fernando (2011). Comportamiento proambiental y pensamiento económico en la construcción del desarrollo sostenible. Artículo desarrollado en el marco de la tesis doctoral en la Universidad del Norte, Barranquilla, Colombia “Cultura, Educación, Sociedad-CES”. Volumen 2 - No. 1. pp.  43-56.</w:t>
      </w:r>
    </w:p>
    <w:p>
      <w:pPr>
        <w:pStyle w:val="BodyText"/>
        <w:spacing w:line="364" w:lineRule="auto" w:before="120"/>
        <w:ind w:left="803" w:right="903" w:hanging="692"/>
        <w:jc w:val="both"/>
      </w:pPr>
      <w:r>
        <w:rPr/>
        <w:t>Costanzo, M., Archer, D., Aronson, E. &amp; Pettigrew, T. (1986). Energy conservation behavior. The difficult path from information to action. American  Psychologist,  41(5),</w:t>
      </w:r>
      <w:r>
        <w:rPr>
          <w:spacing w:val="21"/>
        </w:rPr>
        <w:t> </w:t>
      </w:r>
      <w:r>
        <w:rPr/>
        <w:t>521-528.</w:t>
      </w:r>
    </w:p>
    <w:p>
      <w:pPr>
        <w:spacing w:after="0" w:line="364" w:lineRule="auto"/>
        <w:jc w:val="both"/>
        <w:sectPr>
          <w:pgSz w:w="11910" w:h="16840"/>
          <w:pgMar w:header="1066" w:footer="1715" w:top="1460" w:bottom="1900" w:left="1400" w:right="200"/>
        </w:sectPr>
      </w:pPr>
    </w:p>
    <w:p>
      <w:pPr>
        <w:pStyle w:val="BodyText"/>
        <w:rPr>
          <w:sz w:val="20"/>
        </w:rPr>
      </w:pPr>
    </w:p>
    <w:p>
      <w:pPr>
        <w:pStyle w:val="BodyText"/>
        <w:spacing w:before="10"/>
        <w:rPr>
          <w:sz w:val="17"/>
        </w:rPr>
      </w:pPr>
    </w:p>
    <w:p>
      <w:pPr>
        <w:pStyle w:val="BodyText"/>
        <w:spacing w:line="362" w:lineRule="auto" w:before="74"/>
        <w:ind w:left="803" w:right="910" w:hanging="692"/>
        <w:jc w:val="both"/>
      </w:pPr>
      <w:r>
        <w:rPr/>
        <w:t>Cottrell, S.P. y Graefe, A.R. (1997). Testing a conceptual framework of responsible environmental behavior. Journal of Environmental Education, 29,  17-27.</w:t>
      </w:r>
    </w:p>
    <w:p>
      <w:pPr>
        <w:pStyle w:val="BodyText"/>
        <w:spacing w:line="367" w:lineRule="auto" w:before="123"/>
        <w:ind w:left="803" w:right="903" w:hanging="692"/>
        <w:jc w:val="both"/>
      </w:pPr>
      <w:r>
        <w:rPr/>
        <w:t>De Young, R. (1996) Some psychological aspects of reduced consumption behavior: the role of intrinsic satisfaction and competence motivation.  Environment  and  Behavior, 28 (3):</w:t>
      </w:r>
      <w:r>
        <w:rPr>
          <w:spacing w:val="26"/>
        </w:rPr>
        <w:t> </w:t>
      </w:r>
      <w:r>
        <w:rPr/>
        <w:t>358.</w:t>
      </w:r>
    </w:p>
    <w:p>
      <w:pPr>
        <w:pStyle w:val="BodyText"/>
        <w:spacing w:line="362" w:lineRule="auto" w:before="117"/>
        <w:ind w:left="803" w:right="909" w:hanging="692"/>
        <w:jc w:val="both"/>
      </w:pPr>
      <w:r>
        <w:rPr/>
        <w:t>De Young, R. (2000). Expanding and evaluating motives for environmentally responsible behavior. Journal of Social Issues, 56(3),</w:t>
      </w:r>
      <w:r>
        <w:rPr>
          <w:spacing w:val="63"/>
        </w:rPr>
        <w:t> </w:t>
      </w:r>
      <w:r>
        <w:rPr/>
        <w:t>509-526.</w:t>
      </w:r>
    </w:p>
    <w:p>
      <w:pPr>
        <w:pStyle w:val="BodyText"/>
        <w:spacing w:line="367" w:lineRule="auto" w:before="123"/>
        <w:ind w:left="803" w:right="898" w:hanging="692"/>
        <w:jc w:val="both"/>
      </w:pPr>
      <w:r>
        <w:rPr/>
        <w:t>Dietz, T., Stern, P. C. &amp; Guagnano, G. A. (1998). Social  structural  and  social psychological bases of environmental concern. </w:t>
      </w:r>
      <w:r>
        <w:rPr>
          <w:i/>
        </w:rPr>
        <w:t>Environment and Behavior, 30</w:t>
      </w:r>
      <w:r>
        <w:rPr/>
        <w:t>(4), 450-471.</w:t>
      </w:r>
    </w:p>
    <w:p>
      <w:pPr>
        <w:spacing w:line="364" w:lineRule="auto" w:before="117"/>
        <w:ind w:left="803" w:right="897" w:hanging="692"/>
        <w:jc w:val="both"/>
        <w:rPr>
          <w:sz w:val="23"/>
        </w:rPr>
      </w:pPr>
      <w:r>
        <w:rPr>
          <w:sz w:val="23"/>
        </w:rPr>
        <w:t>Dunlap, R. E. y Van Liere, K.D. (1978). The New Environmental Paradigm. </w:t>
      </w:r>
      <w:r>
        <w:rPr>
          <w:i/>
          <w:sz w:val="23"/>
        </w:rPr>
        <w:t>Journal of </w:t>
      </w:r>
      <w:r>
        <w:rPr>
          <w:i/>
          <w:sz w:val="23"/>
        </w:rPr>
        <w:t>Environmental Education</w:t>
      </w:r>
      <w:r>
        <w:rPr>
          <w:sz w:val="23"/>
        </w:rPr>
        <w:t>, 9, 10-19.</w:t>
      </w:r>
    </w:p>
    <w:p>
      <w:pPr>
        <w:pStyle w:val="BodyText"/>
        <w:spacing w:line="362" w:lineRule="auto" w:before="125"/>
        <w:ind w:left="803" w:right="903" w:hanging="692"/>
        <w:jc w:val="both"/>
      </w:pPr>
      <w:r>
        <w:rPr/>
        <w:t>Dunlap, R.E. (2008). Climate change views: Republican-Democratic gaps expand. Gallup surey report (</w:t>
      </w:r>
      <w:r>
        <w:rPr>
          <w:color w:val="0563C1"/>
          <w:u w:val="single" w:color="0563C1"/>
        </w:rPr>
        <w:t>http://www.gallup.com</w:t>
      </w:r>
      <w:r>
        <w:rPr/>
        <w:t>).</w:t>
      </w:r>
    </w:p>
    <w:p>
      <w:pPr>
        <w:pStyle w:val="BodyText"/>
        <w:spacing w:line="364" w:lineRule="auto" w:before="123"/>
        <w:ind w:left="803" w:right="910" w:hanging="692"/>
        <w:jc w:val="both"/>
      </w:pPr>
      <w:r>
        <w:rPr/>
        <w:t>Fishbein, M. &amp; Azjen, J. (1974). Attitudes toward objects as predictors of  single  and multiple behavioral criteria. Psychological Review, 81,  59-74.</w:t>
      </w:r>
    </w:p>
    <w:p>
      <w:pPr>
        <w:pStyle w:val="BodyText"/>
        <w:spacing w:line="364" w:lineRule="auto" w:before="125"/>
        <w:ind w:left="803" w:right="903" w:hanging="692"/>
        <w:jc w:val="both"/>
      </w:pPr>
      <w:r>
        <w:rPr/>
        <w:t>Fishbein, M. &amp; Azjen, J. (1980). Beliefs, attitudes, intentions and behavior. Reading, Massachusetts, EE.UU.: Addison-Wesley.</w:t>
      </w:r>
    </w:p>
    <w:p>
      <w:pPr>
        <w:pStyle w:val="BodyText"/>
        <w:spacing w:line="364" w:lineRule="auto" w:before="120"/>
        <w:ind w:left="803" w:right="900" w:hanging="692"/>
        <w:jc w:val="both"/>
      </w:pPr>
      <w:r>
        <w:rPr/>
        <w:t>Fishbein,  M.A. y Ajzen, I. (1975). Belief, attitude,  intention and behavior: An introduction  to theory and research. Reading, MA:</w:t>
      </w:r>
      <w:r>
        <w:rPr>
          <w:spacing w:val="61"/>
        </w:rPr>
        <w:t> </w:t>
      </w:r>
      <w:r>
        <w:rPr/>
        <w:t>Addison-Wesley.</w:t>
      </w:r>
    </w:p>
    <w:p>
      <w:pPr>
        <w:spacing w:line="362" w:lineRule="auto" w:before="125"/>
        <w:ind w:left="803" w:right="896" w:hanging="692"/>
        <w:jc w:val="both"/>
        <w:rPr>
          <w:sz w:val="23"/>
        </w:rPr>
      </w:pPr>
      <w:r>
        <w:rPr>
          <w:sz w:val="23"/>
        </w:rPr>
        <w:t>Fraj, Elena y Martínez, Eva (2002),  </w:t>
      </w:r>
      <w:r>
        <w:rPr>
          <w:i/>
          <w:sz w:val="23"/>
        </w:rPr>
        <w:t>El  comportamiento ecológico de los  consumidores</w:t>
      </w:r>
      <w:r>
        <w:rPr>
          <w:sz w:val="23"/>
        </w:rPr>
        <w:t>, ed. ESIC, Universidad de Zaragoza, Madrid.</w:t>
      </w:r>
    </w:p>
    <w:p>
      <w:pPr>
        <w:pStyle w:val="BodyText"/>
        <w:spacing w:line="364" w:lineRule="auto" w:before="123"/>
        <w:ind w:left="803" w:right="894" w:hanging="692"/>
        <w:jc w:val="both"/>
      </w:pPr>
      <w:r>
        <w:rPr/>
        <w:t>Fraj, Elena y Martínez, Eva (2003a), “Análisis psicográfico del  segmento  de  consumidores que está dispuesto a pagar más por  los  productos  ecológicos”. </w:t>
      </w:r>
      <w:r>
        <w:rPr>
          <w:i/>
        </w:rPr>
        <w:t>ESIC MARKET</w:t>
      </w:r>
      <w:r>
        <w:rPr/>
        <w:t>, mayo-agosto, pp. 217-239,</w:t>
      </w:r>
      <w:r>
        <w:rPr>
          <w:spacing w:val="58"/>
        </w:rPr>
        <w:t> </w:t>
      </w:r>
      <w:r>
        <w:rPr/>
        <w:t>Madrid.</w:t>
      </w:r>
    </w:p>
    <w:p>
      <w:pPr>
        <w:spacing w:line="364" w:lineRule="auto" w:before="125"/>
        <w:ind w:left="803" w:right="893" w:hanging="692"/>
        <w:jc w:val="both"/>
        <w:rPr>
          <w:sz w:val="23"/>
        </w:rPr>
      </w:pPr>
      <w:r>
        <w:rPr>
          <w:sz w:val="23"/>
        </w:rPr>
        <w:t>Fraj, Elena y Martínez, Eva (2003b), “Las actitudes como determinantes del comportamiento ecológico del consumidor. Análisis desde la Teoría Razonada”. </w:t>
      </w:r>
      <w:r>
        <w:rPr>
          <w:i/>
          <w:sz w:val="23"/>
        </w:rPr>
        <w:t>Revista Española de investigación en marketing</w:t>
      </w:r>
      <w:r>
        <w:rPr>
          <w:sz w:val="23"/>
        </w:rPr>
        <w:t>. </w:t>
      </w:r>
      <w:r>
        <w:rPr>
          <w:i/>
          <w:sz w:val="23"/>
        </w:rPr>
        <w:t>ESIC</w:t>
      </w:r>
      <w:r>
        <w:rPr>
          <w:sz w:val="23"/>
        </w:rPr>
        <w:t>. Vol. 7 No. 2, pp.57-58, Madrid.</w:t>
      </w:r>
    </w:p>
    <w:p>
      <w:pPr>
        <w:spacing w:after="0" w:line="364" w:lineRule="auto"/>
        <w:jc w:val="both"/>
        <w:rPr>
          <w:sz w:val="23"/>
        </w:rPr>
        <w:sectPr>
          <w:pgSz w:w="11910" w:h="16840"/>
          <w:pgMar w:header="1066" w:footer="1715"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901" w:hanging="692"/>
        <w:jc w:val="both"/>
      </w:pPr>
      <w:r>
        <w:rPr/>
        <w:t>Fraj, Elena y Martínez, Eva (2004a), “Las variables de actitud y de conocimiento como determinantes del comportamiento ecológico”, </w:t>
      </w:r>
      <w:r>
        <w:rPr>
          <w:i/>
        </w:rPr>
        <w:t>Investigación y Marketing </w:t>
      </w:r>
      <w:r>
        <w:rPr/>
        <w:t>(abril), pp.56-70, Madrid.</w:t>
      </w:r>
    </w:p>
    <w:p>
      <w:pPr>
        <w:pStyle w:val="BodyText"/>
        <w:spacing w:line="364" w:lineRule="auto" w:before="120"/>
        <w:ind w:left="803" w:right="904" w:hanging="692"/>
        <w:jc w:val="both"/>
      </w:pPr>
      <w:r>
        <w:rPr/>
        <w:t>Fraj, Elena, Martínez, Eva (2012), “El consumo Ecológico explicado a través  de  los valores y estilos de vida. Implicaciones en la estrategia medioambiental de la empresa”, </w:t>
      </w:r>
      <w:r>
        <w:rPr>
          <w:i/>
        </w:rPr>
        <w:t>Cuadernos de CC.EE. y EE</w:t>
      </w:r>
      <w:r>
        <w:rPr/>
        <w:t>., No. 46,  España.</w:t>
      </w:r>
    </w:p>
    <w:p>
      <w:pPr>
        <w:pStyle w:val="BodyText"/>
        <w:spacing w:line="367" w:lineRule="auto" w:before="120"/>
        <w:ind w:left="803" w:right="899" w:hanging="692"/>
        <w:jc w:val="both"/>
      </w:pPr>
      <w:r>
        <w:rPr/>
        <w:t>García Rodríguez, Francisco J. y Armas Cruz, Yaiza del Mar (2007), Aproximación a la incidencia de </w:t>
      </w:r>
      <w:r>
        <w:rPr>
          <w:spacing w:val="-5"/>
        </w:rPr>
        <w:t>la </w:t>
      </w:r>
      <w:r>
        <w:rPr/>
        <w:t>responsabilidad social-medioambiental en el  rendimiento  económico de la empresa hotelera española. Revista Europea de Dirección y Economía de la Empresa, 16 (1). Universidad de la Laguna, </w:t>
      </w:r>
      <w:r>
        <w:rPr>
          <w:spacing w:val="15"/>
        </w:rPr>
        <w:t> </w:t>
      </w:r>
      <w:r>
        <w:rPr/>
        <w:t>España.</w:t>
      </w:r>
    </w:p>
    <w:p>
      <w:pPr>
        <w:pStyle w:val="BodyText"/>
        <w:spacing w:line="364" w:lineRule="auto" w:before="117"/>
        <w:ind w:left="803" w:right="905" w:hanging="692"/>
        <w:jc w:val="both"/>
      </w:pPr>
      <w:r>
        <w:rPr/>
        <w:t>García-Mira, R. y Real-Deus, E. (2001). Valores, actitudes y creencias: hacia un modelo predictivo del ambientalismo. Medio ambiente y Comportamiento Humano, 2, 1, 21-43.</w:t>
      </w:r>
    </w:p>
    <w:p>
      <w:pPr>
        <w:pStyle w:val="BodyText"/>
        <w:spacing w:before="120"/>
        <w:ind w:left="112" w:right="897"/>
      </w:pPr>
      <w:r>
        <w:rPr/>
        <w:t>Gardner, G. (2002). The challenge for Johannesburg: Creating a more secure world. En</w:t>
      </w:r>
    </w:p>
    <w:p>
      <w:pPr>
        <w:pStyle w:val="BodyText"/>
        <w:spacing w:line="362" w:lineRule="auto" w:before="138"/>
        <w:ind w:left="803" w:right="1192"/>
      </w:pPr>
      <w:r>
        <w:rPr/>
        <w:t>L. Starke (Ed.), State </w:t>
      </w:r>
      <w:r>
        <w:rPr>
          <w:spacing w:val="-3"/>
        </w:rPr>
        <w:t>of </w:t>
      </w:r>
      <w:r>
        <w:rPr/>
        <w:t>the World 2002. A Worldwatch Institute  Report  on  Progress Toward a Sustainable Society. Nueva York: W.W. Norton &amp; </w:t>
      </w:r>
      <w:r>
        <w:rPr>
          <w:spacing w:val="29"/>
        </w:rPr>
        <w:t> </w:t>
      </w:r>
      <w:r>
        <w:rPr/>
        <w:t>Company.</w:t>
      </w:r>
    </w:p>
    <w:p>
      <w:pPr>
        <w:pStyle w:val="BodyText"/>
        <w:spacing w:before="127"/>
        <w:ind w:left="112" w:right="897"/>
      </w:pPr>
      <w:r>
        <w:rPr/>
        <w:t>Gardner,  G.  T.  &amp;  Stern,  P.  C.  (2002).  Environmental  problems  and  human behavior.</w:t>
      </w:r>
    </w:p>
    <w:p>
      <w:pPr>
        <w:pStyle w:val="BodyText"/>
        <w:spacing w:before="138"/>
        <w:ind w:left="803" w:right="897"/>
      </w:pPr>
      <w:r>
        <w:rPr/>
        <w:t>Needham Heights, MA, EE.UU.: Allyn &amp;</w:t>
      </w:r>
      <w:r>
        <w:rPr>
          <w:spacing w:val="57"/>
        </w:rPr>
        <w:t> </w:t>
      </w:r>
      <w:r>
        <w:rPr/>
        <w:t>Bacon.</w:t>
      </w:r>
    </w:p>
    <w:p>
      <w:pPr>
        <w:pStyle w:val="BodyText"/>
        <w:rPr>
          <w:sz w:val="22"/>
        </w:rPr>
      </w:pPr>
    </w:p>
    <w:p>
      <w:pPr>
        <w:pStyle w:val="BodyText"/>
        <w:spacing w:line="364" w:lineRule="auto" w:before="1"/>
        <w:ind w:left="803" w:right="907" w:hanging="692"/>
        <w:jc w:val="both"/>
      </w:pPr>
      <w:r>
        <w:rPr/>
        <w:t>Geller, E. S. (1995a). Actively caring </w:t>
      </w:r>
      <w:r>
        <w:rPr>
          <w:spacing w:val="2"/>
        </w:rPr>
        <w:t>for </w:t>
      </w:r>
      <w:r>
        <w:rPr/>
        <w:t>the environment. An integration of behaviorism  and humanism. Environment and Behavior, 27(2), </w:t>
      </w:r>
      <w:r>
        <w:rPr>
          <w:spacing w:val="4"/>
        </w:rPr>
        <w:t> </w:t>
      </w:r>
      <w:r>
        <w:rPr/>
        <w:t>184-195.</w:t>
      </w:r>
    </w:p>
    <w:p>
      <w:pPr>
        <w:pStyle w:val="BodyText"/>
        <w:spacing w:line="364" w:lineRule="auto" w:before="125"/>
        <w:ind w:left="803" w:right="897" w:hanging="692"/>
        <w:jc w:val="both"/>
      </w:pPr>
      <w:r>
        <w:rPr/>
        <w:t>Geller, </w:t>
      </w:r>
      <w:r>
        <w:rPr>
          <w:spacing w:val="3"/>
        </w:rPr>
        <w:t>E. </w:t>
      </w:r>
      <w:r>
        <w:rPr/>
        <w:t>S. (1995b). Integrating behaviorism and humanism  for  environmental  protection. Journal of Social Issues, 51(4),</w:t>
      </w:r>
      <w:r>
        <w:rPr>
          <w:spacing w:val="59"/>
        </w:rPr>
        <w:t> </w:t>
      </w:r>
      <w:r>
        <w:rPr/>
        <w:t>179-195.</w:t>
      </w:r>
    </w:p>
    <w:p>
      <w:pPr>
        <w:pStyle w:val="BodyText"/>
        <w:spacing w:line="362" w:lineRule="auto" w:before="120"/>
        <w:ind w:left="803" w:right="911" w:hanging="692"/>
        <w:jc w:val="both"/>
      </w:pPr>
      <w:r>
        <w:rPr/>
        <w:t>Geller, E. S., Winnett, R. A. &amp; Everett, E. B. (1982). Preserving the environment. New strategies for behavior change. Nueva York, NY, EE. UU.: Pergamon  Press.</w:t>
      </w:r>
    </w:p>
    <w:p>
      <w:pPr>
        <w:pStyle w:val="BodyText"/>
        <w:spacing w:line="367" w:lineRule="auto" w:before="123"/>
        <w:ind w:left="803" w:right="893" w:hanging="692"/>
        <w:jc w:val="both"/>
      </w:pPr>
      <w:r>
        <w:rPr/>
        <w:t>Geller, E.S. (2002). The challenge of increasing pro-environment behavior. En R.B.  Bechtel y A. Churchman (Eds.), Handbook of Environmental  Psychology.  New York:</w:t>
      </w:r>
      <w:r>
        <w:rPr>
          <w:spacing w:val="14"/>
        </w:rPr>
        <w:t> </w:t>
      </w:r>
      <w:r>
        <w:rPr/>
        <w:t>Wiley.</w:t>
      </w:r>
    </w:p>
    <w:p>
      <w:pPr>
        <w:pStyle w:val="BodyText"/>
        <w:spacing w:line="364" w:lineRule="auto" w:before="117"/>
        <w:ind w:left="803" w:right="909" w:hanging="692"/>
        <w:jc w:val="both"/>
      </w:pPr>
      <w:r>
        <w:rPr/>
        <w:t>Geller, J. M. &amp; Lasley, P. (1985). The New Environmental Paradigm Scale: A reexamination. Journal of Environmental Education, 17(1),  9-13.</w:t>
      </w:r>
    </w:p>
    <w:p>
      <w:pPr>
        <w:spacing w:after="0" w:line="364" w:lineRule="auto"/>
        <w:jc w:val="both"/>
        <w:sectPr>
          <w:pgSz w:w="11910" w:h="16840"/>
          <w:pgMar w:header="1066" w:footer="1715"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901" w:hanging="692"/>
        <w:jc w:val="both"/>
      </w:pPr>
      <w:r>
        <w:rPr/>
        <w:t>Gessa, Ana; González, Isabel y Jiménez, Ma. del Amor (2007), Estándares de Calidad Medioambiental en los establecimientos hoteleros. Un análisis preliminar comparativo. Universidad de Huelva,</w:t>
      </w:r>
      <w:r>
        <w:rPr>
          <w:spacing w:val="56"/>
        </w:rPr>
        <w:t> </w:t>
      </w:r>
      <w:r>
        <w:rPr/>
        <w:t>España.</w:t>
      </w:r>
    </w:p>
    <w:p>
      <w:pPr>
        <w:pStyle w:val="BodyText"/>
        <w:spacing w:line="369" w:lineRule="auto" w:before="120"/>
        <w:ind w:left="803" w:right="906" w:hanging="692"/>
        <w:jc w:val="both"/>
      </w:pPr>
      <w:r>
        <w:rPr/>
        <w:t>Gómez, Cristóbal; Noya, Javier y Paniagua, Ángel (1999a). Actitudes y Comportamientos Hacia el Medio Ambiente en España. Madrid:</w:t>
      </w:r>
      <w:r>
        <w:rPr>
          <w:spacing w:val="60"/>
        </w:rPr>
        <w:t> </w:t>
      </w:r>
      <w:r>
        <w:rPr/>
        <w:t>CIS.</w:t>
      </w:r>
    </w:p>
    <w:p>
      <w:pPr>
        <w:pStyle w:val="BodyText"/>
        <w:spacing w:line="364" w:lineRule="auto" w:before="115"/>
        <w:ind w:left="803" w:right="898" w:hanging="692"/>
        <w:jc w:val="both"/>
      </w:pPr>
      <w:r>
        <w:rPr/>
        <w:t>Gómez, Cristóbal; Noya, Javier y Paniagua, Ángel (1999b). La Inconsistencia de las Actitudes Hacia el Medio Ambiente en España. En Mercedes Pardo (Coord.), Sociología y medio ambiente. Estado de la cuestión (pp. 227-237). Madrid: Fundación Fernando de los Ríos-Universidad Pública de  Navarra.</w:t>
      </w:r>
    </w:p>
    <w:p>
      <w:pPr>
        <w:pStyle w:val="BodyText"/>
        <w:spacing w:line="364" w:lineRule="auto" w:before="120"/>
        <w:ind w:left="803" w:right="900" w:hanging="692"/>
        <w:jc w:val="both"/>
      </w:pPr>
      <w:r>
        <w:rPr/>
        <w:t>Gonzáles, A. L. (2011) La preocupación por la calidad del medio ambiente. Un modelo cognitivo sobre la conducta ecológica. Tesis doctoral no publicada, Universidad Complutense de Madrid.</w:t>
      </w:r>
    </w:p>
    <w:p>
      <w:pPr>
        <w:pStyle w:val="BodyText"/>
        <w:spacing w:line="364" w:lineRule="auto" w:before="125"/>
        <w:ind w:left="803" w:right="895" w:hanging="692"/>
        <w:jc w:val="both"/>
      </w:pPr>
      <w:r>
        <w:rPr/>
        <w:t>González López, Antonio (2002), La preocupación por </w:t>
      </w:r>
      <w:r>
        <w:rPr>
          <w:spacing w:val="-5"/>
        </w:rPr>
        <w:t>la </w:t>
      </w:r>
      <w:r>
        <w:rPr/>
        <w:t>calidad del medio ambiente. Un modelo cognitivo sobre la conducta ecológica. Memoria para doctorado.  Universidad Complutense de</w:t>
      </w:r>
      <w:r>
        <w:rPr>
          <w:spacing w:val="42"/>
        </w:rPr>
        <w:t> </w:t>
      </w:r>
      <w:r>
        <w:rPr/>
        <w:t>Madrid.</w:t>
      </w:r>
    </w:p>
    <w:p>
      <w:pPr>
        <w:pStyle w:val="BodyText"/>
        <w:spacing w:line="364" w:lineRule="auto" w:before="120"/>
        <w:ind w:left="803" w:right="895" w:hanging="692"/>
        <w:jc w:val="both"/>
      </w:pPr>
      <w:r>
        <w:rPr/>
        <w:t>Gonzalez-Benito, J. &amp; Gonzalez-Benito, O. (2005). A study of the motivations for the environmental transformation of companies. Industrial Marketing Management, 34, 462-475.</w:t>
      </w:r>
    </w:p>
    <w:p>
      <w:pPr>
        <w:pStyle w:val="BodyText"/>
        <w:spacing w:line="367" w:lineRule="auto" w:before="120"/>
        <w:ind w:left="803" w:right="894" w:hanging="692"/>
        <w:jc w:val="both"/>
      </w:pPr>
      <w:r>
        <w:rPr/>
        <w:t>Gouveia, V. (2002). Self, culture and sustainable development. En P. Schmuck y P.W. Schultz (Eds.), Psychology of Sustainable Development. Norwell, Massachusetts: Kluwer.</w:t>
      </w:r>
    </w:p>
    <w:p>
      <w:pPr>
        <w:pStyle w:val="BodyText"/>
        <w:spacing w:line="364" w:lineRule="auto" w:before="117"/>
        <w:ind w:left="803" w:right="896" w:hanging="692"/>
        <w:jc w:val="both"/>
      </w:pPr>
      <w:r>
        <w:rPr/>
        <w:t>Granados, Josefina (2010), Responsabilidad ambiental empresarial. Participación de la academia. Revista Contaduría Pública. 11: 18-21. Disponible en: </w:t>
      </w:r>
      <w:hyperlink r:id="rId80">
        <w:r>
          <w:rPr>
            <w:color w:val="0563C1"/>
            <w:u w:val="single" w:color="0563C1"/>
          </w:rPr>
          <w:t>http://contaduriapublica.org.mx/?p=1950</w:t>
        </w:r>
      </w:hyperlink>
    </w:p>
    <w:p>
      <w:pPr>
        <w:pStyle w:val="BodyText"/>
        <w:spacing w:line="364" w:lineRule="auto" w:before="120"/>
        <w:ind w:left="803" w:right="891" w:hanging="692"/>
        <w:jc w:val="both"/>
      </w:pPr>
      <w:r>
        <w:rPr/>
        <w:t>Grob, A. (1990). Meinungen </w:t>
      </w:r>
      <w:r>
        <w:rPr>
          <w:spacing w:val="-5"/>
        </w:rPr>
        <w:t>im </w:t>
      </w:r>
      <w:r>
        <w:rPr/>
        <w:t>Umweltbereich und umwelgerechtes Verhalten. Ein psychologisches Ursachennetzmodell. Tesis Doctoral. Universidad de  Berna,  Suiza.</w:t>
      </w:r>
    </w:p>
    <w:p>
      <w:pPr>
        <w:pStyle w:val="BodyText"/>
        <w:spacing w:line="364" w:lineRule="auto" w:before="120"/>
        <w:ind w:left="803" w:right="907" w:hanging="692"/>
        <w:jc w:val="both"/>
      </w:pPr>
      <w:r>
        <w:rPr/>
        <w:t>Grob, A. (1995). A structural model of environmental attitudes </w:t>
      </w:r>
      <w:r>
        <w:rPr>
          <w:spacing w:val="-3"/>
        </w:rPr>
        <w:t>and </w:t>
      </w:r>
      <w:r>
        <w:rPr/>
        <w:t>behaviour. Journal of Environmental Psychology, 15,</w:t>
      </w:r>
      <w:r>
        <w:rPr>
          <w:spacing w:val="51"/>
        </w:rPr>
        <w:t> </w:t>
      </w:r>
      <w:r>
        <w:rPr/>
        <w:t>209-220.</w:t>
      </w:r>
    </w:p>
    <w:p>
      <w:pPr>
        <w:spacing w:after="0" w:line="364" w:lineRule="auto"/>
        <w:jc w:val="both"/>
        <w:sectPr>
          <w:footerReference w:type="default" r:id="rId79"/>
          <w:pgSz w:w="11910" w:h="16840"/>
          <w:pgMar w:footer="1711" w:header="1066" w:top="1460" w:bottom="1900" w:left="1400" w:right="200"/>
          <w:pgNumType w:start="130"/>
        </w:sectPr>
      </w:pPr>
    </w:p>
    <w:p>
      <w:pPr>
        <w:pStyle w:val="BodyText"/>
        <w:rPr>
          <w:sz w:val="20"/>
        </w:rPr>
      </w:pPr>
    </w:p>
    <w:p>
      <w:pPr>
        <w:pStyle w:val="BodyText"/>
        <w:spacing w:before="10"/>
        <w:rPr>
          <w:sz w:val="17"/>
        </w:rPr>
      </w:pPr>
    </w:p>
    <w:p>
      <w:pPr>
        <w:pStyle w:val="BodyText"/>
        <w:spacing w:line="364" w:lineRule="auto" w:before="74"/>
        <w:ind w:left="803" w:right="897" w:hanging="692"/>
        <w:jc w:val="both"/>
      </w:pPr>
      <w:r>
        <w:rPr/>
        <w:t>Guagnano, G., Stern, P., &amp; Dietz, </w:t>
      </w:r>
      <w:r>
        <w:rPr>
          <w:spacing w:val="2"/>
        </w:rPr>
        <w:t>T. </w:t>
      </w:r>
      <w:r>
        <w:rPr/>
        <w:t>(1995). Influences on  Attitude-Behavior  Relationships: A Natural Experiment with Curbside Recycling. Environment and Behavior, 27,</w:t>
      </w:r>
      <w:r>
        <w:rPr>
          <w:spacing w:val="32"/>
        </w:rPr>
        <w:t> </w:t>
      </w:r>
      <w:r>
        <w:rPr/>
        <w:t>699-718.</w:t>
      </w:r>
    </w:p>
    <w:p>
      <w:pPr>
        <w:pStyle w:val="BodyText"/>
        <w:spacing w:line="364" w:lineRule="auto" w:before="120"/>
        <w:ind w:left="803" w:right="897" w:hanging="692"/>
        <w:jc w:val="both"/>
      </w:pPr>
      <w:r>
        <w:rPr/>
        <w:t>Guagnano, G.A., Stern, P.C. y Dietz, T. (1995). Influences on attitude-behavior relationships: A natural experiment with curbside recycling.  Environment  &amp; Behavior, 27, 699-718.</w:t>
      </w:r>
    </w:p>
    <w:p>
      <w:pPr>
        <w:pStyle w:val="BodyText"/>
        <w:spacing w:before="120"/>
        <w:ind w:left="112" w:right="897"/>
      </w:pPr>
      <w:r>
        <w:rPr/>
        <w:t>Hall, E., (1966), The Hidden Dimension. Garden city, Nueva York:  Doubleday.</w:t>
      </w:r>
    </w:p>
    <w:p>
      <w:pPr>
        <w:pStyle w:val="BodyText"/>
        <w:rPr>
          <w:sz w:val="22"/>
        </w:rPr>
      </w:pPr>
    </w:p>
    <w:p>
      <w:pPr>
        <w:pStyle w:val="BodyText"/>
        <w:spacing w:before="1"/>
        <w:ind w:left="112"/>
      </w:pPr>
      <w:r>
        <w:rPr/>
        <w:t>Hernández, B. e  Hidalgo,  M.  C. (2002).  Actitudes  y creencias  hacia  el medio ambiente.</w:t>
      </w:r>
    </w:p>
    <w:p>
      <w:pPr>
        <w:pStyle w:val="BodyText"/>
        <w:spacing w:before="143"/>
        <w:ind w:left="803" w:right="897"/>
      </w:pPr>
      <w:r>
        <w:rPr/>
        <w:t>En J.I.</w:t>
      </w:r>
    </w:p>
    <w:p>
      <w:pPr>
        <w:pStyle w:val="BodyText"/>
        <w:rPr>
          <w:sz w:val="22"/>
        </w:rPr>
      </w:pPr>
    </w:p>
    <w:p>
      <w:pPr>
        <w:pStyle w:val="BodyText"/>
        <w:spacing w:line="364" w:lineRule="auto" w:before="1"/>
        <w:ind w:left="803" w:right="901" w:hanging="692"/>
        <w:jc w:val="both"/>
      </w:pPr>
      <w:r>
        <w:rPr/>
        <w:t>Hernández, B., Suárez, E. e Hidalgo, M.C. (2005). Ámbitos de intervención de la  psicología ambiental. </w:t>
      </w:r>
      <w:r>
        <w:rPr>
          <w:spacing w:val="3"/>
        </w:rPr>
        <w:t>En </w:t>
      </w:r>
      <w:r>
        <w:rPr>
          <w:spacing w:val="2"/>
        </w:rPr>
        <w:t>F. </w:t>
      </w:r>
      <w:r>
        <w:rPr/>
        <w:t>Expósito y M. Moya (Coords.), Aplicando la Psicología Ambiental, (pp. 319-341). Madrid:</w:t>
      </w:r>
      <w:r>
        <w:rPr>
          <w:spacing w:val="48"/>
        </w:rPr>
        <w:t> </w:t>
      </w:r>
      <w:r>
        <w:rPr/>
        <w:t>Pirámide.</w:t>
      </w:r>
    </w:p>
    <w:p>
      <w:pPr>
        <w:pStyle w:val="BodyText"/>
        <w:spacing w:line="362" w:lineRule="auto" w:before="125"/>
        <w:ind w:left="803" w:right="901" w:hanging="692"/>
        <w:jc w:val="both"/>
      </w:pPr>
      <w:r>
        <w:rPr/>
        <w:t>Hidalgo, M. C., (2000), Estilos de apego al lugar. Medio Ambiente y comportamiento Humano. Nº1(1):57-73.</w:t>
      </w:r>
    </w:p>
    <w:p>
      <w:pPr>
        <w:pStyle w:val="BodyText"/>
        <w:spacing w:line="367" w:lineRule="auto" w:before="123"/>
        <w:ind w:left="803" w:right="902" w:hanging="692"/>
        <w:jc w:val="both"/>
      </w:pPr>
      <w:r>
        <w:rPr/>
        <w:t>Hines, J. M., Hungerford, H. R. &amp; Tomera, A. N. Ž. (1987), Analysis and synthesis of research on responsible environmental behavior: a meta-analysis. Journal of Environmental Education 18, 1]8</w:t>
      </w:r>
    </w:p>
    <w:p>
      <w:pPr>
        <w:pStyle w:val="BodyText"/>
        <w:spacing w:line="364" w:lineRule="auto" w:before="117"/>
        <w:ind w:left="803" w:right="896" w:hanging="692"/>
        <w:jc w:val="both"/>
      </w:pPr>
      <w:r>
        <w:rPr/>
        <w:t>Hines, J., Hungerford, H &amp;Tomera, A. (1986) Analysis and synthesis of research on responsible environmental behavior: A meta-analysis. Journal of environmental education, 18, 1-18.</w:t>
      </w:r>
    </w:p>
    <w:p>
      <w:pPr>
        <w:pStyle w:val="BodyText"/>
        <w:spacing w:before="125"/>
        <w:ind w:left="111" w:right="897"/>
      </w:pPr>
      <w:r>
        <w:rPr/>
        <w:t>Holahan, Charles J. (2004) Psicología ambiental. Un enfoque general. Editorial  Limusa.</w:t>
      </w:r>
    </w:p>
    <w:p>
      <w:pPr>
        <w:pStyle w:val="BodyText"/>
        <w:rPr>
          <w:sz w:val="22"/>
        </w:rPr>
      </w:pPr>
    </w:p>
    <w:p>
      <w:pPr>
        <w:pStyle w:val="BodyText"/>
        <w:spacing w:before="1"/>
        <w:ind w:left="111" w:right="897"/>
      </w:pPr>
      <w:r>
        <w:rPr/>
        <w:t>Huntington,  S.  (1999).  The clash of  civilizations  and  the  remaking  of  the  world  order.</w:t>
      </w:r>
    </w:p>
    <w:p>
      <w:pPr>
        <w:pStyle w:val="BodyText"/>
        <w:spacing w:before="138"/>
        <w:ind w:left="668" w:right="897"/>
      </w:pPr>
      <w:r>
        <w:rPr/>
        <w:t>Nueva York: Touchstone Book.</w:t>
      </w:r>
    </w:p>
    <w:p>
      <w:pPr>
        <w:pStyle w:val="BodyText"/>
        <w:rPr>
          <w:sz w:val="22"/>
        </w:rPr>
      </w:pPr>
    </w:p>
    <w:p>
      <w:pPr>
        <w:pStyle w:val="BodyText"/>
        <w:spacing w:line="364" w:lineRule="auto" w:before="1"/>
        <w:ind w:left="668" w:right="900" w:hanging="557"/>
        <w:jc w:val="both"/>
      </w:pPr>
      <w:r>
        <w:rPr/>
        <w:t>Jiménez, M. y Lafuente, R. (2006). La operacionalización del concepto de conciencia ambiental en las encuestas. En R. </w:t>
      </w:r>
      <w:r>
        <w:rPr>
          <w:spacing w:val="-3"/>
        </w:rPr>
        <w:t>de </w:t>
      </w:r>
      <w:r>
        <w:rPr/>
        <w:t>Castro (Coord.) Persona, Sociedad y Medio Ambiente (pp. 121-150). Sevilla: Junta de</w:t>
      </w:r>
      <w:r>
        <w:rPr>
          <w:spacing w:val="63"/>
        </w:rPr>
        <w:t> </w:t>
      </w:r>
      <w:r>
        <w:rPr/>
        <w:t>Andalucía.</w:t>
      </w:r>
    </w:p>
    <w:p>
      <w:pPr>
        <w:spacing w:before="120"/>
        <w:ind w:left="111" w:right="897" w:firstLine="0"/>
        <w:jc w:val="left"/>
        <w:rPr>
          <w:sz w:val="23"/>
        </w:rPr>
      </w:pPr>
      <w:r>
        <w:rPr>
          <w:sz w:val="23"/>
        </w:rPr>
        <w:t>Juan y Seva. (2007), "Turismo y Sustentabilidad", </w:t>
      </w:r>
      <w:r>
        <w:rPr>
          <w:i/>
          <w:sz w:val="23"/>
        </w:rPr>
        <w:t>El periplo sustentable</w:t>
      </w:r>
      <w:r>
        <w:rPr>
          <w:sz w:val="23"/>
        </w:rPr>
        <w:t>,  México.</w:t>
      </w:r>
    </w:p>
    <w:p>
      <w:pPr>
        <w:spacing w:after="0"/>
        <w:jc w:val="left"/>
        <w:rPr>
          <w:sz w:val="23"/>
        </w:rPr>
        <w:sectPr>
          <w:pgSz w:w="11910" w:h="16840"/>
          <w:pgMar w:header="1066" w:footer="1711" w:top="1460" w:bottom="1900" w:left="1400" w:right="200"/>
        </w:sectPr>
      </w:pPr>
    </w:p>
    <w:p>
      <w:pPr>
        <w:pStyle w:val="BodyText"/>
        <w:rPr>
          <w:sz w:val="20"/>
        </w:rPr>
      </w:pPr>
    </w:p>
    <w:p>
      <w:pPr>
        <w:pStyle w:val="BodyText"/>
        <w:spacing w:before="10"/>
        <w:rPr>
          <w:sz w:val="17"/>
        </w:rPr>
      </w:pPr>
    </w:p>
    <w:p>
      <w:pPr>
        <w:pStyle w:val="BodyText"/>
        <w:spacing w:line="362" w:lineRule="auto" w:before="74"/>
        <w:ind w:left="668" w:right="909" w:hanging="557"/>
        <w:jc w:val="both"/>
      </w:pPr>
      <w:r>
        <w:rPr/>
        <w:t>Kaiser, F. G. &amp; Führer, U. (2003). Ecological Behavior's Dependency on Different Forms   of Knowledge . Applied Psychology: An International Review, 52, </w:t>
      </w:r>
      <w:r>
        <w:rPr>
          <w:spacing w:val="26"/>
        </w:rPr>
        <w:t> </w:t>
      </w:r>
      <w:r>
        <w:rPr/>
        <w:t>598-613.</w:t>
      </w:r>
    </w:p>
    <w:p>
      <w:pPr>
        <w:pStyle w:val="BodyText"/>
        <w:spacing w:line="367" w:lineRule="auto" w:before="123"/>
        <w:ind w:left="668" w:right="901" w:hanging="557"/>
        <w:jc w:val="both"/>
      </w:pPr>
      <w:r>
        <w:rPr/>
        <w:t>Kaiser, F. G. &amp; Gutscher, H. (2003). The Proposition of a General Version of the Theory    of Planned Behaviour: Predicting Ecological Behaviour. Journal of Applied Social Psychology, 33,</w:t>
      </w:r>
      <w:r>
        <w:rPr>
          <w:spacing w:val="36"/>
        </w:rPr>
        <w:t> </w:t>
      </w:r>
      <w:r>
        <w:rPr/>
        <w:t>586-603.</w:t>
      </w:r>
    </w:p>
    <w:p>
      <w:pPr>
        <w:pStyle w:val="BodyText"/>
        <w:spacing w:line="362" w:lineRule="auto" w:before="117"/>
        <w:ind w:left="668" w:right="909" w:hanging="557"/>
        <w:jc w:val="both"/>
      </w:pPr>
      <w:r>
        <w:rPr/>
        <w:t>Kaiser, F. G. &amp; Wilson, M. (2004). Assessing People </w:t>
      </w:r>
      <w:r>
        <w:rPr>
          <w:w w:val="90"/>
        </w:rPr>
        <w:t>́s </w:t>
      </w:r>
      <w:r>
        <w:rPr/>
        <w:t>General Ecological Behavior: A Cross- Cultural Measure. Journal of Applied Social Psychology, 30,  952-978.</w:t>
      </w:r>
    </w:p>
    <w:p>
      <w:pPr>
        <w:pStyle w:val="BodyText"/>
        <w:spacing w:line="369" w:lineRule="auto" w:before="123"/>
        <w:ind w:left="668" w:right="910" w:hanging="557"/>
        <w:jc w:val="both"/>
      </w:pPr>
      <w:r>
        <w:rPr/>
        <w:t>Kaiser, F. G. (1998). A General Measurement of Ecological Behavior. Journal of Applied Social Psychology, 28, 395-422.</w:t>
      </w:r>
    </w:p>
    <w:p>
      <w:pPr>
        <w:pStyle w:val="BodyText"/>
        <w:spacing w:line="364" w:lineRule="auto" w:before="115"/>
        <w:ind w:left="668" w:right="900" w:hanging="557"/>
        <w:jc w:val="both"/>
      </w:pPr>
      <w:r>
        <w:rPr/>
        <w:t>Kaiser, F. G. (2006). A moral extension of the theory of planned behavior: Norms and anticipated feelings of regret in conservationism . Personality and Individual Differences, 41, 71-81.</w:t>
      </w:r>
    </w:p>
    <w:p>
      <w:pPr>
        <w:pStyle w:val="BodyText"/>
        <w:spacing w:before="125"/>
        <w:ind w:left="111" w:right="897"/>
      </w:pPr>
      <w:r>
        <w:rPr/>
        <w:t>Kaiser, F.G. y Shimoda, T.A. (1999). Responsibility as    a predictor of ecological behavior.</w:t>
      </w:r>
    </w:p>
    <w:p>
      <w:pPr>
        <w:pStyle w:val="BodyText"/>
        <w:spacing w:before="134"/>
        <w:ind w:left="803" w:right="897"/>
      </w:pPr>
      <w:r>
        <w:rPr/>
        <w:t>Journal of Environmental Psychology, 19,</w:t>
      </w:r>
      <w:r>
        <w:rPr>
          <w:spacing w:val="59"/>
        </w:rPr>
        <w:t> </w:t>
      </w:r>
      <w:r>
        <w:rPr/>
        <w:t>243-253.</w:t>
      </w:r>
    </w:p>
    <w:p>
      <w:pPr>
        <w:pStyle w:val="BodyText"/>
        <w:rPr>
          <w:sz w:val="22"/>
        </w:rPr>
      </w:pPr>
    </w:p>
    <w:p>
      <w:pPr>
        <w:pStyle w:val="BodyText"/>
        <w:spacing w:line="364" w:lineRule="auto" w:before="1"/>
        <w:ind w:left="803" w:right="889" w:hanging="692"/>
        <w:jc w:val="both"/>
      </w:pPr>
      <w:r>
        <w:rPr/>
        <w:t>Kilbourne, </w:t>
      </w:r>
      <w:r>
        <w:rPr>
          <w:spacing w:val="4"/>
        </w:rPr>
        <w:t>W. </w:t>
      </w:r>
      <w:r>
        <w:rPr/>
        <w:t>E., Beckmann, S. C., van </w:t>
      </w:r>
      <w:r>
        <w:rPr>
          <w:spacing w:val="-3"/>
        </w:rPr>
        <w:t>Dam, </w:t>
      </w:r>
      <w:r>
        <w:rPr/>
        <w:t>Y., &amp; Pardo, M. (1998). Anthropocentrism, value systems, and environmental attitudes: A multi-national comparison. Paper presented at the 27th Annual European Marketing Academy Conference, Stockholm,</w:t>
      </w:r>
      <w:r>
        <w:rPr>
          <w:spacing w:val="32"/>
        </w:rPr>
        <w:t> </w:t>
      </w:r>
      <w:r>
        <w:rPr/>
        <w:t>Sweden.</w:t>
      </w:r>
    </w:p>
    <w:p>
      <w:pPr>
        <w:pStyle w:val="BodyText"/>
        <w:spacing w:line="364" w:lineRule="auto" w:before="125"/>
        <w:ind w:left="803" w:right="895" w:hanging="692"/>
        <w:jc w:val="both"/>
      </w:pPr>
      <w:r>
        <w:rPr/>
        <w:t>Kilbourne, W. E., Grünhagen, M., &amp; Foley, J. (2005). A cross-cultural examination of the relationship between materialism and individual values. Journal of Economic Psychology, 26, 624–641.</w:t>
      </w:r>
    </w:p>
    <w:p>
      <w:pPr>
        <w:pStyle w:val="BodyText"/>
        <w:spacing w:line="364" w:lineRule="auto" w:before="120"/>
        <w:ind w:left="803" w:right="905" w:hanging="692"/>
        <w:jc w:val="both"/>
      </w:pPr>
      <w:r>
        <w:rPr/>
        <w:t>Lacruz Moreno, Félix (2005). La empresa ambientalmente responsable. Una visión de futuro. Revista Economía, 21: 39-58.</w:t>
      </w:r>
    </w:p>
    <w:p>
      <w:pPr>
        <w:pStyle w:val="BodyText"/>
        <w:spacing w:line="362" w:lineRule="auto" w:before="120"/>
        <w:ind w:left="803" w:right="909" w:hanging="692"/>
        <w:jc w:val="both"/>
      </w:pPr>
      <w:r>
        <w:rPr/>
        <w:t>Lee, Y. J., Young, R. D., &amp; Marans, R. W. (1995). Factors Influencing Individual Recycling Behavior in Office Settings. Environment and Behavior, 27,  380-403.</w:t>
      </w:r>
    </w:p>
    <w:p>
      <w:pPr>
        <w:pStyle w:val="BodyText"/>
        <w:spacing w:line="364" w:lineRule="auto" w:before="127"/>
        <w:ind w:left="803" w:right="894" w:hanging="692"/>
        <w:jc w:val="both"/>
      </w:pPr>
      <w:r>
        <w:rPr/>
        <w:t>Leeming, F., Dwyer, W., Porter,B. y Cobern, M. (1993). Outcome research  in environmental education: A critical review. Journal of Environmental Education, 24, 8- 21.</w:t>
      </w:r>
    </w:p>
    <w:p>
      <w:pPr>
        <w:spacing w:after="0" w:line="364" w:lineRule="auto"/>
        <w:jc w:val="both"/>
        <w:sectPr>
          <w:pgSz w:w="11910" w:h="16840"/>
          <w:pgMar w:header="1066" w:footer="1711"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894" w:hanging="692"/>
        <w:jc w:val="both"/>
      </w:pPr>
      <w:r>
        <w:rPr/>
        <w:t>Leeming, F., Dwyer, W., Porter,B. y Cobern, M. (1993). Outcome research  in environmental education: A critical review. Journal of Environmental Education, 24, 8- 21.</w:t>
      </w:r>
    </w:p>
    <w:p>
      <w:pPr>
        <w:pStyle w:val="BodyText"/>
        <w:tabs>
          <w:tab w:pos="1955" w:val="left" w:leader="none"/>
          <w:tab w:pos="4542" w:val="left" w:leader="none"/>
          <w:tab w:pos="5396" w:val="left" w:leader="none"/>
          <w:tab w:pos="6390" w:val="left" w:leader="none"/>
          <w:tab w:pos="8401" w:val="left" w:leader="none"/>
        </w:tabs>
        <w:spacing w:line="369" w:lineRule="auto" w:before="120"/>
        <w:ind w:left="1225" w:right="899" w:hanging="692"/>
      </w:pPr>
      <w:r>
        <w:rPr/>
        <w:t>Levine,</w:t>
        <w:tab/>
        <w:t>M.</w:t>
      </w:r>
      <w:r>
        <w:rPr>
          <w:spacing w:val="6"/>
        </w:rPr>
        <w:t> </w:t>
      </w:r>
      <w:r>
        <w:rPr/>
        <w:t>(2002).</w:t>
      </w:r>
      <w:r>
        <w:rPr>
          <w:spacing w:val="5"/>
        </w:rPr>
        <w:t> </w:t>
      </w:r>
      <w:r>
        <w:rPr/>
        <w:t>Threats</w:t>
        <w:tab/>
        <w:t>to</w:t>
        <w:tab/>
        <w:t>the</w:t>
        <w:tab/>
        <w:t>environment.</w:t>
        <w:tab/>
        <w:t>Retrieved from</w:t>
      </w:r>
      <w:r>
        <w:rPr>
          <w:spacing w:val="61"/>
        </w:rPr>
        <w:t> </w:t>
      </w:r>
      <w:hyperlink r:id="rId81">
        <w:r>
          <w:rPr>
            <w:color w:val="007E8A"/>
            <w:u w:val="single" w:color="007E8A"/>
          </w:rPr>
          <w:t>www.roymorgan.com/news/polls/2002</w:t>
        </w:r>
        <w:r>
          <w:rPr/>
          <w:t>.</w:t>
        </w:r>
      </w:hyperlink>
    </w:p>
    <w:p>
      <w:pPr>
        <w:pStyle w:val="BodyText"/>
        <w:spacing w:before="115"/>
        <w:ind w:left="111" w:right="897"/>
      </w:pPr>
      <w:r>
        <w:rPr/>
        <w:t>LGEEPA. 1988. Ley General de Equilibrio Ecológico y la Protección al  Ambiente.</w:t>
      </w:r>
    </w:p>
    <w:p>
      <w:pPr>
        <w:pStyle w:val="BodyText"/>
        <w:rPr>
          <w:sz w:val="22"/>
        </w:rPr>
      </w:pPr>
    </w:p>
    <w:p>
      <w:pPr>
        <w:pStyle w:val="BodyText"/>
        <w:spacing w:line="362" w:lineRule="auto" w:before="1"/>
        <w:ind w:left="803" w:right="903" w:hanging="692"/>
        <w:jc w:val="both"/>
      </w:pPr>
      <w:r>
        <w:rPr/>
        <w:t>Maloney, M.P. y Ward, M.P. (1973). Ecology: Let's hear from the people. American Psychologist, 28.</w:t>
      </w:r>
    </w:p>
    <w:p>
      <w:pPr>
        <w:pStyle w:val="BodyText"/>
        <w:spacing w:line="364" w:lineRule="auto" w:before="132"/>
        <w:ind w:left="803" w:right="899" w:hanging="692"/>
        <w:jc w:val="both"/>
      </w:pPr>
      <w:r>
        <w:rPr/>
        <w:t>Maloney, Michael P.; Ward, Michael P. y Braucht, Nicholas G. (1975). Psychology in Action: A Revised Scale for the Measurement of Ecological Attitudes and Knowledge. American Psychologist, 30(7),</w:t>
      </w:r>
      <w:r>
        <w:rPr>
          <w:spacing w:val="62"/>
        </w:rPr>
        <w:t> </w:t>
      </w:r>
      <w:r>
        <w:rPr/>
        <w:t>787-90.</w:t>
      </w:r>
    </w:p>
    <w:p>
      <w:pPr>
        <w:pStyle w:val="BodyText"/>
        <w:spacing w:line="364" w:lineRule="auto" w:before="120"/>
        <w:ind w:left="803" w:right="897" w:hanging="692"/>
        <w:jc w:val="both"/>
      </w:pPr>
      <w:r>
        <w:rPr/>
        <w:t>Marques de Almeida, José Joaquim y Da Costa Marques, María da Conceiçao, (2002), Gestión medioambiental y auditoría. Revista de Contaduría y Administración, 205: 37-50.</w:t>
      </w:r>
    </w:p>
    <w:p>
      <w:pPr>
        <w:pStyle w:val="BodyText"/>
        <w:spacing w:line="367" w:lineRule="auto" w:before="120"/>
        <w:ind w:left="803" w:right="901" w:hanging="692"/>
        <w:jc w:val="both"/>
      </w:pPr>
      <w:r>
        <w:rPr/>
        <w:t>Martínez Soto, J. (2004), Comportamiento Proambiental.  Una  aproximación  al estu-dio del desarrollo sustentable con énfasis en el comportamiento persona-ambient”. Theomai, invierno, número especial.</w:t>
      </w:r>
    </w:p>
    <w:p>
      <w:pPr>
        <w:pStyle w:val="BodyText"/>
        <w:spacing w:line="364" w:lineRule="auto" w:before="117"/>
        <w:ind w:left="1225" w:right="897" w:hanging="1114"/>
        <w:jc w:val="both"/>
      </w:pPr>
      <w:r>
        <w:rPr/>
        <w:t>McCarty, </w:t>
      </w:r>
      <w:r>
        <w:rPr>
          <w:spacing w:val="3"/>
        </w:rPr>
        <w:t>J. </w:t>
      </w:r>
      <w:r>
        <w:rPr/>
        <w:t>A., &amp; Shrum, L. J. (2001). The influence of individualism, collectivism,  and locus of control on environmental beliefs and behavior. </w:t>
      </w:r>
      <w:r>
        <w:rPr>
          <w:i/>
        </w:rPr>
        <w:t>Journal of Public Policy  </w:t>
      </w:r>
      <w:r>
        <w:rPr>
          <w:i/>
        </w:rPr>
        <w:t>&amp; Marketing</w:t>
      </w:r>
      <w:r>
        <w:rPr/>
        <w:t>, </w:t>
      </w:r>
      <w:r>
        <w:rPr>
          <w:b/>
        </w:rPr>
        <w:t>20</w:t>
      </w:r>
      <w:r>
        <w:rPr/>
        <w:t>,</w:t>
      </w:r>
      <w:r>
        <w:rPr>
          <w:spacing w:val="32"/>
        </w:rPr>
        <w:t> </w:t>
      </w:r>
      <w:r>
        <w:rPr/>
        <w:t>93–104.</w:t>
      </w:r>
    </w:p>
    <w:p>
      <w:pPr>
        <w:pStyle w:val="BodyText"/>
        <w:spacing w:line="364" w:lineRule="auto" w:before="125"/>
        <w:ind w:left="1225" w:right="896" w:hanging="1114"/>
        <w:jc w:val="both"/>
      </w:pPr>
      <w:r>
        <w:rPr/>
        <w:t>McDonald, S., Oates, C. J., Young, C. </w:t>
      </w:r>
      <w:r>
        <w:rPr>
          <w:spacing w:val="2"/>
        </w:rPr>
        <w:t>W., </w:t>
      </w:r>
      <w:r>
        <w:rPr/>
        <w:t>&amp; Hwang, K. (2006). Toward sustainable consumption:    Researching    voluntary    simplifiers.</w:t>
      </w:r>
      <w:r>
        <w:rPr>
          <w:i/>
        </w:rPr>
        <w:t>Psychology    &amp;  </w:t>
      </w:r>
      <w:r>
        <w:rPr>
          <w:i/>
        </w:rPr>
        <w:t>Marketing</w:t>
      </w:r>
      <w:r>
        <w:rPr/>
        <w:t>, </w:t>
      </w:r>
      <w:r>
        <w:rPr>
          <w:b/>
        </w:rPr>
        <w:t>23</w:t>
      </w:r>
      <w:r>
        <w:rPr/>
        <w:t>,</w:t>
      </w:r>
      <w:r>
        <w:rPr>
          <w:spacing w:val="32"/>
        </w:rPr>
        <w:t> </w:t>
      </w:r>
      <w:r>
        <w:rPr/>
        <w:t>525–534.</w:t>
      </w:r>
    </w:p>
    <w:p>
      <w:pPr>
        <w:pStyle w:val="BodyText"/>
        <w:spacing w:line="364" w:lineRule="auto" w:before="120"/>
        <w:ind w:left="803" w:right="896" w:hanging="692"/>
        <w:jc w:val="both"/>
      </w:pPr>
      <w:r>
        <w:rPr/>
        <w:t>Mercado, Alfonso (2008). ¿Conducta limpia? Un estudio del comportamiento ambiental manufacturero en México, en: Jenkins, </w:t>
      </w:r>
      <w:r>
        <w:rPr>
          <w:spacing w:val="-4"/>
        </w:rPr>
        <w:t>Rhys</w:t>
      </w:r>
      <w:r>
        <w:rPr>
          <w:spacing w:val="55"/>
        </w:rPr>
        <w:t> </w:t>
      </w:r>
      <w:r>
        <w:rPr/>
        <w:t>y Mercado, Alfonso (Coords.). Ambiente e industria en México. Tendencias, regulación y comportamiento empresarial, México: El Colegio de</w:t>
      </w:r>
      <w:r>
        <w:rPr>
          <w:spacing w:val="57"/>
        </w:rPr>
        <w:t> </w:t>
      </w:r>
      <w:r>
        <w:rPr/>
        <w:t>México.</w:t>
      </w:r>
    </w:p>
    <w:p>
      <w:pPr>
        <w:pStyle w:val="BodyText"/>
        <w:spacing w:before="120"/>
        <w:ind w:left="112" w:right="897"/>
      </w:pPr>
      <w:r>
        <w:rPr/>
        <w:t>Molina, Sergio. 2000. Medio Ambiente: un tema de calidad e imagen.  México.</w:t>
      </w:r>
    </w:p>
    <w:p>
      <w:pPr>
        <w:spacing w:after="0"/>
        <w:sectPr>
          <w:pgSz w:w="11910" w:h="16840"/>
          <w:pgMar w:header="1066" w:footer="1711" w:top="1460" w:bottom="1900" w:left="1400" w:right="200"/>
        </w:sectPr>
      </w:pPr>
    </w:p>
    <w:p>
      <w:pPr>
        <w:pStyle w:val="BodyText"/>
        <w:rPr>
          <w:sz w:val="20"/>
        </w:rPr>
      </w:pPr>
    </w:p>
    <w:p>
      <w:pPr>
        <w:pStyle w:val="BodyText"/>
        <w:spacing w:before="10"/>
        <w:rPr>
          <w:sz w:val="17"/>
        </w:rPr>
      </w:pPr>
    </w:p>
    <w:p>
      <w:pPr>
        <w:pStyle w:val="BodyText"/>
        <w:spacing w:line="362" w:lineRule="auto" w:before="74"/>
        <w:ind w:left="803" w:right="897" w:hanging="692"/>
      </w:pPr>
      <w:r>
        <w:rPr/>
        <w:t>Moreno, E. y Pol, E. (1999). Nociones psicosociales para </w:t>
      </w:r>
      <w:r>
        <w:rPr>
          <w:spacing w:val="-5"/>
        </w:rPr>
        <w:t>la </w:t>
      </w:r>
      <w:r>
        <w:rPr/>
        <w:t>intervención de la gestión ambiental. Publicacions Universitat de</w:t>
      </w:r>
      <w:r>
        <w:rPr>
          <w:spacing w:val="63"/>
        </w:rPr>
        <w:t> </w:t>
      </w:r>
      <w:r>
        <w:rPr/>
        <w:t>Barcelona.</w:t>
      </w:r>
    </w:p>
    <w:p>
      <w:pPr>
        <w:pStyle w:val="BodyText"/>
        <w:spacing w:before="123"/>
        <w:ind w:left="112" w:right="897"/>
      </w:pPr>
      <w:r>
        <w:rPr/>
        <w:t>Myers, G. (2001). Some  issues to  consider  in the  role  of psychology     in  conservation.</w:t>
      </w:r>
    </w:p>
    <w:p>
      <w:pPr>
        <w:pStyle w:val="BodyText"/>
        <w:spacing w:before="138"/>
        <w:ind w:left="803" w:right="897"/>
      </w:pPr>
      <w:r>
        <w:rPr/>
        <w:t>Population and Environmental  Psychology Bulletin, 2,  2-4.</w:t>
      </w:r>
    </w:p>
    <w:p>
      <w:pPr>
        <w:pStyle w:val="BodyText"/>
        <w:spacing w:before="5"/>
        <w:rPr>
          <w:sz w:val="22"/>
        </w:rPr>
      </w:pPr>
    </w:p>
    <w:p>
      <w:pPr>
        <w:pStyle w:val="BodyText"/>
        <w:ind w:left="111" w:right="897"/>
      </w:pPr>
      <w:r>
        <w:rPr/>
        <w:t>Oliveira,  A.  F.  &amp;  Tamayo,  A.  (2004).  Inventário  de  perfis  de  valores organizacionais.</w:t>
      </w:r>
    </w:p>
    <w:p>
      <w:pPr>
        <w:pStyle w:val="BodyText"/>
        <w:spacing w:before="138"/>
        <w:ind w:left="803" w:right="897"/>
      </w:pPr>
      <w:r>
        <w:rPr/>
        <w:t>Revista de Administração (USP) 39,</w:t>
      </w:r>
      <w:r>
        <w:rPr>
          <w:spacing w:val="60"/>
        </w:rPr>
        <w:t> </w:t>
      </w:r>
      <w:r>
        <w:rPr/>
        <w:t>129-149.</w:t>
      </w:r>
    </w:p>
    <w:p>
      <w:pPr>
        <w:pStyle w:val="BodyText"/>
        <w:rPr>
          <w:sz w:val="22"/>
        </w:rPr>
      </w:pPr>
    </w:p>
    <w:p>
      <w:pPr>
        <w:spacing w:before="1"/>
        <w:ind w:left="111" w:right="897" w:firstLine="0"/>
        <w:jc w:val="left"/>
        <w:rPr>
          <w:sz w:val="23"/>
        </w:rPr>
      </w:pPr>
      <w:r>
        <w:rPr>
          <w:sz w:val="23"/>
        </w:rPr>
        <w:t>OMT, (1999), </w:t>
      </w:r>
      <w:r>
        <w:rPr>
          <w:i/>
          <w:sz w:val="23"/>
        </w:rPr>
        <w:t>Código Ético Mundial para el Turismo, </w:t>
      </w:r>
      <w:r>
        <w:rPr>
          <w:sz w:val="23"/>
        </w:rPr>
        <w:t>disponible en:  </w:t>
      </w:r>
      <w:hyperlink r:id="rId82">
        <w:r>
          <w:rPr>
            <w:color w:val="0563C1"/>
            <w:sz w:val="23"/>
            <w:u w:val="single" w:color="0563C1"/>
          </w:rPr>
          <w:t>www.cinu.org.mx</w:t>
        </w:r>
      </w:hyperlink>
    </w:p>
    <w:p>
      <w:pPr>
        <w:pStyle w:val="BodyText"/>
        <w:spacing w:before="7"/>
        <w:rPr>
          <w:sz w:val="15"/>
        </w:rPr>
      </w:pPr>
    </w:p>
    <w:p>
      <w:pPr>
        <w:spacing w:line="369" w:lineRule="auto" w:before="74"/>
        <w:ind w:left="803" w:right="896" w:hanging="692"/>
        <w:jc w:val="both"/>
        <w:rPr>
          <w:sz w:val="23"/>
        </w:rPr>
      </w:pPr>
      <w:r>
        <w:rPr>
          <w:sz w:val="23"/>
        </w:rPr>
        <w:t>ONU (2002), </w:t>
      </w:r>
      <w:r>
        <w:rPr>
          <w:i/>
          <w:sz w:val="23"/>
        </w:rPr>
        <w:t>Informe de la Cumbre Mundial sobre el Desarrollo Sostenible</w:t>
      </w:r>
      <w:r>
        <w:rPr>
          <w:sz w:val="23"/>
        </w:rPr>
        <w:t>,  Johannesburgo</w:t>
      </w:r>
      <w:r>
        <w:rPr>
          <w:spacing w:val="28"/>
          <w:sz w:val="23"/>
        </w:rPr>
        <w:t> </w:t>
      </w:r>
      <w:r>
        <w:rPr>
          <w:sz w:val="23"/>
        </w:rPr>
        <w:t>(Sudáfrica).</w:t>
      </w:r>
    </w:p>
    <w:p>
      <w:pPr>
        <w:spacing w:line="362" w:lineRule="auto" w:before="115"/>
        <w:ind w:left="803" w:right="892" w:hanging="692"/>
        <w:jc w:val="both"/>
        <w:rPr>
          <w:sz w:val="23"/>
        </w:rPr>
      </w:pPr>
      <w:r>
        <w:rPr>
          <w:sz w:val="23"/>
        </w:rPr>
        <w:t>Oskam, S. (2000). A sustainable future for humanity? </w:t>
      </w:r>
      <w:r>
        <w:rPr>
          <w:i/>
          <w:sz w:val="23"/>
        </w:rPr>
        <w:t>American Psychologist</w:t>
      </w:r>
      <w:r>
        <w:rPr>
          <w:sz w:val="23"/>
        </w:rPr>
        <w:t>, 55(5), 496- 508.</w:t>
      </w:r>
    </w:p>
    <w:p>
      <w:pPr>
        <w:pStyle w:val="BodyText"/>
        <w:spacing w:line="367" w:lineRule="auto" w:before="123"/>
        <w:ind w:left="803" w:right="904" w:hanging="692"/>
        <w:jc w:val="both"/>
      </w:pPr>
      <w:r>
        <w:rPr/>
        <w:t>Pardo, Mercedes, (2006). Persona Sociedad y Medio Ambiente, Análisis de la conciencia ecológica en la opinión pública: ¿Contradicciones entre valores y comportamiento? España.  Revista de Andalucia.</w:t>
      </w:r>
    </w:p>
    <w:p>
      <w:pPr>
        <w:pStyle w:val="BodyText"/>
        <w:spacing w:line="364" w:lineRule="auto" w:before="117"/>
        <w:ind w:left="803" w:right="894" w:hanging="692"/>
        <w:jc w:val="both"/>
      </w:pPr>
      <w:r>
        <w:rPr/>
        <w:t>Pato, C. M. L. &amp; Tamayo, A. (2006). A Escala de Comportamento Ecológico: desenvolvimento e validação de um instrumento de medida.  </w:t>
      </w:r>
      <w:r>
        <w:rPr>
          <w:i/>
        </w:rPr>
        <w:t>Estudos  de  </w:t>
      </w:r>
      <w:r>
        <w:rPr>
          <w:i/>
        </w:rPr>
        <w:t>Psicologia</w:t>
      </w:r>
      <w:r>
        <w:rPr/>
        <w:t>, 11,</w:t>
      </w:r>
      <w:r>
        <w:rPr>
          <w:spacing w:val="30"/>
        </w:rPr>
        <w:t> </w:t>
      </w:r>
      <w:r>
        <w:rPr/>
        <w:t>289-296.</w:t>
      </w:r>
    </w:p>
    <w:p>
      <w:pPr>
        <w:spacing w:line="364" w:lineRule="auto" w:before="120"/>
        <w:ind w:left="803" w:right="904" w:hanging="692"/>
        <w:jc w:val="both"/>
        <w:rPr>
          <w:sz w:val="23"/>
        </w:rPr>
      </w:pPr>
      <w:r>
        <w:rPr>
          <w:sz w:val="23"/>
        </w:rPr>
        <w:t>Pato, C. M. L. &amp; Tamayo, A. (2006). Valores, Creencias Ambientales y Comportamiento Ecológico de Activismo. </w:t>
      </w:r>
      <w:r>
        <w:rPr>
          <w:i/>
          <w:sz w:val="23"/>
        </w:rPr>
        <w:t>Medio Ambiente y Comportamiento Humano</w:t>
      </w:r>
      <w:r>
        <w:rPr>
          <w:sz w:val="23"/>
        </w:rPr>
        <w:t>, 7,  51-66.</w:t>
      </w:r>
    </w:p>
    <w:p>
      <w:pPr>
        <w:pStyle w:val="BodyText"/>
        <w:spacing w:line="369" w:lineRule="auto" w:before="120"/>
        <w:ind w:left="803" w:right="904" w:hanging="692"/>
        <w:jc w:val="both"/>
      </w:pPr>
      <w:r>
        <w:rPr/>
        <w:t>Pato, C.M.L. (2004) Comportamento ecológico: relações com valores pessoais e crenças ambientais. Tesis doctoral no publicada, Universidad de  Brasilia.</w:t>
      </w:r>
    </w:p>
    <w:p>
      <w:pPr>
        <w:pStyle w:val="BodyText"/>
        <w:spacing w:before="115"/>
        <w:ind w:left="111" w:right="897"/>
      </w:pPr>
      <w:r>
        <w:rPr/>
        <w:t>Peppino  Barale,  Ana  M.  (2008),  “Desarrollo  sustentable  y  sustentabilidad  </w:t>
      </w:r>
      <w:r>
        <w:rPr>
          <w:spacing w:val="61"/>
        </w:rPr>
        <w:t> </w:t>
      </w:r>
      <w:r>
        <w:rPr/>
        <w:t>ambiental.</w:t>
      </w:r>
    </w:p>
    <w:p>
      <w:pPr>
        <w:pStyle w:val="BodyText"/>
        <w:spacing w:before="134"/>
        <w:ind w:left="803" w:right="897"/>
      </w:pPr>
      <w:r>
        <w:rPr/>
        <w:t>Aspectos conceptuales”,  Gaceta Ideas CONCYTEG, Año 3, Núm. 34,  México.</w:t>
      </w:r>
    </w:p>
    <w:p>
      <w:pPr>
        <w:pStyle w:val="BodyText"/>
        <w:rPr>
          <w:sz w:val="22"/>
        </w:rPr>
      </w:pPr>
    </w:p>
    <w:p>
      <w:pPr>
        <w:pStyle w:val="BodyText"/>
        <w:spacing w:line="364" w:lineRule="auto" w:before="1"/>
        <w:ind w:left="803" w:right="896" w:hanging="692"/>
        <w:jc w:val="both"/>
      </w:pPr>
      <w:r>
        <w:rPr/>
        <w:t>Pérez Rubio, J.A. (2002), “Turismo y medio ambiente: Factor humano y nuevos yacimientos de empleo en el medio rural”, en Congreso de Derecho Administrativo Turístico, Universidad de Extremadura, España publicadas en el D.O.F.: 13-12-96; 07-01-00; 31-12-01; 25-02-03. México. Revista Alta Hotelería; N°  julio-agosto.</w:t>
      </w:r>
    </w:p>
    <w:p>
      <w:pPr>
        <w:spacing w:after="0" w:line="364" w:lineRule="auto"/>
        <w:jc w:val="both"/>
        <w:sectPr>
          <w:pgSz w:w="11910" w:h="16840"/>
          <w:pgMar w:header="1066" w:footer="1711"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896" w:hanging="692"/>
        <w:jc w:val="both"/>
      </w:pPr>
      <w:r>
        <w:rPr/>
        <w:t>Pérez Rubio, J.A. (2002). Turismo y medio ambiente: Factor humano y nuevos  yacimientos de empleo en el medio rural, en Congreso de Derecho Administrativo Turístico, Universidad de Extremadura, España publicadas en el D.O.F.: 13-12-96; 07-01-00; 31-12-01; 25-02-03. México: Revista Alta Hotelería; N° </w:t>
      </w:r>
      <w:r>
        <w:rPr>
          <w:spacing w:val="38"/>
        </w:rPr>
        <w:t> </w:t>
      </w:r>
      <w:r>
        <w:rPr/>
        <w:t>julio-agosto.</w:t>
      </w:r>
    </w:p>
    <w:p>
      <w:pPr>
        <w:pStyle w:val="BodyText"/>
        <w:spacing w:line="364" w:lineRule="auto" w:before="125"/>
        <w:ind w:left="803" w:right="901" w:hanging="692"/>
        <w:jc w:val="both"/>
      </w:pPr>
      <w:r>
        <w:rPr/>
        <w:t>Pinheiro, J. (2002). Apego ao futuro: escala temporal e sustentabilidade em psicología ambiental. </w:t>
      </w:r>
      <w:r>
        <w:rPr>
          <w:spacing w:val="3"/>
        </w:rPr>
        <w:t>En </w:t>
      </w:r>
      <w:r>
        <w:rPr/>
        <w:t>V. Corral-Verdugo (Ed.). Conductas protectoras del Ambiente. México:</w:t>
      </w:r>
      <w:r>
        <w:rPr>
          <w:spacing w:val="35"/>
        </w:rPr>
        <w:t> </w:t>
      </w:r>
      <w:r>
        <w:rPr/>
        <w:t>CONACyT-UniSon.</w:t>
      </w:r>
    </w:p>
    <w:p>
      <w:pPr>
        <w:pStyle w:val="BodyText"/>
        <w:spacing w:line="369" w:lineRule="auto" w:before="120"/>
        <w:ind w:left="803" w:right="904" w:hanging="692"/>
        <w:jc w:val="both"/>
      </w:pPr>
      <w:r>
        <w:rPr/>
        <w:t>Pol, E. (2003). A gestão ambiental, novo desaÞ o para a psicologia do desenvolvimento sustentável. Estudos de Psicologia (Natal), 8(2),  235-243.</w:t>
      </w:r>
    </w:p>
    <w:p>
      <w:pPr>
        <w:pStyle w:val="BodyText"/>
        <w:spacing w:line="364" w:lineRule="auto" w:before="115"/>
        <w:ind w:left="803" w:right="905" w:hanging="692"/>
        <w:jc w:val="both"/>
      </w:pPr>
      <w:r>
        <w:rPr/>
        <w:t>Pol, E., &amp; Moreno, E. (2000). Gestión ambiental en la empresa y en </w:t>
      </w:r>
      <w:r>
        <w:rPr>
          <w:spacing w:val="-5"/>
        </w:rPr>
        <w:t>la </w:t>
      </w:r>
      <w:r>
        <w:rPr/>
        <w:t>administración pública: aportaciones desde la Psicología. Em: J. I. Aragonés &amp; M.  Amérigo  (Orgs.), Psicología ambiental (pp. 403-425). Madrid: </w:t>
      </w:r>
      <w:r>
        <w:rPr>
          <w:spacing w:val="4"/>
        </w:rPr>
        <w:t> </w:t>
      </w:r>
      <w:r>
        <w:rPr/>
        <w:t>Pirámide.</w:t>
      </w:r>
    </w:p>
    <w:p>
      <w:pPr>
        <w:pStyle w:val="BodyText"/>
        <w:tabs>
          <w:tab w:pos="8725" w:val="left" w:leader="none"/>
        </w:tabs>
        <w:spacing w:before="125"/>
        <w:ind w:left="112"/>
      </w:pPr>
      <w:r>
        <w:rPr/>
        <w:t>PROFEPA</w:t>
        <w:tab/>
        <w:t>(2013)</w:t>
      </w:r>
    </w:p>
    <w:p>
      <w:pPr>
        <w:pStyle w:val="BodyText"/>
        <w:spacing w:before="138"/>
        <w:ind w:left="803" w:right="897"/>
      </w:pPr>
      <w:r>
        <w:rPr/>
        <w:t>[</w:t>
      </w:r>
      <w:hyperlink r:id="rId83">
        <w:r>
          <w:rPr>
            <w:color w:val="0563C1"/>
            <w:u w:val="single" w:color="0563C1"/>
          </w:rPr>
          <w:t>http://www.profepa.gob.mx/innovaportal/v/3934/1/mx/que_es_el_programa.html</w:t>
        </w:r>
      </w:hyperlink>
      <w:r>
        <w:rPr/>
        <w:t>]</w:t>
      </w:r>
    </w:p>
    <w:p>
      <w:pPr>
        <w:pStyle w:val="BodyText"/>
        <w:spacing w:before="7"/>
        <w:rPr>
          <w:sz w:val="15"/>
        </w:rPr>
      </w:pPr>
    </w:p>
    <w:p>
      <w:pPr>
        <w:spacing w:line="364" w:lineRule="auto" w:before="74"/>
        <w:ind w:left="803" w:right="898" w:hanging="692"/>
        <w:jc w:val="both"/>
        <w:rPr>
          <w:sz w:val="23"/>
        </w:rPr>
      </w:pPr>
      <w:r>
        <w:rPr>
          <w:sz w:val="23"/>
        </w:rPr>
        <w:t>Proshansky, H. M., (1976), “The Appropriation and Misappropriation of space”. “, In Korosec, P., (Ed.), </w:t>
      </w:r>
      <w:r>
        <w:rPr>
          <w:i/>
          <w:sz w:val="23"/>
        </w:rPr>
        <w:t>Appropiation of space. Proceeding of the Strasbourg  </w:t>
      </w:r>
      <w:r>
        <w:rPr>
          <w:i/>
          <w:sz w:val="23"/>
        </w:rPr>
        <w:t>Conference. </w:t>
      </w:r>
      <w:r>
        <w:rPr>
          <w:sz w:val="23"/>
        </w:rPr>
        <w:t>Louvain La Neuve:</w:t>
      </w:r>
      <w:r>
        <w:rPr>
          <w:spacing w:val="49"/>
          <w:sz w:val="23"/>
        </w:rPr>
        <w:t> </w:t>
      </w:r>
      <w:r>
        <w:rPr>
          <w:sz w:val="23"/>
        </w:rPr>
        <w:t>CIACO.</w:t>
      </w:r>
    </w:p>
    <w:p>
      <w:pPr>
        <w:pStyle w:val="BodyText"/>
        <w:spacing w:before="120"/>
        <w:ind w:left="111" w:right="897"/>
      </w:pPr>
      <w:r>
        <w:rPr/>
        <w:t>Puertas  Valdez.  I.  y Aguilar Luzón,  M.  C.  (2008).  Psicología  Social Aplicada.  Tema 9.</w:t>
      </w:r>
    </w:p>
    <w:p>
      <w:pPr>
        <w:pStyle w:val="BodyText"/>
        <w:spacing w:before="138"/>
        <w:ind w:left="803" w:right="897"/>
      </w:pPr>
      <w:r>
        <w:rPr/>
        <w:t>Departamento de Psicología. España: Universidad de  Jaén.</w:t>
      </w:r>
    </w:p>
    <w:p>
      <w:pPr>
        <w:pStyle w:val="BodyText"/>
        <w:rPr>
          <w:sz w:val="22"/>
        </w:rPr>
      </w:pPr>
    </w:p>
    <w:p>
      <w:pPr>
        <w:pStyle w:val="BodyText"/>
        <w:spacing w:line="367" w:lineRule="auto" w:before="1"/>
        <w:ind w:left="803" w:right="892" w:hanging="692"/>
        <w:jc w:val="both"/>
      </w:pPr>
      <w:r>
        <w:rPr/>
        <w:t>Reid, D., Luyben, P., Rawers, R. y Bailey, J. (1976). Newspaper recycling behavior: The effects of prompting and proximity of containers. Environment &amp; Behavior, 8, 471- 481.</w:t>
      </w:r>
    </w:p>
    <w:p>
      <w:pPr>
        <w:pStyle w:val="BodyText"/>
        <w:spacing w:line="362" w:lineRule="auto" w:before="117"/>
        <w:ind w:left="803" w:right="910" w:hanging="692"/>
        <w:jc w:val="both"/>
      </w:pPr>
      <w:r>
        <w:rPr/>
        <w:t>Rivera Camino J., Molero Ayala V. (2006).El marketing medio ambiental en las organizaciones. Cuadernos de Economía y Dirección de la Empresa. Núm.  26.</w:t>
      </w:r>
    </w:p>
    <w:p>
      <w:pPr>
        <w:spacing w:before="123"/>
        <w:ind w:left="111" w:right="897" w:firstLine="0"/>
        <w:jc w:val="left"/>
        <w:rPr>
          <w:sz w:val="23"/>
        </w:rPr>
      </w:pPr>
      <w:r>
        <w:rPr>
          <w:sz w:val="23"/>
        </w:rPr>
        <w:t>Rodríguez, A., (2011), </w:t>
      </w:r>
      <w:r>
        <w:rPr>
          <w:i/>
          <w:sz w:val="23"/>
        </w:rPr>
        <w:t>Psicología social</w:t>
      </w:r>
      <w:r>
        <w:rPr>
          <w:sz w:val="23"/>
        </w:rPr>
        <w:t>. México:  Trillas.</w:t>
      </w:r>
    </w:p>
    <w:p>
      <w:pPr>
        <w:pStyle w:val="BodyText"/>
        <w:spacing w:before="5"/>
        <w:rPr>
          <w:sz w:val="22"/>
        </w:rPr>
      </w:pPr>
    </w:p>
    <w:p>
      <w:pPr>
        <w:spacing w:line="364" w:lineRule="auto" w:before="0"/>
        <w:ind w:left="803" w:right="893" w:hanging="692"/>
        <w:jc w:val="both"/>
        <w:rPr>
          <w:sz w:val="23"/>
        </w:rPr>
      </w:pPr>
      <w:r>
        <w:rPr>
          <w:sz w:val="23"/>
        </w:rPr>
        <w:t>Santamarta, José (2004), La Sociedad de Consumo, </w:t>
      </w:r>
      <w:r>
        <w:rPr>
          <w:i/>
          <w:sz w:val="23"/>
        </w:rPr>
        <w:t>Revista Profesiones </w:t>
      </w:r>
      <w:r>
        <w:rPr>
          <w:sz w:val="23"/>
        </w:rPr>
        <w:t>publicado por Ecoportal.</w:t>
      </w:r>
    </w:p>
    <w:p>
      <w:pPr>
        <w:pStyle w:val="BodyText"/>
        <w:spacing w:before="120"/>
        <w:ind w:left="111" w:right="897"/>
      </w:pPr>
      <w:r>
        <w:rPr/>
        <w:t>Schmuck  &amp;  W.  Schultz  (Eds.),  Psychology  of  Sustainable  Development  (pp.     3-15).</w:t>
      </w:r>
    </w:p>
    <w:p>
      <w:pPr>
        <w:pStyle w:val="BodyText"/>
        <w:spacing w:before="138"/>
        <w:ind w:left="803" w:right="897"/>
      </w:pPr>
      <w:r>
        <w:rPr/>
        <w:t>Boston: Kluwer Academic.</w:t>
      </w:r>
    </w:p>
    <w:p>
      <w:pPr>
        <w:spacing w:after="0"/>
        <w:sectPr>
          <w:pgSz w:w="11910" w:h="16840"/>
          <w:pgMar w:header="1066" w:footer="1711"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900" w:hanging="692"/>
        <w:jc w:val="both"/>
      </w:pPr>
      <w:r>
        <w:rPr/>
        <w:t>Schmuck, P. y Schultz, P.W. (2002). Sustainable development as a challenge for Psychology. En P. Schmuck y P.W. Schultz (Eds.), Psychology of Sustainable Development. Norwell, Massachusetts:</w:t>
      </w:r>
      <w:r>
        <w:rPr>
          <w:spacing w:val="50"/>
        </w:rPr>
        <w:t> </w:t>
      </w:r>
      <w:r>
        <w:rPr/>
        <w:t>Kluwer.</w:t>
      </w:r>
    </w:p>
    <w:p>
      <w:pPr>
        <w:pStyle w:val="BodyText"/>
        <w:spacing w:line="369" w:lineRule="auto" w:before="120"/>
        <w:ind w:left="803" w:right="906" w:hanging="692"/>
        <w:jc w:val="both"/>
      </w:pPr>
      <w:r>
        <w:rPr/>
        <w:t>Schultz, P. W. (2000). Empathizing with nature: The effects of perspective taking on concern for environmental issues. Journal of Social Issues,  56:391-406.</w:t>
      </w:r>
    </w:p>
    <w:p>
      <w:pPr>
        <w:spacing w:line="362" w:lineRule="auto" w:before="115"/>
        <w:ind w:left="803" w:right="896" w:hanging="692"/>
        <w:jc w:val="both"/>
        <w:rPr>
          <w:sz w:val="23"/>
        </w:rPr>
      </w:pPr>
      <w:r>
        <w:rPr>
          <w:sz w:val="23"/>
        </w:rPr>
        <w:t>Schultz, P. W. (2001). The structure of environmental concern: Concern for self, other people, and the biosphere. </w:t>
      </w:r>
      <w:r>
        <w:rPr>
          <w:i/>
          <w:sz w:val="23"/>
        </w:rPr>
        <w:t>Journal of Environmental Psychology</w:t>
      </w:r>
      <w:r>
        <w:rPr>
          <w:sz w:val="23"/>
        </w:rPr>
        <w:t>, 21:  327-339.</w:t>
      </w:r>
    </w:p>
    <w:p>
      <w:pPr>
        <w:pStyle w:val="BodyText"/>
        <w:spacing w:line="367" w:lineRule="auto" w:before="123"/>
        <w:ind w:left="803" w:right="898" w:hanging="692"/>
        <w:jc w:val="both"/>
      </w:pPr>
      <w:r>
        <w:rPr/>
        <w:t>Schultz, P.W., Zelezny, L. y Dalrymple, N.J. (2000). A multinational perspective on the relation between judeo-christian religious </w:t>
      </w:r>
      <w:r>
        <w:rPr>
          <w:spacing w:val="-3"/>
        </w:rPr>
        <w:t>beliefs </w:t>
      </w:r>
      <w:r>
        <w:rPr/>
        <w:t>and attitudes of environmental concern. Environment &amp; Behavior, 32,</w:t>
      </w:r>
      <w:r>
        <w:rPr>
          <w:spacing w:val="61"/>
        </w:rPr>
        <w:t> </w:t>
      </w:r>
      <w:r>
        <w:rPr/>
        <w:t>576-591.</w:t>
      </w:r>
    </w:p>
    <w:p>
      <w:pPr>
        <w:pStyle w:val="BodyText"/>
        <w:spacing w:line="364" w:lineRule="auto" w:before="117"/>
        <w:ind w:left="803" w:right="892" w:hanging="692"/>
        <w:jc w:val="both"/>
      </w:pPr>
      <w:r>
        <w:rPr/>
        <w:t>Schultz, W. &amp; Tabanico, J. (2007). Self, Identity, and the Natural Environment: Exploring Implicit Connections With Nature. Journal of Applied Social Psychology, 37, 1219- 1247.</w:t>
      </w:r>
    </w:p>
    <w:p>
      <w:pPr>
        <w:pStyle w:val="BodyText"/>
        <w:spacing w:line="364" w:lineRule="auto" w:before="120"/>
        <w:ind w:left="803" w:right="906" w:hanging="692"/>
        <w:jc w:val="both"/>
      </w:pPr>
      <w:r>
        <w:rPr/>
        <w:t>Schultz, </w:t>
      </w:r>
      <w:r>
        <w:rPr>
          <w:spacing w:val="4"/>
        </w:rPr>
        <w:t>W. </w:t>
      </w:r>
      <w:r>
        <w:rPr/>
        <w:t>(2000). Empathizing with Nature: The effects of perspective  taking  on  Concern for Environmental Issues. Journal of Social Issues, 56, </w:t>
      </w:r>
      <w:r>
        <w:rPr>
          <w:spacing w:val="27"/>
        </w:rPr>
        <w:t> </w:t>
      </w:r>
      <w:r>
        <w:rPr/>
        <w:t>391-406.</w:t>
      </w:r>
    </w:p>
    <w:p>
      <w:pPr>
        <w:pStyle w:val="BodyText"/>
        <w:spacing w:line="364" w:lineRule="auto" w:before="120"/>
        <w:ind w:left="803" w:right="896" w:hanging="692"/>
        <w:jc w:val="both"/>
      </w:pPr>
      <w:r>
        <w:rPr/>
        <w:t>Schultz, W., Gouveia, V., Cameron, L., Tankha, G., Schmuck, P., &amp; Franek, M. (2005). Values </w:t>
      </w:r>
      <w:r>
        <w:rPr>
          <w:spacing w:val="-3"/>
        </w:rPr>
        <w:t>and </w:t>
      </w:r>
      <w:r>
        <w:rPr/>
        <w:t>their relationship to environmental concern and conservation behavior. Journal of Cross-Cultural Psychology, 36,</w:t>
      </w:r>
      <w:r>
        <w:rPr>
          <w:spacing w:val="62"/>
        </w:rPr>
        <w:t> </w:t>
      </w:r>
      <w:r>
        <w:rPr/>
        <w:t>457-475.</w:t>
      </w:r>
    </w:p>
    <w:p>
      <w:pPr>
        <w:pStyle w:val="BodyText"/>
        <w:spacing w:line="362" w:lineRule="auto" w:before="125"/>
        <w:ind w:left="803" w:right="906" w:hanging="692"/>
        <w:jc w:val="both"/>
      </w:pPr>
      <w:r>
        <w:rPr/>
        <w:t>Schultz, </w:t>
      </w:r>
      <w:r>
        <w:rPr>
          <w:spacing w:val="2"/>
        </w:rPr>
        <w:t>W., </w:t>
      </w:r>
      <w:r>
        <w:rPr/>
        <w:t>Shriver, C., Tabanico, J. J., &amp; Khazian, A. M. (2004). Implicit  connections   with nature. Journal </w:t>
      </w:r>
      <w:r>
        <w:rPr>
          <w:spacing w:val="2"/>
        </w:rPr>
        <w:t>of </w:t>
      </w:r>
      <w:r>
        <w:rPr/>
        <w:t>Environmental Psychology, 24, </w:t>
      </w:r>
      <w:r>
        <w:rPr>
          <w:spacing w:val="1"/>
        </w:rPr>
        <w:t> </w:t>
      </w:r>
      <w:r>
        <w:rPr/>
        <w:t>31-42.</w:t>
      </w:r>
    </w:p>
    <w:p>
      <w:pPr>
        <w:pStyle w:val="BodyText"/>
        <w:spacing w:line="364" w:lineRule="auto" w:before="127"/>
        <w:ind w:left="803" w:right="904" w:hanging="692"/>
        <w:jc w:val="both"/>
      </w:pPr>
      <w:r>
        <w:rPr/>
        <w:t>Schwartz, S.H. (1977). Normative influences on altruism. En L. Berkowitz (ed.), Advances in Experimental Social Psychology (vol. 10). Nueva York: Academic </w:t>
      </w:r>
      <w:r>
        <w:rPr>
          <w:spacing w:val="27"/>
        </w:rPr>
        <w:t> </w:t>
      </w:r>
      <w:r>
        <w:rPr/>
        <w:t>Press.</w:t>
      </w:r>
    </w:p>
    <w:p>
      <w:pPr>
        <w:pStyle w:val="BodyText"/>
        <w:spacing w:line="364" w:lineRule="auto" w:before="120"/>
        <w:ind w:left="803" w:right="903" w:hanging="692"/>
        <w:jc w:val="both"/>
      </w:pPr>
      <w:r>
        <w:rPr/>
        <w:t>SECTUR (2014), “Modelo de sistema de indicadores de sustentabilidad para el turismo”, en</w:t>
      </w:r>
      <w:r>
        <w:rPr>
          <w:spacing w:val="33"/>
        </w:rPr>
        <w:t> </w:t>
      </w:r>
      <w:hyperlink r:id="rId36">
        <w:r>
          <w:rPr/>
          <w:t>www.sectur.gob.mx</w:t>
        </w:r>
      </w:hyperlink>
    </w:p>
    <w:p>
      <w:pPr>
        <w:pStyle w:val="BodyText"/>
        <w:spacing w:line="364" w:lineRule="auto" w:before="120"/>
        <w:ind w:left="803" w:right="905" w:hanging="692"/>
        <w:jc w:val="both"/>
      </w:pPr>
      <w:r>
        <w:rPr/>
        <w:t>SEMARNAT (2013), Formulación de una estrategia para el turismo sustentable  en  México: SEMARNAT, consultado en: </w:t>
      </w:r>
      <w:r>
        <w:rPr>
          <w:spacing w:val="12"/>
        </w:rPr>
        <w:t> </w:t>
      </w:r>
      <w:hyperlink r:id="rId37">
        <w:r>
          <w:rPr/>
          <w:t>www.medioambiente.gob.mx</w:t>
        </w:r>
      </w:hyperlink>
    </w:p>
    <w:p>
      <w:pPr>
        <w:pStyle w:val="BodyText"/>
        <w:spacing w:before="120"/>
        <w:ind w:left="112" w:right="897"/>
      </w:pPr>
      <w:r>
        <w:rPr/>
        <w:t>SEMARNAT, (2001). Programa Nacional de Medio Ambiente y Recursos  Naturales.</w:t>
      </w:r>
    </w:p>
    <w:p>
      <w:pPr>
        <w:spacing w:after="0"/>
        <w:sectPr>
          <w:pgSz w:w="11910" w:h="16840"/>
          <w:pgMar w:header="1066" w:footer="1711" w:top="1460" w:bottom="1900" w:left="1400" w:right="200"/>
        </w:sectPr>
      </w:pPr>
    </w:p>
    <w:p>
      <w:pPr>
        <w:pStyle w:val="BodyText"/>
        <w:rPr>
          <w:sz w:val="20"/>
        </w:rPr>
      </w:pPr>
    </w:p>
    <w:p>
      <w:pPr>
        <w:pStyle w:val="BodyText"/>
        <w:spacing w:before="10"/>
        <w:rPr>
          <w:sz w:val="17"/>
        </w:rPr>
      </w:pPr>
    </w:p>
    <w:p>
      <w:pPr>
        <w:pStyle w:val="BodyText"/>
        <w:spacing w:line="364" w:lineRule="auto" w:before="74"/>
        <w:ind w:left="803" w:right="900" w:hanging="692"/>
        <w:jc w:val="both"/>
      </w:pPr>
      <w:r>
        <w:rPr/>
        <w:t>Serrano Barquín, Rocío </w:t>
      </w:r>
      <w:r>
        <w:rPr>
          <w:spacing w:val="-3"/>
        </w:rPr>
        <w:t>del </w:t>
      </w:r>
      <w:r>
        <w:rPr/>
        <w:t>Carmen (2008), "Introducción y Conclusiones" en coautoría  con Carolina Serrano Barquín (comp.) Educación Ambiental; una perspectiva interdisciplinaria. Toluca, México: Universidad Autónoma del Estado </w:t>
      </w:r>
      <w:r>
        <w:rPr>
          <w:spacing w:val="-3"/>
        </w:rPr>
        <w:t>de </w:t>
      </w:r>
      <w:r>
        <w:rPr>
          <w:spacing w:val="40"/>
        </w:rPr>
        <w:t> </w:t>
      </w:r>
      <w:r>
        <w:rPr/>
        <w:t>México.</w:t>
      </w:r>
    </w:p>
    <w:p>
      <w:pPr>
        <w:pStyle w:val="BodyText"/>
        <w:spacing w:line="369" w:lineRule="auto" w:before="120"/>
        <w:ind w:left="803" w:right="906" w:hanging="692"/>
        <w:jc w:val="both"/>
      </w:pPr>
      <w:r>
        <w:rPr/>
        <w:t>Stern, P. (2000). New Environmental Theories: Toward a Coherent Theory of Environmentally Significant Behavior. Journal of Social Issues, 56,  407-424.</w:t>
      </w:r>
    </w:p>
    <w:p>
      <w:pPr>
        <w:pStyle w:val="BodyText"/>
        <w:spacing w:line="362" w:lineRule="auto" w:before="115"/>
        <w:ind w:left="803" w:right="901" w:hanging="692"/>
        <w:jc w:val="both"/>
      </w:pPr>
      <w:r>
        <w:rPr/>
        <w:t>Stern, P. C., Dietz, T. &amp; Black, J. S. (1986).  Support  for environmental protection:  The role of moral norms. Population and Environment, 8(1), </w:t>
      </w:r>
      <w:r>
        <w:rPr>
          <w:spacing w:val="17"/>
        </w:rPr>
        <w:t> </w:t>
      </w:r>
      <w:r>
        <w:rPr/>
        <w:t>204-222.</w:t>
      </w:r>
    </w:p>
    <w:p>
      <w:pPr>
        <w:pStyle w:val="BodyText"/>
        <w:spacing w:line="367" w:lineRule="auto" w:before="123"/>
        <w:ind w:left="803" w:right="901" w:hanging="692"/>
        <w:jc w:val="both"/>
      </w:pPr>
      <w:r>
        <w:rPr/>
        <w:t>Stern, P. C., Dietz, T., Abel, T., Guagnano, G. A. &amp; Kalof, L. (1999). A value- belief-norm theory of support for social movements: The case of environmentalism. Human Ecology Review, 6(2), 81-97.</w:t>
      </w:r>
    </w:p>
    <w:p>
      <w:pPr>
        <w:pStyle w:val="BodyText"/>
        <w:spacing w:line="364" w:lineRule="auto" w:before="117"/>
        <w:ind w:left="803" w:right="902" w:hanging="692"/>
        <w:jc w:val="both"/>
      </w:pPr>
      <w:r>
        <w:rPr/>
        <w:t>Stern, P.C., Dietz, T. y Guagnano, G.A. (1995). The new ecological paradigm in social- psychological context. Environment &amp; Behavior, 27,  723-743.</w:t>
      </w:r>
    </w:p>
    <w:p>
      <w:pPr>
        <w:pStyle w:val="BodyText"/>
        <w:spacing w:line="364" w:lineRule="auto" w:before="125"/>
        <w:ind w:left="803" w:right="893" w:hanging="692"/>
        <w:jc w:val="both"/>
      </w:pPr>
      <w:r>
        <w:rPr/>
        <w:t>Tanner, C. (1999). Constraints on environmental behaviour. Journal of Environmental Psychology, 19, 145-157. Tarrant, M. A. &amp; Cordell, H. K. (1997). The effect of respondent characteristics on general environmental attitude-behavior correspondence. </w:t>
      </w:r>
      <w:r>
        <w:rPr>
          <w:i/>
        </w:rPr>
        <w:t>Environment and Behavior</w:t>
      </w:r>
      <w:r>
        <w:rPr/>
        <w:t>, 29(5),  618-637.</w:t>
      </w:r>
    </w:p>
    <w:p>
      <w:pPr>
        <w:pStyle w:val="BodyText"/>
        <w:spacing w:line="362" w:lineRule="auto" w:before="125"/>
        <w:ind w:left="1225" w:right="897" w:hanging="1114"/>
      </w:pPr>
      <w:r>
        <w:rPr/>
        <w:t>Tanner, C., &amp; Kast, S. W. (2003). Promoting sustainable consumption: Determinants of green purchases by Swiss consumers.</w:t>
      </w:r>
      <w:r>
        <w:rPr>
          <w:i/>
        </w:rPr>
        <w:t>Psychology &amp; Marketing</w:t>
      </w:r>
      <w:r>
        <w:rPr/>
        <w:t>, </w:t>
      </w:r>
      <w:r>
        <w:rPr>
          <w:b/>
        </w:rPr>
        <w:t>20</w:t>
      </w:r>
      <w:r>
        <w:rPr/>
        <w:t>,  883–902.</w:t>
      </w:r>
    </w:p>
    <w:p>
      <w:pPr>
        <w:pStyle w:val="BodyText"/>
        <w:spacing w:before="127"/>
        <w:ind w:left="112" w:right="897"/>
      </w:pPr>
      <w:r>
        <w:rPr/>
        <w:t>UNEP (1999), Jóvenes y consumo sustentable,  Nairobi/Paris.</w:t>
      </w:r>
    </w:p>
    <w:p>
      <w:pPr>
        <w:pStyle w:val="BodyText"/>
        <w:rPr>
          <w:sz w:val="22"/>
        </w:rPr>
      </w:pPr>
    </w:p>
    <w:p>
      <w:pPr>
        <w:pStyle w:val="BodyText"/>
        <w:spacing w:line="364" w:lineRule="auto" w:before="1"/>
        <w:ind w:left="803" w:right="898" w:hanging="692"/>
        <w:jc w:val="both"/>
      </w:pPr>
      <w:r>
        <w:rPr/>
        <w:t>Valera, Sergi. (1996). Psicología Ambiental: bases teóricas y epistemológicas. En L. Iñiguez y E. Pol (Eds.), Cognición, representación y apropiación del espacio. Barcelona: Publicacions Universitat de</w:t>
      </w:r>
      <w:r>
        <w:rPr>
          <w:spacing w:val="60"/>
        </w:rPr>
        <w:t> </w:t>
      </w:r>
      <w:r>
        <w:rPr/>
        <w:t>Barcelona.</w:t>
      </w:r>
    </w:p>
    <w:p>
      <w:pPr>
        <w:pStyle w:val="BodyText"/>
        <w:spacing w:line="364" w:lineRule="auto" w:before="120"/>
        <w:ind w:left="803" w:right="901" w:hanging="692"/>
        <w:jc w:val="both"/>
      </w:pPr>
      <w:r>
        <w:rPr/>
        <w:t>Vargas, C.M. (2000). Sustainable development education: Averting or mitigating cultural collision. International Journal of Educational Development, 20,  377-396.</w:t>
      </w:r>
    </w:p>
    <w:p>
      <w:pPr>
        <w:pStyle w:val="BodyText"/>
        <w:spacing w:line="364" w:lineRule="auto" w:before="120"/>
        <w:ind w:left="803" w:right="894" w:hanging="692"/>
        <w:jc w:val="both"/>
      </w:pPr>
      <w:r>
        <w:rPr/>
        <w:t>Vargas, Elva Esther; Zizumbo, Lilia; Viesca, Felipe Carlos y Serrano, Rocío del Carmen (2011) Gestión ambiental en el sector turístico mexicano. Efectos de la regulación en el desempeño hotelero. Cuadernos de Administración. Vol. 24.  Bogotá, Colombia.</w:t>
      </w:r>
    </w:p>
    <w:p>
      <w:pPr>
        <w:spacing w:after="0" w:line="364" w:lineRule="auto"/>
        <w:jc w:val="both"/>
        <w:sectPr>
          <w:pgSz w:w="11910" w:h="16840"/>
          <w:pgMar w:header="1066" w:footer="1711" w:top="1460" w:bottom="1900" w:left="1400" w:right="200"/>
        </w:sectPr>
      </w:pPr>
    </w:p>
    <w:p>
      <w:pPr>
        <w:pStyle w:val="BodyText"/>
        <w:rPr>
          <w:sz w:val="20"/>
        </w:rPr>
      </w:pPr>
    </w:p>
    <w:p>
      <w:pPr>
        <w:pStyle w:val="BodyText"/>
        <w:spacing w:before="10"/>
        <w:rPr>
          <w:sz w:val="17"/>
        </w:rPr>
      </w:pPr>
    </w:p>
    <w:p>
      <w:pPr>
        <w:pStyle w:val="BodyText"/>
        <w:spacing w:before="74"/>
        <w:ind w:left="111" w:right="897"/>
      </w:pPr>
      <w:r>
        <w:rPr/>
        <w:t>Weigel, R.H., Weigel, J. (1978). Environmental concern: The development of a mesure.</w:t>
      </w:r>
    </w:p>
    <w:p>
      <w:pPr>
        <w:pStyle w:val="BodyText"/>
        <w:spacing w:before="134"/>
        <w:ind w:left="803" w:right="897"/>
      </w:pPr>
      <w:r>
        <w:rPr/>
        <w:t>Environment and Behavior, 10, 3-15.</w:t>
      </w:r>
    </w:p>
    <w:p>
      <w:pPr>
        <w:pStyle w:val="BodyText"/>
        <w:rPr>
          <w:sz w:val="22"/>
        </w:rPr>
      </w:pPr>
    </w:p>
    <w:p>
      <w:pPr>
        <w:spacing w:before="1"/>
        <w:ind w:left="111" w:right="897" w:firstLine="0"/>
        <w:jc w:val="left"/>
        <w:rPr>
          <w:sz w:val="23"/>
        </w:rPr>
      </w:pPr>
      <w:r>
        <w:rPr>
          <w:sz w:val="23"/>
        </w:rPr>
        <w:t>World  Commission  on  Environment  and  Development  (1987).  </w:t>
      </w:r>
      <w:r>
        <w:rPr>
          <w:i/>
          <w:sz w:val="23"/>
        </w:rPr>
        <w:t>Our  Common   </w:t>
      </w:r>
      <w:r>
        <w:rPr>
          <w:i/>
          <w:spacing w:val="58"/>
          <w:sz w:val="23"/>
        </w:rPr>
        <w:t> </w:t>
      </w:r>
      <w:r>
        <w:rPr>
          <w:i/>
          <w:sz w:val="23"/>
        </w:rPr>
        <w:t>Future</w:t>
      </w:r>
      <w:r>
        <w:rPr>
          <w:sz w:val="23"/>
        </w:rPr>
        <w:t>.</w:t>
      </w:r>
    </w:p>
    <w:p>
      <w:pPr>
        <w:pStyle w:val="BodyText"/>
        <w:spacing w:before="138"/>
        <w:ind w:left="803" w:right="897"/>
      </w:pPr>
      <w:r>
        <w:rPr/>
        <w:t>Oxford, UK: Oxford University Press.</w:t>
      </w:r>
    </w:p>
    <w:p>
      <w:pPr>
        <w:pStyle w:val="BodyText"/>
        <w:spacing w:before="5"/>
        <w:rPr>
          <w:sz w:val="22"/>
        </w:rPr>
      </w:pPr>
    </w:p>
    <w:p>
      <w:pPr>
        <w:pStyle w:val="BodyText"/>
        <w:spacing w:line="364" w:lineRule="auto"/>
        <w:ind w:left="803" w:right="901" w:hanging="692"/>
      </w:pPr>
      <w:r>
        <w:rPr/>
        <w:t>Zelezny, L.C. (1999). Educational interventions that improve environmental behaviors: A meta-analysis. Journal of Environmental Education, 31,  5-14.</w:t>
      </w:r>
    </w:p>
    <w:p>
      <w:pPr>
        <w:pStyle w:val="BodyText"/>
        <w:spacing w:line="362" w:lineRule="auto" w:before="120"/>
        <w:ind w:left="803" w:right="1192" w:hanging="692"/>
      </w:pPr>
      <w:r>
        <w:rPr/>
        <w:t>Zimmermann, Marcel (2010) Psicología ambiental, calidad de vida  y  desarrollo  sostenible. Eco-ediciones. Bogotá,</w:t>
      </w:r>
      <w:r>
        <w:rPr>
          <w:spacing w:val="48"/>
        </w:rPr>
        <w:t> </w:t>
      </w:r>
      <w:r>
        <w:rPr/>
        <w:t>Colombia.</w:t>
      </w:r>
    </w:p>
    <w:p>
      <w:pPr>
        <w:spacing w:after="0" w:line="362" w:lineRule="auto"/>
        <w:sectPr>
          <w:pgSz w:w="11910" w:h="16840"/>
          <w:pgMar w:header="1066" w:footer="1711" w:top="1460" w:bottom="1900" w:left="1400" w:right="200"/>
        </w:sectPr>
      </w:pPr>
    </w:p>
    <w:p>
      <w:pPr>
        <w:pStyle w:val="BodyText"/>
        <w:ind w:left="220"/>
        <w:rPr>
          <w:sz w:val="20"/>
        </w:rPr>
      </w:pPr>
      <w:r>
        <w:rPr>
          <w:sz w:val="20"/>
        </w:rPr>
        <w:pict>
          <v:group style="width:496.8pt;height:23.55pt;mso-position-horizontal-relative:char;mso-position-vertical-relative:line" coordorigin="0,0" coordsize="9936,471">
            <v:shape style="position:absolute;left:8822;top:48;width:1114;height:278" type="#_x0000_t75" stroked="false">
              <v:imagedata r:id="rId5" o:title=""/>
            </v:shape>
            <v:shape style="position:absolute;left:0;top:0;width:9158;height:470" type="#_x0000_t75" stroked="false">
              <v:imagedata r:id="rId6" o:title=""/>
            </v:shape>
            <v:shape style="position:absolute;left:0;top:0;width:9936;height:471" type="#_x0000_t202" filled="false" stroked="false">
              <v:textbox inset="0,0,0,0">
                <w:txbxContent>
                  <w:p>
                    <w:pPr>
                      <w:spacing w:line="413" w:lineRule="exact" w:before="57"/>
                      <w:ind w:left="859" w:right="0" w:firstLine="0"/>
                      <w:jc w:val="left"/>
                      <w:rPr>
                        <w:rFonts w:ascii="Gabriola"/>
                        <w:sz w:val="27"/>
                      </w:rPr>
                    </w:pPr>
                    <w:r>
                      <w:rPr>
                        <w:rFonts w:ascii="Gabriola"/>
                        <w:sz w:val="27"/>
                      </w:rPr>
                      <w:t>Comportamiento Proambiental del Visitante en el Parque Nacional Desierto de los Leones</w:t>
                    </w:r>
                  </w:p>
                </w:txbxContent>
              </v:textbox>
              <w10:wrap type="none"/>
            </v:shape>
          </v:group>
        </w:pict>
      </w:r>
      <w:r>
        <w:rPr>
          <w:sz w:val="20"/>
        </w:rPr>
      </w:r>
    </w:p>
    <w:p>
      <w:pPr>
        <w:pStyle w:val="BodyText"/>
        <w:rPr>
          <w:sz w:val="20"/>
        </w:rPr>
      </w:pPr>
    </w:p>
    <w:p>
      <w:pPr>
        <w:pStyle w:val="BodyText"/>
        <w:spacing w:before="1"/>
        <w:rPr>
          <w:sz w:val="16"/>
        </w:rPr>
      </w:pPr>
    </w:p>
    <w:p>
      <w:pPr>
        <w:pStyle w:val="Heading2"/>
        <w:spacing w:before="73"/>
        <w:ind w:left="3407" w:right="4083"/>
        <w:jc w:val="center"/>
      </w:pPr>
      <w:r>
        <w:rPr/>
        <w:t>ANEXOS</w:t>
      </w:r>
    </w:p>
    <w:p>
      <w:pPr>
        <w:pStyle w:val="BodyText"/>
        <w:spacing w:before="10"/>
        <w:rPr>
          <w:b/>
          <w:sz w:val="15"/>
        </w:rPr>
      </w:pPr>
    </w:p>
    <w:p>
      <w:pPr>
        <w:spacing w:after="0"/>
        <w:rPr>
          <w:sz w:val="15"/>
        </w:rPr>
        <w:sectPr>
          <w:headerReference w:type="default" r:id="rId84"/>
          <w:footerReference w:type="default" r:id="rId85"/>
          <w:pgSz w:w="11910" w:h="16840"/>
          <w:pgMar w:header="0" w:footer="1711" w:top="1000" w:bottom="1900" w:left="1440" w:right="200"/>
          <w:pgNumType w:start="139"/>
        </w:sectPr>
      </w:pPr>
    </w:p>
    <w:p>
      <w:pPr>
        <w:spacing w:before="73"/>
        <w:ind w:left="220" w:right="0" w:firstLine="0"/>
        <w:jc w:val="left"/>
        <w:rPr>
          <w:rFonts w:ascii="Cambria"/>
          <w:b/>
          <w:sz w:val="21"/>
        </w:rPr>
      </w:pPr>
      <w:r>
        <w:rPr/>
        <w:drawing>
          <wp:anchor distT="0" distB="0" distL="0" distR="0" allowOverlap="1" layoutInCell="1" locked="0" behindDoc="0" simplePos="0" relativeHeight="2224">
            <wp:simplePos x="0" y="0"/>
            <wp:positionH relativeFrom="page">
              <wp:posOffset>1085088</wp:posOffset>
            </wp:positionH>
            <wp:positionV relativeFrom="paragraph">
              <wp:posOffset>215735</wp:posOffset>
            </wp:positionV>
            <wp:extent cx="667512" cy="591312"/>
            <wp:effectExtent l="0" t="0" r="0" b="0"/>
            <wp:wrapNone/>
            <wp:docPr id="31" name="image31.jpeg" descr=""/>
            <wp:cNvGraphicFramePr>
              <a:graphicFrameLocks noChangeAspect="1"/>
            </wp:cNvGraphicFramePr>
            <a:graphic>
              <a:graphicData uri="http://schemas.openxmlformats.org/drawingml/2006/picture">
                <pic:pic>
                  <pic:nvPicPr>
                    <pic:cNvPr id="32" name="image31.jpeg"/>
                    <pic:cNvPicPr/>
                  </pic:nvPicPr>
                  <pic:blipFill>
                    <a:blip r:embed="rId86" cstate="print"/>
                    <a:stretch>
                      <a:fillRect/>
                    </a:stretch>
                  </pic:blipFill>
                  <pic:spPr>
                    <a:xfrm>
                      <a:off x="0" y="0"/>
                      <a:ext cx="667512" cy="591312"/>
                    </a:xfrm>
                    <a:prstGeom prst="rect">
                      <a:avLst/>
                    </a:prstGeom>
                  </pic:spPr>
                </pic:pic>
              </a:graphicData>
            </a:graphic>
          </wp:anchor>
        </w:drawing>
      </w:r>
      <w:r>
        <w:rPr>
          <w:rFonts w:ascii="Cambria"/>
          <w:b/>
          <w:w w:val="115"/>
          <w:sz w:val="21"/>
        </w:rPr>
        <w:t>ANEXO 1</w:t>
      </w:r>
    </w:p>
    <w:p>
      <w:pPr>
        <w:pStyle w:val="BodyText"/>
        <w:spacing w:before="6"/>
        <w:rPr>
          <w:rFonts w:ascii="Cambria"/>
          <w:b/>
          <w:sz w:val="27"/>
        </w:rPr>
      </w:pPr>
      <w:r>
        <w:rPr/>
        <w:br w:type="column"/>
      </w:r>
      <w:r>
        <w:rPr>
          <w:rFonts w:ascii="Cambria"/>
          <w:b/>
          <w:sz w:val="27"/>
        </w:rPr>
      </w:r>
    </w:p>
    <w:p>
      <w:pPr>
        <w:spacing w:line="500" w:lineRule="atLeast" w:before="1"/>
        <w:ind w:left="220" w:right="1421" w:firstLine="388"/>
        <w:jc w:val="left"/>
        <w:rPr>
          <w:rFonts w:ascii="Cambria" w:hAnsi="Cambria"/>
          <w:b/>
          <w:sz w:val="21"/>
        </w:rPr>
      </w:pPr>
      <w:r>
        <w:rPr>
          <w:rFonts w:ascii="Cambria" w:hAnsi="Cambria"/>
          <w:b/>
          <w:w w:val="120"/>
          <w:sz w:val="21"/>
        </w:rPr>
        <w:t>UNIVERSIDAD AUTÓNOMA DEL ESTADO DE MÉXICO CUESTIONARIO PARA VISITANTES DEL PARQUE NACIONAL</w:t>
      </w:r>
    </w:p>
    <w:p>
      <w:pPr>
        <w:spacing w:before="3"/>
        <w:ind w:left="1396" w:right="1421" w:firstLine="0"/>
        <w:jc w:val="left"/>
        <w:rPr>
          <w:rFonts w:ascii="Cambria"/>
          <w:b/>
          <w:sz w:val="21"/>
        </w:rPr>
      </w:pPr>
      <w:r>
        <w:rPr>
          <w:rFonts w:ascii="Cambria"/>
          <w:b/>
          <w:w w:val="120"/>
          <w:sz w:val="21"/>
        </w:rPr>
        <w:t>DESIERTO DE LOS  LEONES</w:t>
      </w:r>
    </w:p>
    <w:p>
      <w:pPr>
        <w:spacing w:after="0"/>
        <w:jc w:val="left"/>
        <w:rPr>
          <w:rFonts w:ascii="Cambria"/>
          <w:sz w:val="21"/>
        </w:rPr>
        <w:sectPr>
          <w:type w:val="continuous"/>
          <w:pgSz w:w="11910" w:h="16840"/>
          <w:pgMar w:top="1000" w:bottom="280" w:left="1440" w:right="200"/>
          <w:cols w:num="2" w:equalWidth="0">
            <w:col w:w="1320" w:space="527"/>
            <w:col w:w="8423"/>
          </w:cols>
        </w:sectPr>
      </w:pPr>
    </w:p>
    <w:p>
      <w:pPr>
        <w:pStyle w:val="BodyText"/>
        <w:spacing w:before="7"/>
        <w:rPr>
          <w:rFonts w:ascii="Cambria"/>
          <w:b/>
          <w:sz w:val="22"/>
        </w:rPr>
      </w:pPr>
    </w:p>
    <w:p>
      <w:pPr>
        <w:spacing w:line="240" w:lineRule="auto"/>
        <w:ind w:left="105" w:right="0" w:firstLine="0"/>
        <w:rPr>
          <w:rFonts w:ascii="Cambria"/>
          <w:sz w:val="20"/>
        </w:rPr>
      </w:pPr>
      <w:r>
        <w:rPr>
          <w:rFonts w:ascii="Times New Roman"/>
          <w:spacing w:val="-49"/>
          <w:sz w:val="20"/>
        </w:rPr>
        <w:t> </w:t>
      </w:r>
      <w:r>
        <w:rPr>
          <w:rFonts w:ascii="Cambria"/>
          <w:spacing w:val="-49"/>
          <w:sz w:val="20"/>
        </w:rPr>
        <w:pict>
          <v:shape style="width:468.5pt;height:37.950pt;mso-position-horizontal-relative:char;mso-position-vertical-relative:line" type="#_x0000_t202" filled="false" stroked="true" strokeweight=".48pt" strokecolor="#000000">
            <w10:anchorlock/>
            <v:textbox inset="0,0,0,0">
              <w:txbxContent>
                <w:p>
                  <w:pPr>
                    <w:spacing w:line="242" w:lineRule="auto" w:before="0"/>
                    <w:ind w:left="105" w:right="103" w:firstLine="0"/>
                    <w:jc w:val="both"/>
                    <w:rPr>
                      <w:rFonts w:ascii="Cambria" w:hAnsi="Cambria"/>
                      <w:sz w:val="21"/>
                    </w:rPr>
                  </w:pPr>
                  <w:r>
                    <w:rPr>
                      <w:rFonts w:ascii="Cambria" w:hAnsi="Cambria"/>
                      <w:w w:val="115"/>
                      <w:sz w:val="21"/>
                    </w:rPr>
                    <w:t>La presente encuesta forma parte de una investigación acerca del comportamiento proambiental de los visitantes, la información que proporcione en este cuestionario es anónima y será empleada exclusivamente con fines </w:t>
                  </w:r>
                  <w:r>
                    <w:rPr>
                      <w:rFonts w:ascii="Cambria" w:hAnsi="Cambria"/>
                      <w:spacing w:val="53"/>
                      <w:w w:val="115"/>
                      <w:sz w:val="21"/>
                    </w:rPr>
                    <w:t> </w:t>
                  </w:r>
                  <w:r>
                    <w:rPr>
                      <w:rFonts w:ascii="Cambria" w:hAnsi="Cambria"/>
                      <w:w w:val="115"/>
                      <w:sz w:val="21"/>
                    </w:rPr>
                    <w:t>académicos.</w:t>
                  </w:r>
                </w:p>
              </w:txbxContent>
            </v:textbox>
          </v:shape>
        </w:pict>
      </w:r>
      <w:r>
        <w:rPr>
          <w:rFonts w:ascii="Cambria"/>
          <w:spacing w:val="-49"/>
          <w:sz w:val="20"/>
        </w:rPr>
      </w:r>
    </w:p>
    <w:p>
      <w:pPr>
        <w:pStyle w:val="BodyText"/>
        <w:spacing w:before="2"/>
        <w:rPr>
          <w:rFonts w:ascii="Cambria"/>
          <w:b/>
          <w:sz w:val="15"/>
        </w:rPr>
      </w:pPr>
      <w:r>
        <w:rPr/>
        <w:pict>
          <v:shape style="position:absolute;margin-left:77.519997pt;margin-top:11.1pt;width:468.5pt;height:25.7pt;mso-position-horizontal-relative:page;mso-position-vertical-relative:paragraph;z-index:2176;mso-wrap-distance-left:0;mso-wrap-distance-right:0" type="#_x0000_t202" filled="false" stroked="true" strokeweight=".48pt" strokecolor="#000000">
            <v:textbox inset="0,0,0,0">
              <w:txbxContent>
                <w:p>
                  <w:pPr>
                    <w:spacing w:line="242" w:lineRule="auto" w:before="0"/>
                    <w:ind w:left="105" w:right="171" w:firstLine="0"/>
                    <w:jc w:val="left"/>
                    <w:rPr>
                      <w:rFonts w:ascii="Cambria"/>
                      <w:sz w:val="21"/>
                    </w:rPr>
                  </w:pPr>
                  <w:r>
                    <w:rPr>
                      <w:rFonts w:ascii="Cambria"/>
                      <w:w w:val="115"/>
                      <w:sz w:val="21"/>
                    </w:rPr>
                    <w:t>Objetivo: Identificar el comportamiento proambiental de los visitantes en el Parque Nacional Desierto de los Leones.</w:t>
                  </w:r>
                </w:p>
              </w:txbxContent>
            </v:textbox>
            <w10:wrap type="topAndBottom"/>
          </v:shape>
        </w:pict>
      </w:r>
      <w:r>
        <w:rPr/>
        <w:pict>
          <v:shape style="position:absolute;margin-left:77.519997pt;margin-top:49.740002pt;width:468.5pt;height:75.850pt;mso-position-horizontal-relative:page;mso-position-vertical-relative:paragraph;z-index:2200;mso-wrap-distance-left:0;mso-wrap-distance-right:0" type="#_x0000_t202" filled="false" stroked="true" strokeweight=".48pt" strokecolor="#000000">
            <v:textbox inset="0,0,0,0">
              <w:txbxContent>
                <w:p>
                  <w:pPr>
                    <w:spacing w:line="243" w:lineRule="exact" w:before="0"/>
                    <w:ind w:left="105" w:right="171" w:firstLine="0"/>
                    <w:jc w:val="left"/>
                    <w:rPr>
                      <w:rFonts w:ascii="Cambria" w:hAnsi="Cambria"/>
                      <w:sz w:val="21"/>
                    </w:rPr>
                  </w:pPr>
                  <w:r>
                    <w:rPr>
                      <w:rFonts w:ascii="Cambria" w:hAnsi="Cambria"/>
                      <w:w w:val="115"/>
                      <w:sz w:val="21"/>
                    </w:rPr>
                    <w:t>Datos de identificación:</w:t>
                  </w:r>
                </w:p>
                <w:p>
                  <w:pPr>
                    <w:tabs>
                      <w:tab w:pos="2227" w:val="left" w:leader="none"/>
                      <w:tab w:pos="4329" w:val="left" w:leader="none"/>
                      <w:tab w:pos="4542" w:val="left" w:leader="none"/>
                      <w:tab w:pos="6595" w:val="left" w:leader="none"/>
                      <w:tab w:pos="6935" w:val="left" w:leader="none"/>
                      <w:tab w:pos="8643" w:val="left" w:leader="none"/>
                    </w:tabs>
                    <w:spacing w:line="244" w:lineRule="auto" w:before="3"/>
                    <w:ind w:left="105" w:right="171" w:firstLine="0"/>
                    <w:jc w:val="left"/>
                    <w:rPr>
                      <w:rFonts w:ascii="Cambria" w:hAnsi="Cambria"/>
                      <w:sz w:val="21"/>
                    </w:rPr>
                  </w:pPr>
                  <w:r>
                    <w:rPr>
                      <w:rFonts w:ascii="Cambria" w:hAnsi="Cambria"/>
                      <w:w w:val="110"/>
                      <w:sz w:val="21"/>
                    </w:rPr>
                    <w:t>Nacionalidad:</w:t>
                  </w:r>
                  <w:r>
                    <w:rPr>
                      <w:rFonts w:ascii="Cambria" w:hAnsi="Cambria"/>
                      <w:spacing w:val="43"/>
                      <w:w w:val="110"/>
                      <w:sz w:val="21"/>
                    </w:rPr>
                    <w:t> </w:t>
                  </w:r>
                  <w:r>
                    <w:rPr>
                      <w:rFonts w:ascii="Cambria" w:hAnsi="Cambria"/>
                      <w:w w:val="110"/>
                      <w:sz w:val="21"/>
                    </w:rPr>
                    <w:t>__</w:t>
                  </w:r>
                  <w:r>
                    <w:rPr>
                      <w:rFonts w:ascii="Times New Roman" w:hAnsi="Times New Roman"/>
                      <w:w w:val="110"/>
                      <w:sz w:val="21"/>
                      <w:u w:val="single"/>
                    </w:rPr>
                    <w:t> </w:t>
                    <w:tab/>
                    <w:tab/>
                  </w:r>
                  <w:r>
                    <w:rPr>
                      <w:rFonts w:ascii="Times New Roman" w:hAnsi="Times New Roman"/>
                      <w:w w:val="110"/>
                      <w:sz w:val="21"/>
                    </w:rPr>
                    <w:tab/>
                  </w:r>
                  <w:r>
                    <w:rPr>
                      <w:rFonts w:ascii="Cambria" w:hAnsi="Cambria"/>
                      <w:w w:val="110"/>
                      <w:sz w:val="21"/>
                    </w:rPr>
                    <w:t>Sexo:</w:t>
                  </w:r>
                  <w:r>
                    <w:rPr>
                      <w:rFonts w:ascii="Cambria" w:hAnsi="Cambria"/>
                      <w:spacing w:val="35"/>
                      <w:w w:val="110"/>
                      <w:sz w:val="21"/>
                    </w:rPr>
                    <w:t> </w:t>
                  </w:r>
                  <w:r>
                    <w:rPr>
                      <w:rFonts w:ascii="Cambria" w:hAnsi="Cambria"/>
                      <w:w w:val="110"/>
                      <w:sz w:val="21"/>
                    </w:rPr>
                    <w:t>masculino</w:t>
                  </w:r>
                  <w:r>
                    <w:rPr>
                      <w:rFonts w:ascii="Cambria" w:hAnsi="Cambria"/>
                      <w:spacing w:val="37"/>
                      <w:w w:val="110"/>
                      <w:sz w:val="21"/>
                    </w:rPr>
                    <w:t> </w:t>
                  </w:r>
                  <w:r>
                    <w:rPr>
                      <w:rFonts w:ascii="Cambria" w:hAnsi="Cambria"/>
                      <w:w w:val="105"/>
                      <w:sz w:val="21"/>
                    </w:rPr>
                    <w:t>(</w:t>
                    <w:tab/>
                    <w:t>)</w:t>
                    <w:tab/>
                  </w:r>
                  <w:r>
                    <w:rPr>
                      <w:rFonts w:ascii="Cambria" w:hAnsi="Cambria"/>
                      <w:w w:val="110"/>
                      <w:sz w:val="21"/>
                    </w:rPr>
                    <w:t>femenino</w:t>
                  </w:r>
                  <w:r>
                    <w:rPr>
                      <w:rFonts w:ascii="Cambria" w:hAnsi="Cambria"/>
                      <w:spacing w:val="12"/>
                      <w:w w:val="110"/>
                      <w:sz w:val="21"/>
                    </w:rPr>
                    <w:t> </w:t>
                  </w:r>
                  <w:r>
                    <w:rPr>
                      <w:rFonts w:ascii="Cambria" w:hAnsi="Cambria"/>
                      <w:w w:val="105"/>
                      <w:sz w:val="21"/>
                    </w:rPr>
                    <w:t>(  </w:t>
                  </w:r>
                  <w:r>
                    <w:rPr>
                      <w:rFonts w:ascii="Cambria" w:hAnsi="Cambria"/>
                      <w:spacing w:val="44"/>
                      <w:w w:val="105"/>
                      <w:sz w:val="21"/>
                    </w:rPr>
                    <w:t> </w:t>
                  </w:r>
                  <w:r>
                    <w:rPr>
                      <w:rFonts w:ascii="Cambria" w:hAnsi="Cambria"/>
                      <w:w w:val="105"/>
                      <w:sz w:val="21"/>
                    </w:rPr>
                    <w:t>)</w:t>
                  </w:r>
                  <w:r>
                    <w:rPr>
                      <w:rFonts w:ascii="Cambria" w:hAnsi="Cambria"/>
                      <w:w w:val="80"/>
                      <w:sz w:val="21"/>
                    </w:rPr>
                    <w:t> </w:t>
                  </w:r>
                  <w:r>
                    <w:rPr>
                      <w:rFonts w:ascii="Cambria" w:hAnsi="Cambria"/>
                      <w:w w:val="110"/>
                      <w:sz w:val="21"/>
                    </w:rPr>
                    <w:t>Ocupación: </w:t>
                  </w:r>
                  <w:r>
                    <w:rPr>
                      <w:rFonts w:ascii="Cambria" w:hAnsi="Cambria"/>
                      <w:w w:val="105"/>
                      <w:sz w:val="21"/>
                    </w:rPr>
                    <w:t>(    )  </w:t>
                  </w:r>
                  <w:r>
                    <w:rPr>
                      <w:rFonts w:ascii="Cambria" w:hAnsi="Cambria"/>
                      <w:w w:val="110"/>
                      <w:sz w:val="21"/>
                    </w:rPr>
                    <w:t>Estudiante, </w:t>
                  </w:r>
                  <w:r>
                    <w:rPr>
                      <w:rFonts w:ascii="Cambria" w:hAnsi="Cambria"/>
                      <w:w w:val="105"/>
                      <w:sz w:val="21"/>
                    </w:rPr>
                    <w:t>(    )  </w:t>
                  </w:r>
                  <w:r>
                    <w:rPr>
                      <w:rFonts w:ascii="Cambria" w:hAnsi="Cambria"/>
                      <w:w w:val="110"/>
                      <w:sz w:val="21"/>
                    </w:rPr>
                    <w:t>Ama  de  casa, </w:t>
                  </w:r>
                  <w:r>
                    <w:rPr>
                      <w:rFonts w:ascii="Cambria" w:hAnsi="Cambria"/>
                      <w:w w:val="105"/>
                      <w:sz w:val="21"/>
                    </w:rPr>
                    <w:t>(    )</w:t>
                  </w:r>
                  <w:r>
                    <w:rPr>
                      <w:rFonts w:ascii="Cambria" w:hAnsi="Cambria"/>
                      <w:spacing w:val="38"/>
                      <w:w w:val="105"/>
                      <w:sz w:val="21"/>
                    </w:rPr>
                    <w:t> </w:t>
                  </w:r>
                  <w:r>
                    <w:rPr>
                      <w:rFonts w:ascii="Cambria" w:hAnsi="Cambria"/>
                      <w:w w:val="110"/>
                      <w:sz w:val="21"/>
                    </w:rPr>
                    <w:t>Empleado,</w:t>
                  </w:r>
                  <w:r>
                    <w:rPr>
                      <w:rFonts w:ascii="Cambria" w:hAnsi="Cambria"/>
                      <w:spacing w:val="28"/>
                      <w:w w:val="110"/>
                      <w:sz w:val="21"/>
                    </w:rPr>
                    <w:t> </w:t>
                  </w:r>
                  <w:r>
                    <w:rPr>
                      <w:rFonts w:ascii="Cambria" w:hAnsi="Cambria"/>
                      <w:w w:val="110"/>
                      <w:sz w:val="21"/>
                    </w:rPr>
                    <w:t>Otro._</w:t>
                  </w:r>
                  <w:r>
                    <w:rPr>
                      <w:rFonts w:ascii="Times New Roman" w:hAnsi="Times New Roman"/>
                      <w:w w:val="110"/>
                      <w:sz w:val="21"/>
                      <w:u w:val="single"/>
                    </w:rPr>
                    <w:t> </w:t>
                    <w:tab/>
                  </w:r>
                  <w:r>
                    <w:rPr>
                      <w:rFonts w:ascii="Cambria" w:hAnsi="Cambria"/>
                      <w:w w:val="110"/>
                      <w:sz w:val="21"/>
                    </w:rPr>
                    <w:t>_ Edad:</w:t>
                  </w:r>
                  <w:r>
                    <w:rPr>
                      <w:rFonts w:ascii="Cambria" w:hAnsi="Cambria"/>
                      <w:spacing w:val="36"/>
                      <w:w w:val="110"/>
                      <w:sz w:val="21"/>
                    </w:rPr>
                    <w:t> </w:t>
                  </w:r>
                  <w:r>
                    <w:rPr>
                      <w:rFonts w:ascii="Cambria" w:hAnsi="Cambria"/>
                      <w:w w:val="110"/>
                      <w:sz w:val="21"/>
                    </w:rPr>
                    <w:t>_</w:t>
                  </w:r>
                  <w:r>
                    <w:rPr>
                      <w:rFonts w:ascii="Times New Roman" w:hAnsi="Times New Roman"/>
                      <w:w w:val="110"/>
                      <w:sz w:val="21"/>
                      <w:u w:val="single"/>
                    </w:rPr>
                    <w:t> </w:t>
                    <w:tab/>
                  </w:r>
                  <w:r>
                    <w:rPr>
                      <w:rFonts w:ascii="Cambria" w:hAnsi="Cambria"/>
                      <w:w w:val="110"/>
                      <w:sz w:val="21"/>
                    </w:rPr>
                    <w:t>Grado  de  Estudios:  </w:t>
                  </w:r>
                  <w:r>
                    <w:rPr>
                      <w:rFonts w:ascii="Cambria" w:hAnsi="Cambria"/>
                      <w:w w:val="105"/>
                      <w:sz w:val="21"/>
                    </w:rPr>
                    <w:t>(   )  </w:t>
                  </w:r>
                  <w:r>
                    <w:rPr>
                      <w:rFonts w:ascii="Cambria" w:hAnsi="Cambria"/>
                      <w:w w:val="110"/>
                      <w:sz w:val="21"/>
                    </w:rPr>
                    <w:t>Primaria,  </w:t>
                  </w:r>
                  <w:r>
                    <w:rPr>
                      <w:rFonts w:ascii="Cambria" w:hAnsi="Cambria"/>
                      <w:w w:val="105"/>
                      <w:sz w:val="21"/>
                    </w:rPr>
                    <w:t>(   )  </w:t>
                  </w:r>
                  <w:r>
                    <w:rPr>
                      <w:rFonts w:ascii="Cambria" w:hAnsi="Cambria"/>
                      <w:w w:val="110"/>
                      <w:sz w:val="21"/>
                    </w:rPr>
                    <w:t>Secundaria,  </w:t>
                  </w:r>
                  <w:r>
                    <w:rPr>
                      <w:rFonts w:ascii="Cambria" w:hAnsi="Cambria"/>
                      <w:w w:val="105"/>
                      <w:sz w:val="21"/>
                    </w:rPr>
                    <w:t>(</w:t>
                  </w:r>
                  <w:r>
                    <w:rPr>
                      <w:rFonts w:ascii="Cambria" w:hAnsi="Cambria"/>
                      <w:spacing w:val="11"/>
                      <w:w w:val="105"/>
                      <w:sz w:val="21"/>
                    </w:rPr>
                    <w:t> </w:t>
                  </w:r>
                  <w:r>
                    <w:rPr>
                      <w:rFonts w:ascii="Cambria" w:hAnsi="Cambria"/>
                      <w:w w:val="105"/>
                      <w:sz w:val="21"/>
                    </w:rPr>
                    <w:t>)  </w:t>
                  </w:r>
                  <w:r>
                    <w:rPr>
                      <w:rFonts w:ascii="Cambria" w:hAnsi="Cambria"/>
                      <w:w w:val="110"/>
                      <w:sz w:val="21"/>
                    </w:rPr>
                    <w:t>Preparatoria, </w:t>
                  </w:r>
                  <w:r>
                    <w:rPr>
                      <w:rFonts w:ascii="Cambria" w:hAnsi="Cambria"/>
                      <w:w w:val="105"/>
                      <w:sz w:val="21"/>
                    </w:rPr>
                    <w:t>(</w:t>
                  </w:r>
                </w:p>
                <w:p>
                  <w:pPr>
                    <w:tabs>
                      <w:tab w:pos="5346" w:val="left" w:leader="none"/>
                    </w:tabs>
                    <w:spacing w:before="3"/>
                    <w:ind w:left="105" w:right="171" w:firstLine="0"/>
                    <w:jc w:val="left"/>
                    <w:rPr>
                      <w:rFonts w:ascii="Times New Roman"/>
                      <w:sz w:val="21"/>
                    </w:rPr>
                  </w:pPr>
                  <w:r>
                    <w:rPr>
                      <w:rFonts w:ascii="Cambria"/>
                      <w:w w:val="110"/>
                      <w:sz w:val="21"/>
                    </w:rPr>
                    <w:t>) Licenciatura, (   ), (   ) </w:t>
                  </w:r>
                  <w:r>
                    <w:rPr>
                      <w:rFonts w:ascii="Cambria"/>
                      <w:spacing w:val="34"/>
                      <w:w w:val="110"/>
                      <w:sz w:val="21"/>
                    </w:rPr>
                    <w:t> </w:t>
                  </w:r>
                  <w:r>
                    <w:rPr>
                      <w:rFonts w:ascii="Cambria"/>
                      <w:w w:val="110"/>
                      <w:sz w:val="21"/>
                    </w:rPr>
                    <w:t>Otro._</w:t>
                  </w:r>
                  <w:r>
                    <w:rPr>
                      <w:rFonts w:ascii="Times New Roman"/>
                      <w:w w:val="102"/>
                      <w:sz w:val="21"/>
                      <w:u w:val="single"/>
                    </w:rPr>
                    <w:t> </w:t>
                  </w:r>
                  <w:r>
                    <w:rPr>
                      <w:rFonts w:ascii="Times New Roman"/>
                      <w:sz w:val="21"/>
                      <w:u w:val="single"/>
                    </w:rPr>
                    <w:tab/>
                  </w:r>
                </w:p>
              </w:txbxContent>
            </v:textbox>
            <w10:wrap type="topAndBottom"/>
          </v:shape>
        </w:pict>
      </w:r>
    </w:p>
    <w:p>
      <w:pPr>
        <w:pStyle w:val="BodyText"/>
        <w:spacing w:before="5"/>
        <w:rPr>
          <w:rFonts w:ascii="Cambria"/>
          <w:b/>
          <w:sz w:val="15"/>
        </w:rPr>
      </w:pPr>
    </w:p>
    <w:p>
      <w:pPr>
        <w:pStyle w:val="BodyText"/>
        <w:spacing w:before="4"/>
        <w:rPr>
          <w:rFonts w:ascii="Cambria"/>
          <w:b/>
          <w:sz w:val="12"/>
        </w:rPr>
      </w:pPr>
    </w:p>
    <w:p>
      <w:pPr>
        <w:tabs>
          <w:tab w:pos="1271" w:val="left" w:leader="none"/>
        </w:tabs>
        <w:spacing w:line="247" w:lineRule="auto" w:before="73"/>
        <w:ind w:left="1271" w:right="896" w:hanging="701"/>
        <w:jc w:val="left"/>
        <w:rPr>
          <w:rFonts w:ascii="Cambria"/>
          <w:sz w:val="21"/>
        </w:rPr>
      </w:pPr>
      <w:r>
        <w:rPr>
          <w:rFonts w:ascii="Cambria"/>
          <w:w w:val="115"/>
          <w:sz w:val="21"/>
        </w:rPr>
        <w:t>I.</w:t>
        <w:tab/>
        <w:t>Instrucciones:   Por   favor   valore   los   siguientes   aspectos </w:t>
      </w:r>
      <w:r>
        <w:rPr>
          <w:rFonts w:ascii="Cambria"/>
          <w:spacing w:val="7"/>
          <w:w w:val="115"/>
          <w:sz w:val="21"/>
        </w:rPr>
        <w:t> </w:t>
      </w:r>
      <w:r>
        <w:rPr>
          <w:rFonts w:ascii="Cambria"/>
          <w:w w:val="115"/>
          <w:sz w:val="21"/>
        </w:rPr>
        <w:t>considerando </w:t>
      </w:r>
      <w:r>
        <w:rPr>
          <w:rFonts w:ascii="Cambria"/>
          <w:spacing w:val="46"/>
          <w:w w:val="115"/>
          <w:sz w:val="21"/>
        </w:rPr>
        <w:t> </w:t>
      </w:r>
      <w:r>
        <w:rPr>
          <w:rFonts w:ascii="Cambria"/>
          <w:w w:val="115"/>
          <w:sz w:val="21"/>
        </w:rPr>
        <w:t>la</w:t>
      </w:r>
      <w:r>
        <w:rPr>
          <w:rFonts w:ascii="Cambria"/>
          <w:w w:val="121"/>
          <w:sz w:val="21"/>
        </w:rPr>
        <w:t> </w:t>
      </w:r>
      <w:r>
        <w:rPr>
          <w:rFonts w:ascii="Cambria"/>
          <w:w w:val="115"/>
          <w:sz w:val="21"/>
        </w:rPr>
        <w:t>siguiente</w:t>
      </w:r>
      <w:r>
        <w:rPr>
          <w:rFonts w:ascii="Cambria"/>
          <w:spacing w:val="33"/>
          <w:w w:val="115"/>
          <w:sz w:val="21"/>
        </w:rPr>
        <w:t> </w:t>
      </w:r>
      <w:r>
        <w:rPr>
          <w:rFonts w:ascii="Cambria"/>
          <w:w w:val="115"/>
          <w:sz w:val="21"/>
        </w:rPr>
        <w:t>escala:</w:t>
      </w:r>
    </w:p>
    <w:p>
      <w:pPr>
        <w:pStyle w:val="BodyText"/>
        <w:spacing w:before="4"/>
        <w:rPr>
          <w:rFonts w:ascii="Cambria"/>
          <w:sz w:val="21"/>
        </w:rPr>
      </w:pPr>
    </w:p>
    <w:p>
      <w:pPr>
        <w:pStyle w:val="ListParagraph"/>
        <w:numPr>
          <w:ilvl w:val="0"/>
          <w:numId w:val="33"/>
        </w:numPr>
        <w:tabs>
          <w:tab w:pos="547" w:val="left" w:leader="none"/>
        </w:tabs>
        <w:spacing w:line="245" w:lineRule="exact" w:before="0" w:after="0"/>
        <w:ind w:left="546" w:right="0" w:hanging="326"/>
        <w:jc w:val="left"/>
        <w:rPr>
          <w:rFonts w:ascii="Cambria"/>
          <w:sz w:val="21"/>
        </w:rPr>
      </w:pPr>
      <w:r>
        <w:rPr>
          <w:rFonts w:ascii="Cambria"/>
          <w:w w:val="115"/>
          <w:sz w:val="21"/>
        </w:rPr>
        <w:t>Totalmente en</w:t>
      </w:r>
      <w:r>
        <w:rPr>
          <w:rFonts w:ascii="Cambria"/>
          <w:spacing w:val="8"/>
          <w:w w:val="115"/>
          <w:sz w:val="21"/>
        </w:rPr>
        <w:t> </w:t>
      </w:r>
      <w:r>
        <w:rPr>
          <w:rFonts w:ascii="Cambria"/>
          <w:w w:val="115"/>
          <w:sz w:val="21"/>
        </w:rPr>
        <w:t>desacuerdo</w:t>
      </w:r>
    </w:p>
    <w:p>
      <w:pPr>
        <w:pStyle w:val="ListParagraph"/>
        <w:numPr>
          <w:ilvl w:val="0"/>
          <w:numId w:val="33"/>
        </w:numPr>
        <w:tabs>
          <w:tab w:pos="552" w:val="left" w:leader="none"/>
        </w:tabs>
        <w:spacing w:line="245" w:lineRule="exact" w:before="0" w:after="0"/>
        <w:ind w:left="551" w:right="0" w:hanging="331"/>
        <w:jc w:val="left"/>
        <w:rPr>
          <w:rFonts w:ascii="Cambria"/>
          <w:sz w:val="21"/>
        </w:rPr>
      </w:pPr>
      <w:r>
        <w:rPr>
          <w:rFonts w:ascii="Cambria"/>
          <w:spacing w:val="-3"/>
          <w:w w:val="120"/>
          <w:sz w:val="21"/>
        </w:rPr>
        <w:t>En</w:t>
      </w:r>
      <w:r>
        <w:rPr>
          <w:rFonts w:ascii="Cambria"/>
          <w:spacing w:val="-31"/>
          <w:w w:val="120"/>
          <w:sz w:val="21"/>
        </w:rPr>
        <w:t> </w:t>
      </w:r>
      <w:r>
        <w:rPr>
          <w:rFonts w:ascii="Cambria"/>
          <w:w w:val="120"/>
          <w:sz w:val="21"/>
        </w:rPr>
        <w:t>desacuerdo</w:t>
      </w:r>
    </w:p>
    <w:p>
      <w:pPr>
        <w:pStyle w:val="ListParagraph"/>
        <w:numPr>
          <w:ilvl w:val="0"/>
          <w:numId w:val="33"/>
        </w:numPr>
        <w:tabs>
          <w:tab w:pos="547" w:val="left" w:leader="none"/>
        </w:tabs>
        <w:spacing w:line="240" w:lineRule="auto" w:before="8" w:after="0"/>
        <w:ind w:left="546" w:right="0" w:hanging="326"/>
        <w:jc w:val="left"/>
        <w:rPr>
          <w:rFonts w:ascii="Cambria"/>
          <w:sz w:val="21"/>
        </w:rPr>
      </w:pPr>
      <w:r>
        <w:rPr>
          <w:rFonts w:ascii="Cambria"/>
          <w:w w:val="115"/>
          <w:sz w:val="21"/>
        </w:rPr>
        <w:t>Ni de acuerdo ni </w:t>
      </w:r>
      <w:r>
        <w:rPr>
          <w:rFonts w:ascii="Cambria"/>
          <w:spacing w:val="3"/>
          <w:w w:val="115"/>
          <w:sz w:val="21"/>
        </w:rPr>
        <w:t>en</w:t>
      </w:r>
      <w:r>
        <w:rPr>
          <w:rFonts w:ascii="Cambria"/>
          <w:spacing w:val="55"/>
          <w:w w:val="115"/>
          <w:sz w:val="21"/>
        </w:rPr>
        <w:t> </w:t>
      </w:r>
      <w:r>
        <w:rPr>
          <w:rFonts w:ascii="Cambria"/>
          <w:w w:val="115"/>
          <w:sz w:val="21"/>
        </w:rPr>
        <w:t>desacuerdo</w:t>
      </w:r>
    </w:p>
    <w:p>
      <w:pPr>
        <w:pStyle w:val="ListParagraph"/>
        <w:numPr>
          <w:ilvl w:val="0"/>
          <w:numId w:val="33"/>
        </w:numPr>
        <w:tabs>
          <w:tab w:pos="547" w:val="left" w:leader="none"/>
        </w:tabs>
        <w:spacing w:line="240" w:lineRule="auto" w:before="8" w:after="0"/>
        <w:ind w:left="546" w:right="0" w:hanging="326"/>
        <w:jc w:val="left"/>
        <w:rPr>
          <w:rFonts w:ascii="Cambria"/>
          <w:sz w:val="21"/>
        </w:rPr>
      </w:pPr>
      <w:r>
        <w:rPr>
          <w:rFonts w:ascii="Cambria"/>
          <w:w w:val="115"/>
          <w:sz w:val="21"/>
        </w:rPr>
        <w:t>De</w:t>
      </w:r>
      <w:r>
        <w:rPr>
          <w:rFonts w:ascii="Cambria"/>
          <w:spacing w:val="23"/>
          <w:w w:val="115"/>
          <w:sz w:val="21"/>
        </w:rPr>
        <w:t> </w:t>
      </w:r>
      <w:r>
        <w:rPr>
          <w:rFonts w:ascii="Cambria"/>
          <w:w w:val="115"/>
          <w:sz w:val="21"/>
        </w:rPr>
        <w:t>acuerdo</w:t>
      </w:r>
    </w:p>
    <w:p>
      <w:pPr>
        <w:pStyle w:val="ListParagraph"/>
        <w:numPr>
          <w:ilvl w:val="0"/>
          <w:numId w:val="33"/>
        </w:numPr>
        <w:tabs>
          <w:tab w:pos="547" w:val="left" w:leader="none"/>
        </w:tabs>
        <w:spacing w:line="240" w:lineRule="auto" w:before="3" w:after="0"/>
        <w:ind w:left="546" w:right="0" w:hanging="326"/>
        <w:jc w:val="left"/>
        <w:rPr>
          <w:rFonts w:ascii="Cambria"/>
          <w:sz w:val="21"/>
        </w:rPr>
      </w:pPr>
      <w:r>
        <w:rPr>
          <w:rFonts w:ascii="Cambria"/>
          <w:w w:val="115"/>
          <w:sz w:val="21"/>
        </w:rPr>
        <w:t>Totalmente de</w:t>
      </w:r>
      <w:r>
        <w:rPr>
          <w:rFonts w:ascii="Cambria"/>
          <w:spacing w:val="2"/>
          <w:w w:val="115"/>
          <w:sz w:val="21"/>
        </w:rPr>
        <w:t> </w:t>
      </w:r>
      <w:r>
        <w:rPr>
          <w:rFonts w:ascii="Cambria"/>
          <w:w w:val="115"/>
          <w:sz w:val="21"/>
        </w:rPr>
        <w:t>acuerdo</w:t>
      </w:r>
    </w:p>
    <w:p>
      <w:pPr>
        <w:pStyle w:val="BodyText"/>
        <w:spacing w:before="9"/>
        <w:rPr>
          <w:rFonts w:ascii="Cambria"/>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59"/>
        <w:gridCol w:w="346"/>
        <w:gridCol w:w="341"/>
        <w:gridCol w:w="346"/>
        <w:gridCol w:w="346"/>
        <w:gridCol w:w="379"/>
      </w:tblGrid>
      <w:tr>
        <w:trPr>
          <w:trHeight w:val="514" w:hRule="exact"/>
        </w:trPr>
        <w:tc>
          <w:tcPr>
            <w:tcW w:w="7459" w:type="dxa"/>
          </w:tcPr>
          <w:p>
            <w:pPr>
              <w:pStyle w:val="TableParagraph"/>
              <w:spacing w:line="242" w:lineRule="auto" w:before="2"/>
              <w:ind w:left="105" w:right="101"/>
              <w:rPr>
                <w:rFonts w:ascii="Cambria" w:hAnsi="Cambria"/>
                <w:sz w:val="21"/>
              </w:rPr>
            </w:pPr>
            <w:r>
              <w:rPr>
                <w:rFonts w:ascii="Cambria" w:hAnsi="Cambria"/>
                <w:w w:val="115"/>
                <w:sz w:val="21"/>
              </w:rPr>
              <w:t>1. Cuando visito el Parque respeto las indicaciones de protección a la naturaleza  del lugar.</w:t>
            </w:r>
          </w:p>
        </w:tc>
        <w:tc>
          <w:tcPr>
            <w:tcW w:w="346" w:type="dxa"/>
          </w:tcPr>
          <w:p>
            <w:pPr>
              <w:pStyle w:val="TableParagraph"/>
              <w:spacing w:before="2"/>
              <w:ind w:right="1"/>
              <w:jc w:val="center"/>
              <w:rPr>
                <w:rFonts w:ascii="Cambria"/>
                <w:sz w:val="21"/>
              </w:rPr>
            </w:pPr>
            <w:r>
              <w:rPr>
                <w:rFonts w:ascii="Cambria"/>
                <w:w w:val="114"/>
                <w:sz w:val="21"/>
              </w:rPr>
              <w:t>1</w:t>
            </w:r>
          </w:p>
        </w:tc>
        <w:tc>
          <w:tcPr>
            <w:tcW w:w="341" w:type="dxa"/>
          </w:tcPr>
          <w:p>
            <w:pPr>
              <w:pStyle w:val="TableParagraph"/>
              <w:spacing w:before="2"/>
              <w:ind w:left="3"/>
              <w:jc w:val="center"/>
              <w:rPr>
                <w:rFonts w:ascii="Cambria"/>
                <w:sz w:val="21"/>
              </w:rPr>
            </w:pPr>
            <w:r>
              <w:rPr>
                <w:rFonts w:ascii="Cambria"/>
                <w:w w:val="114"/>
                <w:sz w:val="21"/>
              </w:rPr>
              <w:t>2</w:t>
            </w:r>
          </w:p>
        </w:tc>
        <w:tc>
          <w:tcPr>
            <w:tcW w:w="346" w:type="dxa"/>
          </w:tcPr>
          <w:p>
            <w:pPr>
              <w:pStyle w:val="TableParagraph"/>
              <w:spacing w:before="2"/>
              <w:ind w:right="1"/>
              <w:jc w:val="center"/>
              <w:rPr>
                <w:rFonts w:ascii="Cambria"/>
                <w:sz w:val="21"/>
              </w:rPr>
            </w:pPr>
            <w:r>
              <w:rPr>
                <w:rFonts w:ascii="Cambria"/>
                <w:w w:val="114"/>
                <w:sz w:val="21"/>
              </w:rPr>
              <w:t>3</w:t>
            </w:r>
          </w:p>
        </w:tc>
        <w:tc>
          <w:tcPr>
            <w:tcW w:w="346" w:type="dxa"/>
          </w:tcPr>
          <w:p>
            <w:pPr>
              <w:pStyle w:val="TableParagraph"/>
              <w:spacing w:before="2"/>
              <w:ind w:right="1"/>
              <w:jc w:val="center"/>
              <w:rPr>
                <w:rFonts w:ascii="Cambria"/>
                <w:sz w:val="21"/>
              </w:rPr>
            </w:pPr>
            <w:r>
              <w:rPr>
                <w:rFonts w:ascii="Cambria"/>
                <w:w w:val="114"/>
                <w:sz w:val="21"/>
              </w:rPr>
              <w:t>4</w:t>
            </w:r>
          </w:p>
        </w:tc>
        <w:tc>
          <w:tcPr>
            <w:tcW w:w="379" w:type="dxa"/>
          </w:tcPr>
          <w:p>
            <w:pPr>
              <w:pStyle w:val="TableParagraph"/>
              <w:spacing w:before="2"/>
              <w:ind w:left="120"/>
              <w:rPr>
                <w:rFonts w:ascii="Cambria"/>
                <w:sz w:val="21"/>
              </w:rPr>
            </w:pPr>
            <w:r>
              <w:rPr>
                <w:rFonts w:ascii="Cambria"/>
                <w:w w:val="114"/>
                <w:sz w:val="21"/>
              </w:rPr>
              <w:t>5</w:t>
            </w:r>
          </w:p>
        </w:tc>
      </w:tr>
      <w:tr>
        <w:trPr>
          <w:trHeight w:val="1018" w:hRule="exact"/>
        </w:trPr>
        <w:tc>
          <w:tcPr>
            <w:tcW w:w="7459" w:type="dxa"/>
          </w:tcPr>
          <w:p>
            <w:pPr>
              <w:pStyle w:val="TableParagraph"/>
              <w:spacing w:line="247" w:lineRule="auto"/>
              <w:ind w:left="105" w:right="102"/>
              <w:jc w:val="both"/>
              <w:rPr>
                <w:rFonts w:ascii="Cambria"/>
                <w:sz w:val="21"/>
              </w:rPr>
            </w:pPr>
            <w:r>
              <w:rPr>
                <w:rFonts w:ascii="Cambria"/>
                <w:w w:val="115"/>
                <w:sz w:val="21"/>
              </w:rPr>
              <w:t>2. Los elementos del ambiente </w:t>
            </w:r>
            <w:r>
              <w:rPr>
                <w:rFonts w:ascii="Cambria"/>
                <w:spacing w:val="-3"/>
                <w:w w:val="115"/>
                <w:sz w:val="21"/>
              </w:rPr>
              <w:t>son </w:t>
            </w:r>
            <w:r>
              <w:rPr>
                <w:rFonts w:ascii="Cambria"/>
                <w:w w:val="115"/>
                <w:sz w:val="21"/>
              </w:rPr>
              <w:t>bienes sociales, patrimonio  de  toda la humanidad y de las generaciones futuras, por tanto no tenemos derecho a deteriorarlo y explotarlo como lo estamos haciendo.</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14" w:hRule="exact"/>
        </w:trPr>
        <w:tc>
          <w:tcPr>
            <w:tcW w:w="7459" w:type="dxa"/>
          </w:tcPr>
          <w:p>
            <w:pPr>
              <w:pStyle w:val="TableParagraph"/>
              <w:spacing w:before="2"/>
              <w:ind w:left="105" w:right="101"/>
              <w:rPr>
                <w:rFonts w:ascii="Cambria"/>
                <w:sz w:val="21"/>
              </w:rPr>
            </w:pPr>
            <w:r>
              <w:rPr>
                <w:rFonts w:ascii="Cambria"/>
                <w:w w:val="120"/>
                <w:sz w:val="21"/>
              </w:rPr>
              <w:t>3. Me siento bien cuando estoy en contacto con la naturaleza, por lo que procuro cuidar el bosque del Desierto de los Leones.</w:t>
            </w:r>
          </w:p>
        </w:tc>
        <w:tc>
          <w:tcPr>
            <w:tcW w:w="346" w:type="dxa"/>
          </w:tcPr>
          <w:p>
            <w:pPr>
              <w:pStyle w:val="TableParagraph"/>
              <w:spacing w:before="2"/>
              <w:ind w:right="1"/>
              <w:jc w:val="center"/>
              <w:rPr>
                <w:rFonts w:ascii="Cambria"/>
                <w:sz w:val="21"/>
              </w:rPr>
            </w:pPr>
            <w:r>
              <w:rPr>
                <w:rFonts w:ascii="Cambria"/>
                <w:w w:val="114"/>
                <w:sz w:val="21"/>
              </w:rPr>
              <w:t>1</w:t>
            </w:r>
          </w:p>
        </w:tc>
        <w:tc>
          <w:tcPr>
            <w:tcW w:w="341" w:type="dxa"/>
          </w:tcPr>
          <w:p>
            <w:pPr>
              <w:pStyle w:val="TableParagraph"/>
              <w:spacing w:before="2"/>
              <w:ind w:left="3"/>
              <w:jc w:val="center"/>
              <w:rPr>
                <w:rFonts w:ascii="Cambria"/>
                <w:sz w:val="21"/>
              </w:rPr>
            </w:pPr>
            <w:r>
              <w:rPr>
                <w:rFonts w:ascii="Cambria"/>
                <w:w w:val="114"/>
                <w:sz w:val="21"/>
              </w:rPr>
              <w:t>2</w:t>
            </w:r>
          </w:p>
        </w:tc>
        <w:tc>
          <w:tcPr>
            <w:tcW w:w="346" w:type="dxa"/>
          </w:tcPr>
          <w:p>
            <w:pPr>
              <w:pStyle w:val="TableParagraph"/>
              <w:spacing w:before="2"/>
              <w:ind w:right="1"/>
              <w:jc w:val="center"/>
              <w:rPr>
                <w:rFonts w:ascii="Cambria"/>
                <w:sz w:val="21"/>
              </w:rPr>
            </w:pPr>
            <w:r>
              <w:rPr>
                <w:rFonts w:ascii="Cambria"/>
                <w:w w:val="114"/>
                <w:sz w:val="21"/>
              </w:rPr>
              <w:t>3</w:t>
            </w:r>
          </w:p>
        </w:tc>
        <w:tc>
          <w:tcPr>
            <w:tcW w:w="346" w:type="dxa"/>
          </w:tcPr>
          <w:p>
            <w:pPr>
              <w:pStyle w:val="TableParagraph"/>
              <w:spacing w:before="2"/>
              <w:ind w:right="1"/>
              <w:jc w:val="center"/>
              <w:rPr>
                <w:rFonts w:ascii="Cambria"/>
                <w:sz w:val="21"/>
              </w:rPr>
            </w:pPr>
            <w:r>
              <w:rPr>
                <w:rFonts w:ascii="Cambria"/>
                <w:w w:val="114"/>
                <w:sz w:val="21"/>
              </w:rPr>
              <w:t>4</w:t>
            </w:r>
          </w:p>
        </w:tc>
        <w:tc>
          <w:tcPr>
            <w:tcW w:w="379" w:type="dxa"/>
          </w:tcPr>
          <w:p>
            <w:pPr>
              <w:pStyle w:val="TableParagraph"/>
              <w:spacing w:before="2"/>
              <w:ind w:left="120"/>
              <w:rPr>
                <w:rFonts w:ascii="Cambria"/>
                <w:sz w:val="21"/>
              </w:rPr>
            </w:pPr>
            <w:r>
              <w:rPr>
                <w:rFonts w:ascii="Cambria"/>
                <w:w w:val="114"/>
                <w:sz w:val="21"/>
              </w:rPr>
              <w:t>5</w:t>
            </w:r>
          </w:p>
        </w:tc>
      </w:tr>
      <w:tr>
        <w:trPr>
          <w:trHeight w:val="514" w:hRule="exact"/>
        </w:trPr>
        <w:tc>
          <w:tcPr>
            <w:tcW w:w="7459" w:type="dxa"/>
          </w:tcPr>
          <w:p>
            <w:pPr>
              <w:pStyle w:val="TableParagraph"/>
              <w:spacing w:line="242" w:lineRule="auto"/>
              <w:ind w:left="105" w:right="200"/>
              <w:rPr>
                <w:rFonts w:ascii="Cambria"/>
                <w:sz w:val="21"/>
              </w:rPr>
            </w:pPr>
            <w:r>
              <w:rPr>
                <w:rFonts w:ascii="Cambria"/>
                <w:w w:val="115"/>
                <w:sz w:val="21"/>
              </w:rPr>
              <w:t>4. Los problemas ambientales han ocasionado que  modifique  mi estilo de vida.</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09" w:hRule="exact"/>
        </w:trPr>
        <w:tc>
          <w:tcPr>
            <w:tcW w:w="7459" w:type="dxa"/>
          </w:tcPr>
          <w:p>
            <w:pPr>
              <w:pStyle w:val="TableParagraph"/>
              <w:spacing w:line="242" w:lineRule="auto"/>
              <w:ind w:left="105" w:right="200"/>
              <w:rPr>
                <w:rFonts w:ascii="Cambria" w:hAnsi="Cambria"/>
                <w:sz w:val="21"/>
              </w:rPr>
            </w:pPr>
            <w:r>
              <w:rPr>
                <w:rFonts w:ascii="Cambria" w:hAnsi="Cambria"/>
                <w:w w:val="115"/>
                <w:sz w:val="21"/>
              </w:rPr>
              <w:t>5. No sólo las generaciones futuras deben de preocuparse de la escasez del agua y aplicar acciones para   </w:t>
            </w:r>
            <w:r>
              <w:rPr>
                <w:rFonts w:ascii="Cambria" w:hAnsi="Cambria"/>
                <w:spacing w:val="3"/>
                <w:w w:val="115"/>
                <w:sz w:val="21"/>
              </w:rPr>
              <w:t> </w:t>
            </w:r>
            <w:r>
              <w:rPr>
                <w:rFonts w:ascii="Cambria" w:hAnsi="Cambria"/>
                <w:w w:val="115"/>
                <w:sz w:val="21"/>
              </w:rPr>
              <w:t>cuidarla.</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14" w:hRule="exact"/>
        </w:trPr>
        <w:tc>
          <w:tcPr>
            <w:tcW w:w="7459" w:type="dxa"/>
          </w:tcPr>
          <w:p>
            <w:pPr>
              <w:pStyle w:val="TableParagraph"/>
              <w:spacing w:before="2"/>
              <w:ind w:left="105" w:right="101"/>
              <w:rPr>
                <w:rFonts w:ascii="Cambria" w:hAnsi="Cambria"/>
                <w:sz w:val="21"/>
              </w:rPr>
            </w:pPr>
            <w:r>
              <w:rPr>
                <w:rFonts w:ascii="Cambria" w:hAnsi="Cambria"/>
                <w:w w:val="120"/>
                <w:sz w:val="21"/>
              </w:rPr>
              <w:t>6. Estoy dispuesto a hacer sacrificios personales para reducir la Contaminación.</w:t>
            </w:r>
          </w:p>
        </w:tc>
        <w:tc>
          <w:tcPr>
            <w:tcW w:w="346" w:type="dxa"/>
          </w:tcPr>
          <w:p>
            <w:pPr>
              <w:pStyle w:val="TableParagraph"/>
              <w:spacing w:before="2"/>
              <w:ind w:right="1"/>
              <w:jc w:val="center"/>
              <w:rPr>
                <w:rFonts w:ascii="Cambria"/>
                <w:sz w:val="21"/>
              </w:rPr>
            </w:pPr>
            <w:r>
              <w:rPr>
                <w:rFonts w:ascii="Cambria"/>
                <w:w w:val="114"/>
                <w:sz w:val="21"/>
              </w:rPr>
              <w:t>1</w:t>
            </w:r>
          </w:p>
        </w:tc>
        <w:tc>
          <w:tcPr>
            <w:tcW w:w="341" w:type="dxa"/>
          </w:tcPr>
          <w:p>
            <w:pPr>
              <w:pStyle w:val="TableParagraph"/>
              <w:spacing w:before="2"/>
              <w:ind w:left="3"/>
              <w:jc w:val="center"/>
              <w:rPr>
                <w:rFonts w:ascii="Cambria"/>
                <w:sz w:val="21"/>
              </w:rPr>
            </w:pPr>
            <w:r>
              <w:rPr>
                <w:rFonts w:ascii="Cambria"/>
                <w:w w:val="114"/>
                <w:sz w:val="21"/>
              </w:rPr>
              <w:t>2</w:t>
            </w:r>
          </w:p>
        </w:tc>
        <w:tc>
          <w:tcPr>
            <w:tcW w:w="346" w:type="dxa"/>
          </w:tcPr>
          <w:p>
            <w:pPr>
              <w:pStyle w:val="TableParagraph"/>
              <w:spacing w:before="2"/>
              <w:ind w:right="1"/>
              <w:jc w:val="center"/>
              <w:rPr>
                <w:rFonts w:ascii="Cambria"/>
                <w:sz w:val="21"/>
              </w:rPr>
            </w:pPr>
            <w:r>
              <w:rPr>
                <w:rFonts w:ascii="Cambria"/>
                <w:w w:val="114"/>
                <w:sz w:val="21"/>
              </w:rPr>
              <w:t>3</w:t>
            </w:r>
          </w:p>
        </w:tc>
        <w:tc>
          <w:tcPr>
            <w:tcW w:w="346" w:type="dxa"/>
          </w:tcPr>
          <w:p>
            <w:pPr>
              <w:pStyle w:val="TableParagraph"/>
              <w:spacing w:before="2"/>
              <w:ind w:right="1"/>
              <w:jc w:val="center"/>
              <w:rPr>
                <w:rFonts w:ascii="Cambria"/>
                <w:sz w:val="21"/>
              </w:rPr>
            </w:pPr>
            <w:r>
              <w:rPr>
                <w:rFonts w:ascii="Cambria"/>
                <w:w w:val="114"/>
                <w:sz w:val="21"/>
              </w:rPr>
              <w:t>4</w:t>
            </w:r>
          </w:p>
        </w:tc>
        <w:tc>
          <w:tcPr>
            <w:tcW w:w="379" w:type="dxa"/>
          </w:tcPr>
          <w:p>
            <w:pPr>
              <w:pStyle w:val="TableParagraph"/>
              <w:spacing w:before="2"/>
              <w:ind w:left="120"/>
              <w:rPr>
                <w:rFonts w:ascii="Cambria"/>
                <w:sz w:val="21"/>
              </w:rPr>
            </w:pPr>
            <w:r>
              <w:rPr>
                <w:rFonts w:ascii="Cambria"/>
                <w:w w:val="114"/>
                <w:sz w:val="21"/>
              </w:rPr>
              <w:t>5</w:t>
            </w:r>
          </w:p>
        </w:tc>
      </w:tr>
      <w:tr>
        <w:trPr>
          <w:trHeight w:val="514" w:hRule="exact"/>
        </w:trPr>
        <w:tc>
          <w:tcPr>
            <w:tcW w:w="7459" w:type="dxa"/>
          </w:tcPr>
          <w:p>
            <w:pPr>
              <w:pStyle w:val="TableParagraph"/>
              <w:spacing w:line="242" w:lineRule="auto"/>
              <w:ind w:left="105" w:right="200"/>
              <w:rPr>
                <w:rFonts w:ascii="Cambria"/>
                <w:sz w:val="21"/>
              </w:rPr>
            </w:pPr>
            <w:r>
              <w:rPr>
                <w:rFonts w:ascii="Cambria"/>
                <w:w w:val="115"/>
                <w:sz w:val="21"/>
              </w:rPr>
              <w:t>7. Cuando veo a alguien </w:t>
            </w:r>
            <w:r>
              <w:rPr>
                <w:rFonts w:ascii="Cambria"/>
                <w:spacing w:val="-3"/>
                <w:w w:val="115"/>
                <w:sz w:val="21"/>
              </w:rPr>
              <w:t>que  </w:t>
            </w:r>
            <w:r>
              <w:rPr>
                <w:rFonts w:ascii="Cambria"/>
                <w:w w:val="115"/>
                <w:sz w:val="21"/>
              </w:rPr>
              <w:t>tira basura en el bosque o cerca del rio,   </w:t>
            </w:r>
            <w:r>
              <w:rPr>
                <w:rFonts w:ascii="Cambria"/>
                <w:spacing w:val="-4"/>
                <w:w w:val="115"/>
                <w:sz w:val="21"/>
              </w:rPr>
              <w:t>le </w:t>
            </w:r>
            <w:r>
              <w:rPr>
                <w:rFonts w:ascii="Cambria"/>
                <w:w w:val="115"/>
                <w:sz w:val="21"/>
              </w:rPr>
              <w:t>digo que </w:t>
            </w:r>
            <w:r>
              <w:rPr>
                <w:rFonts w:ascii="Cambria"/>
                <w:spacing w:val="-4"/>
                <w:w w:val="115"/>
                <w:sz w:val="21"/>
              </w:rPr>
              <w:t>la </w:t>
            </w:r>
            <w:r>
              <w:rPr>
                <w:rFonts w:ascii="Cambria"/>
                <w:w w:val="115"/>
                <w:sz w:val="21"/>
              </w:rPr>
              <w:t>coloque en su  </w:t>
            </w:r>
            <w:r>
              <w:rPr>
                <w:rFonts w:ascii="Cambria"/>
                <w:spacing w:val="25"/>
                <w:w w:val="115"/>
                <w:sz w:val="21"/>
              </w:rPr>
              <w:t> </w:t>
            </w:r>
            <w:r>
              <w:rPr>
                <w:rFonts w:ascii="Cambria"/>
                <w:w w:val="115"/>
                <w:sz w:val="21"/>
              </w:rPr>
              <w:t>lugar.</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14" w:hRule="exact"/>
        </w:trPr>
        <w:tc>
          <w:tcPr>
            <w:tcW w:w="7459" w:type="dxa"/>
          </w:tcPr>
          <w:p>
            <w:pPr>
              <w:pStyle w:val="TableParagraph"/>
              <w:spacing w:line="242" w:lineRule="auto"/>
              <w:ind w:left="105" w:right="101"/>
              <w:rPr>
                <w:rFonts w:ascii="Cambria"/>
                <w:sz w:val="21"/>
              </w:rPr>
            </w:pPr>
            <w:r>
              <w:rPr>
                <w:rFonts w:ascii="Cambria"/>
                <w:w w:val="120"/>
                <w:sz w:val="21"/>
              </w:rPr>
              <w:t>8. Me gusta reciclar cosas o darles un segundo uso, en lugar de tirarlas directamente a la basura.</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bl>
    <w:p>
      <w:pPr>
        <w:spacing w:after="0" w:line="243" w:lineRule="exact"/>
        <w:rPr>
          <w:rFonts w:ascii="Cambria"/>
          <w:sz w:val="21"/>
        </w:rPr>
        <w:sectPr>
          <w:type w:val="continuous"/>
          <w:pgSz w:w="11910" w:h="16840"/>
          <w:pgMar w:top="1000" w:bottom="280" w:left="1440" w:right="200"/>
        </w:sectPr>
      </w:pPr>
    </w:p>
    <w:p>
      <w:pPr>
        <w:pStyle w:val="Heading1"/>
        <w:spacing w:line="240" w:lineRule="auto" w:before="7"/>
        <w:ind w:left="1075" w:right="512"/>
      </w:pPr>
      <w:r>
        <w:rPr/>
        <w:pict>
          <v:rect style="position:absolute;margin-left:524.400024pt;margin-top:.354014pt;width:55.2pt;height:13.44pt;mso-position-horizontal-relative:page;mso-position-vertical-relative:paragraph;z-index:2416" filled="true" fillcolor="#4f81bd" stroked="false">
            <v:fill type="solid"/>
            <w10:wrap type="none"/>
          </v:rect>
        </w:pict>
      </w:r>
      <w:r>
        <w:rPr/>
        <w:t>Comportamiento Proambiental del Visitante en el Parque Nacional Desierto de los Leones</w:t>
      </w:r>
    </w:p>
    <w:p>
      <w:pPr>
        <w:pStyle w:val="BodyText"/>
        <w:spacing w:before="1"/>
        <w:rPr>
          <w:rFonts w:ascii="Gabriola"/>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59"/>
        <w:gridCol w:w="346"/>
        <w:gridCol w:w="341"/>
        <w:gridCol w:w="346"/>
        <w:gridCol w:w="346"/>
        <w:gridCol w:w="379"/>
      </w:tblGrid>
      <w:tr>
        <w:trPr>
          <w:trHeight w:val="576" w:hRule="exact"/>
        </w:trPr>
        <w:tc>
          <w:tcPr>
            <w:tcW w:w="7459" w:type="dxa"/>
          </w:tcPr>
          <w:p>
            <w:pPr>
              <w:pStyle w:val="TableParagraph"/>
              <w:spacing w:line="247" w:lineRule="auto"/>
              <w:ind w:left="105" w:right="200"/>
              <w:rPr>
                <w:rFonts w:ascii="Calibri" w:hAnsi="Calibri"/>
                <w:sz w:val="23"/>
              </w:rPr>
            </w:pPr>
            <w:r>
              <w:rPr>
                <w:rFonts w:ascii="Calibri" w:hAnsi="Calibri"/>
                <w:sz w:val="23"/>
              </w:rPr>
              <w:t>9. Me gustaría </w:t>
            </w:r>
            <w:r>
              <w:rPr>
                <w:rFonts w:ascii="Calibri" w:hAnsi="Calibri"/>
                <w:spacing w:val="2"/>
                <w:sz w:val="23"/>
              </w:rPr>
              <w:t>que </w:t>
            </w:r>
            <w:r>
              <w:rPr>
                <w:rFonts w:ascii="Calibri" w:hAnsi="Calibri"/>
                <w:sz w:val="23"/>
              </w:rPr>
              <w:t>en el parque se ofreciera algún </w:t>
            </w:r>
            <w:r>
              <w:rPr>
                <w:rFonts w:ascii="Calibri" w:hAnsi="Calibri"/>
                <w:spacing w:val="-3"/>
                <w:sz w:val="23"/>
              </w:rPr>
              <w:t>taller </w:t>
            </w:r>
            <w:r>
              <w:rPr>
                <w:rFonts w:ascii="Calibri" w:hAnsi="Calibri"/>
                <w:sz w:val="23"/>
              </w:rPr>
              <w:t>sobre cómo cuidar  </w:t>
            </w:r>
            <w:r>
              <w:rPr>
                <w:rFonts w:ascii="Calibri" w:hAnsi="Calibri"/>
                <w:spacing w:val="-3"/>
                <w:sz w:val="23"/>
              </w:rPr>
              <w:t>la </w:t>
            </w:r>
            <w:r>
              <w:rPr>
                <w:rFonts w:ascii="Calibri" w:hAnsi="Calibri"/>
                <w:sz w:val="23"/>
              </w:rPr>
              <w:t>naturaleza </w:t>
            </w:r>
            <w:r>
              <w:rPr>
                <w:rFonts w:ascii="Calibri" w:hAnsi="Calibri"/>
                <w:spacing w:val="2"/>
                <w:sz w:val="23"/>
              </w:rPr>
              <w:t>que</w:t>
            </w:r>
            <w:r>
              <w:rPr>
                <w:rFonts w:ascii="Calibri" w:hAnsi="Calibri"/>
                <w:spacing w:val="25"/>
                <w:sz w:val="23"/>
              </w:rPr>
              <w:t> </w:t>
            </w:r>
            <w:r>
              <w:rPr>
                <w:rFonts w:ascii="Calibri" w:hAnsi="Calibri"/>
                <w:sz w:val="23"/>
              </w:rPr>
              <w:t>existe.</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16" w:hRule="exact"/>
        </w:trPr>
        <w:tc>
          <w:tcPr>
            <w:tcW w:w="7459" w:type="dxa"/>
            <w:tcBorders>
              <w:bottom w:val="single" w:sz="2" w:space="0" w:color="000000"/>
            </w:tcBorders>
          </w:tcPr>
          <w:p>
            <w:pPr>
              <w:pStyle w:val="TableParagraph"/>
              <w:spacing w:line="247" w:lineRule="auto"/>
              <w:ind w:left="105" w:right="101"/>
              <w:rPr>
                <w:rFonts w:ascii="Cambria" w:hAnsi="Cambria"/>
                <w:sz w:val="21"/>
              </w:rPr>
            </w:pPr>
            <w:r>
              <w:rPr>
                <w:rFonts w:ascii="Cambria" w:hAnsi="Cambria"/>
                <w:w w:val="115"/>
                <w:sz w:val="21"/>
              </w:rPr>
              <w:t>10. Cortar las ramas de los árboles y matar a los animales peligrosos no es necesario para poder transitar por el bosque  cómodamente.</w:t>
            </w:r>
          </w:p>
        </w:tc>
        <w:tc>
          <w:tcPr>
            <w:tcW w:w="346" w:type="dxa"/>
            <w:tcBorders>
              <w:bottom w:val="single" w:sz="2" w:space="0" w:color="000000"/>
            </w:tcBorders>
          </w:tcPr>
          <w:p>
            <w:pPr>
              <w:pStyle w:val="TableParagraph"/>
              <w:spacing w:line="243" w:lineRule="exact"/>
              <w:ind w:right="1"/>
              <w:jc w:val="center"/>
              <w:rPr>
                <w:rFonts w:ascii="Cambria"/>
                <w:sz w:val="21"/>
              </w:rPr>
            </w:pPr>
            <w:r>
              <w:rPr>
                <w:rFonts w:ascii="Cambria"/>
                <w:w w:val="114"/>
                <w:sz w:val="21"/>
              </w:rPr>
              <w:t>1</w:t>
            </w:r>
          </w:p>
        </w:tc>
        <w:tc>
          <w:tcPr>
            <w:tcW w:w="341" w:type="dxa"/>
            <w:tcBorders>
              <w:bottom w:val="single" w:sz="2" w:space="0" w:color="000000"/>
            </w:tcBorders>
          </w:tcPr>
          <w:p>
            <w:pPr>
              <w:pStyle w:val="TableParagraph"/>
              <w:spacing w:line="243" w:lineRule="exact"/>
              <w:ind w:left="3"/>
              <w:jc w:val="center"/>
              <w:rPr>
                <w:rFonts w:ascii="Cambria"/>
                <w:sz w:val="21"/>
              </w:rPr>
            </w:pPr>
            <w:r>
              <w:rPr>
                <w:rFonts w:ascii="Cambria"/>
                <w:w w:val="114"/>
                <w:sz w:val="21"/>
              </w:rPr>
              <w:t>2</w:t>
            </w:r>
          </w:p>
        </w:tc>
        <w:tc>
          <w:tcPr>
            <w:tcW w:w="346" w:type="dxa"/>
            <w:tcBorders>
              <w:bottom w:val="single" w:sz="2" w:space="0" w:color="000000"/>
            </w:tcBorders>
          </w:tcPr>
          <w:p>
            <w:pPr>
              <w:pStyle w:val="TableParagraph"/>
              <w:spacing w:line="243" w:lineRule="exact"/>
              <w:ind w:right="1"/>
              <w:jc w:val="center"/>
              <w:rPr>
                <w:rFonts w:ascii="Cambria"/>
                <w:sz w:val="21"/>
              </w:rPr>
            </w:pPr>
            <w:r>
              <w:rPr>
                <w:rFonts w:ascii="Cambria"/>
                <w:w w:val="114"/>
                <w:sz w:val="21"/>
              </w:rPr>
              <w:t>3</w:t>
            </w:r>
          </w:p>
        </w:tc>
        <w:tc>
          <w:tcPr>
            <w:tcW w:w="346" w:type="dxa"/>
            <w:tcBorders>
              <w:bottom w:val="single" w:sz="2" w:space="0" w:color="000000"/>
            </w:tcBorders>
          </w:tcPr>
          <w:p>
            <w:pPr>
              <w:pStyle w:val="TableParagraph"/>
              <w:spacing w:line="243" w:lineRule="exact"/>
              <w:ind w:right="1"/>
              <w:jc w:val="center"/>
              <w:rPr>
                <w:rFonts w:ascii="Cambria"/>
                <w:sz w:val="21"/>
              </w:rPr>
            </w:pPr>
            <w:r>
              <w:rPr>
                <w:rFonts w:ascii="Cambria"/>
                <w:w w:val="114"/>
                <w:sz w:val="21"/>
              </w:rPr>
              <w:t>4</w:t>
            </w:r>
          </w:p>
        </w:tc>
        <w:tc>
          <w:tcPr>
            <w:tcW w:w="379" w:type="dxa"/>
            <w:tcBorders>
              <w:bottom w:val="single" w:sz="2" w:space="0" w:color="000000"/>
            </w:tcBorders>
          </w:tcPr>
          <w:p>
            <w:pPr>
              <w:pStyle w:val="TableParagraph"/>
              <w:spacing w:line="243" w:lineRule="exact"/>
              <w:ind w:left="120"/>
              <w:rPr>
                <w:rFonts w:ascii="Cambria"/>
                <w:sz w:val="21"/>
              </w:rPr>
            </w:pPr>
            <w:r>
              <w:rPr>
                <w:rFonts w:ascii="Cambria"/>
                <w:w w:val="114"/>
                <w:sz w:val="21"/>
              </w:rPr>
              <w:t>5</w:t>
            </w:r>
          </w:p>
        </w:tc>
      </w:tr>
      <w:tr>
        <w:trPr>
          <w:trHeight w:val="511" w:hRule="exact"/>
        </w:trPr>
        <w:tc>
          <w:tcPr>
            <w:tcW w:w="7459" w:type="dxa"/>
            <w:tcBorders>
              <w:top w:val="single" w:sz="2" w:space="0" w:color="000000"/>
            </w:tcBorders>
          </w:tcPr>
          <w:p>
            <w:pPr>
              <w:pStyle w:val="TableParagraph"/>
              <w:spacing w:line="242" w:lineRule="auto"/>
              <w:ind w:left="105" w:right="101"/>
              <w:rPr>
                <w:rFonts w:ascii="Cambria" w:hAnsi="Cambria"/>
                <w:sz w:val="21"/>
              </w:rPr>
            </w:pPr>
            <w:r>
              <w:rPr>
                <w:rFonts w:ascii="Cambria" w:hAnsi="Cambria"/>
                <w:w w:val="115"/>
                <w:sz w:val="21"/>
              </w:rPr>
              <w:t>11. Los beneficios que se obtienen al  utilizar  productos  ecológicos son más importantes que la de otros   productos.</w:t>
            </w:r>
          </w:p>
        </w:tc>
        <w:tc>
          <w:tcPr>
            <w:tcW w:w="346" w:type="dxa"/>
            <w:tcBorders>
              <w:top w:val="single" w:sz="2" w:space="0" w:color="000000"/>
            </w:tcBorders>
          </w:tcPr>
          <w:p>
            <w:pPr>
              <w:pStyle w:val="TableParagraph"/>
              <w:spacing w:line="243" w:lineRule="exact"/>
              <w:ind w:right="1"/>
              <w:jc w:val="center"/>
              <w:rPr>
                <w:rFonts w:ascii="Cambria"/>
                <w:sz w:val="21"/>
              </w:rPr>
            </w:pPr>
            <w:r>
              <w:rPr>
                <w:rFonts w:ascii="Cambria"/>
                <w:w w:val="114"/>
                <w:sz w:val="21"/>
              </w:rPr>
              <w:t>1</w:t>
            </w:r>
          </w:p>
        </w:tc>
        <w:tc>
          <w:tcPr>
            <w:tcW w:w="341" w:type="dxa"/>
            <w:tcBorders>
              <w:top w:val="single" w:sz="2" w:space="0" w:color="000000"/>
            </w:tcBorders>
          </w:tcPr>
          <w:p>
            <w:pPr>
              <w:pStyle w:val="TableParagraph"/>
              <w:spacing w:line="243" w:lineRule="exact"/>
              <w:ind w:left="3"/>
              <w:jc w:val="center"/>
              <w:rPr>
                <w:rFonts w:ascii="Cambria"/>
                <w:sz w:val="21"/>
              </w:rPr>
            </w:pPr>
            <w:r>
              <w:rPr>
                <w:rFonts w:ascii="Cambria"/>
                <w:w w:val="114"/>
                <w:sz w:val="21"/>
              </w:rPr>
              <w:t>2</w:t>
            </w:r>
          </w:p>
        </w:tc>
        <w:tc>
          <w:tcPr>
            <w:tcW w:w="346" w:type="dxa"/>
            <w:tcBorders>
              <w:top w:val="single" w:sz="2" w:space="0" w:color="000000"/>
            </w:tcBorders>
          </w:tcPr>
          <w:p>
            <w:pPr>
              <w:pStyle w:val="TableParagraph"/>
              <w:spacing w:line="243" w:lineRule="exact"/>
              <w:ind w:right="1"/>
              <w:jc w:val="center"/>
              <w:rPr>
                <w:rFonts w:ascii="Cambria"/>
                <w:sz w:val="21"/>
              </w:rPr>
            </w:pPr>
            <w:r>
              <w:rPr>
                <w:rFonts w:ascii="Cambria"/>
                <w:w w:val="114"/>
                <w:sz w:val="21"/>
              </w:rPr>
              <w:t>3</w:t>
            </w:r>
          </w:p>
        </w:tc>
        <w:tc>
          <w:tcPr>
            <w:tcW w:w="346" w:type="dxa"/>
            <w:tcBorders>
              <w:top w:val="single" w:sz="2" w:space="0" w:color="000000"/>
            </w:tcBorders>
          </w:tcPr>
          <w:p>
            <w:pPr>
              <w:pStyle w:val="TableParagraph"/>
              <w:spacing w:line="243" w:lineRule="exact"/>
              <w:ind w:right="1"/>
              <w:jc w:val="center"/>
              <w:rPr>
                <w:rFonts w:ascii="Cambria"/>
                <w:sz w:val="21"/>
              </w:rPr>
            </w:pPr>
            <w:r>
              <w:rPr>
                <w:rFonts w:ascii="Cambria"/>
                <w:w w:val="114"/>
                <w:sz w:val="21"/>
              </w:rPr>
              <w:t>4</w:t>
            </w:r>
          </w:p>
        </w:tc>
        <w:tc>
          <w:tcPr>
            <w:tcW w:w="379" w:type="dxa"/>
            <w:tcBorders>
              <w:top w:val="single" w:sz="2" w:space="0" w:color="000000"/>
            </w:tcBorders>
          </w:tcPr>
          <w:p>
            <w:pPr>
              <w:pStyle w:val="TableParagraph"/>
              <w:spacing w:line="243" w:lineRule="exact"/>
              <w:ind w:left="120"/>
              <w:rPr>
                <w:rFonts w:ascii="Cambria"/>
                <w:sz w:val="21"/>
              </w:rPr>
            </w:pPr>
            <w:r>
              <w:rPr>
                <w:rFonts w:ascii="Cambria"/>
                <w:w w:val="114"/>
                <w:sz w:val="21"/>
              </w:rPr>
              <w:t>5</w:t>
            </w:r>
          </w:p>
        </w:tc>
      </w:tr>
      <w:tr>
        <w:trPr>
          <w:trHeight w:val="259" w:hRule="exact"/>
        </w:trPr>
        <w:tc>
          <w:tcPr>
            <w:tcW w:w="7459" w:type="dxa"/>
          </w:tcPr>
          <w:p>
            <w:pPr>
              <w:pStyle w:val="TableParagraph"/>
              <w:spacing w:line="239" w:lineRule="exact"/>
              <w:ind w:left="105" w:right="101"/>
              <w:rPr>
                <w:rFonts w:ascii="Cambria" w:hAnsi="Cambria"/>
                <w:sz w:val="21"/>
              </w:rPr>
            </w:pPr>
            <w:r>
              <w:rPr>
                <w:rFonts w:ascii="Cambria" w:hAnsi="Cambria"/>
                <w:w w:val="120"/>
                <w:sz w:val="21"/>
              </w:rPr>
              <w:t>12. Separo la basura en Orgánica e Inorgánica.</w:t>
            </w:r>
          </w:p>
        </w:tc>
        <w:tc>
          <w:tcPr>
            <w:tcW w:w="346" w:type="dxa"/>
          </w:tcPr>
          <w:p>
            <w:pPr>
              <w:pStyle w:val="TableParagraph"/>
              <w:spacing w:line="239" w:lineRule="exact"/>
              <w:ind w:right="1"/>
              <w:jc w:val="center"/>
              <w:rPr>
                <w:rFonts w:ascii="Cambria"/>
                <w:sz w:val="21"/>
              </w:rPr>
            </w:pPr>
            <w:r>
              <w:rPr>
                <w:rFonts w:ascii="Cambria"/>
                <w:w w:val="114"/>
                <w:sz w:val="21"/>
              </w:rPr>
              <w:t>1</w:t>
            </w:r>
          </w:p>
        </w:tc>
        <w:tc>
          <w:tcPr>
            <w:tcW w:w="341" w:type="dxa"/>
          </w:tcPr>
          <w:p>
            <w:pPr>
              <w:pStyle w:val="TableParagraph"/>
              <w:spacing w:line="239" w:lineRule="exact"/>
              <w:ind w:left="3"/>
              <w:jc w:val="center"/>
              <w:rPr>
                <w:rFonts w:ascii="Cambria"/>
                <w:sz w:val="21"/>
              </w:rPr>
            </w:pPr>
            <w:r>
              <w:rPr>
                <w:rFonts w:ascii="Cambria"/>
                <w:w w:val="114"/>
                <w:sz w:val="21"/>
              </w:rPr>
              <w:t>2</w:t>
            </w:r>
          </w:p>
        </w:tc>
        <w:tc>
          <w:tcPr>
            <w:tcW w:w="346" w:type="dxa"/>
          </w:tcPr>
          <w:p>
            <w:pPr>
              <w:pStyle w:val="TableParagraph"/>
              <w:spacing w:line="239" w:lineRule="exact"/>
              <w:ind w:right="1"/>
              <w:jc w:val="center"/>
              <w:rPr>
                <w:rFonts w:ascii="Cambria"/>
                <w:sz w:val="21"/>
              </w:rPr>
            </w:pPr>
            <w:r>
              <w:rPr>
                <w:rFonts w:ascii="Cambria"/>
                <w:w w:val="114"/>
                <w:sz w:val="21"/>
              </w:rPr>
              <w:t>3</w:t>
            </w:r>
          </w:p>
        </w:tc>
        <w:tc>
          <w:tcPr>
            <w:tcW w:w="346" w:type="dxa"/>
          </w:tcPr>
          <w:p>
            <w:pPr>
              <w:pStyle w:val="TableParagraph"/>
              <w:spacing w:line="239" w:lineRule="exact"/>
              <w:ind w:right="1"/>
              <w:jc w:val="center"/>
              <w:rPr>
                <w:rFonts w:ascii="Cambria"/>
                <w:sz w:val="21"/>
              </w:rPr>
            </w:pPr>
            <w:r>
              <w:rPr>
                <w:rFonts w:ascii="Cambria"/>
                <w:w w:val="114"/>
                <w:sz w:val="21"/>
              </w:rPr>
              <w:t>4</w:t>
            </w:r>
          </w:p>
        </w:tc>
        <w:tc>
          <w:tcPr>
            <w:tcW w:w="379" w:type="dxa"/>
          </w:tcPr>
          <w:p>
            <w:pPr>
              <w:pStyle w:val="TableParagraph"/>
              <w:spacing w:line="239" w:lineRule="exact"/>
              <w:ind w:left="120"/>
              <w:rPr>
                <w:rFonts w:ascii="Cambria"/>
                <w:sz w:val="21"/>
              </w:rPr>
            </w:pPr>
            <w:r>
              <w:rPr>
                <w:rFonts w:ascii="Cambria"/>
                <w:w w:val="114"/>
                <w:sz w:val="21"/>
              </w:rPr>
              <w:t>5</w:t>
            </w:r>
          </w:p>
        </w:tc>
      </w:tr>
      <w:tr>
        <w:trPr>
          <w:trHeight w:val="514" w:hRule="exact"/>
        </w:trPr>
        <w:tc>
          <w:tcPr>
            <w:tcW w:w="7459" w:type="dxa"/>
          </w:tcPr>
          <w:p>
            <w:pPr>
              <w:pStyle w:val="TableParagraph"/>
              <w:spacing w:line="247" w:lineRule="auto"/>
              <w:ind w:left="105" w:right="101"/>
              <w:rPr>
                <w:rFonts w:ascii="Cambria" w:hAnsi="Cambria"/>
                <w:sz w:val="21"/>
              </w:rPr>
            </w:pPr>
            <w:r>
              <w:rPr>
                <w:rFonts w:ascii="Cambria" w:hAnsi="Cambria"/>
                <w:w w:val="115"/>
                <w:sz w:val="21"/>
              </w:rPr>
              <w:t>13. Reciclo alguno de los siguientes productos: papel, latas, vidrio, plástico, etc.</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09" w:hRule="exact"/>
        </w:trPr>
        <w:tc>
          <w:tcPr>
            <w:tcW w:w="7459" w:type="dxa"/>
          </w:tcPr>
          <w:p>
            <w:pPr>
              <w:pStyle w:val="TableParagraph"/>
              <w:spacing w:line="247" w:lineRule="auto"/>
              <w:ind w:left="105" w:right="200"/>
              <w:rPr>
                <w:rFonts w:ascii="Cambria" w:hAnsi="Cambria"/>
                <w:sz w:val="21"/>
              </w:rPr>
            </w:pPr>
            <w:r>
              <w:rPr>
                <w:rFonts w:ascii="Cambria" w:hAnsi="Cambria"/>
                <w:w w:val="115"/>
                <w:sz w:val="21"/>
              </w:rPr>
              <w:t>13. Participaría </w:t>
            </w:r>
            <w:r>
              <w:rPr>
                <w:rFonts w:ascii="Cambria" w:hAnsi="Cambria"/>
                <w:spacing w:val="-3"/>
                <w:w w:val="115"/>
                <w:sz w:val="21"/>
              </w:rPr>
              <w:t>con </w:t>
            </w:r>
            <w:r>
              <w:rPr>
                <w:rFonts w:ascii="Cambria" w:hAnsi="Cambria"/>
                <w:w w:val="115"/>
                <w:sz w:val="21"/>
              </w:rPr>
              <w:t>algún grupo </w:t>
            </w:r>
            <w:r>
              <w:rPr>
                <w:rFonts w:ascii="Cambria" w:hAnsi="Cambria"/>
                <w:spacing w:val="-3"/>
                <w:w w:val="115"/>
                <w:sz w:val="21"/>
              </w:rPr>
              <w:t>que </w:t>
            </w:r>
            <w:r>
              <w:rPr>
                <w:rFonts w:ascii="Cambria" w:hAnsi="Cambria"/>
                <w:w w:val="115"/>
                <w:sz w:val="21"/>
              </w:rPr>
              <w:t>realiza  actividades  para  proteger </w:t>
            </w:r>
            <w:r>
              <w:rPr>
                <w:rFonts w:ascii="Cambria" w:hAnsi="Cambria"/>
                <w:spacing w:val="3"/>
                <w:w w:val="115"/>
                <w:sz w:val="21"/>
              </w:rPr>
              <w:t>el </w:t>
            </w:r>
            <w:r>
              <w:rPr>
                <w:rFonts w:ascii="Cambria" w:hAnsi="Cambria"/>
                <w:w w:val="115"/>
                <w:sz w:val="21"/>
              </w:rPr>
              <w:t>bosque del Desierto de los</w:t>
            </w:r>
            <w:r>
              <w:rPr>
                <w:rFonts w:ascii="Cambria" w:hAnsi="Cambria"/>
                <w:spacing w:val="12"/>
                <w:w w:val="115"/>
                <w:sz w:val="21"/>
              </w:rPr>
              <w:t> </w:t>
            </w:r>
            <w:r>
              <w:rPr>
                <w:rFonts w:ascii="Cambria" w:hAnsi="Cambria"/>
                <w:w w:val="115"/>
                <w:sz w:val="21"/>
              </w:rPr>
              <w:t>Leones.</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768" w:hRule="exact"/>
        </w:trPr>
        <w:tc>
          <w:tcPr>
            <w:tcW w:w="7459" w:type="dxa"/>
          </w:tcPr>
          <w:p>
            <w:pPr>
              <w:pStyle w:val="TableParagraph"/>
              <w:spacing w:line="242" w:lineRule="auto" w:before="2"/>
              <w:ind w:left="105" w:right="105"/>
              <w:jc w:val="both"/>
              <w:rPr>
                <w:rFonts w:ascii="Cambria"/>
                <w:sz w:val="21"/>
              </w:rPr>
            </w:pPr>
            <w:r>
              <w:rPr>
                <w:rFonts w:ascii="Cambria"/>
                <w:w w:val="115"/>
                <w:sz w:val="21"/>
              </w:rPr>
              <w:t>14. Estoy consciente de </w:t>
            </w:r>
            <w:r>
              <w:rPr>
                <w:rFonts w:ascii="Cambria"/>
                <w:spacing w:val="-3"/>
                <w:w w:val="115"/>
                <w:sz w:val="21"/>
              </w:rPr>
              <w:t>que </w:t>
            </w:r>
            <w:r>
              <w:rPr>
                <w:rFonts w:ascii="Cambria"/>
                <w:w w:val="115"/>
                <w:sz w:val="21"/>
              </w:rPr>
              <w:t>debo respetar cada una de  las especies  de flora y fauna que hay en el parque </w:t>
            </w:r>
            <w:r>
              <w:rPr>
                <w:rFonts w:ascii="Cambria"/>
                <w:spacing w:val="-3"/>
                <w:w w:val="115"/>
                <w:sz w:val="21"/>
              </w:rPr>
              <w:t>porque </w:t>
            </w:r>
            <w:r>
              <w:rPr>
                <w:rFonts w:ascii="Cambria"/>
                <w:w w:val="115"/>
                <w:sz w:val="21"/>
              </w:rPr>
              <w:t>gracias a ello, respiro  aire</w:t>
            </w:r>
            <w:r>
              <w:rPr>
                <w:rFonts w:ascii="Cambria"/>
                <w:spacing w:val="18"/>
                <w:w w:val="115"/>
                <w:sz w:val="21"/>
              </w:rPr>
              <w:t> </w:t>
            </w:r>
            <w:r>
              <w:rPr>
                <w:rFonts w:ascii="Cambria"/>
                <w:w w:val="115"/>
                <w:sz w:val="21"/>
              </w:rPr>
              <w:t>puro.</w:t>
            </w:r>
          </w:p>
        </w:tc>
        <w:tc>
          <w:tcPr>
            <w:tcW w:w="346" w:type="dxa"/>
          </w:tcPr>
          <w:p>
            <w:pPr/>
          </w:p>
        </w:tc>
        <w:tc>
          <w:tcPr>
            <w:tcW w:w="341" w:type="dxa"/>
          </w:tcPr>
          <w:p>
            <w:pPr/>
          </w:p>
        </w:tc>
        <w:tc>
          <w:tcPr>
            <w:tcW w:w="346" w:type="dxa"/>
          </w:tcPr>
          <w:p>
            <w:pPr/>
          </w:p>
        </w:tc>
        <w:tc>
          <w:tcPr>
            <w:tcW w:w="346" w:type="dxa"/>
          </w:tcPr>
          <w:p>
            <w:pPr/>
          </w:p>
        </w:tc>
        <w:tc>
          <w:tcPr>
            <w:tcW w:w="379" w:type="dxa"/>
          </w:tcPr>
          <w:p>
            <w:pPr/>
          </w:p>
        </w:tc>
      </w:tr>
      <w:tr>
        <w:trPr>
          <w:trHeight w:val="514" w:hRule="exact"/>
        </w:trPr>
        <w:tc>
          <w:tcPr>
            <w:tcW w:w="7459" w:type="dxa"/>
          </w:tcPr>
          <w:p>
            <w:pPr>
              <w:pStyle w:val="TableParagraph"/>
              <w:spacing w:line="242" w:lineRule="auto"/>
              <w:ind w:left="105" w:right="101"/>
              <w:rPr>
                <w:rFonts w:ascii="Cambria" w:hAnsi="Cambria"/>
                <w:sz w:val="21"/>
              </w:rPr>
            </w:pPr>
            <w:r>
              <w:rPr>
                <w:rFonts w:ascii="Cambria" w:hAnsi="Cambria"/>
                <w:w w:val="115"/>
                <w:sz w:val="21"/>
              </w:rPr>
              <w:t>15. Cuando visito el Parque respeto  las  indicaciones de  protección a la  naturaleza  del lugar.</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09" w:hRule="exact"/>
        </w:trPr>
        <w:tc>
          <w:tcPr>
            <w:tcW w:w="7459" w:type="dxa"/>
          </w:tcPr>
          <w:p>
            <w:pPr>
              <w:pStyle w:val="TableParagraph"/>
              <w:spacing w:line="244" w:lineRule="exact" w:before="1"/>
              <w:ind w:left="105" w:right="101"/>
              <w:rPr>
                <w:rFonts w:ascii="Cambria" w:hAnsi="Cambria"/>
                <w:sz w:val="21"/>
              </w:rPr>
            </w:pPr>
            <w:r>
              <w:rPr>
                <w:rFonts w:ascii="Cambria" w:hAnsi="Cambria"/>
                <w:w w:val="120"/>
                <w:sz w:val="21"/>
              </w:rPr>
              <w:t>16. Si veo basura tirada en el bosque, procuro ponerla en su lugar aunque no sea mía.</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768" w:hRule="exact"/>
        </w:trPr>
        <w:tc>
          <w:tcPr>
            <w:tcW w:w="7459" w:type="dxa"/>
          </w:tcPr>
          <w:p>
            <w:pPr>
              <w:pStyle w:val="TableParagraph"/>
              <w:spacing w:line="244" w:lineRule="auto"/>
              <w:ind w:left="105" w:right="105"/>
              <w:jc w:val="both"/>
              <w:rPr>
                <w:rFonts w:ascii="Cambria" w:hAnsi="Cambria"/>
                <w:sz w:val="21"/>
              </w:rPr>
            </w:pPr>
            <w:r>
              <w:rPr>
                <w:rFonts w:ascii="Cambria" w:hAnsi="Cambria"/>
                <w:w w:val="115"/>
                <w:sz w:val="21"/>
              </w:rPr>
              <w:t>17. Si existiera una fundación u organización comprometida con la protección del Parque Nacional Desierto de los Leones, yo apoyaría económicamente.</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758" w:hRule="exact"/>
        </w:trPr>
        <w:tc>
          <w:tcPr>
            <w:tcW w:w="7459" w:type="dxa"/>
          </w:tcPr>
          <w:p>
            <w:pPr>
              <w:pStyle w:val="TableParagraph"/>
              <w:spacing w:line="242" w:lineRule="auto"/>
              <w:ind w:left="105" w:right="104"/>
              <w:jc w:val="both"/>
              <w:rPr>
                <w:rFonts w:ascii="Cambria" w:hAnsi="Cambria"/>
                <w:sz w:val="21"/>
              </w:rPr>
            </w:pPr>
            <w:r>
              <w:rPr>
                <w:rFonts w:ascii="Cambria" w:hAnsi="Cambria"/>
                <w:w w:val="120"/>
                <w:sz w:val="21"/>
              </w:rPr>
              <w:t>18. Acostumbro a comprar productos elaborados por empresas</w:t>
            </w:r>
            <w:r>
              <w:rPr>
                <w:rFonts w:ascii="Cambria" w:hAnsi="Cambria"/>
                <w:spacing w:val="-30"/>
                <w:w w:val="120"/>
                <w:sz w:val="21"/>
              </w:rPr>
              <w:t> </w:t>
            </w:r>
            <w:r>
              <w:rPr>
                <w:rFonts w:ascii="Cambria" w:hAnsi="Cambria"/>
                <w:w w:val="120"/>
                <w:sz w:val="21"/>
              </w:rPr>
              <w:t>que contribuyen con la contaminación, incluso sí estos son de buena calidad.</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14" w:hRule="exact"/>
        </w:trPr>
        <w:tc>
          <w:tcPr>
            <w:tcW w:w="7459" w:type="dxa"/>
          </w:tcPr>
          <w:p>
            <w:pPr>
              <w:pStyle w:val="TableParagraph"/>
              <w:spacing w:line="247" w:lineRule="auto"/>
              <w:ind w:left="105" w:right="101"/>
              <w:rPr>
                <w:rFonts w:ascii="Cambria"/>
                <w:sz w:val="21"/>
              </w:rPr>
            </w:pPr>
            <w:r>
              <w:rPr>
                <w:rFonts w:ascii="Cambria"/>
                <w:w w:val="115"/>
                <w:sz w:val="21"/>
              </w:rPr>
              <w:t>19. Cuando compro algo miro seriamente lo que cuesta y el rendimiento, y no tomo en cuenta si contamina o no el   ambiente.</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264" w:hRule="exact"/>
        </w:trPr>
        <w:tc>
          <w:tcPr>
            <w:tcW w:w="7459" w:type="dxa"/>
          </w:tcPr>
          <w:p>
            <w:pPr>
              <w:pStyle w:val="TableParagraph"/>
              <w:spacing w:line="243" w:lineRule="exact"/>
              <w:ind w:left="105" w:right="101"/>
              <w:rPr>
                <w:rFonts w:ascii="Cambria"/>
                <w:sz w:val="21"/>
              </w:rPr>
            </w:pPr>
            <w:r>
              <w:rPr>
                <w:rFonts w:ascii="Cambria"/>
                <w:w w:val="120"/>
                <w:sz w:val="21"/>
              </w:rPr>
              <w:t>20. Compro Productos con empaques reusables.</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14" w:hRule="exact"/>
        </w:trPr>
        <w:tc>
          <w:tcPr>
            <w:tcW w:w="7459" w:type="dxa"/>
          </w:tcPr>
          <w:p>
            <w:pPr>
              <w:pStyle w:val="TableParagraph"/>
              <w:spacing w:line="242" w:lineRule="auto"/>
              <w:ind w:left="105" w:right="101"/>
              <w:rPr>
                <w:rFonts w:ascii="Cambria"/>
                <w:sz w:val="21"/>
              </w:rPr>
            </w:pPr>
            <w:r>
              <w:rPr>
                <w:rFonts w:ascii="Cambria"/>
                <w:w w:val="115"/>
                <w:sz w:val="21"/>
              </w:rPr>
              <w:t>21. Me interesa cambiar los productos que he utilizado siempre por otros nuevos que contaminen  menos.</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830" w:hRule="exact"/>
        </w:trPr>
        <w:tc>
          <w:tcPr>
            <w:tcW w:w="7459" w:type="dxa"/>
          </w:tcPr>
          <w:p>
            <w:pPr>
              <w:pStyle w:val="TableParagraph"/>
              <w:spacing w:line="242" w:lineRule="auto"/>
              <w:ind w:left="105" w:right="97"/>
              <w:jc w:val="both"/>
              <w:rPr>
                <w:rFonts w:ascii="Cambria"/>
                <w:sz w:val="23"/>
              </w:rPr>
            </w:pPr>
            <w:r>
              <w:rPr>
                <w:rFonts w:ascii="Cambria"/>
                <w:w w:val="120"/>
                <w:sz w:val="23"/>
              </w:rPr>
              <w:t>22. El consumo y las acciones del hombre al transformar el entorno para su desarrollo han propiciado los problemas ambientales.</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264" w:hRule="exact"/>
        </w:trPr>
        <w:tc>
          <w:tcPr>
            <w:tcW w:w="7459" w:type="dxa"/>
          </w:tcPr>
          <w:p>
            <w:pPr>
              <w:pStyle w:val="TableParagraph"/>
              <w:spacing w:line="243" w:lineRule="exact"/>
              <w:ind w:left="105" w:right="101"/>
              <w:rPr>
                <w:rFonts w:ascii="Cambria" w:hAnsi="Cambria"/>
                <w:sz w:val="21"/>
              </w:rPr>
            </w:pPr>
            <w:r>
              <w:rPr>
                <w:rFonts w:ascii="Cambria" w:hAnsi="Cambria"/>
                <w:w w:val="120"/>
                <w:sz w:val="21"/>
              </w:rPr>
              <w:t>23. Deseo cambiar mis hábitos para reducir la contaminación.</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09" w:hRule="exact"/>
        </w:trPr>
        <w:tc>
          <w:tcPr>
            <w:tcW w:w="7459" w:type="dxa"/>
          </w:tcPr>
          <w:p>
            <w:pPr>
              <w:pStyle w:val="TableParagraph"/>
              <w:spacing w:line="244" w:lineRule="exact" w:before="1"/>
              <w:ind w:left="105" w:right="101"/>
              <w:rPr>
                <w:rFonts w:ascii="Cambria" w:hAnsi="Cambria"/>
                <w:sz w:val="21"/>
              </w:rPr>
            </w:pPr>
            <w:r>
              <w:rPr>
                <w:rFonts w:ascii="Cambria" w:hAnsi="Cambria"/>
                <w:w w:val="115"/>
                <w:sz w:val="21"/>
              </w:rPr>
              <w:t>24. La naturaleza puede revertir los efectos de la contaminación a través de los procesos  naturales.</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14" w:hRule="exact"/>
        </w:trPr>
        <w:tc>
          <w:tcPr>
            <w:tcW w:w="7459" w:type="dxa"/>
          </w:tcPr>
          <w:p>
            <w:pPr>
              <w:pStyle w:val="TableParagraph"/>
              <w:spacing w:line="242" w:lineRule="auto"/>
              <w:ind w:left="105" w:right="200"/>
              <w:rPr>
                <w:rFonts w:ascii="Cambria" w:hAnsi="Cambria"/>
                <w:sz w:val="21"/>
              </w:rPr>
            </w:pPr>
            <w:r>
              <w:rPr>
                <w:rFonts w:ascii="Cambria" w:hAnsi="Cambria"/>
                <w:w w:val="115"/>
                <w:sz w:val="21"/>
              </w:rPr>
              <w:t>25. Me gusta visitar el parque porque puedo  realizar  caminata,  correr o andar en bici y con ello sé que contribuyo a  </w:t>
            </w:r>
            <w:r>
              <w:rPr>
                <w:rFonts w:ascii="Cambria" w:hAnsi="Cambria"/>
                <w:spacing w:val="31"/>
                <w:w w:val="115"/>
                <w:sz w:val="21"/>
              </w:rPr>
              <w:t> </w:t>
            </w:r>
            <w:r>
              <w:rPr>
                <w:rFonts w:ascii="Cambria" w:hAnsi="Cambria"/>
                <w:w w:val="115"/>
                <w:sz w:val="21"/>
              </w:rPr>
              <w:t>cuidarlo.</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r>
        <w:trPr>
          <w:trHeight w:val="514" w:hRule="exact"/>
        </w:trPr>
        <w:tc>
          <w:tcPr>
            <w:tcW w:w="7459" w:type="dxa"/>
          </w:tcPr>
          <w:p>
            <w:pPr>
              <w:pStyle w:val="TableParagraph"/>
              <w:spacing w:line="242" w:lineRule="auto"/>
              <w:ind w:left="105" w:right="101"/>
              <w:rPr>
                <w:rFonts w:ascii="Cambria" w:hAnsi="Cambria"/>
                <w:sz w:val="21"/>
              </w:rPr>
            </w:pPr>
            <w:r>
              <w:rPr>
                <w:rFonts w:ascii="Cambria" w:hAnsi="Cambria"/>
                <w:w w:val="115"/>
                <w:sz w:val="21"/>
              </w:rPr>
              <w:t>26. Sé que el parque cuenta con una gran riqueza natural que debo cuidar durante mi  visita.</w:t>
            </w:r>
          </w:p>
        </w:tc>
        <w:tc>
          <w:tcPr>
            <w:tcW w:w="346" w:type="dxa"/>
          </w:tcPr>
          <w:p>
            <w:pPr>
              <w:pStyle w:val="TableParagraph"/>
              <w:spacing w:line="243" w:lineRule="exact"/>
              <w:ind w:right="1"/>
              <w:jc w:val="center"/>
              <w:rPr>
                <w:rFonts w:ascii="Cambria"/>
                <w:sz w:val="21"/>
              </w:rPr>
            </w:pPr>
            <w:r>
              <w:rPr>
                <w:rFonts w:ascii="Cambria"/>
                <w:w w:val="114"/>
                <w:sz w:val="21"/>
              </w:rPr>
              <w:t>1</w:t>
            </w:r>
          </w:p>
        </w:tc>
        <w:tc>
          <w:tcPr>
            <w:tcW w:w="341" w:type="dxa"/>
          </w:tcPr>
          <w:p>
            <w:pPr>
              <w:pStyle w:val="TableParagraph"/>
              <w:spacing w:line="243" w:lineRule="exact"/>
              <w:ind w:left="3"/>
              <w:jc w:val="center"/>
              <w:rPr>
                <w:rFonts w:ascii="Cambria"/>
                <w:sz w:val="21"/>
              </w:rPr>
            </w:pPr>
            <w:r>
              <w:rPr>
                <w:rFonts w:ascii="Cambria"/>
                <w:w w:val="114"/>
                <w:sz w:val="21"/>
              </w:rPr>
              <w:t>2</w:t>
            </w:r>
          </w:p>
        </w:tc>
        <w:tc>
          <w:tcPr>
            <w:tcW w:w="346" w:type="dxa"/>
          </w:tcPr>
          <w:p>
            <w:pPr>
              <w:pStyle w:val="TableParagraph"/>
              <w:spacing w:line="243" w:lineRule="exact"/>
              <w:ind w:right="1"/>
              <w:jc w:val="center"/>
              <w:rPr>
                <w:rFonts w:ascii="Cambria"/>
                <w:sz w:val="21"/>
              </w:rPr>
            </w:pPr>
            <w:r>
              <w:rPr>
                <w:rFonts w:ascii="Cambria"/>
                <w:w w:val="114"/>
                <w:sz w:val="21"/>
              </w:rPr>
              <w:t>3</w:t>
            </w:r>
          </w:p>
        </w:tc>
        <w:tc>
          <w:tcPr>
            <w:tcW w:w="346" w:type="dxa"/>
          </w:tcPr>
          <w:p>
            <w:pPr>
              <w:pStyle w:val="TableParagraph"/>
              <w:spacing w:line="243" w:lineRule="exact"/>
              <w:ind w:right="1"/>
              <w:jc w:val="center"/>
              <w:rPr>
                <w:rFonts w:ascii="Cambria"/>
                <w:sz w:val="21"/>
              </w:rPr>
            </w:pPr>
            <w:r>
              <w:rPr>
                <w:rFonts w:ascii="Cambria"/>
                <w:w w:val="114"/>
                <w:sz w:val="21"/>
              </w:rPr>
              <w:t>4</w:t>
            </w:r>
          </w:p>
        </w:tc>
        <w:tc>
          <w:tcPr>
            <w:tcW w:w="379" w:type="dxa"/>
          </w:tcPr>
          <w:p>
            <w:pPr>
              <w:pStyle w:val="TableParagraph"/>
              <w:spacing w:line="243" w:lineRule="exact"/>
              <w:ind w:left="120"/>
              <w:rPr>
                <w:rFonts w:ascii="Cambria"/>
                <w:sz w:val="21"/>
              </w:rPr>
            </w:pPr>
            <w:r>
              <w:rPr>
                <w:rFonts w:ascii="Cambria"/>
                <w:w w:val="114"/>
                <w:sz w:val="21"/>
              </w:rPr>
              <w:t>5</w:t>
            </w:r>
          </w:p>
        </w:tc>
      </w:tr>
    </w:tbl>
    <w:p>
      <w:pPr>
        <w:pStyle w:val="BodyText"/>
        <w:spacing w:before="3"/>
        <w:rPr>
          <w:rFonts w:ascii="Gabriola"/>
          <w:sz w:val="9"/>
        </w:rPr>
      </w:pPr>
    </w:p>
    <w:p>
      <w:pPr>
        <w:spacing w:before="73"/>
        <w:ind w:left="215" w:right="512" w:firstLine="0"/>
        <w:jc w:val="left"/>
        <w:rPr>
          <w:rFonts w:ascii="Cambria"/>
          <w:sz w:val="21"/>
        </w:rPr>
      </w:pPr>
      <w:r>
        <w:rPr>
          <w:rFonts w:ascii="Cambria"/>
          <w:w w:val="115"/>
          <w:sz w:val="21"/>
        </w:rPr>
        <w:t>Observaciones:</w:t>
      </w:r>
    </w:p>
    <w:p>
      <w:pPr>
        <w:pStyle w:val="BodyText"/>
        <w:spacing w:before="8"/>
        <w:rPr>
          <w:rFonts w:ascii="Cambria"/>
          <w:sz w:val="15"/>
        </w:rPr>
      </w:pPr>
      <w:r>
        <w:rPr/>
        <w:pict>
          <v:group style="position:absolute;margin-left:82.525002pt;margin-top:11.186797pt;width:455.1pt;height:.550pt;mso-position-horizontal-relative:page;mso-position-vertical-relative:paragraph;z-index:2248;mso-wrap-distance-left:0;mso-wrap-distance-right:0" coordorigin="1651,224" coordsize="9102,11">
            <v:line style="position:absolute" from="1656,229" to="1974,229" stroked="true" strokeweight=".53728pt" strokecolor="#000000"/>
            <v:line style="position:absolute" from="1977,229" to="2190,229" stroked="true" strokeweight=".53728pt" strokecolor="#000000"/>
            <v:line style="position:absolute" from="2193,229" to="2512,229" stroked="true" strokeweight=".53728pt" strokecolor="#000000"/>
            <v:line style="position:absolute" from="2515,229" to="2833,229" stroked="true" strokeweight=".53728pt" strokecolor="#000000"/>
            <v:line style="position:absolute" from="2836,229" to="3049,229" stroked="true" strokeweight=".53728pt" strokecolor="#000000"/>
            <v:line style="position:absolute" from="3052,229" to="3370,229" stroked="true" strokeweight=".53728pt" strokecolor="#000000"/>
            <v:line style="position:absolute" from="3373,229" to="3581,229" stroked="true" strokeweight=".53728pt" strokecolor="#000000"/>
            <v:line style="position:absolute" from="3584,229" to="3902,229" stroked="true" strokeweight=".53728pt" strokecolor="#000000"/>
            <v:line style="position:absolute" from="3905,229" to="4118,229" stroked="true" strokeweight=".53728pt" strokecolor="#000000"/>
            <v:line style="position:absolute" from="4121,229" to="4440,229" stroked="true" strokeweight=".53728pt" strokecolor="#000000"/>
            <v:line style="position:absolute" from="4442,229" to="4756,229" stroked="true" strokeweight=".53728pt" strokecolor="#000000"/>
            <v:line style="position:absolute" from="4759,229" to="4972,229" stroked="true" strokeweight=".53728pt" strokecolor="#000000"/>
            <v:line style="position:absolute" from="4975,229" to="5294,229" stroked="true" strokeweight=".53728pt" strokecolor="#000000"/>
            <v:line style="position:absolute" from="5296,229" to="5509,229" stroked="true" strokeweight=".53728pt" strokecolor="#000000"/>
            <v:line style="position:absolute" from="5512,229" to="5831,229" stroked="true" strokeweight=".53728pt" strokecolor="#000000"/>
            <v:line style="position:absolute" from="5833,229" to="6042,229" stroked="true" strokeweight=".53728pt" strokecolor="#000000"/>
            <v:line style="position:absolute" from="6045,229" to="6680,229" stroked="true" strokeweight=".53728pt" strokecolor="#000000"/>
            <v:line style="position:absolute" from="6683,229" to="6896,229" stroked="true" strokeweight=".53728pt" strokecolor="#000000"/>
            <v:line style="position:absolute" from="6898,229" to="7217,229" stroked="true" strokeweight=".53728pt" strokecolor="#000000"/>
            <v:line style="position:absolute" from="7220,229" to="7433,229" stroked="true" strokeweight=".53728pt" strokecolor="#000000"/>
            <v:line style="position:absolute" from="7436,229" to="7754,229" stroked="true" strokeweight=".53728pt" strokecolor="#000000"/>
            <v:line style="position:absolute" from="7757,229" to="7970,229" stroked="true" strokeweight=".53728pt" strokecolor="#000000"/>
            <v:line style="position:absolute" from="7973,229" to="8286,229" stroked="true" strokeweight=".53728pt" strokecolor="#000000"/>
            <v:line style="position:absolute" from="8289,229" to="8608,229" stroked="true" strokeweight=".53728pt" strokecolor="#000000"/>
            <v:line style="position:absolute" from="8611,229" to="8824,229" stroked="true" strokeweight=".53728pt" strokecolor="#000000"/>
            <v:line style="position:absolute" from="8826,229" to="9145,229" stroked="true" strokeweight=".53728pt" strokecolor="#000000"/>
            <v:line style="position:absolute" from="9148,229" to="9677,229" stroked="true" strokeweight=".53728pt" strokecolor="#000000"/>
            <v:line style="position:absolute" from="9680,229" to="9893,229" stroked="true" strokeweight=".53728pt" strokecolor="#000000"/>
            <v:line style="position:absolute" from="9896,229" to="10215,229" stroked="true" strokeweight=".53728pt" strokecolor="#000000"/>
            <v:line style="position:absolute" from="10217,229" to="10536,229" stroked="true" strokeweight=".53728pt" strokecolor="#000000"/>
            <v:line style="position:absolute" from="10539,229" to="10747,229" stroked="true" strokeweight=".53728pt" strokecolor="#000000"/>
            <w10:wrap type="topAndBottom"/>
          </v:group>
        </w:pict>
      </w:r>
      <w:r>
        <w:rPr/>
        <w:pict>
          <v:group style="position:absolute;margin-left:82.525002pt;margin-top:23.906799pt;width:455.1pt;height:.550pt;mso-position-horizontal-relative:page;mso-position-vertical-relative:paragraph;z-index:2272;mso-wrap-distance-left:0;mso-wrap-distance-right:0" coordorigin="1651,478" coordsize="9102,11">
            <v:line style="position:absolute" from="1656,484" to="1974,484" stroked="true" strokeweight=".53728pt" strokecolor="#000000"/>
            <v:line style="position:absolute" from="1977,484" to="2190,484" stroked="true" strokeweight=".53728pt" strokecolor="#000000"/>
            <v:line style="position:absolute" from="2193,484" to="2512,484" stroked="true" strokeweight=".53728pt" strokecolor="#000000"/>
            <v:line style="position:absolute" from="2515,484" to="2833,484" stroked="true" strokeweight=".53728pt" strokecolor="#000000"/>
            <v:line style="position:absolute" from="2836,484" to="3049,484" stroked="true" strokeweight=".53728pt" strokecolor="#000000"/>
            <v:line style="position:absolute" from="3052,484" to="3370,484" stroked="true" strokeweight=".53728pt" strokecolor="#000000"/>
            <v:line style="position:absolute" from="3373,484" to="3581,484" stroked="true" strokeweight=".53728pt" strokecolor="#000000"/>
            <v:line style="position:absolute" from="3584,484" to="3902,484" stroked="true" strokeweight=".53728pt" strokecolor="#000000"/>
            <v:line style="position:absolute" from="3905,484" to="4118,484" stroked="true" strokeweight=".53728pt" strokecolor="#000000"/>
            <v:line style="position:absolute" from="4121,484" to="4440,484" stroked="true" strokeweight=".53728pt" strokecolor="#000000"/>
            <v:line style="position:absolute" from="4442,484" to="4756,484" stroked="true" strokeweight=".53728pt" strokecolor="#000000"/>
            <v:line style="position:absolute" from="4759,484" to="4972,484" stroked="true" strokeweight=".53728pt" strokecolor="#000000"/>
            <v:line style="position:absolute" from="4975,484" to="5294,484" stroked="true" strokeweight=".53728pt" strokecolor="#000000"/>
            <v:line style="position:absolute" from="5296,484" to="5509,484" stroked="true" strokeweight=".53728pt" strokecolor="#000000"/>
            <v:line style="position:absolute" from="5512,484" to="5831,484" stroked="true" strokeweight=".53728pt" strokecolor="#000000"/>
            <v:line style="position:absolute" from="5833,484" to="6042,484" stroked="true" strokeweight=".53728pt" strokecolor="#000000"/>
            <v:line style="position:absolute" from="6045,484" to="6680,484" stroked="true" strokeweight=".53728pt" strokecolor="#000000"/>
            <v:line style="position:absolute" from="6683,484" to="6896,484" stroked="true" strokeweight=".53728pt" strokecolor="#000000"/>
            <v:line style="position:absolute" from="6898,484" to="7217,484" stroked="true" strokeweight=".53728pt" strokecolor="#000000"/>
            <v:line style="position:absolute" from="7220,484" to="7433,484" stroked="true" strokeweight=".53728pt" strokecolor="#000000"/>
            <v:line style="position:absolute" from="7436,484" to="7754,484" stroked="true" strokeweight=".53728pt" strokecolor="#000000"/>
            <v:line style="position:absolute" from="7757,484" to="7970,484" stroked="true" strokeweight=".53728pt" strokecolor="#000000"/>
            <v:line style="position:absolute" from="7973,484" to="8286,484" stroked="true" strokeweight=".53728pt" strokecolor="#000000"/>
            <v:line style="position:absolute" from="8289,484" to="8608,484" stroked="true" strokeweight=".53728pt" strokecolor="#000000"/>
            <v:line style="position:absolute" from="8611,484" to="8824,484" stroked="true" strokeweight=".53728pt" strokecolor="#000000"/>
            <v:line style="position:absolute" from="8826,484" to="9145,484" stroked="true" strokeweight=".53728pt" strokecolor="#000000"/>
            <v:line style="position:absolute" from="9148,484" to="9677,484" stroked="true" strokeweight=".53728pt" strokecolor="#000000"/>
            <v:line style="position:absolute" from="9680,484" to="9893,484" stroked="true" strokeweight=".53728pt" strokecolor="#000000"/>
            <v:line style="position:absolute" from="9896,484" to="10215,484" stroked="true" strokeweight=".53728pt" strokecolor="#000000"/>
            <v:line style="position:absolute" from="10217,484" to="10536,484" stroked="true" strokeweight=".53728pt" strokecolor="#000000"/>
            <v:line style="position:absolute" from="10539,484" to="10747,484" stroked="true" strokeweight=".53728pt" strokecolor="#000000"/>
            <w10:wrap type="topAndBottom"/>
          </v:group>
        </w:pict>
      </w:r>
      <w:r>
        <w:rPr/>
        <w:pict>
          <v:group style="position:absolute;margin-left:82.525002pt;margin-top:36.386795pt;width:455.1pt;height:.550pt;mso-position-horizontal-relative:page;mso-position-vertical-relative:paragraph;z-index:2296;mso-wrap-distance-left:0;mso-wrap-distance-right:0" coordorigin="1651,728" coordsize="9102,11">
            <v:line style="position:absolute" from="1656,733" to="1974,733" stroked="true" strokeweight=".53728pt" strokecolor="#000000"/>
            <v:line style="position:absolute" from="1977,733" to="2190,733" stroked="true" strokeweight=".53728pt" strokecolor="#000000"/>
            <v:line style="position:absolute" from="2193,733" to="2512,733" stroked="true" strokeweight=".53728pt" strokecolor="#000000"/>
            <v:line style="position:absolute" from="2515,733" to="2833,733" stroked="true" strokeweight=".53728pt" strokecolor="#000000"/>
            <v:line style="position:absolute" from="2836,733" to="3049,733" stroked="true" strokeweight=".53728pt" strokecolor="#000000"/>
            <v:line style="position:absolute" from="3052,733" to="3370,733" stroked="true" strokeweight=".53728pt" strokecolor="#000000"/>
            <v:line style="position:absolute" from="3373,733" to="3581,733" stroked="true" strokeweight=".53728pt" strokecolor="#000000"/>
            <v:line style="position:absolute" from="3584,733" to="3902,733" stroked="true" strokeweight=".53728pt" strokecolor="#000000"/>
            <v:line style="position:absolute" from="3905,733" to="4118,733" stroked="true" strokeweight=".53728pt" strokecolor="#000000"/>
            <v:line style="position:absolute" from="4121,733" to="4440,733" stroked="true" strokeweight=".53728pt" strokecolor="#000000"/>
            <v:line style="position:absolute" from="4442,733" to="4756,733" stroked="true" strokeweight=".53728pt" strokecolor="#000000"/>
            <v:line style="position:absolute" from="4759,733" to="4972,733" stroked="true" strokeweight=".53728pt" strokecolor="#000000"/>
            <v:line style="position:absolute" from="4975,733" to="5294,733" stroked="true" strokeweight=".53728pt" strokecolor="#000000"/>
            <v:line style="position:absolute" from="5296,733" to="5509,733" stroked="true" strokeweight=".53728pt" strokecolor="#000000"/>
            <v:line style="position:absolute" from="5512,733" to="5831,733" stroked="true" strokeweight=".53728pt" strokecolor="#000000"/>
            <v:line style="position:absolute" from="5833,733" to="6042,733" stroked="true" strokeweight=".53728pt" strokecolor="#000000"/>
            <v:line style="position:absolute" from="6045,733" to="6680,733" stroked="true" strokeweight=".53728pt" strokecolor="#000000"/>
            <v:line style="position:absolute" from="6683,733" to="6896,733" stroked="true" strokeweight=".53728pt" strokecolor="#000000"/>
            <v:line style="position:absolute" from="6898,733" to="7217,733" stroked="true" strokeweight=".53728pt" strokecolor="#000000"/>
            <v:line style="position:absolute" from="7220,733" to="7433,733" stroked="true" strokeweight=".53728pt" strokecolor="#000000"/>
            <v:line style="position:absolute" from="7436,733" to="7754,733" stroked="true" strokeweight=".53728pt" strokecolor="#000000"/>
            <v:line style="position:absolute" from="7757,733" to="7970,733" stroked="true" strokeweight=".53728pt" strokecolor="#000000"/>
            <v:line style="position:absolute" from="7973,733" to="8286,733" stroked="true" strokeweight=".53728pt" strokecolor="#000000"/>
            <v:line style="position:absolute" from="8289,733" to="8608,733" stroked="true" strokeweight=".53728pt" strokecolor="#000000"/>
            <v:line style="position:absolute" from="8611,733" to="8824,733" stroked="true" strokeweight=".53728pt" strokecolor="#000000"/>
            <v:line style="position:absolute" from="8826,733" to="9145,733" stroked="true" strokeweight=".53728pt" strokecolor="#000000"/>
            <v:line style="position:absolute" from="9148,733" to="9677,733" stroked="true" strokeweight=".53728pt" strokecolor="#000000"/>
            <v:line style="position:absolute" from="9680,733" to="9893,733" stroked="true" strokeweight=".53728pt" strokecolor="#000000"/>
            <v:line style="position:absolute" from="9896,733" to="10215,733" stroked="true" strokeweight=".53728pt" strokecolor="#000000"/>
            <v:line style="position:absolute" from="10217,733" to="10536,733" stroked="true" strokeweight=".53728pt" strokecolor="#000000"/>
            <v:line style="position:absolute" from="10539,733" to="10747,733" stroked="true" strokeweight=".53728pt" strokecolor="#000000"/>
            <w10:wrap type="topAndBottom"/>
          </v:group>
        </w:pict>
      </w:r>
      <w:r>
        <w:rPr/>
        <w:pict>
          <v:group style="position:absolute;margin-left:82.525002pt;margin-top:49.106796pt;width:455.15pt;height:.550pt;mso-position-horizontal-relative:page;mso-position-vertical-relative:paragraph;z-index:2320;mso-wrap-distance-left:0;mso-wrap-distance-right:0" coordorigin="1651,982" coordsize="9103,11">
            <v:line style="position:absolute" from="1656,988" to="1975,988" stroked="true" strokeweight=".53728pt" strokecolor="#000000"/>
            <v:line style="position:absolute" from="1977,988" to="2190,988" stroked="true" strokeweight=".53728pt" strokecolor="#000000"/>
            <v:line style="position:absolute" from="2193,988" to="2512,988" stroked="true" strokeweight=".53728pt" strokecolor="#000000"/>
            <v:line style="position:absolute" from="2515,988" to="2833,988" stroked="true" strokeweight=".53728pt" strokecolor="#000000"/>
            <v:line style="position:absolute" from="2836,988" to="3049,988" stroked="true" strokeweight=".53728pt" strokecolor="#000000"/>
            <v:line style="position:absolute" from="3052,988" to="3370,988" stroked="true" strokeweight=".53728pt" strokecolor="#000000"/>
            <v:line style="position:absolute" from="3373,988" to="3581,988" stroked="true" strokeweight=".53728pt" strokecolor="#000000"/>
            <v:line style="position:absolute" from="3584,988" to="3903,988" stroked="true" strokeweight=".53728pt" strokecolor="#000000"/>
            <v:line style="position:absolute" from="3905,988" to="4118,988" stroked="true" strokeweight=".53728pt" strokecolor="#000000"/>
            <v:line style="position:absolute" from="4121,988" to="4440,988" stroked="true" strokeweight=".53728pt" strokecolor="#000000"/>
            <v:line style="position:absolute" from="4442,988" to="4756,988" stroked="true" strokeweight=".53728pt" strokecolor="#000000"/>
            <v:line style="position:absolute" from="4759,988" to="4972,988" stroked="true" strokeweight=".53728pt" strokecolor="#000000"/>
            <v:line style="position:absolute" from="4975,988" to="5294,988" stroked="true" strokeweight=".53728pt" strokecolor="#000000"/>
            <v:line style="position:absolute" from="5296,988" to="5509,988" stroked="true" strokeweight=".53728pt" strokecolor="#000000"/>
            <v:line style="position:absolute" from="5512,988" to="5831,988" stroked="true" strokeweight=".53728pt" strokecolor="#000000"/>
            <v:line style="position:absolute" from="5834,988" to="6042,988" stroked="true" strokeweight=".53728pt" strokecolor="#000000"/>
            <v:line style="position:absolute" from="6045,988" to="6680,988" stroked="true" strokeweight=".53728pt" strokecolor="#000000"/>
            <v:line style="position:absolute" from="6683,988" to="6896,988" stroked="true" strokeweight=".53728pt" strokecolor="#000000"/>
            <v:line style="position:absolute" from="6898,988" to="7217,988" stroked="true" strokeweight=".53728pt" strokecolor="#000000"/>
            <v:line style="position:absolute" from="7220,988" to="7433,988" stroked="true" strokeweight=".53728pt" strokecolor="#000000"/>
            <v:line style="position:absolute" from="7436,988" to="7754,988" stroked="true" strokeweight=".53728pt" strokecolor="#000000"/>
            <v:line style="position:absolute" from="7757,988" to="7970,988" stroked="true" strokeweight=".53728pt" strokecolor="#000000"/>
            <v:line style="position:absolute" from="7973,988" to="8287,988" stroked="true" strokeweight=".53728pt" strokecolor="#000000"/>
            <v:line style="position:absolute" from="8289,988" to="8608,988" stroked="true" strokeweight=".53728pt" strokecolor="#000000"/>
            <v:line style="position:absolute" from="8611,988" to="8824,988" stroked="true" strokeweight=".53728pt" strokecolor="#000000"/>
            <v:line style="position:absolute" from="8826,988" to="9145,988" stroked="true" strokeweight=".53728pt" strokecolor="#000000"/>
            <v:line style="position:absolute" from="9148,988" to="9677,988" stroked="true" strokeweight=".53728pt" strokecolor="#000000"/>
            <v:line style="position:absolute" from="9680,988" to="9893,988" stroked="true" strokeweight=".53728pt" strokecolor="#000000"/>
            <v:line style="position:absolute" from="9896,988" to="10215,988" stroked="true" strokeweight=".53728pt" strokecolor="#000000"/>
            <v:line style="position:absolute" from="10218,988" to="10536,988" stroked="true" strokeweight=".53728pt" strokecolor="#000000"/>
            <v:line style="position:absolute" from="10539,988" to="10747,988" stroked="true" strokeweight=".53728pt" strokecolor="#000000"/>
            <w10:wrap type="topAndBottom"/>
          </v:group>
        </w:pict>
      </w:r>
      <w:r>
        <w:rPr/>
        <w:pict>
          <v:group style="position:absolute;margin-left:82.525002pt;margin-top:61.346802pt;width:455.1pt;height:.550pt;mso-position-horizontal-relative:page;mso-position-vertical-relative:paragraph;z-index:2344;mso-wrap-distance-left:0;mso-wrap-distance-right:0" coordorigin="1651,1227" coordsize="9102,11">
            <v:line style="position:absolute" from="1656,1232" to="1974,1232" stroked="true" strokeweight=".53728pt" strokecolor="#000000"/>
            <v:line style="position:absolute" from="1977,1232" to="2190,1232" stroked="true" strokeweight=".53728pt" strokecolor="#000000"/>
            <v:line style="position:absolute" from="2193,1232" to="2512,1232" stroked="true" strokeweight=".53728pt" strokecolor="#000000"/>
            <v:line style="position:absolute" from="2515,1232" to="2833,1232" stroked="true" strokeweight=".53728pt" strokecolor="#000000"/>
            <v:line style="position:absolute" from="2836,1232" to="3049,1232" stroked="true" strokeweight=".53728pt" strokecolor="#000000"/>
            <v:line style="position:absolute" from="3052,1232" to="3370,1232" stroked="true" strokeweight=".53728pt" strokecolor="#000000"/>
            <v:line style="position:absolute" from="3373,1232" to="3581,1232" stroked="true" strokeweight=".53728pt" strokecolor="#000000"/>
            <v:line style="position:absolute" from="3584,1232" to="3902,1232" stroked="true" strokeweight=".53728pt" strokecolor="#000000"/>
            <v:line style="position:absolute" from="3905,1232" to="4118,1232" stroked="true" strokeweight=".53728pt" strokecolor="#000000"/>
            <v:line style="position:absolute" from="4121,1232" to="4440,1232" stroked="true" strokeweight=".53728pt" strokecolor="#000000"/>
            <v:line style="position:absolute" from="4442,1232" to="4756,1232" stroked="true" strokeweight=".53728pt" strokecolor="#000000"/>
            <v:line style="position:absolute" from="4759,1232" to="4972,1232" stroked="true" strokeweight=".53728pt" strokecolor="#000000"/>
            <v:line style="position:absolute" from="4975,1232" to="5294,1232" stroked="true" strokeweight=".53728pt" strokecolor="#000000"/>
            <v:line style="position:absolute" from="5296,1232" to="5509,1232" stroked="true" strokeweight=".53728pt" strokecolor="#000000"/>
            <v:line style="position:absolute" from="5512,1232" to="5831,1232" stroked="true" strokeweight=".53728pt" strokecolor="#000000"/>
            <v:line style="position:absolute" from="5833,1232" to="6042,1232" stroked="true" strokeweight=".53728pt" strokecolor="#000000"/>
            <v:line style="position:absolute" from="6045,1232" to="6680,1232" stroked="true" strokeweight=".53728pt" strokecolor="#000000"/>
            <v:line style="position:absolute" from="6683,1232" to="6896,1232" stroked="true" strokeweight=".53728pt" strokecolor="#000000"/>
            <v:line style="position:absolute" from="6898,1232" to="7217,1232" stroked="true" strokeweight=".53728pt" strokecolor="#000000"/>
            <v:line style="position:absolute" from="7220,1232" to="7433,1232" stroked="true" strokeweight=".53728pt" strokecolor="#000000"/>
            <v:line style="position:absolute" from="7436,1232" to="7754,1232" stroked="true" strokeweight=".53728pt" strokecolor="#000000"/>
            <v:line style="position:absolute" from="7757,1232" to="7970,1232" stroked="true" strokeweight=".53728pt" strokecolor="#000000"/>
            <v:line style="position:absolute" from="7973,1232" to="8286,1232" stroked="true" strokeweight=".53728pt" strokecolor="#000000"/>
            <v:line style="position:absolute" from="8289,1232" to="8608,1232" stroked="true" strokeweight=".53728pt" strokecolor="#000000"/>
            <v:line style="position:absolute" from="8611,1232" to="8824,1232" stroked="true" strokeweight=".53728pt" strokecolor="#000000"/>
            <v:line style="position:absolute" from="8826,1232" to="9145,1232" stroked="true" strokeweight=".53728pt" strokecolor="#000000"/>
            <v:line style="position:absolute" from="9148,1232" to="9677,1232" stroked="true" strokeweight=".53728pt" strokecolor="#000000"/>
            <v:line style="position:absolute" from="9680,1232" to="9893,1232" stroked="true" strokeweight=".53728pt" strokecolor="#000000"/>
            <v:line style="position:absolute" from="9896,1232" to="10215,1232" stroked="true" strokeweight=".53728pt" strokecolor="#000000"/>
            <v:line style="position:absolute" from="10217,1232" to="10536,1232" stroked="true" strokeweight=".53728pt" strokecolor="#000000"/>
            <v:line style="position:absolute" from="10539,1232" to="10747,1232" stroked="true" strokeweight=".53728pt" strokecolor="#000000"/>
            <w10:wrap type="topAndBottom"/>
          </v:group>
        </w:pict>
      </w:r>
      <w:r>
        <w:rPr/>
        <w:pict>
          <v:group style="position:absolute;margin-left:82.525002pt;margin-top:74.066788pt;width:455.1pt;height:.550pt;mso-position-horizontal-relative:page;mso-position-vertical-relative:paragraph;z-index:2368;mso-wrap-distance-left:0;mso-wrap-distance-right:0" coordorigin="1651,1481" coordsize="9102,11">
            <v:line style="position:absolute" from="1656,1487" to="1974,1487" stroked="true" strokeweight=".53728pt" strokecolor="#000000"/>
            <v:line style="position:absolute" from="1977,1487" to="2190,1487" stroked="true" strokeweight=".53728pt" strokecolor="#000000"/>
            <v:line style="position:absolute" from="2193,1487" to="2512,1487" stroked="true" strokeweight=".53728pt" strokecolor="#000000"/>
            <v:line style="position:absolute" from="2515,1487" to="2833,1487" stroked="true" strokeweight=".53728pt" strokecolor="#000000"/>
            <v:line style="position:absolute" from="2836,1487" to="3049,1487" stroked="true" strokeweight=".53728pt" strokecolor="#000000"/>
            <v:line style="position:absolute" from="3052,1487" to="3370,1487" stroked="true" strokeweight=".53728pt" strokecolor="#000000"/>
            <v:line style="position:absolute" from="3373,1487" to="3581,1487" stroked="true" strokeweight=".53728pt" strokecolor="#000000"/>
            <v:line style="position:absolute" from="3584,1487" to="3902,1487" stroked="true" strokeweight=".53728pt" strokecolor="#000000"/>
            <v:line style="position:absolute" from="3905,1487" to="4118,1487" stroked="true" strokeweight=".53728pt" strokecolor="#000000"/>
            <v:line style="position:absolute" from="4121,1487" to="4440,1487" stroked="true" strokeweight=".53728pt" strokecolor="#000000"/>
            <v:line style="position:absolute" from="4442,1487" to="4756,1487" stroked="true" strokeweight=".53728pt" strokecolor="#000000"/>
            <v:line style="position:absolute" from="4759,1487" to="4972,1487" stroked="true" strokeweight=".53728pt" strokecolor="#000000"/>
            <v:line style="position:absolute" from="4975,1487" to="5294,1487" stroked="true" strokeweight=".53728pt" strokecolor="#000000"/>
            <v:line style="position:absolute" from="5296,1487" to="5509,1487" stroked="true" strokeweight=".53728pt" strokecolor="#000000"/>
            <v:line style="position:absolute" from="5512,1487" to="5831,1487" stroked="true" strokeweight=".53728pt" strokecolor="#000000"/>
            <v:line style="position:absolute" from="5833,1487" to="6042,1487" stroked="true" strokeweight=".53728pt" strokecolor="#000000"/>
            <v:line style="position:absolute" from="6045,1487" to="6680,1487" stroked="true" strokeweight=".53728pt" strokecolor="#000000"/>
            <v:line style="position:absolute" from="6683,1487" to="6896,1487" stroked="true" strokeweight=".53728pt" strokecolor="#000000"/>
            <v:line style="position:absolute" from="6898,1487" to="7217,1487" stroked="true" strokeweight=".53728pt" strokecolor="#000000"/>
            <v:line style="position:absolute" from="7220,1487" to="7433,1487" stroked="true" strokeweight=".53728pt" strokecolor="#000000"/>
            <v:line style="position:absolute" from="7436,1487" to="7754,1487" stroked="true" strokeweight=".53728pt" strokecolor="#000000"/>
            <v:line style="position:absolute" from="7757,1487" to="7970,1487" stroked="true" strokeweight=".53728pt" strokecolor="#000000"/>
            <v:line style="position:absolute" from="7973,1487" to="8286,1487" stroked="true" strokeweight=".53728pt" strokecolor="#000000"/>
            <v:line style="position:absolute" from="8289,1487" to="8608,1487" stroked="true" strokeweight=".53728pt" strokecolor="#000000"/>
            <v:line style="position:absolute" from="8611,1487" to="8824,1487" stroked="true" strokeweight=".53728pt" strokecolor="#000000"/>
            <v:line style="position:absolute" from="8826,1487" to="9145,1487" stroked="true" strokeweight=".53728pt" strokecolor="#000000"/>
            <v:line style="position:absolute" from="9148,1487" to="9677,1487" stroked="true" strokeweight=".53728pt" strokecolor="#000000"/>
            <v:line style="position:absolute" from="9680,1487" to="9893,1487" stroked="true" strokeweight=".53728pt" strokecolor="#000000"/>
            <v:line style="position:absolute" from="9896,1487" to="10215,1487" stroked="true" strokeweight=".53728pt" strokecolor="#000000"/>
            <v:line style="position:absolute" from="10217,1487" to="10536,1487" stroked="true" strokeweight=".53728pt" strokecolor="#000000"/>
            <v:line style="position:absolute" from="10539,1487" to="10747,1487" stroked="true" strokeweight=".53728pt" strokecolor="#000000"/>
            <w10:wrap type="topAndBottom"/>
          </v:group>
        </w:pict>
      </w:r>
      <w:r>
        <w:rPr/>
        <w:pict>
          <v:group style="position:absolute;margin-left:82.525002pt;margin-top:86.546791pt;width:305.5pt;height:.550pt;mso-position-horizontal-relative:page;mso-position-vertical-relative:paragraph;z-index:2392;mso-wrap-distance-left:0;mso-wrap-distance-right:0" coordorigin="1651,1731" coordsize="6110,11">
            <v:line style="position:absolute" from="1656,1736" to="1975,1736" stroked="true" strokeweight=".53728pt" strokecolor="#000000"/>
            <v:line style="position:absolute" from="1977,1736" to="2190,1736" stroked="true" strokeweight=".53728pt" strokecolor="#000000"/>
            <v:line style="position:absolute" from="2193,1736" to="2512,1736" stroked="true" strokeweight=".53728pt" strokecolor="#000000"/>
            <v:line style="position:absolute" from="2515,1736" to="2833,1736" stroked="true" strokeweight=".53728pt" strokecolor="#000000"/>
            <v:line style="position:absolute" from="2836,1736" to="3049,1736" stroked="true" strokeweight=".53728pt" strokecolor="#000000"/>
            <v:line style="position:absolute" from="3052,1736" to="3370,1736" stroked="true" strokeweight=".53728pt" strokecolor="#000000"/>
            <v:line style="position:absolute" from="3373,1736" to="3581,1736" stroked="true" strokeweight=".53728pt" strokecolor="#000000"/>
            <v:line style="position:absolute" from="3584,1736" to="3903,1736" stroked="true" strokeweight=".53728pt" strokecolor="#000000"/>
            <v:line style="position:absolute" from="3905,1736" to="4224,1736" stroked="true" strokeweight=".53728pt" strokecolor="#000000"/>
            <v:line style="position:absolute" from="4227,1736" to="4440,1736" stroked="true" strokeweight=".53728pt" strokecolor="#000000"/>
            <v:line style="position:absolute" from="4442,1736" to="4756,1736" stroked="true" strokeweight=".53728pt" strokecolor="#000000"/>
            <v:line style="position:absolute" from="4759,1736" to="4972,1736" stroked="true" strokeweight=".53728pt" strokecolor="#000000"/>
            <v:line style="position:absolute" from="4975,1736" to="5294,1736" stroked="true" strokeweight=".53728pt" strokecolor="#000000"/>
            <v:line style="position:absolute" from="5296,1736" to="5510,1736" stroked="true" strokeweight=".53728pt" strokecolor="#000000"/>
            <v:line style="position:absolute" from="5512,1736" to="5831,1736" stroked="true" strokeweight=".53728pt" strokecolor="#000000"/>
            <v:line style="position:absolute" from="5834,1736" to="6042,1736" stroked="true" strokeweight=".53728pt" strokecolor="#000000"/>
            <v:line style="position:absolute" from="6045,1736" to="6680,1736" stroked="true" strokeweight=".53728pt" strokecolor="#000000"/>
            <v:line style="position:absolute" from="6683,1736" to="6896,1736" stroked="true" strokeweight=".53728pt" strokecolor="#000000"/>
            <v:line style="position:absolute" from="6899,1736" to="7217,1736" stroked="true" strokeweight=".53728pt" strokecolor="#000000"/>
            <v:line style="position:absolute" from="7220,1736" to="7433,1736" stroked="true" strokeweight=".53728pt" strokecolor="#000000"/>
            <v:line style="position:absolute" from="7436,1736" to="7754,1736" stroked="true" strokeweight=".53728pt" strokecolor="#000000"/>
            <w10:wrap type="topAndBottom"/>
          </v:group>
        </w:pict>
      </w:r>
    </w:p>
    <w:p>
      <w:pPr>
        <w:pStyle w:val="BodyText"/>
        <w:spacing w:before="11"/>
        <w:rPr>
          <w:rFonts w:ascii="Cambria"/>
          <w:sz w:val="14"/>
        </w:rPr>
      </w:pPr>
    </w:p>
    <w:p>
      <w:pPr>
        <w:pStyle w:val="BodyText"/>
        <w:spacing w:before="6"/>
        <w:rPr>
          <w:rFonts w:ascii="Cambria"/>
          <w:sz w:val="14"/>
        </w:rPr>
      </w:pPr>
    </w:p>
    <w:p>
      <w:pPr>
        <w:pStyle w:val="BodyText"/>
        <w:spacing w:before="11"/>
        <w:rPr>
          <w:rFonts w:ascii="Cambria"/>
          <w:sz w:val="14"/>
        </w:rPr>
      </w:pPr>
    </w:p>
    <w:p>
      <w:pPr>
        <w:pStyle w:val="BodyText"/>
        <w:spacing w:before="1"/>
        <w:rPr>
          <w:rFonts w:ascii="Cambria"/>
          <w:sz w:val="14"/>
        </w:rPr>
      </w:pPr>
    </w:p>
    <w:p>
      <w:pPr>
        <w:pStyle w:val="BodyText"/>
        <w:spacing w:before="11"/>
        <w:rPr>
          <w:rFonts w:ascii="Cambria"/>
          <w:sz w:val="14"/>
        </w:rPr>
      </w:pPr>
    </w:p>
    <w:p>
      <w:pPr>
        <w:pStyle w:val="BodyText"/>
        <w:spacing w:before="6"/>
        <w:rPr>
          <w:rFonts w:ascii="Cambria"/>
          <w:sz w:val="14"/>
        </w:rPr>
      </w:pPr>
    </w:p>
    <w:p>
      <w:pPr>
        <w:pStyle w:val="BodyText"/>
        <w:spacing w:before="11"/>
        <w:rPr>
          <w:rFonts w:ascii="Cambria"/>
          <w:sz w:val="14"/>
        </w:rPr>
      </w:pPr>
    </w:p>
    <w:p>
      <w:pPr>
        <w:spacing w:before="73"/>
        <w:ind w:left="2808" w:right="512" w:firstLine="0"/>
        <w:jc w:val="left"/>
        <w:rPr>
          <w:rFonts w:ascii="Cambria" w:hAnsi="Cambria"/>
          <w:b/>
          <w:sz w:val="21"/>
        </w:rPr>
      </w:pPr>
      <w:r>
        <w:rPr>
          <w:rFonts w:ascii="Cambria" w:hAnsi="Cambria"/>
          <w:b/>
          <w:w w:val="115"/>
          <w:sz w:val="21"/>
        </w:rPr>
        <w:t>Muchas gracias por su colaboración</w:t>
      </w:r>
    </w:p>
    <w:p>
      <w:pPr>
        <w:spacing w:after="0"/>
        <w:jc w:val="left"/>
        <w:rPr>
          <w:rFonts w:ascii="Cambria" w:hAnsi="Cambria"/>
          <w:sz w:val="21"/>
        </w:rPr>
        <w:sectPr>
          <w:headerReference w:type="default" r:id="rId87"/>
          <w:footerReference w:type="default" r:id="rId88"/>
          <w:pgSz w:w="11910" w:h="16840"/>
          <w:pgMar w:header="0" w:footer="1706" w:top="1040" w:bottom="1900" w:left="1440" w:right="200"/>
          <w:pgNumType w:start="140"/>
        </w:sectPr>
      </w:pPr>
    </w:p>
    <w:p>
      <w:pPr>
        <w:pStyle w:val="BodyText"/>
        <w:rPr>
          <w:rFonts w:ascii="Cambria"/>
          <w:b/>
          <w:sz w:val="20"/>
        </w:rPr>
      </w:pPr>
    </w:p>
    <w:p>
      <w:pPr>
        <w:pStyle w:val="BodyText"/>
        <w:spacing w:before="8"/>
        <w:rPr>
          <w:rFonts w:ascii="Cambria"/>
          <w:b/>
          <w:sz w:val="16"/>
        </w:rPr>
      </w:pPr>
    </w:p>
    <w:p>
      <w:pPr>
        <w:pStyle w:val="Heading2"/>
        <w:ind w:left="346" w:right="989"/>
        <w:jc w:val="left"/>
      </w:pPr>
      <w:r>
        <w:rPr/>
        <w:t>ANEXO 2. Biodiversidad del Parque Nacional Desierto de los Leones  (México).</w:t>
      </w:r>
    </w:p>
    <w:p>
      <w:pPr>
        <w:pStyle w:val="BodyText"/>
        <w:rPr>
          <w:b/>
          <w:sz w:val="22"/>
        </w:rPr>
      </w:pPr>
    </w:p>
    <w:p>
      <w:pPr>
        <w:pStyle w:val="BodyText"/>
        <w:spacing w:before="8"/>
        <w:rPr>
          <w:b/>
          <w:sz w:val="24"/>
        </w:rPr>
      </w:pPr>
    </w:p>
    <w:p>
      <w:pPr>
        <w:pStyle w:val="ListParagraph"/>
        <w:numPr>
          <w:ilvl w:val="1"/>
          <w:numId w:val="34"/>
        </w:numPr>
        <w:tabs>
          <w:tab w:pos="4086" w:val="left" w:leader="none"/>
        </w:tabs>
        <w:spacing w:line="244" w:lineRule="auto" w:before="0" w:after="0"/>
        <w:ind w:left="3596" w:right="888" w:firstLine="0"/>
        <w:jc w:val="both"/>
        <w:rPr>
          <w:sz w:val="23"/>
        </w:rPr>
      </w:pPr>
      <w:r>
        <w:rPr/>
        <w:drawing>
          <wp:anchor distT="0" distB="0" distL="0" distR="0" allowOverlap="1" layoutInCell="1" locked="0" behindDoc="0" simplePos="0" relativeHeight="2464">
            <wp:simplePos x="0" y="0"/>
            <wp:positionH relativeFrom="page">
              <wp:posOffset>1048511</wp:posOffset>
            </wp:positionH>
            <wp:positionV relativeFrom="paragraph">
              <wp:posOffset>-161710</wp:posOffset>
            </wp:positionV>
            <wp:extent cx="2130552" cy="1755648"/>
            <wp:effectExtent l="0" t="0" r="0" b="0"/>
            <wp:wrapNone/>
            <wp:docPr id="33" name="image32.jpeg" descr=""/>
            <wp:cNvGraphicFramePr>
              <a:graphicFrameLocks noChangeAspect="1"/>
            </wp:cNvGraphicFramePr>
            <a:graphic>
              <a:graphicData uri="http://schemas.openxmlformats.org/drawingml/2006/picture">
                <pic:pic>
                  <pic:nvPicPr>
                    <pic:cNvPr id="34" name="image32.jpeg"/>
                    <pic:cNvPicPr/>
                  </pic:nvPicPr>
                  <pic:blipFill>
                    <a:blip r:embed="rId90" cstate="print"/>
                    <a:stretch>
                      <a:fillRect/>
                    </a:stretch>
                  </pic:blipFill>
                  <pic:spPr>
                    <a:xfrm>
                      <a:off x="0" y="0"/>
                      <a:ext cx="2130552" cy="1755648"/>
                    </a:xfrm>
                    <a:prstGeom prst="rect">
                      <a:avLst/>
                    </a:prstGeom>
                  </pic:spPr>
                </pic:pic>
              </a:graphicData>
            </a:graphic>
          </wp:anchor>
        </w:drawing>
      </w:r>
      <w:r>
        <w:rPr>
          <w:sz w:val="23"/>
        </w:rPr>
        <w:t>Es un Parque Nacional lleno de una exuberante vegetación ya que cuenta una gran cantidad de especies principalmente Pinos y Oyameles, de los cuales destacan Abies religiosa, </w:t>
      </w:r>
      <w:r>
        <w:rPr>
          <w:spacing w:val="-3"/>
          <w:sz w:val="23"/>
        </w:rPr>
        <w:t>una </w:t>
      </w:r>
      <w:r>
        <w:rPr>
          <w:sz w:val="23"/>
        </w:rPr>
        <w:t>especie de Oyamel nativo de esta región, así como </w:t>
      </w:r>
      <w:r>
        <w:rPr>
          <w:spacing w:val="-3"/>
          <w:sz w:val="23"/>
        </w:rPr>
        <w:t>el </w:t>
      </w:r>
      <w:r>
        <w:rPr>
          <w:sz w:val="23"/>
        </w:rPr>
        <w:t>Pinus hartwegii, que solamente crece a alturas  mayores  a los 2,500</w:t>
      </w:r>
      <w:r>
        <w:rPr>
          <w:spacing w:val="21"/>
          <w:sz w:val="23"/>
        </w:rPr>
        <w:t> </w:t>
      </w:r>
      <w:r>
        <w:rPr>
          <w:sz w:val="23"/>
        </w:rPr>
        <w:t>m.s.n.m.</w:t>
      </w:r>
    </w:p>
    <w:p>
      <w:pPr>
        <w:pStyle w:val="BodyText"/>
        <w:rPr>
          <w:sz w:val="22"/>
        </w:rPr>
      </w:pPr>
    </w:p>
    <w:p>
      <w:pPr>
        <w:pStyle w:val="BodyText"/>
        <w:rPr>
          <w:sz w:val="22"/>
        </w:rPr>
      </w:pPr>
    </w:p>
    <w:p>
      <w:pPr>
        <w:pStyle w:val="BodyText"/>
        <w:rPr>
          <w:sz w:val="22"/>
        </w:rPr>
      </w:pPr>
    </w:p>
    <w:p>
      <w:pPr>
        <w:pStyle w:val="BodyText"/>
        <w:spacing w:before="4"/>
        <w:rPr>
          <w:sz w:val="27"/>
        </w:rPr>
      </w:pPr>
    </w:p>
    <w:p>
      <w:pPr>
        <w:pStyle w:val="ListParagraph"/>
        <w:numPr>
          <w:ilvl w:val="1"/>
          <w:numId w:val="34"/>
        </w:numPr>
        <w:tabs>
          <w:tab w:pos="4134" w:val="left" w:leader="none"/>
        </w:tabs>
        <w:spacing w:line="244" w:lineRule="auto" w:before="1" w:after="0"/>
        <w:ind w:left="3658" w:right="896" w:firstLine="0"/>
        <w:jc w:val="both"/>
        <w:rPr>
          <w:sz w:val="23"/>
        </w:rPr>
      </w:pPr>
      <w:r>
        <w:rPr/>
        <w:drawing>
          <wp:anchor distT="0" distB="0" distL="0" distR="0" allowOverlap="1" layoutInCell="1" locked="0" behindDoc="0" simplePos="0" relativeHeight="2440">
            <wp:simplePos x="0" y="0"/>
            <wp:positionH relativeFrom="page">
              <wp:posOffset>1091183</wp:posOffset>
            </wp:positionH>
            <wp:positionV relativeFrom="paragraph">
              <wp:posOffset>-97067</wp:posOffset>
            </wp:positionV>
            <wp:extent cx="2112264" cy="1322831"/>
            <wp:effectExtent l="0" t="0" r="0" b="0"/>
            <wp:wrapNone/>
            <wp:docPr id="35" name="image33.jpeg" descr=""/>
            <wp:cNvGraphicFramePr>
              <a:graphicFrameLocks noChangeAspect="1"/>
            </wp:cNvGraphicFramePr>
            <a:graphic>
              <a:graphicData uri="http://schemas.openxmlformats.org/drawingml/2006/picture">
                <pic:pic>
                  <pic:nvPicPr>
                    <pic:cNvPr id="36" name="image33.jpeg"/>
                    <pic:cNvPicPr/>
                  </pic:nvPicPr>
                  <pic:blipFill>
                    <a:blip r:embed="rId91" cstate="print"/>
                    <a:stretch>
                      <a:fillRect/>
                    </a:stretch>
                  </pic:blipFill>
                  <pic:spPr>
                    <a:xfrm>
                      <a:off x="0" y="0"/>
                      <a:ext cx="2112264" cy="1322831"/>
                    </a:xfrm>
                    <a:prstGeom prst="rect">
                      <a:avLst/>
                    </a:prstGeom>
                  </pic:spPr>
                </pic:pic>
              </a:graphicData>
            </a:graphic>
          </wp:anchor>
        </w:drawing>
      </w:r>
      <w:r>
        <w:rPr>
          <w:sz w:val="23"/>
        </w:rPr>
        <w:t>Especie en peligro de extinción, Venado de Cola Blanca (Odocoileus</w:t>
      </w:r>
      <w:r>
        <w:rPr>
          <w:spacing w:val="41"/>
          <w:sz w:val="23"/>
        </w:rPr>
        <w:t> </w:t>
      </w:r>
      <w:r>
        <w:rPr>
          <w:sz w:val="23"/>
        </w:rPr>
        <w:t>virginianus).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
        <w:rPr>
          <w:sz w:val="32"/>
        </w:rPr>
      </w:pPr>
    </w:p>
    <w:p>
      <w:pPr>
        <w:pStyle w:val="ListParagraph"/>
        <w:numPr>
          <w:ilvl w:val="1"/>
          <w:numId w:val="34"/>
        </w:numPr>
        <w:tabs>
          <w:tab w:pos="4062" w:val="left" w:leader="none"/>
        </w:tabs>
        <w:spacing w:line="244" w:lineRule="auto" w:before="0" w:after="0"/>
        <w:ind w:left="3528" w:right="890" w:firstLine="0"/>
        <w:jc w:val="both"/>
        <w:rPr>
          <w:sz w:val="23"/>
        </w:rPr>
      </w:pPr>
      <w:r>
        <w:rPr/>
        <w:drawing>
          <wp:anchor distT="0" distB="0" distL="0" distR="0" allowOverlap="1" layoutInCell="1" locked="0" behindDoc="0" simplePos="0" relativeHeight="2488">
            <wp:simplePos x="0" y="0"/>
            <wp:positionH relativeFrom="page">
              <wp:posOffset>1045463</wp:posOffset>
            </wp:positionH>
            <wp:positionV relativeFrom="paragraph">
              <wp:posOffset>-131230</wp:posOffset>
            </wp:positionV>
            <wp:extent cx="2081783" cy="2087879"/>
            <wp:effectExtent l="0" t="0" r="0" b="0"/>
            <wp:wrapNone/>
            <wp:docPr id="37" name="image34.jpeg" descr=""/>
            <wp:cNvGraphicFramePr>
              <a:graphicFrameLocks noChangeAspect="1"/>
            </wp:cNvGraphicFramePr>
            <a:graphic>
              <a:graphicData uri="http://schemas.openxmlformats.org/drawingml/2006/picture">
                <pic:pic>
                  <pic:nvPicPr>
                    <pic:cNvPr id="38" name="image34.jpeg"/>
                    <pic:cNvPicPr/>
                  </pic:nvPicPr>
                  <pic:blipFill>
                    <a:blip r:embed="rId92" cstate="print"/>
                    <a:stretch>
                      <a:fillRect/>
                    </a:stretch>
                  </pic:blipFill>
                  <pic:spPr>
                    <a:xfrm>
                      <a:off x="0" y="0"/>
                      <a:ext cx="2081783" cy="2087879"/>
                    </a:xfrm>
                    <a:prstGeom prst="rect">
                      <a:avLst/>
                    </a:prstGeom>
                  </pic:spPr>
                </pic:pic>
              </a:graphicData>
            </a:graphic>
          </wp:anchor>
        </w:drawing>
      </w:r>
      <w:r>
        <w:rPr>
          <w:sz w:val="23"/>
        </w:rPr>
        <w:t>Existen alrededor de 100 especies </w:t>
      </w:r>
      <w:r>
        <w:rPr>
          <w:spacing w:val="-3"/>
          <w:sz w:val="23"/>
        </w:rPr>
        <w:t>de </w:t>
      </w:r>
      <w:r>
        <w:rPr>
          <w:sz w:val="23"/>
        </w:rPr>
        <w:t>hongos  entre comestibles y  tóxicos,  como  algunas  especies de Amanita caesarea, Boletus edulis, Lactarius deliciosus, Amanita gematta, Amanita muscaria y Amanita</w:t>
      </w:r>
      <w:r>
        <w:rPr>
          <w:spacing w:val="22"/>
          <w:sz w:val="23"/>
        </w:rPr>
        <w:t> </w:t>
      </w:r>
      <w:r>
        <w:rPr>
          <w:sz w:val="23"/>
        </w:rPr>
        <w:t>pantherina.</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5"/>
        <w:rPr>
          <w:sz w:val="32"/>
        </w:rPr>
      </w:pPr>
    </w:p>
    <w:p>
      <w:pPr>
        <w:pStyle w:val="ListParagraph"/>
        <w:numPr>
          <w:ilvl w:val="1"/>
          <w:numId w:val="34"/>
        </w:numPr>
        <w:tabs>
          <w:tab w:pos="4225" w:val="left" w:leader="none"/>
        </w:tabs>
        <w:spacing w:line="242" w:lineRule="auto" w:before="1" w:after="0"/>
        <w:ind w:left="3764" w:right="893" w:firstLine="0"/>
        <w:jc w:val="both"/>
        <w:rPr>
          <w:sz w:val="23"/>
        </w:rPr>
      </w:pPr>
      <w:r>
        <w:rPr/>
        <w:drawing>
          <wp:anchor distT="0" distB="0" distL="0" distR="0" allowOverlap="1" layoutInCell="1" locked="0" behindDoc="0" simplePos="0" relativeHeight="2512">
            <wp:simplePos x="0" y="0"/>
            <wp:positionH relativeFrom="page">
              <wp:posOffset>1045463</wp:posOffset>
            </wp:positionH>
            <wp:positionV relativeFrom="paragraph">
              <wp:posOffset>70572</wp:posOffset>
            </wp:positionV>
            <wp:extent cx="2231136" cy="1490471"/>
            <wp:effectExtent l="0" t="0" r="0" b="0"/>
            <wp:wrapNone/>
            <wp:docPr id="39" name="image35.jpeg" descr=""/>
            <wp:cNvGraphicFramePr>
              <a:graphicFrameLocks noChangeAspect="1"/>
            </wp:cNvGraphicFramePr>
            <a:graphic>
              <a:graphicData uri="http://schemas.openxmlformats.org/drawingml/2006/picture">
                <pic:pic>
                  <pic:nvPicPr>
                    <pic:cNvPr id="40" name="image35.jpeg"/>
                    <pic:cNvPicPr/>
                  </pic:nvPicPr>
                  <pic:blipFill>
                    <a:blip r:embed="rId93" cstate="print"/>
                    <a:stretch>
                      <a:fillRect/>
                    </a:stretch>
                  </pic:blipFill>
                  <pic:spPr>
                    <a:xfrm>
                      <a:off x="0" y="0"/>
                      <a:ext cx="2231136" cy="1490471"/>
                    </a:xfrm>
                    <a:prstGeom prst="rect">
                      <a:avLst/>
                    </a:prstGeom>
                  </pic:spPr>
                </pic:pic>
              </a:graphicData>
            </a:graphic>
          </wp:anchor>
        </w:drawing>
      </w:r>
      <w:r>
        <w:rPr>
          <w:sz w:val="23"/>
        </w:rPr>
        <w:t>En el parque tienen origen numerosos </w:t>
      </w:r>
      <w:r>
        <w:rPr>
          <w:spacing w:val="-3"/>
          <w:sz w:val="23"/>
        </w:rPr>
        <w:t>arroyos </w:t>
      </w:r>
      <w:r>
        <w:rPr>
          <w:sz w:val="23"/>
        </w:rPr>
        <w:t>y pequeñas presas que todavía alimentan principalmente a </w:t>
      </w:r>
      <w:r>
        <w:rPr>
          <w:spacing w:val="-3"/>
          <w:sz w:val="23"/>
        </w:rPr>
        <w:t>dos </w:t>
      </w:r>
      <w:r>
        <w:rPr>
          <w:sz w:val="23"/>
        </w:rPr>
        <w:t>ríos del Valle de México: El Río Mixcoac y el Río</w:t>
      </w:r>
      <w:r>
        <w:rPr>
          <w:spacing w:val="29"/>
          <w:sz w:val="23"/>
        </w:rPr>
        <w:t> </w:t>
      </w:r>
      <w:r>
        <w:rPr>
          <w:sz w:val="23"/>
        </w:rPr>
        <w:t>Hondo.</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rPr>
          <w:sz w:val="30"/>
        </w:rPr>
      </w:pPr>
    </w:p>
    <w:p>
      <w:pPr>
        <w:pStyle w:val="Heading2"/>
        <w:spacing w:before="0"/>
        <w:ind w:left="351" w:right="989"/>
        <w:jc w:val="left"/>
      </w:pPr>
      <w:r>
        <w:rPr/>
        <w:t>Fotografías tomadas en la zona boscosa del Parque Nacional Desierto  Leones</w:t>
      </w:r>
    </w:p>
    <w:p>
      <w:pPr>
        <w:spacing w:after="0"/>
        <w:jc w:val="left"/>
        <w:sectPr>
          <w:headerReference w:type="default" r:id="rId89"/>
          <w:pgSz w:w="11910" w:h="16840"/>
          <w:pgMar w:header="1013" w:footer="1706" w:top="1480" w:bottom="1900" w:left="1540" w:right="200"/>
        </w:sectPr>
      </w:pPr>
    </w:p>
    <w:p>
      <w:pPr>
        <w:pStyle w:val="BodyText"/>
        <w:rPr>
          <w:b/>
          <w:sz w:val="20"/>
        </w:rPr>
      </w:pPr>
    </w:p>
    <w:p>
      <w:pPr>
        <w:pStyle w:val="BodyText"/>
        <w:spacing w:before="5"/>
        <w:rPr>
          <w:b/>
          <w:sz w:val="17"/>
        </w:rPr>
      </w:pPr>
    </w:p>
    <w:p>
      <w:pPr>
        <w:spacing w:before="73"/>
        <w:ind w:left="338" w:right="1134" w:firstLine="0"/>
        <w:jc w:val="center"/>
        <w:rPr>
          <w:b/>
          <w:sz w:val="23"/>
        </w:rPr>
      </w:pPr>
      <w:r>
        <w:rPr>
          <w:b/>
          <w:sz w:val="23"/>
        </w:rPr>
        <w:t>ANEXO 3. Impactos ambientales en el  parque</w:t>
      </w:r>
    </w:p>
    <w:p>
      <w:pPr>
        <w:pStyle w:val="BodyText"/>
        <w:spacing w:before="3"/>
        <w:rPr>
          <w:b/>
        </w:rPr>
      </w:pPr>
    </w:p>
    <w:p>
      <w:pPr>
        <w:pStyle w:val="ListParagraph"/>
        <w:numPr>
          <w:ilvl w:val="1"/>
          <w:numId w:val="35"/>
        </w:numPr>
        <w:tabs>
          <w:tab w:pos="572" w:val="left" w:leader="none"/>
        </w:tabs>
        <w:spacing w:line="244" w:lineRule="auto" w:before="1" w:after="0"/>
        <w:ind w:left="100" w:right="899" w:firstLine="0"/>
        <w:jc w:val="both"/>
        <w:rPr>
          <w:sz w:val="23"/>
        </w:rPr>
      </w:pPr>
      <w:r>
        <w:rPr/>
        <w:drawing>
          <wp:anchor distT="0" distB="0" distL="0" distR="0" allowOverlap="1" layoutInCell="1" locked="0" behindDoc="0" simplePos="0" relativeHeight="2536">
            <wp:simplePos x="0" y="0"/>
            <wp:positionH relativeFrom="page">
              <wp:posOffset>1688592</wp:posOffset>
            </wp:positionH>
            <wp:positionV relativeFrom="paragraph">
              <wp:posOffset>369276</wp:posOffset>
            </wp:positionV>
            <wp:extent cx="4379064" cy="3280505"/>
            <wp:effectExtent l="0" t="0" r="0" b="0"/>
            <wp:wrapTopAndBottom/>
            <wp:docPr id="41" name="image36.png" descr=""/>
            <wp:cNvGraphicFramePr>
              <a:graphicFrameLocks noChangeAspect="1"/>
            </wp:cNvGraphicFramePr>
            <a:graphic>
              <a:graphicData uri="http://schemas.openxmlformats.org/drawingml/2006/picture">
                <pic:pic>
                  <pic:nvPicPr>
                    <pic:cNvPr id="42" name="image36.png"/>
                    <pic:cNvPicPr/>
                  </pic:nvPicPr>
                  <pic:blipFill>
                    <a:blip r:embed="rId94" cstate="print"/>
                    <a:stretch>
                      <a:fillRect/>
                    </a:stretch>
                  </pic:blipFill>
                  <pic:spPr>
                    <a:xfrm>
                      <a:off x="0" y="0"/>
                      <a:ext cx="4379064" cy="3280505"/>
                    </a:xfrm>
                    <a:prstGeom prst="rect">
                      <a:avLst/>
                    </a:prstGeom>
                  </pic:spPr>
                </pic:pic>
              </a:graphicData>
            </a:graphic>
          </wp:anchor>
        </w:drawing>
      </w:r>
      <w:r>
        <w:rPr>
          <w:sz w:val="23"/>
        </w:rPr>
        <w:t>La acumulación de basura que se origina como consecuencia del comportamiento del visitante, ha ocasionado </w:t>
      </w:r>
      <w:r>
        <w:rPr>
          <w:spacing w:val="-3"/>
          <w:sz w:val="23"/>
        </w:rPr>
        <w:t>que </w:t>
      </w:r>
      <w:r>
        <w:rPr>
          <w:sz w:val="23"/>
        </w:rPr>
        <w:t>algunas especies de fauna se vean </w:t>
      </w:r>
      <w:r>
        <w:rPr>
          <w:spacing w:val="41"/>
          <w:sz w:val="23"/>
        </w:rPr>
        <w:t> </w:t>
      </w:r>
      <w:r>
        <w:rPr>
          <w:sz w:val="23"/>
        </w:rPr>
        <w:t>afectadas.</w:t>
      </w:r>
    </w:p>
    <w:p>
      <w:pPr>
        <w:spacing w:before="142"/>
        <w:ind w:left="338" w:right="1134" w:firstLine="0"/>
        <w:jc w:val="center"/>
        <w:rPr>
          <w:sz w:val="21"/>
        </w:rPr>
      </w:pPr>
      <w:r>
        <w:rPr>
          <w:sz w:val="21"/>
        </w:rPr>
        <w:t>Fotografías tomadas en el Parque Nacional Desierto  Leones.</w:t>
      </w:r>
    </w:p>
    <w:p>
      <w:pPr>
        <w:pStyle w:val="BodyText"/>
        <w:spacing w:before="3"/>
      </w:pPr>
    </w:p>
    <w:p>
      <w:pPr>
        <w:pStyle w:val="ListParagraph"/>
        <w:numPr>
          <w:ilvl w:val="1"/>
          <w:numId w:val="35"/>
        </w:numPr>
        <w:tabs>
          <w:tab w:pos="730" w:val="left" w:leader="none"/>
        </w:tabs>
        <w:spacing w:line="244" w:lineRule="auto" w:before="0" w:after="0"/>
        <w:ind w:left="100" w:right="897" w:firstLine="0"/>
        <w:jc w:val="both"/>
        <w:rPr>
          <w:sz w:val="23"/>
        </w:rPr>
      </w:pPr>
      <w:r>
        <w:rPr>
          <w:sz w:val="23"/>
        </w:rPr>
        <w:t>Las fuentes hídricas presentan problemas de contaminación causados principalmente por prendas de ropa que los visitantes dejan olvidadas cerca </w:t>
      </w:r>
      <w:r>
        <w:rPr>
          <w:spacing w:val="-3"/>
          <w:sz w:val="23"/>
        </w:rPr>
        <w:t>de </w:t>
      </w:r>
      <w:r>
        <w:rPr>
          <w:sz w:val="23"/>
        </w:rPr>
        <w:t>los arroyos y riachuelos que hay en el</w:t>
      </w:r>
      <w:r>
        <w:rPr>
          <w:spacing w:val="47"/>
          <w:sz w:val="23"/>
        </w:rPr>
        <w:t> </w:t>
      </w:r>
      <w:r>
        <w:rPr>
          <w:sz w:val="23"/>
        </w:rPr>
        <w:t>parque.</w:t>
      </w:r>
    </w:p>
    <w:p>
      <w:pPr>
        <w:pStyle w:val="BodyText"/>
        <w:spacing w:before="10"/>
        <w:rPr>
          <w:sz w:val="19"/>
        </w:rPr>
      </w:pPr>
      <w:r>
        <w:rPr/>
        <w:drawing>
          <wp:anchor distT="0" distB="0" distL="0" distR="0" allowOverlap="1" layoutInCell="1" locked="0" behindDoc="0" simplePos="0" relativeHeight="2560">
            <wp:simplePos x="0" y="0"/>
            <wp:positionH relativeFrom="page">
              <wp:posOffset>1118616</wp:posOffset>
            </wp:positionH>
            <wp:positionV relativeFrom="paragraph">
              <wp:posOffset>176098</wp:posOffset>
            </wp:positionV>
            <wp:extent cx="2676193" cy="1375981"/>
            <wp:effectExtent l="0" t="0" r="0" b="0"/>
            <wp:wrapTopAndBottom/>
            <wp:docPr id="43" name="image37.jpeg" descr=""/>
            <wp:cNvGraphicFramePr>
              <a:graphicFrameLocks noChangeAspect="1"/>
            </wp:cNvGraphicFramePr>
            <a:graphic>
              <a:graphicData uri="http://schemas.openxmlformats.org/drawingml/2006/picture">
                <pic:pic>
                  <pic:nvPicPr>
                    <pic:cNvPr id="44" name="image37.jpeg"/>
                    <pic:cNvPicPr/>
                  </pic:nvPicPr>
                  <pic:blipFill>
                    <a:blip r:embed="rId95" cstate="print"/>
                    <a:stretch>
                      <a:fillRect/>
                    </a:stretch>
                  </pic:blipFill>
                  <pic:spPr>
                    <a:xfrm>
                      <a:off x="0" y="0"/>
                      <a:ext cx="2676193" cy="1375981"/>
                    </a:xfrm>
                    <a:prstGeom prst="rect">
                      <a:avLst/>
                    </a:prstGeom>
                  </pic:spPr>
                </pic:pic>
              </a:graphicData>
            </a:graphic>
          </wp:anchor>
        </w:drawing>
      </w:r>
      <w:r>
        <w:rPr/>
        <w:drawing>
          <wp:anchor distT="0" distB="0" distL="0" distR="0" allowOverlap="1" layoutInCell="1" locked="0" behindDoc="0" simplePos="0" relativeHeight="2584">
            <wp:simplePos x="0" y="0"/>
            <wp:positionH relativeFrom="page">
              <wp:posOffset>4026408</wp:posOffset>
            </wp:positionH>
            <wp:positionV relativeFrom="paragraph">
              <wp:posOffset>170002</wp:posOffset>
            </wp:positionV>
            <wp:extent cx="2607430" cy="1470469"/>
            <wp:effectExtent l="0" t="0" r="0" b="0"/>
            <wp:wrapTopAndBottom/>
            <wp:docPr id="45" name="image38.jpeg" descr=""/>
            <wp:cNvGraphicFramePr>
              <a:graphicFrameLocks noChangeAspect="1"/>
            </wp:cNvGraphicFramePr>
            <a:graphic>
              <a:graphicData uri="http://schemas.openxmlformats.org/drawingml/2006/picture">
                <pic:pic>
                  <pic:nvPicPr>
                    <pic:cNvPr id="46" name="image38.jpeg"/>
                    <pic:cNvPicPr/>
                  </pic:nvPicPr>
                  <pic:blipFill>
                    <a:blip r:embed="rId96" cstate="print"/>
                    <a:stretch>
                      <a:fillRect/>
                    </a:stretch>
                  </pic:blipFill>
                  <pic:spPr>
                    <a:xfrm>
                      <a:off x="0" y="0"/>
                      <a:ext cx="2607430" cy="1470469"/>
                    </a:xfrm>
                    <a:prstGeom prst="rect">
                      <a:avLst/>
                    </a:prstGeom>
                  </pic:spPr>
                </pic:pic>
              </a:graphicData>
            </a:graphic>
          </wp:anchor>
        </w:drawing>
      </w:r>
    </w:p>
    <w:p>
      <w:pPr>
        <w:pStyle w:val="BodyText"/>
        <w:rPr>
          <w:sz w:val="22"/>
        </w:rPr>
      </w:pPr>
    </w:p>
    <w:p>
      <w:pPr>
        <w:pStyle w:val="BodyText"/>
        <w:rPr>
          <w:sz w:val="22"/>
        </w:rPr>
      </w:pPr>
    </w:p>
    <w:p>
      <w:pPr>
        <w:pStyle w:val="BodyText"/>
        <w:spacing w:before="6"/>
        <w:rPr>
          <w:sz w:val="32"/>
        </w:rPr>
      </w:pPr>
    </w:p>
    <w:p>
      <w:pPr>
        <w:spacing w:line="242" w:lineRule="auto" w:before="0"/>
        <w:ind w:left="6081" w:right="514" w:hanging="1258"/>
        <w:jc w:val="left"/>
        <w:rPr>
          <w:sz w:val="21"/>
        </w:rPr>
      </w:pPr>
      <w:r>
        <w:rPr/>
        <w:drawing>
          <wp:anchor distT="0" distB="0" distL="0" distR="0" allowOverlap="1" layoutInCell="1" locked="0" behindDoc="0" simplePos="0" relativeHeight="2608">
            <wp:simplePos x="0" y="0"/>
            <wp:positionH relativeFrom="page">
              <wp:posOffset>1152144</wp:posOffset>
            </wp:positionH>
            <wp:positionV relativeFrom="paragraph">
              <wp:posOffset>-454036</wp:posOffset>
            </wp:positionV>
            <wp:extent cx="2624328" cy="1478280"/>
            <wp:effectExtent l="0" t="0" r="0" b="0"/>
            <wp:wrapNone/>
            <wp:docPr id="47" name="image39.jpeg" descr=""/>
            <wp:cNvGraphicFramePr>
              <a:graphicFrameLocks noChangeAspect="1"/>
            </wp:cNvGraphicFramePr>
            <a:graphic>
              <a:graphicData uri="http://schemas.openxmlformats.org/drawingml/2006/picture">
                <pic:pic>
                  <pic:nvPicPr>
                    <pic:cNvPr id="48" name="image39.jpeg"/>
                    <pic:cNvPicPr/>
                  </pic:nvPicPr>
                  <pic:blipFill>
                    <a:blip r:embed="rId97" cstate="print"/>
                    <a:stretch>
                      <a:fillRect/>
                    </a:stretch>
                  </pic:blipFill>
                  <pic:spPr>
                    <a:xfrm>
                      <a:off x="0" y="0"/>
                      <a:ext cx="2624328" cy="1478280"/>
                    </a:xfrm>
                    <a:prstGeom prst="rect">
                      <a:avLst/>
                    </a:prstGeom>
                  </pic:spPr>
                </pic:pic>
              </a:graphicData>
            </a:graphic>
          </wp:anchor>
        </w:drawing>
      </w:r>
      <w:r>
        <w:rPr>
          <w:sz w:val="21"/>
        </w:rPr>
        <w:t>Fotografías tomadas en el Parque Nacional Desierto Leones.</w:t>
      </w:r>
    </w:p>
    <w:p>
      <w:pPr>
        <w:spacing w:after="0" w:line="242" w:lineRule="auto"/>
        <w:jc w:val="left"/>
        <w:rPr>
          <w:sz w:val="21"/>
        </w:rPr>
        <w:sectPr>
          <w:pgSz w:w="11910" w:h="16840"/>
          <w:pgMar w:header="1013" w:footer="1706" w:top="1480" w:bottom="1900" w:left="1560" w:right="200"/>
        </w:sectPr>
      </w:pPr>
    </w:p>
    <w:p>
      <w:pPr>
        <w:pStyle w:val="BodyText"/>
        <w:rPr>
          <w:sz w:val="20"/>
        </w:rPr>
      </w:pPr>
    </w:p>
    <w:p>
      <w:pPr>
        <w:pStyle w:val="BodyText"/>
        <w:spacing w:before="5"/>
        <w:rPr>
          <w:sz w:val="17"/>
        </w:rPr>
      </w:pPr>
    </w:p>
    <w:p>
      <w:pPr>
        <w:pStyle w:val="Heading2"/>
        <w:spacing w:before="73"/>
        <w:ind w:left="0" w:right="781"/>
        <w:jc w:val="center"/>
      </w:pPr>
      <w:r>
        <w:rPr/>
        <w:t>ANEXO 4. Uso Turístico en </w:t>
      </w:r>
      <w:r>
        <w:rPr>
          <w:spacing w:val="-3"/>
        </w:rPr>
        <w:t>el</w:t>
      </w:r>
      <w:r>
        <w:rPr>
          <w:spacing w:val="53"/>
        </w:rPr>
        <w:t> </w:t>
      </w:r>
      <w:r>
        <w:rPr/>
        <w:t>Parque</w:t>
      </w:r>
    </w:p>
    <w:p>
      <w:pPr>
        <w:pStyle w:val="BodyText"/>
        <w:spacing w:before="3"/>
        <w:rPr>
          <w:b/>
        </w:rPr>
      </w:pPr>
    </w:p>
    <w:p>
      <w:pPr>
        <w:pStyle w:val="BodyText"/>
        <w:spacing w:before="1"/>
        <w:ind w:right="779"/>
        <w:jc w:val="center"/>
      </w:pPr>
      <w:r>
        <w:rPr/>
        <w:t>Caminata y senderismo</w:t>
      </w:r>
    </w:p>
    <w:p>
      <w:pPr>
        <w:pStyle w:val="BodyText"/>
        <w:spacing w:before="9"/>
        <w:rPr>
          <w:sz w:val="17"/>
        </w:rPr>
      </w:pPr>
      <w:r>
        <w:rPr/>
        <w:drawing>
          <wp:anchor distT="0" distB="0" distL="0" distR="0" allowOverlap="1" layoutInCell="1" locked="0" behindDoc="0" simplePos="0" relativeHeight="2632">
            <wp:simplePos x="0" y="0"/>
            <wp:positionH relativeFrom="page">
              <wp:posOffset>1048511</wp:posOffset>
            </wp:positionH>
            <wp:positionV relativeFrom="paragraph">
              <wp:posOffset>154978</wp:posOffset>
            </wp:positionV>
            <wp:extent cx="3569847" cy="2678144"/>
            <wp:effectExtent l="0" t="0" r="0" b="0"/>
            <wp:wrapTopAndBottom/>
            <wp:docPr id="49" name="image40.png" descr=""/>
            <wp:cNvGraphicFramePr>
              <a:graphicFrameLocks noChangeAspect="1"/>
            </wp:cNvGraphicFramePr>
            <a:graphic>
              <a:graphicData uri="http://schemas.openxmlformats.org/drawingml/2006/picture">
                <pic:pic>
                  <pic:nvPicPr>
                    <pic:cNvPr id="50" name="image40.png"/>
                    <pic:cNvPicPr/>
                  </pic:nvPicPr>
                  <pic:blipFill>
                    <a:blip r:embed="rId98" cstate="print"/>
                    <a:stretch>
                      <a:fillRect/>
                    </a:stretch>
                  </pic:blipFill>
                  <pic:spPr>
                    <a:xfrm>
                      <a:off x="0" y="0"/>
                      <a:ext cx="3569847" cy="2678144"/>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4791455</wp:posOffset>
            </wp:positionH>
            <wp:positionV relativeFrom="paragraph">
              <wp:posOffset>154978</wp:posOffset>
            </wp:positionV>
            <wp:extent cx="1789101" cy="2698813"/>
            <wp:effectExtent l="0" t="0" r="0" b="0"/>
            <wp:wrapTopAndBottom/>
            <wp:docPr id="51" name="image41.jpeg" descr=""/>
            <wp:cNvGraphicFramePr>
              <a:graphicFrameLocks noChangeAspect="1"/>
            </wp:cNvGraphicFramePr>
            <a:graphic>
              <a:graphicData uri="http://schemas.openxmlformats.org/drawingml/2006/picture">
                <pic:pic>
                  <pic:nvPicPr>
                    <pic:cNvPr id="52" name="image41.jpeg"/>
                    <pic:cNvPicPr/>
                  </pic:nvPicPr>
                  <pic:blipFill>
                    <a:blip r:embed="rId99" cstate="print"/>
                    <a:stretch>
                      <a:fillRect/>
                    </a:stretch>
                  </pic:blipFill>
                  <pic:spPr>
                    <a:xfrm>
                      <a:off x="0" y="0"/>
                      <a:ext cx="1789101" cy="2698813"/>
                    </a:xfrm>
                    <a:prstGeom prst="rect">
                      <a:avLst/>
                    </a:prstGeom>
                  </pic:spPr>
                </pic:pic>
              </a:graphicData>
            </a:graphic>
          </wp:anchor>
        </w:drawing>
      </w:r>
    </w:p>
    <w:p>
      <w:pPr>
        <w:pStyle w:val="BodyText"/>
        <w:spacing w:before="4"/>
        <w:rPr>
          <w:sz w:val="27"/>
        </w:rPr>
      </w:pPr>
    </w:p>
    <w:p>
      <w:pPr>
        <w:pStyle w:val="BodyText"/>
        <w:ind w:right="774"/>
        <w:jc w:val="center"/>
      </w:pPr>
      <w:r>
        <w:rPr/>
        <w:t>Ciclismo de montaña</w:t>
      </w:r>
    </w:p>
    <w:p>
      <w:pPr>
        <w:pStyle w:val="BodyText"/>
        <w:spacing w:before="11"/>
        <w:rPr>
          <w:sz w:val="16"/>
        </w:rPr>
      </w:pPr>
      <w:r>
        <w:rPr/>
        <w:drawing>
          <wp:anchor distT="0" distB="0" distL="0" distR="0" allowOverlap="1" layoutInCell="1" locked="0" behindDoc="0" simplePos="0" relativeHeight="2680">
            <wp:simplePos x="0" y="0"/>
            <wp:positionH relativeFrom="page">
              <wp:posOffset>1319783</wp:posOffset>
            </wp:positionH>
            <wp:positionV relativeFrom="paragraph">
              <wp:posOffset>148881</wp:posOffset>
            </wp:positionV>
            <wp:extent cx="5527077" cy="3451764"/>
            <wp:effectExtent l="0" t="0" r="0" b="0"/>
            <wp:wrapTopAndBottom/>
            <wp:docPr id="53" name="image42.png" descr=""/>
            <wp:cNvGraphicFramePr>
              <a:graphicFrameLocks noChangeAspect="1"/>
            </wp:cNvGraphicFramePr>
            <a:graphic>
              <a:graphicData uri="http://schemas.openxmlformats.org/drawingml/2006/picture">
                <pic:pic>
                  <pic:nvPicPr>
                    <pic:cNvPr id="54" name="image42.png"/>
                    <pic:cNvPicPr/>
                  </pic:nvPicPr>
                  <pic:blipFill>
                    <a:blip r:embed="rId100" cstate="print"/>
                    <a:stretch>
                      <a:fillRect/>
                    </a:stretch>
                  </pic:blipFill>
                  <pic:spPr>
                    <a:xfrm>
                      <a:off x="0" y="0"/>
                      <a:ext cx="5527077" cy="3451764"/>
                    </a:xfrm>
                    <a:prstGeom prst="rect">
                      <a:avLst/>
                    </a:prstGeom>
                  </pic:spPr>
                </pic:pic>
              </a:graphicData>
            </a:graphic>
          </wp:anchor>
        </w:drawing>
      </w:r>
    </w:p>
    <w:p>
      <w:pPr>
        <w:pStyle w:val="BodyText"/>
        <w:rPr>
          <w:sz w:val="22"/>
        </w:rPr>
      </w:pPr>
    </w:p>
    <w:p>
      <w:pPr>
        <w:pStyle w:val="BodyText"/>
        <w:spacing w:before="4"/>
        <w:rPr>
          <w:sz w:val="20"/>
        </w:rPr>
      </w:pPr>
    </w:p>
    <w:p>
      <w:pPr>
        <w:pStyle w:val="Heading2"/>
        <w:numPr>
          <w:ilvl w:val="1"/>
          <w:numId w:val="36"/>
        </w:numPr>
        <w:tabs>
          <w:tab w:pos="1585" w:val="left" w:leader="none"/>
        </w:tabs>
        <w:spacing w:line="240" w:lineRule="auto" w:before="0" w:after="0"/>
        <w:ind w:left="1584" w:right="0" w:hanging="456"/>
        <w:jc w:val="left"/>
      </w:pPr>
      <w:r>
        <w:rPr/>
        <w:t>Fotografías tomadas </w:t>
      </w:r>
      <w:r>
        <w:rPr>
          <w:spacing w:val="-3"/>
        </w:rPr>
        <w:t>en </w:t>
      </w:r>
      <w:r>
        <w:rPr/>
        <w:t>el Parque Nacional Desierto </w:t>
      </w:r>
      <w:r>
        <w:rPr>
          <w:spacing w:val="20"/>
        </w:rPr>
        <w:t> </w:t>
      </w:r>
      <w:r>
        <w:rPr/>
        <w:t>Leones</w:t>
      </w:r>
    </w:p>
    <w:p>
      <w:pPr>
        <w:spacing w:after="0" w:line="240" w:lineRule="auto"/>
        <w:jc w:val="left"/>
        <w:sectPr>
          <w:pgSz w:w="11910" w:h="16840"/>
          <w:pgMar w:header="1013" w:footer="1706" w:top="1480" w:bottom="1900" w:left="1540" w:right="2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7"/>
        </w:rPr>
      </w:pPr>
    </w:p>
    <w:p>
      <w:pPr>
        <w:pStyle w:val="BodyText"/>
        <w:spacing w:before="74"/>
        <w:ind w:left="1387" w:right="514"/>
      </w:pPr>
      <w:r>
        <w:rPr/>
        <w:t>Zonas para cabalgar, área de fogatas y de convivencia  familiar.</w:t>
      </w:r>
    </w:p>
    <w:p>
      <w:pPr>
        <w:pStyle w:val="BodyText"/>
        <w:spacing w:before="10"/>
        <w:rPr>
          <w:sz w:val="14"/>
        </w:rPr>
      </w:pPr>
      <w:r>
        <w:rPr/>
        <w:drawing>
          <wp:anchor distT="0" distB="0" distL="0" distR="0" allowOverlap="1" layoutInCell="1" locked="0" behindDoc="0" simplePos="0" relativeHeight="2704">
            <wp:simplePos x="0" y="0"/>
            <wp:positionH relativeFrom="page">
              <wp:posOffset>1222247</wp:posOffset>
            </wp:positionH>
            <wp:positionV relativeFrom="paragraph">
              <wp:posOffset>133642</wp:posOffset>
            </wp:positionV>
            <wp:extent cx="5440762" cy="3070860"/>
            <wp:effectExtent l="0" t="0" r="0" b="0"/>
            <wp:wrapTopAndBottom/>
            <wp:docPr id="55" name="image43.png" descr=""/>
            <wp:cNvGraphicFramePr>
              <a:graphicFrameLocks noChangeAspect="1"/>
            </wp:cNvGraphicFramePr>
            <a:graphic>
              <a:graphicData uri="http://schemas.openxmlformats.org/drawingml/2006/picture">
                <pic:pic>
                  <pic:nvPicPr>
                    <pic:cNvPr id="56" name="image43.png"/>
                    <pic:cNvPicPr/>
                  </pic:nvPicPr>
                  <pic:blipFill>
                    <a:blip r:embed="rId101" cstate="print"/>
                    <a:stretch>
                      <a:fillRect/>
                    </a:stretch>
                  </pic:blipFill>
                  <pic:spPr>
                    <a:xfrm>
                      <a:off x="0" y="0"/>
                      <a:ext cx="5440762" cy="3070860"/>
                    </a:xfrm>
                    <a:prstGeom prst="rect">
                      <a:avLst/>
                    </a:prstGeom>
                  </pic:spPr>
                </pic:pic>
              </a:graphicData>
            </a:graphic>
          </wp:anchor>
        </w:drawing>
      </w:r>
      <w:r>
        <w:rPr/>
        <w:drawing>
          <wp:anchor distT="0" distB="0" distL="0" distR="0" allowOverlap="1" layoutInCell="1" locked="0" behindDoc="0" simplePos="0" relativeHeight="2728">
            <wp:simplePos x="0" y="0"/>
            <wp:positionH relativeFrom="page">
              <wp:posOffset>1222247</wp:posOffset>
            </wp:positionH>
            <wp:positionV relativeFrom="paragraph">
              <wp:posOffset>3449866</wp:posOffset>
            </wp:positionV>
            <wp:extent cx="5440762" cy="3070860"/>
            <wp:effectExtent l="0" t="0" r="0" b="0"/>
            <wp:wrapTopAndBottom/>
            <wp:docPr id="57" name="image44.png" descr=""/>
            <wp:cNvGraphicFramePr>
              <a:graphicFrameLocks noChangeAspect="1"/>
            </wp:cNvGraphicFramePr>
            <a:graphic>
              <a:graphicData uri="http://schemas.openxmlformats.org/drawingml/2006/picture">
                <pic:pic>
                  <pic:nvPicPr>
                    <pic:cNvPr id="58" name="image44.png"/>
                    <pic:cNvPicPr/>
                  </pic:nvPicPr>
                  <pic:blipFill>
                    <a:blip r:embed="rId102" cstate="print"/>
                    <a:stretch>
                      <a:fillRect/>
                    </a:stretch>
                  </pic:blipFill>
                  <pic:spPr>
                    <a:xfrm>
                      <a:off x="0" y="0"/>
                      <a:ext cx="5440762" cy="3070860"/>
                    </a:xfrm>
                    <a:prstGeom prst="rect">
                      <a:avLst/>
                    </a:prstGeom>
                  </pic:spPr>
                </pic:pic>
              </a:graphicData>
            </a:graphic>
          </wp:anchor>
        </w:drawing>
      </w:r>
    </w:p>
    <w:p>
      <w:pPr>
        <w:pStyle w:val="BodyText"/>
        <w:spacing w:before="7"/>
        <w:rPr>
          <w:sz w:val="27"/>
        </w:rPr>
      </w:pPr>
    </w:p>
    <w:p>
      <w:pPr>
        <w:pStyle w:val="BodyText"/>
        <w:rPr>
          <w:sz w:val="22"/>
        </w:rPr>
      </w:pPr>
    </w:p>
    <w:p>
      <w:pPr>
        <w:pStyle w:val="BodyText"/>
        <w:rPr>
          <w:sz w:val="22"/>
        </w:rPr>
      </w:pPr>
    </w:p>
    <w:p>
      <w:pPr>
        <w:pStyle w:val="BodyText"/>
        <w:spacing w:before="9"/>
        <w:rPr>
          <w:sz w:val="18"/>
        </w:rPr>
      </w:pPr>
    </w:p>
    <w:p>
      <w:pPr>
        <w:pStyle w:val="Heading2"/>
        <w:numPr>
          <w:ilvl w:val="1"/>
          <w:numId w:val="36"/>
        </w:numPr>
        <w:tabs>
          <w:tab w:pos="1536" w:val="left" w:leader="none"/>
        </w:tabs>
        <w:spacing w:line="240" w:lineRule="auto" w:before="0" w:after="0"/>
        <w:ind w:left="1536" w:right="0" w:hanging="456"/>
        <w:jc w:val="left"/>
      </w:pPr>
      <w:r>
        <w:rPr/>
        <w:t>Fotografías tomadas </w:t>
      </w:r>
      <w:r>
        <w:rPr>
          <w:spacing w:val="-3"/>
        </w:rPr>
        <w:t>en </w:t>
      </w:r>
      <w:r>
        <w:rPr/>
        <w:t>el Parque Nacional Desierto </w:t>
      </w:r>
      <w:r>
        <w:rPr>
          <w:spacing w:val="13"/>
        </w:rPr>
        <w:t> </w:t>
      </w:r>
      <w:r>
        <w:rPr/>
        <w:t>Leones.</w:t>
      </w:r>
    </w:p>
    <w:sectPr>
      <w:pgSz w:w="11910" w:h="16840"/>
      <w:pgMar w:header="1013" w:footer="1706" w:top="1480" w:bottom="1900" w:left="1560" w:right="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Gabriola">
    <w:altName w:val="Gabriola"/>
    <w:charset w:val="0"/>
    <w:family w:val="decorative"/>
    <w:pitch w:val="variable"/>
  </w:font>
  <w:font w:name="Symbol">
    <w:altName w:val="Symbol"/>
    <w:charset w:val="2"/>
    <w:family w:val="roman"/>
    <w:pitch w:val="variable"/>
  </w:font>
  <w:font w:name="Calibri">
    <w:altName w:val="Calibri"/>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479980pt;margin-top:745.121399pt;width:9.85pt;height:13.7pt;mso-position-horizontal-relative:page;mso-position-vertical-relative:page;z-index:-244024" type="#_x0000_t202" filled="false" stroked="false">
          <v:textbox inset="0,0,0,0">
            <w:txbxContent>
              <w:p>
                <w:pPr>
                  <w:pStyle w:val="BodyText"/>
                  <w:spacing w:line="258" w:lineRule="exact"/>
                  <w:ind w:left="40"/>
                  <w:rPr>
                    <w:rFonts w:ascii="Times New Roman"/>
                  </w:rPr>
                </w:pPr>
                <w:r>
                  <w:rPr/>
                  <w:fldChar w:fldCharType="begin"/>
                </w:r>
                <w:r>
                  <w:rPr>
                    <w:rFonts w:ascii="Times New Roman"/>
                    <w:w w:val="101"/>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60022pt;margin-top:745.361267pt;width:15.6pt;height:13.7pt;mso-position-horizontal-relative:page;mso-position-vertical-relative:page;z-index:-243472"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74</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6pt;height:13.7pt;mso-position-horizontal-relative:page;mso-position-vertical-relative:page;z-index:-243400"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80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6pt;height:13.7pt;mso-position-horizontal-relative:page;mso-position-vertical-relative:page;z-index:-243376"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90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6pt;height:13.7pt;mso-position-horizontal-relative:page;mso-position-vertical-relative:page;z-index:-24330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97</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19971pt;margin-top:745.121399pt;width:21.85pt;height:13.95pt;mso-position-horizontal-relative:page;mso-position-vertical-relative:page;z-index:-243280" type="#_x0000_t202" filled="false" stroked="false">
          <v:textbox inset="0,0,0,0">
            <w:txbxContent>
              <w:p>
                <w:pPr>
                  <w:pStyle w:val="BodyText"/>
                  <w:spacing w:line="263" w:lineRule="exact"/>
                  <w:ind w:left="44"/>
                  <w:rPr>
                    <w:rFonts w:ascii="Times New Roman"/>
                  </w:rPr>
                </w:pPr>
                <w:r>
                  <w:rPr/>
                  <w:fldChar w:fldCharType="begin"/>
                </w:r>
                <w:r>
                  <w:rPr>
                    <w:rFonts w:ascii="Times New Roman"/>
                  </w:rPr>
                  <w:instrText> PAGE </w:instrText>
                </w:r>
                <w:r>
                  <w:rPr/>
                  <w:fldChar w:fldCharType="separate"/>
                </w:r>
                <w:r>
                  <w:rPr/>
                  <w:t>105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960022pt;margin-top:745.361267pt;width:21.6pt;height:13.7pt;mso-position-horizontal-relative:page;mso-position-vertical-relative:page;z-index:-243256"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105</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19971pt;margin-top:745.121399pt;width:21.6pt;height:13.7pt;mso-position-horizontal-relative:page;mso-position-vertical-relative:page;z-index:-24318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110</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19971pt;margin-top:745.121399pt;width:21.6pt;height:13.7pt;mso-position-horizontal-relative:page;mso-position-vertical-relative:page;z-index:-243160"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122</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19971pt;margin-top:745.121399pt;width:21.85pt;height:13.95pt;mso-position-horizontal-relative:page;mso-position-vertical-relative:page;z-index:-243136" type="#_x0000_t202" filled="false" stroked="false">
          <v:textbox inset="0,0,0,0">
            <w:txbxContent>
              <w:p>
                <w:pPr>
                  <w:pStyle w:val="BodyText"/>
                  <w:spacing w:line="263" w:lineRule="exact"/>
                  <w:ind w:left="44"/>
                  <w:rPr>
                    <w:rFonts w:ascii="Times New Roman"/>
                  </w:rPr>
                </w:pPr>
                <w:r>
                  <w:rPr/>
                  <w:fldChar w:fldCharType="begin"/>
                </w:r>
                <w:r>
                  <w:rPr>
                    <w:rFonts w:ascii="Times New Roman"/>
                  </w:rPr>
                  <w:instrText> PAGE </w:instrText>
                </w:r>
                <w:r>
                  <w:rPr/>
                  <w:fldChar w:fldCharType="separate"/>
                </w:r>
                <w:r>
                  <w:rPr/>
                  <w:t>139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85pt;height:13.95pt;mso-position-horizontal-relative:page;mso-position-vertical-relative:page;z-index:-244000" type="#_x0000_t202" filled="false" stroked="false">
          <v:textbox inset="0,0,0,0">
            <w:txbxContent>
              <w:p>
                <w:pPr>
                  <w:pStyle w:val="BodyText"/>
                  <w:spacing w:line="263" w:lineRule="exact"/>
                  <w:ind w:left="44"/>
                  <w:rPr>
                    <w:rFonts w:ascii="Times New Roman"/>
                  </w:rPr>
                </w:pPr>
                <w:r>
                  <w:rPr/>
                  <w:fldChar w:fldCharType="begin"/>
                </w:r>
                <w:r>
                  <w:rPr>
                    <w:rFonts w:ascii="Times New Roman"/>
                  </w:rPr>
                  <w:instrText> PAGE </w:instrText>
                </w:r>
                <w:r>
                  <w:rPr/>
                  <w:fldChar w:fldCharType="separate"/>
                </w:r>
                <w:r>
                  <w:rPr/>
                  <w:t>11</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960022pt;margin-top:745.361267pt;width:21.6pt;height:13.7pt;mso-position-horizontal-relative:page;mso-position-vertical-relative:page;z-index:-243112"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139</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19971pt;margin-top:745.121399pt;width:21.85pt;height:13.95pt;mso-position-horizontal-relative:page;mso-position-vertical-relative:page;z-index:-243088" type="#_x0000_t202" filled="false" stroked="false">
          <v:textbox inset="0,0,0,0">
            <w:txbxContent>
              <w:p>
                <w:pPr>
                  <w:pStyle w:val="BodyText"/>
                  <w:spacing w:line="263" w:lineRule="exact"/>
                  <w:ind w:left="44"/>
                  <w:rPr>
                    <w:rFonts w:ascii="Times New Roman"/>
                  </w:rPr>
                </w:pPr>
                <w:r>
                  <w:rPr/>
                  <w:fldChar w:fldCharType="begin"/>
                </w:r>
                <w:r>
                  <w:rPr>
                    <w:rFonts w:ascii="Times New Roman"/>
                  </w:rPr>
                  <w:instrText> PAGE </w:instrText>
                </w:r>
                <w:r>
                  <w:rPr/>
                  <w:fldChar w:fldCharType="separate"/>
                </w:r>
                <w:r>
                  <w:rPr/>
                  <w:t>141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6pt;height:13.7pt;mso-position-horizontal-relative:page;mso-position-vertical-relative:page;z-index:-243880"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29</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85pt;height:13.95pt;mso-position-horizontal-relative:page;mso-position-vertical-relative:page;z-index:-243808" type="#_x0000_t202" filled="false" stroked="false">
          <v:textbox inset="0,0,0,0">
            <w:txbxContent>
              <w:p>
                <w:pPr>
                  <w:pStyle w:val="BodyText"/>
                  <w:spacing w:line="263" w:lineRule="exact"/>
                  <w:ind w:left="44"/>
                  <w:rPr>
                    <w:rFonts w:ascii="Times New Roman"/>
                  </w:rPr>
                </w:pPr>
                <w:r>
                  <w:rPr/>
                  <w:fldChar w:fldCharType="begin"/>
                </w:r>
                <w:r>
                  <w:rPr>
                    <w:rFonts w:ascii="Times New Roman"/>
                  </w:rPr>
                  <w:instrText> PAGE </w:instrText>
                </w:r>
                <w:r>
                  <w:rPr/>
                  <w:fldChar w:fldCharType="separate"/>
                </w:r>
                <w:r>
                  <w:rPr/>
                  <w:t>35</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6pt;height:13.7pt;mso-position-horizontal-relative:page;mso-position-vertical-relative:page;z-index:-24378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32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85pt;height:13.95pt;mso-position-horizontal-relative:page;mso-position-vertical-relative:page;z-index:-243664" type="#_x0000_t202" filled="false" stroked="false">
          <v:textbox inset="0,0,0,0">
            <w:txbxContent>
              <w:p>
                <w:pPr>
                  <w:pStyle w:val="BodyText"/>
                  <w:spacing w:line="263" w:lineRule="exact"/>
                  <w:ind w:left="44"/>
                  <w:rPr>
                    <w:rFonts w:ascii="Times New Roman"/>
                  </w:rPr>
                </w:pPr>
                <w:r>
                  <w:rPr/>
                  <w:fldChar w:fldCharType="begin"/>
                </w:r>
                <w:r>
                  <w:rPr>
                    <w:rFonts w:ascii="Times New Roman"/>
                  </w:rPr>
                  <w:instrText> PAGE </w:instrText>
                </w:r>
                <w:r>
                  <w:rPr/>
                  <w:fldChar w:fldCharType="separate"/>
                </w:r>
                <w:r>
                  <w:rPr/>
                  <w:t>46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6pt;height:13.7pt;mso-position-horizontal-relative:page;mso-position-vertical-relative:page;z-index:-243544"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50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6pt;height:13.7pt;mso-position-horizontal-relative:page;mso-position-vertical-relative:page;z-index:-243520" type="#_x0000_t202" filled="false" stroked="false">
          <v:textbox inset="0,0,0,0">
            <w:txbxContent>
              <w:p>
                <w:pPr>
                  <w:pStyle w:val="BodyText"/>
                  <w:spacing w:line="258" w:lineRule="exact"/>
                  <w:ind w:left="40"/>
                  <w:rPr>
                    <w:rFonts w:ascii="Times New Roman"/>
                  </w:rPr>
                </w:pPr>
                <w:r>
                  <w:rPr/>
                  <w:fldChar w:fldCharType="begin"/>
                </w:r>
                <w:r>
                  <w:rPr>
                    <w:rFonts w:ascii="Times New Roman"/>
                  </w:rPr>
                  <w:instrText> PAGE </w:instrText>
                </w:r>
                <w:r>
                  <w:rPr/>
                  <w:fldChar w:fldCharType="separate"/>
                </w:r>
                <w:r>
                  <w:rPr/>
                  <w:t>60</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719971pt;margin-top:745.121399pt;width:15.85pt;height:13.95pt;mso-position-horizontal-relative:page;mso-position-vertical-relative:page;z-index:-243496" type="#_x0000_t202" filled="false" stroked="false">
          <v:textbox inset="0,0,0,0">
            <w:txbxContent>
              <w:p>
                <w:pPr>
                  <w:pStyle w:val="BodyText"/>
                  <w:spacing w:line="263" w:lineRule="exact"/>
                  <w:ind w:left="44"/>
                  <w:rPr>
                    <w:rFonts w:ascii="Times New Roman"/>
                  </w:rPr>
                </w:pPr>
                <w:r>
                  <w:rPr/>
                  <w:fldChar w:fldCharType="begin"/>
                </w:r>
                <w:r>
                  <w:rPr>
                    <w:rFonts w:ascii="Times New Roman"/>
                  </w:rPr>
                  <w:instrText> PAGE </w:instrText>
                </w:r>
                <w:r>
                  <w:rPr/>
                  <w:fldChar w:fldCharType="separate"/>
                </w:r>
                <w:r>
                  <w:rPr/>
                  <w:t>74</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4.400024pt;margin-top:53.280014pt;width:55.2pt;height:13.44pt;mso-position-horizontal-relative:page;mso-position-vertical-relative:page;z-index:-244072" filled="true" fillcolor="#4f81bd" stroked="false">
          <v:fill type="solid"/>
          <w10:wrap type="none"/>
        </v:rect>
      </w:pict>
    </w:r>
    <w:r>
      <w:rPr/>
      <w:pict>
        <v:shape style="position:absolute;margin-left:124.760002pt;margin-top:59.098141pt;width:373.85pt;height:15.55pt;mso-position-horizontal-relative:page;mso-position-vertical-relative:page;z-index:-244048"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4.400024pt;margin-top:53.280014pt;width:55.2pt;height:13.44pt;mso-position-horizontal-relative:page;mso-position-vertical-relative:page;z-index:-243448" filled="true" fillcolor="#4f81bd" stroked="false">
          <v:fill type="solid"/>
          <w10:wrap type="none"/>
        </v:rect>
      </w:pict>
    </w:r>
    <w:r>
      <w:rPr/>
      <w:pict>
        <v:shape style="position:absolute;margin-left:124.760002pt;margin-top:59.098141pt;width:373.6pt;height:15.55pt;mso-position-horizontal-relative:page;mso-position-vertical-relative:page;z-index:-243424"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4.400024pt;margin-top:53.280014pt;width:55.2pt;height:13.44pt;mso-position-horizontal-relative:page;mso-position-vertical-relative:page;z-index:-243352" filled="true" fillcolor="#4f81bd" stroked="false">
          <v:fill type="solid"/>
          <w10:wrap type="none"/>
        </v:rect>
      </w:pict>
    </w:r>
    <w:r>
      <w:rPr/>
      <w:pict>
        <v:shape style="position:absolute;margin-left:124.760002pt;margin-top:59.098141pt;width:373.6pt;height:15.55pt;mso-position-horizontal-relative:page;mso-position-vertical-relative:page;z-index:-243328"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4.400024pt;margin-top:53.280014pt;width:55.2pt;height:13.44pt;mso-position-horizontal-relative:page;mso-position-vertical-relative:page;z-index:-243232" filled="true" fillcolor="#4f81bd" stroked="false">
          <v:fill type="solid"/>
          <w10:wrap type="none"/>
        </v:rect>
      </w:pict>
    </w:r>
    <w:r>
      <w:rPr/>
      <w:pict>
        <v:shape style="position:absolute;margin-left:124.760002pt;margin-top:59.098141pt;width:373.6pt;height:15.55pt;mso-position-horizontal-relative:page;mso-position-vertical-relative:page;z-index:-243208"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040001pt;margin-top:50.640015pt;width:496.8pt;height:23.55pt;mso-position-horizontal-relative:page;mso-position-vertical-relative:page;z-index:-243064" coordorigin="1661,1013" coordsize="9936,471">
          <v:shape style="position:absolute;left:10483;top:1061;width:1114;height:278" type="#_x0000_t75" stroked="false">
            <v:imagedata r:id="rId1" o:title=""/>
          </v:shape>
          <v:shape style="position:absolute;left:1661;top:1013;width:9158;height:470" type="#_x0000_t75" stroked="false">
            <v:imagedata r:id="rId2" o:title=""/>
          </v:shape>
          <w10:wrap type="none"/>
        </v:group>
      </w:pict>
    </w:r>
    <w:r>
      <w:rPr/>
      <w:pict>
        <v:shape style="position:absolute;margin-left:125pt;margin-top:59.338001pt;width:373.6pt;height:15.55pt;mso-position-horizontal-relative:page;mso-position-vertical-relative:page;z-index:-243040"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040001pt;margin-top:50.640015pt;width:496.8pt;height:23.55pt;mso-position-horizontal-relative:page;mso-position-vertical-relative:page;z-index:-243976" coordorigin="1661,1013" coordsize="9936,471">
          <v:shape style="position:absolute;left:10483;top:1061;width:1114;height:278" type="#_x0000_t75" stroked="false">
            <v:imagedata r:id="rId1" o:title=""/>
          </v:shape>
          <v:shape style="position:absolute;left:1661;top:1013;width:9158;height:470" type="#_x0000_t75" stroked="false">
            <v:imagedata r:id="rId2" o:title=""/>
          </v:shape>
          <w10:wrap type="none"/>
        </v:group>
      </w:pict>
    </w:r>
    <w:r>
      <w:rPr/>
      <w:pict>
        <v:shape style="position:absolute;margin-left:125pt;margin-top:59.338001pt;width:373.6pt;height:15.55pt;mso-position-horizontal-relative:page;mso-position-vertical-relative:page;z-index:-243952"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4.400024pt;margin-top:53.280014pt;width:55.2pt;height:13.44pt;mso-position-horizontal-relative:page;mso-position-vertical-relative:page;z-index:-243928" filled="true" fillcolor="#4f81bd" stroked="false">
          <v:fill type="solid"/>
          <w10:wrap type="none"/>
        </v:rect>
      </w:pict>
    </w:r>
    <w:r>
      <w:rPr/>
      <w:pict>
        <v:shape style="position:absolute;margin-left:124.760002pt;margin-top:59.098141pt;width:373.6pt;height:15.55pt;mso-position-horizontal-relative:page;mso-position-vertical-relative:page;z-index:-243904"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040001pt;margin-top:50.640015pt;width:496.8pt;height:23.55pt;mso-position-horizontal-relative:page;mso-position-vertical-relative:page;z-index:-243856" coordorigin="1661,1013" coordsize="9936,471">
          <v:shape style="position:absolute;left:10483;top:1061;width:1114;height:278" type="#_x0000_t75" stroked="false">
            <v:imagedata r:id="rId1" o:title=""/>
          </v:shape>
          <v:shape style="position:absolute;left:1661;top:1013;width:9158;height:470" type="#_x0000_t75" stroked="false">
            <v:imagedata r:id="rId2" o:title=""/>
          </v:shape>
          <w10:wrap type="none"/>
        </v:group>
      </w:pict>
    </w:r>
    <w:r>
      <w:rPr/>
      <w:pict>
        <v:shape style="position:absolute;margin-left:125pt;margin-top:59.338001pt;width:373.6pt;height:15.55pt;mso-position-horizontal-relative:page;mso-position-vertical-relative:page;z-index:-243832"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040001pt;margin-top:50.640015pt;width:496.8pt;height:23.55pt;mso-position-horizontal-relative:page;mso-position-vertical-relative:page;z-index:-243760" coordorigin="1661,1013" coordsize="9936,471">
          <v:shape style="position:absolute;left:10483;top:1061;width:1114;height:278" type="#_x0000_t75" stroked="false">
            <v:imagedata r:id="rId1" o:title=""/>
          </v:shape>
          <v:shape style="position:absolute;left:1661;top:1013;width:9158;height:470" type="#_x0000_t75" stroked="false">
            <v:imagedata r:id="rId2" o:title=""/>
          </v:shape>
          <w10:wrap type="none"/>
        </v:group>
      </w:pict>
    </w:r>
    <w:r>
      <w:rPr/>
      <w:pict>
        <v:shape style="position:absolute;margin-left:125pt;margin-top:59.338001pt;width:373.6pt;height:15.55pt;mso-position-horizontal-relative:page;mso-position-vertical-relative:page;z-index:-243736"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4.400024pt;margin-top:53.280014pt;width:55.2pt;height:13.44pt;mso-position-horizontal-relative:page;mso-position-vertical-relative:page;z-index:-243712" filled="true" fillcolor="#4f81bd" stroked="false">
          <v:fill type="solid"/>
          <w10:wrap type="none"/>
        </v:rect>
      </w:pict>
    </w:r>
    <w:r>
      <w:rPr/>
      <w:pict>
        <v:shape style="position:absolute;margin-left:124.760002pt;margin-top:59.098141pt;width:373.6pt;height:15.55pt;mso-position-horizontal-relative:page;mso-position-vertical-relative:page;z-index:-243688"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040001pt;margin-top:50.640015pt;width:496.8pt;height:23.55pt;mso-position-horizontal-relative:page;mso-position-vertical-relative:page;z-index:-243640" coordorigin="1661,1013" coordsize="9936,471">
          <v:shape style="position:absolute;left:10483;top:1061;width:1114;height:278" type="#_x0000_t75" stroked="false">
            <v:imagedata r:id="rId1" o:title=""/>
          </v:shape>
          <v:shape style="position:absolute;left:1661;top:1013;width:9158;height:470" type="#_x0000_t75" stroked="false">
            <v:imagedata r:id="rId2" o:title=""/>
          </v:shape>
          <w10:wrap type="none"/>
        </v:group>
      </w:pict>
    </w:r>
    <w:r>
      <w:rPr/>
      <w:pict>
        <v:shape style="position:absolute;margin-left:125pt;margin-top:59.338001pt;width:373.6pt;height:15.55pt;mso-position-horizontal-relative:page;mso-position-vertical-relative:page;z-index:-243616"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24.400024pt;margin-top:53.280014pt;width:55.2pt;height:13.44pt;mso-position-horizontal-relative:page;mso-position-vertical-relative:page;z-index:-243592" filled="true" fillcolor="#4f81bd" stroked="false">
          <v:fill type="solid"/>
          <w10:wrap type="none"/>
        </v:rect>
      </w:pict>
    </w:r>
    <w:r>
      <w:rPr/>
      <w:pict>
        <v:shape style="position:absolute;margin-left:124.760002pt;margin-top:59.098141pt;width:373.6pt;height:15.55pt;mso-position-horizontal-relative:page;mso-position-vertical-relative:page;z-index:-243568" type="#_x0000_t202" filled="false" stroked="false">
          <v:textbox inset="0,0,0,0">
            <w:txbxContent>
              <w:p>
                <w:pPr>
                  <w:spacing w:line="311" w:lineRule="exact" w:before="0"/>
                  <w:ind w:left="20" w:right="0" w:firstLine="0"/>
                  <w:jc w:val="left"/>
                  <w:rPr>
                    <w:rFonts w:ascii="Gabriola"/>
                    <w:sz w:val="27"/>
                  </w:rPr>
                </w:pPr>
                <w:r>
                  <w:rPr>
                    <w:rFonts w:ascii="Gabriola"/>
                    <w:sz w:val="27"/>
                  </w:rPr>
                  <w:t>Comportamiento Proambiental del Visitante en el Parque Nacional Desierto de los Leones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5">
    <w:multiLevelType w:val="hybridMultilevel"/>
    <w:lvl w:ilvl="0">
      <w:start w:val="4"/>
      <w:numFmt w:val="decimal"/>
      <w:lvlText w:val="%1"/>
      <w:lvlJc w:val="left"/>
      <w:pPr>
        <w:ind w:left="1584" w:hanging="456"/>
        <w:jc w:val="left"/>
      </w:pPr>
      <w:rPr>
        <w:rFonts w:hint="default"/>
      </w:rPr>
    </w:lvl>
    <w:lvl w:ilvl="1">
      <w:start w:val="1"/>
      <w:numFmt w:val="decimal"/>
      <w:lvlText w:val="%1.%2."/>
      <w:lvlJc w:val="left"/>
      <w:pPr>
        <w:ind w:left="1584" w:hanging="456"/>
        <w:jc w:val="left"/>
      </w:pPr>
      <w:rPr>
        <w:rFonts w:hint="default" w:ascii="Arial" w:hAnsi="Arial" w:eastAsia="Arial" w:cs="Arial"/>
        <w:b/>
        <w:bCs/>
        <w:spacing w:val="-1"/>
        <w:w w:val="101"/>
        <w:sz w:val="23"/>
        <w:szCs w:val="23"/>
      </w:rPr>
    </w:lvl>
    <w:lvl w:ilvl="2">
      <w:start w:val="1"/>
      <w:numFmt w:val="bullet"/>
      <w:lvlText w:val="•"/>
      <w:lvlJc w:val="left"/>
      <w:pPr>
        <w:ind w:left="3297" w:hanging="456"/>
      </w:pPr>
      <w:rPr>
        <w:rFonts w:hint="default"/>
      </w:rPr>
    </w:lvl>
    <w:lvl w:ilvl="3">
      <w:start w:val="1"/>
      <w:numFmt w:val="bullet"/>
      <w:lvlText w:val="•"/>
      <w:lvlJc w:val="left"/>
      <w:pPr>
        <w:ind w:left="4155" w:hanging="456"/>
      </w:pPr>
      <w:rPr>
        <w:rFonts w:hint="default"/>
      </w:rPr>
    </w:lvl>
    <w:lvl w:ilvl="4">
      <w:start w:val="1"/>
      <w:numFmt w:val="bullet"/>
      <w:lvlText w:val="•"/>
      <w:lvlJc w:val="left"/>
      <w:pPr>
        <w:ind w:left="5014" w:hanging="456"/>
      </w:pPr>
      <w:rPr>
        <w:rFonts w:hint="default"/>
      </w:rPr>
    </w:lvl>
    <w:lvl w:ilvl="5">
      <w:start w:val="1"/>
      <w:numFmt w:val="bullet"/>
      <w:lvlText w:val="•"/>
      <w:lvlJc w:val="left"/>
      <w:pPr>
        <w:ind w:left="5872" w:hanging="456"/>
      </w:pPr>
      <w:rPr>
        <w:rFonts w:hint="default"/>
      </w:rPr>
    </w:lvl>
    <w:lvl w:ilvl="6">
      <w:start w:val="1"/>
      <w:numFmt w:val="bullet"/>
      <w:lvlText w:val="•"/>
      <w:lvlJc w:val="left"/>
      <w:pPr>
        <w:ind w:left="6731" w:hanging="456"/>
      </w:pPr>
      <w:rPr>
        <w:rFonts w:hint="default"/>
      </w:rPr>
    </w:lvl>
    <w:lvl w:ilvl="7">
      <w:start w:val="1"/>
      <w:numFmt w:val="bullet"/>
      <w:lvlText w:val="•"/>
      <w:lvlJc w:val="left"/>
      <w:pPr>
        <w:ind w:left="7589" w:hanging="456"/>
      </w:pPr>
      <w:rPr>
        <w:rFonts w:hint="default"/>
      </w:rPr>
    </w:lvl>
    <w:lvl w:ilvl="8">
      <w:start w:val="1"/>
      <w:numFmt w:val="bullet"/>
      <w:lvlText w:val="•"/>
      <w:lvlJc w:val="left"/>
      <w:pPr>
        <w:ind w:left="8448" w:hanging="456"/>
      </w:pPr>
      <w:rPr>
        <w:rFonts w:hint="default"/>
      </w:rPr>
    </w:lvl>
  </w:abstractNum>
  <w:abstractNum w:abstractNumId="34">
    <w:multiLevelType w:val="hybridMultilevel"/>
    <w:lvl w:ilvl="0">
      <w:start w:val="3"/>
      <w:numFmt w:val="decimal"/>
      <w:lvlText w:val="%1"/>
      <w:lvlJc w:val="left"/>
      <w:pPr>
        <w:ind w:left="100" w:hanging="471"/>
        <w:jc w:val="left"/>
      </w:pPr>
      <w:rPr>
        <w:rFonts w:hint="default"/>
      </w:rPr>
    </w:lvl>
    <w:lvl w:ilvl="1">
      <w:start w:val="1"/>
      <w:numFmt w:val="decimal"/>
      <w:lvlText w:val="%1.%2."/>
      <w:lvlJc w:val="left"/>
      <w:pPr>
        <w:ind w:left="100" w:hanging="471"/>
        <w:jc w:val="left"/>
      </w:pPr>
      <w:rPr>
        <w:rFonts w:hint="default" w:ascii="Arial" w:hAnsi="Arial" w:eastAsia="Arial" w:cs="Arial"/>
        <w:b/>
        <w:bCs/>
        <w:spacing w:val="-3"/>
        <w:w w:val="101"/>
        <w:sz w:val="23"/>
        <w:szCs w:val="23"/>
      </w:rPr>
    </w:lvl>
    <w:lvl w:ilvl="2">
      <w:start w:val="1"/>
      <w:numFmt w:val="bullet"/>
      <w:lvlText w:val="•"/>
      <w:lvlJc w:val="left"/>
      <w:pPr>
        <w:ind w:left="2109" w:hanging="471"/>
      </w:pPr>
      <w:rPr>
        <w:rFonts w:hint="default"/>
      </w:rPr>
    </w:lvl>
    <w:lvl w:ilvl="3">
      <w:start w:val="1"/>
      <w:numFmt w:val="bullet"/>
      <w:lvlText w:val="•"/>
      <w:lvlJc w:val="left"/>
      <w:pPr>
        <w:ind w:left="3113" w:hanging="471"/>
      </w:pPr>
      <w:rPr>
        <w:rFonts w:hint="default"/>
      </w:rPr>
    </w:lvl>
    <w:lvl w:ilvl="4">
      <w:start w:val="1"/>
      <w:numFmt w:val="bullet"/>
      <w:lvlText w:val="•"/>
      <w:lvlJc w:val="left"/>
      <w:pPr>
        <w:ind w:left="4118" w:hanging="471"/>
      </w:pPr>
      <w:rPr>
        <w:rFonts w:hint="default"/>
      </w:rPr>
    </w:lvl>
    <w:lvl w:ilvl="5">
      <w:start w:val="1"/>
      <w:numFmt w:val="bullet"/>
      <w:lvlText w:val="•"/>
      <w:lvlJc w:val="left"/>
      <w:pPr>
        <w:ind w:left="5122" w:hanging="471"/>
      </w:pPr>
      <w:rPr>
        <w:rFonts w:hint="default"/>
      </w:rPr>
    </w:lvl>
    <w:lvl w:ilvl="6">
      <w:start w:val="1"/>
      <w:numFmt w:val="bullet"/>
      <w:lvlText w:val="•"/>
      <w:lvlJc w:val="left"/>
      <w:pPr>
        <w:ind w:left="6127" w:hanging="471"/>
      </w:pPr>
      <w:rPr>
        <w:rFonts w:hint="default"/>
      </w:rPr>
    </w:lvl>
    <w:lvl w:ilvl="7">
      <w:start w:val="1"/>
      <w:numFmt w:val="bullet"/>
      <w:lvlText w:val="•"/>
      <w:lvlJc w:val="left"/>
      <w:pPr>
        <w:ind w:left="7131" w:hanging="471"/>
      </w:pPr>
      <w:rPr>
        <w:rFonts w:hint="default"/>
      </w:rPr>
    </w:lvl>
    <w:lvl w:ilvl="8">
      <w:start w:val="1"/>
      <w:numFmt w:val="bullet"/>
      <w:lvlText w:val="•"/>
      <w:lvlJc w:val="left"/>
      <w:pPr>
        <w:ind w:left="8136" w:hanging="471"/>
      </w:pPr>
      <w:rPr>
        <w:rFonts w:hint="default"/>
      </w:rPr>
    </w:lvl>
  </w:abstractNum>
  <w:abstractNum w:abstractNumId="33">
    <w:multiLevelType w:val="hybridMultilevel"/>
    <w:lvl w:ilvl="0">
      <w:start w:val="2"/>
      <w:numFmt w:val="decimal"/>
      <w:lvlText w:val="%1"/>
      <w:lvlJc w:val="left"/>
      <w:pPr>
        <w:ind w:left="3596" w:hanging="490"/>
        <w:jc w:val="left"/>
      </w:pPr>
      <w:rPr>
        <w:rFonts w:hint="default"/>
      </w:rPr>
    </w:lvl>
    <w:lvl w:ilvl="1">
      <w:start w:val="1"/>
      <w:numFmt w:val="decimal"/>
      <w:lvlText w:val="%1.%2."/>
      <w:lvlJc w:val="left"/>
      <w:pPr>
        <w:ind w:left="3596" w:hanging="490"/>
        <w:jc w:val="right"/>
      </w:pPr>
      <w:rPr>
        <w:rFonts w:hint="default" w:ascii="Arial" w:hAnsi="Arial" w:eastAsia="Arial" w:cs="Arial"/>
        <w:b/>
        <w:bCs/>
        <w:spacing w:val="-1"/>
        <w:w w:val="101"/>
        <w:sz w:val="23"/>
        <w:szCs w:val="23"/>
      </w:rPr>
    </w:lvl>
    <w:lvl w:ilvl="2">
      <w:start w:val="1"/>
      <w:numFmt w:val="bullet"/>
      <w:lvlText w:val="•"/>
      <w:lvlJc w:val="left"/>
      <w:pPr>
        <w:ind w:left="4913" w:hanging="490"/>
      </w:pPr>
      <w:rPr>
        <w:rFonts w:hint="default"/>
      </w:rPr>
    </w:lvl>
    <w:lvl w:ilvl="3">
      <w:start w:val="1"/>
      <w:numFmt w:val="bullet"/>
      <w:lvlText w:val="•"/>
      <w:lvlJc w:val="left"/>
      <w:pPr>
        <w:ind w:left="5569" w:hanging="490"/>
      </w:pPr>
      <w:rPr>
        <w:rFonts w:hint="default"/>
      </w:rPr>
    </w:lvl>
    <w:lvl w:ilvl="4">
      <w:start w:val="1"/>
      <w:numFmt w:val="bullet"/>
      <w:lvlText w:val="•"/>
      <w:lvlJc w:val="left"/>
      <w:pPr>
        <w:ind w:left="6226" w:hanging="490"/>
      </w:pPr>
      <w:rPr>
        <w:rFonts w:hint="default"/>
      </w:rPr>
    </w:lvl>
    <w:lvl w:ilvl="5">
      <w:start w:val="1"/>
      <w:numFmt w:val="bullet"/>
      <w:lvlText w:val="•"/>
      <w:lvlJc w:val="left"/>
      <w:pPr>
        <w:ind w:left="6882" w:hanging="490"/>
      </w:pPr>
      <w:rPr>
        <w:rFonts w:hint="default"/>
      </w:rPr>
    </w:lvl>
    <w:lvl w:ilvl="6">
      <w:start w:val="1"/>
      <w:numFmt w:val="bullet"/>
      <w:lvlText w:val="•"/>
      <w:lvlJc w:val="left"/>
      <w:pPr>
        <w:ind w:left="7539" w:hanging="490"/>
      </w:pPr>
      <w:rPr>
        <w:rFonts w:hint="default"/>
      </w:rPr>
    </w:lvl>
    <w:lvl w:ilvl="7">
      <w:start w:val="1"/>
      <w:numFmt w:val="bullet"/>
      <w:lvlText w:val="•"/>
      <w:lvlJc w:val="left"/>
      <w:pPr>
        <w:ind w:left="8195" w:hanging="490"/>
      </w:pPr>
      <w:rPr>
        <w:rFonts w:hint="default"/>
      </w:rPr>
    </w:lvl>
    <w:lvl w:ilvl="8">
      <w:start w:val="1"/>
      <w:numFmt w:val="bullet"/>
      <w:lvlText w:val="•"/>
      <w:lvlJc w:val="left"/>
      <w:pPr>
        <w:ind w:left="8852" w:hanging="490"/>
      </w:pPr>
      <w:rPr>
        <w:rFonts w:hint="default"/>
      </w:rPr>
    </w:lvl>
  </w:abstractNum>
  <w:abstractNum w:abstractNumId="32">
    <w:multiLevelType w:val="hybridMultilevel"/>
    <w:lvl w:ilvl="0">
      <w:start w:val="1"/>
      <w:numFmt w:val="decimal"/>
      <w:lvlText w:val="(%1)"/>
      <w:lvlJc w:val="left"/>
      <w:pPr>
        <w:ind w:left="546" w:hanging="326"/>
        <w:jc w:val="left"/>
      </w:pPr>
      <w:rPr>
        <w:rFonts w:hint="default" w:ascii="Cambria" w:hAnsi="Cambria" w:eastAsia="Cambria" w:cs="Cambria"/>
        <w:spacing w:val="-7"/>
        <w:w w:val="80"/>
        <w:sz w:val="21"/>
        <w:szCs w:val="21"/>
      </w:rPr>
    </w:lvl>
    <w:lvl w:ilvl="1">
      <w:start w:val="1"/>
      <w:numFmt w:val="bullet"/>
      <w:lvlText w:val="•"/>
      <w:lvlJc w:val="left"/>
      <w:pPr>
        <w:ind w:left="1512" w:hanging="326"/>
      </w:pPr>
      <w:rPr>
        <w:rFonts w:hint="default"/>
      </w:rPr>
    </w:lvl>
    <w:lvl w:ilvl="2">
      <w:start w:val="1"/>
      <w:numFmt w:val="bullet"/>
      <w:lvlText w:val="•"/>
      <w:lvlJc w:val="left"/>
      <w:pPr>
        <w:ind w:left="2485" w:hanging="326"/>
      </w:pPr>
      <w:rPr>
        <w:rFonts w:hint="default"/>
      </w:rPr>
    </w:lvl>
    <w:lvl w:ilvl="3">
      <w:start w:val="1"/>
      <w:numFmt w:val="bullet"/>
      <w:lvlText w:val="•"/>
      <w:lvlJc w:val="left"/>
      <w:pPr>
        <w:ind w:left="3457" w:hanging="326"/>
      </w:pPr>
      <w:rPr>
        <w:rFonts w:hint="default"/>
      </w:rPr>
    </w:lvl>
    <w:lvl w:ilvl="4">
      <w:start w:val="1"/>
      <w:numFmt w:val="bullet"/>
      <w:lvlText w:val="•"/>
      <w:lvlJc w:val="left"/>
      <w:pPr>
        <w:ind w:left="4430" w:hanging="326"/>
      </w:pPr>
      <w:rPr>
        <w:rFonts w:hint="default"/>
      </w:rPr>
    </w:lvl>
    <w:lvl w:ilvl="5">
      <w:start w:val="1"/>
      <w:numFmt w:val="bullet"/>
      <w:lvlText w:val="•"/>
      <w:lvlJc w:val="left"/>
      <w:pPr>
        <w:ind w:left="5402" w:hanging="326"/>
      </w:pPr>
      <w:rPr>
        <w:rFonts w:hint="default"/>
      </w:rPr>
    </w:lvl>
    <w:lvl w:ilvl="6">
      <w:start w:val="1"/>
      <w:numFmt w:val="bullet"/>
      <w:lvlText w:val="•"/>
      <w:lvlJc w:val="left"/>
      <w:pPr>
        <w:ind w:left="6375" w:hanging="326"/>
      </w:pPr>
      <w:rPr>
        <w:rFonts w:hint="default"/>
      </w:rPr>
    </w:lvl>
    <w:lvl w:ilvl="7">
      <w:start w:val="1"/>
      <w:numFmt w:val="bullet"/>
      <w:lvlText w:val="•"/>
      <w:lvlJc w:val="left"/>
      <w:pPr>
        <w:ind w:left="7347" w:hanging="326"/>
      </w:pPr>
      <w:rPr>
        <w:rFonts w:hint="default"/>
      </w:rPr>
    </w:lvl>
    <w:lvl w:ilvl="8">
      <w:start w:val="1"/>
      <w:numFmt w:val="bullet"/>
      <w:lvlText w:val="•"/>
      <w:lvlJc w:val="left"/>
      <w:pPr>
        <w:ind w:left="8320" w:hanging="326"/>
      </w:pPr>
      <w:rPr>
        <w:rFonts w:hint="default"/>
      </w:rPr>
    </w:lvl>
  </w:abstractNum>
  <w:abstractNum w:abstractNumId="31">
    <w:multiLevelType w:val="hybridMultilevel"/>
    <w:lvl w:ilvl="0">
      <w:start w:val="1"/>
      <w:numFmt w:val="bullet"/>
      <w:lvlText w:val=""/>
      <w:lvlJc w:val="left"/>
      <w:pPr>
        <w:ind w:left="528" w:hanging="351"/>
      </w:pPr>
      <w:rPr>
        <w:rFonts w:hint="default" w:ascii="Symbol" w:hAnsi="Symbol" w:eastAsia="Symbol" w:cs="Symbol"/>
        <w:w w:val="101"/>
        <w:sz w:val="23"/>
        <w:szCs w:val="23"/>
      </w:rPr>
    </w:lvl>
    <w:lvl w:ilvl="1">
      <w:start w:val="1"/>
      <w:numFmt w:val="bullet"/>
      <w:lvlText w:val="•"/>
      <w:lvlJc w:val="left"/>
      <w:pPr>
        <w:ind w:left="1484" w:hanging="351"/>
      </w:pPr>
      <w:rPr>
        <w:rFonts w:hint="default"/>
      </w:rPr>
    </w:lvl>
    <w:lvl w:ilvl="2">
      <w:start w:val="1"/>
      <w:numFmt w:val="bullet"/>
      <w:lvlText w:val="•"/>
      <w:lvlJc w:val="left"/>
      <w:pPr>
        <w:ind w:left="2449" w:hanging="351"/>
      </w:pPr>
      <w:rPr>
        <w:rFonts w:hint="default"/>
      </w:rPr>
    </w:lvl>
    <w:lvl w:ilvl="3">
      <w:start w:val="1"/>
      <w:numFmt w:val="bullet"/>
      <w:lvlText w:val="•"/>
      <w:lvlJc w:val="left"/>
      <w:pPr>
        <w:ind w:left="3413" w:hanging="351"/>
      </w:pPr>
      <w:rPr>
        <w:rFonts w:hint="default"/>
      </w:rPr>
    </w:lvl>
    <w:lvl w:ilvl="4">
      <w:start w:val="1"/>
      <w:numFmt w:val="bullet"/>
      <w:lvlText w:val="•"/>
      <w:lvlJc w:val="left"/>
      <w:pPr>
        <w:ind w:left="4378" w:hanging="351"/>
      </w:pPr>
      <w:rPr>
        <w:rFonts w:hint="default"/>
      </w:rPr>
    </w:lvl>
    <w:lvl w:ilvl="5">
      <w:start w:val="1"/>
      <w:numFmt w:val="bullet"/>
      <w:lvlText w:val="•"/>
      <w:lvlJc w:val="left"/>
      <w:pPr>
        <w:ind w:left="5342" w:hanging="351"/>
      </w:pPr>
      <w:rPr>
        <w:rFonts w:hint="default"/>
      </w:rPr>
    </w:lvl>
    <w:lvl w:ilvl="6">
      <w:start w:val="1"/>
      <w:numFmt w:val="bullet"/>
      <w:lvlText w:val="•"/>
      <w:lvlJc w:val="left"/>
      <w:pPr>
        <w:ind w:left="6307" w:hanging="351"/>
      </w:pPr>
      <w:rPr>
        <w:rFonts w:hint="default"/>
      </w:rPr>
    </w:lvl>
    <w:lvl w:ilvl="7">
      <w:start w:val="1"/>
      <w:numFmt w:val="bullet"/>
      <w:lvlText w:val="•"/>
      <w:lvlJc w:val="left"/>
      <w:pPr>
        <w:ind w:left="7271" w:hanging="351"/>
      </w:pPr>
      <w:rPr>
        <w:rFonts w:hint="default"/>
      </w:rPr>
    </w:lvl>
    <w:lvl w:ilvl="8">
      <w:start w:val="1"/>
      <w:numFmt w:val="bullet"/>
      <w:lvlText w:val="•"/>
      <w:lvlJc w:val="left"/>
      <w:pPr>
        <w:ind w:left="8236" w:hanging="351"/>
      </w:pPr>
      <w:rPr>
        <w:rFonts w:hint="default"/>
      </w:rPr>
    </w:lvl>
  </w:abstractNum>
  <w:abstractNum w:abstractNumId="30">
    <w:multiLevelType w:val="hybridMultilevel"/>
    <w:lvl w:ilvl="0">
      <w:start w:val="1"/>
      <w:numFmt w:val="lowerLetter"/>
      <w:lvlText w:val="%1)"/>
      <w:lvlJc w:val="left"/>
      <w:pPr>
        <w:ind w:left="816" w:hanging="351"/>
        <w:jc w:val="right"/>
      </w:pPr>
      <w:rPr>
        <w:rFonts w:hint="default" w:ascii="Arial" w:hAnsi="Arial" w:eastAsia="Arial" w:cs="Arial"/>
        <w:spacing w:val="-1"/>
        <w:w w:val="101"/>
        <w:sz w:val="23"/>
        <w:szCs w:val="23"/>
      </w:rPr>
    </w:lvl>
    <w:lvl w:ilvl="1">
      <w:start w:val="1"/>
      <w:numFmt w:val="bullet"/>
      <w:lvlText w:val="•"/>
      <w:lvlJc w:val="left"/>
      <w:pPr>
        <w:ind w:left="1754" w:hanging="351"/>
      </w:pPr>
      <w:rPr>
        <w:rFonts w:hint="default"/>
      </w:rPr>
    </w:lvl>
    <w:lvl w:ilvl="2">
      <w:start w:val="1"/>
      <w:numFmt w:val="bullet"/>
      <w:lvlText w:val="•"/>
      <w:lvlJc w:val="left"/>
      <w:pPr>
        <w:ind w:left="2689" w:hanging="351"/>
      </w:pPr>
      <w:rPr>
        <w:rFonts w:hint="default"/>
      </w:rPr>
    </w:lvl>
    <w:lvl w:ilvl="3">
      <w:start w:val="1"/>
      <w:numFmt w:val="bullet"/>
      <w:lvlText w:val="•"/>
      <w:lvlJc w:val="left"/>
      <w:pPr>
        <w:ind w:left="3623" w:hanging="351"/>
      </w:pPr>
      <w:rPr>
        <w:rFonts w:hint="default"/>
      </w:rPr>
    </w:lvl>
    <w:lvl w:ilvl="4">
      <w:start w:val="1"/>
      <w:numFmt w:val="bullet"/>
      <w:lvlText w:val="•"/>
      <w:lvlJc w:val="left"/>
      <w:pPr>
        <w:ind w:left="4558" w:hanging="351"/>
      </w:pPr>
      <w:rPr>
        <w:rFonts w:hint="default"/>
      </w:rPr>
    </w:lvl>
    <w:lvl w:ilvl="5">
      <w:start w:val="1"/>
      <w:numFmt w:val="bullet"/>
      <w:lvlText w:val="•"/>
      <w:lvlJc w:val="left"/>
      <w:pPr>
        <w:ind w:left="5492" w:hanging="351"/>
      </w:pPr>
      <w:rPr>
        <w:rFonts w:hint="default"/>
      </w:rPr>
    </w:lvl>
    <w:lvl w:ilvl="6">
      <w:start w:val="1"/>
      <w:numFmt w:val="bullet"/>
      <w:lvlText w:val="•"/>
      <w:lvlJc w:val="left"/>
      <w:pPr>
        <w:ind w:left="6427" w:hanging="351"/>
      </w:pPr>
      <w:rPr>
        <w:rFonts w:hint="default"/>
      </w:rPr>
    </w:lvl>
    <w:lvl w:ilvl="7">
      <w:start w:val="1"/>
      <w:numFmt w:val="bullet"/>
      <w:lvlText w:val="•"/>
      <w:lvlJc w:val="left"/>
      <w:pPr>
        <w:ind w:left="7361" w:hanging="351"/>
      </w:pPr>
      <w:rPr>
        <w:rFonts w:hint="default"/>
      </w:rPr>
    </w:lvl>
    <w:lvl w:ilvl="8">
      <w:start w:val="1"/>
      <w:numFmt w:val="bullet"/>
      <w:lvlText w:val="•"/>
      <w:lvlJc w:val="left"/>
      <w:pPr>
        <w:ind w:left="8296" w:hanging="351"/>
      </w:pPr>
      <w:rPr>
        <w:rFonts w:hint="default"/>
      </w:rPr>
    </w:lvl>
  </w:abstractNum>
  <w:abstractNum w:abstractNumId="29">
    <w:multiLevelType w:val="hybridMultilevel"/>
    <w:lvl w:ilvl="0">
      <w:start w:val="5"/>
      <w:numFmt w:val="decimal"/>
      <w:lvlText w:val="%1"/>
      <w:lvlJc w:val="left"/>
      <w:pPr>
        <w:ind w:left="572" w:hanging="456"/>
        <w:jc w:val="left"/>
      </w:pPr>
      <w:rPr>
        <w:rFonts w:hint="default"/>
      </w:rPr>
    </w:lvl>
    <w:lvl w:ilvl="1">
      <w:start w:val="2"/>
      <w:numFmt w:val="decimal"/>
      <w:lvlText w:val="%1.%2."/>
      <w:lvlJc w:val="left"/>
      <w:pPr>
        <w:ind w:left="572" w:hanging="456"/>
        <w:jc w:val="left"/>
      </w:pPr>
      <w:rPr>
        <w:rFonts w:hint="default" w:ascii="Arial" w:hAnsi="Arial" w:eastAsia="Arial" w:cs="Arial"/>
        <w:b/>
        <w:bCs/>
        <w:spacing w:val="-3"/>
        <w:w w:val="101"/>
        <w:sz w:val="23"/>
        <w:szCs w:val="23"/>
      </w:rPr>
    </w:lvl>
    <w:lvl w:ilvl="2">
      <w:start w:val="1"/>
      <w:numFmt w:val="lowerLetter"/>
      <w:lvlText w:val="%3)"/>
      <w:lvlJc w:val="left"/>
      <w:pPr>
        <w:ind w:left="816" w:hanging="351"/>
        <w:jc w:val="left"/>
      </w:pPr>
      <w:rPr>
        <w:rFonts w:hint="default"/>
        <w:i/>
        <w:spacing w:val="-1"/>
        <w:w w:val="101"/>
      </w:rPr>
    </w:lvl>
    <w:lvl w:ilvl="3">
      <w:start w:val="1"/>
      <w:numFmt w:val="bullet"/>
      <w:lvlText w:val="•"/>
      <w:lvlJc w:val="left"/>
      <w:pPr>
        <w:ind w:left="2896" w:hanging="351"/>
      </w:pPr>
      <w:rPr>
        <w:rFonts w:hint="default"/>
      </w:rPr>
    </w:lvl>
    <w:lvl w:ilvl="4">
      <w:start w:val="1"/>
      <w:numFmt w:val="bullet"/>
      <w:lvlText w:val="•"/>
      <w:lvlJc w:val="left"/>
      <w:pPr>
        <w:ind w:left="3935" w:hanging="351"/>
      </w:pPr>
      <w:rPr>
        <w:rFonts w:hint="default"/>
      </w:rPr>
    </w:lvl>
    <w:lvl w:ilvl="5">
      <w:start w:val="1"/>
      <w:numFmt w:val="bullet"/>
      <w:lvlText w:val="•"/>
      <w:lvlJc w:val="left"/>
      <w:pPr>
        <w:ind w:left="4973" w:hanging="351"/>
      </w:pPr>
      <w:rPr>
        <w:rFonts w:hint="default"/>
      </w:rPr>
    </w:lvl>
    <w:lvl w:ilvl="6">
      <w:start w:val="1"/>
      <w:numFmt w:val="bullet"/>
      <w:lvlText w:val="•"/>
      <w:lvlJc w:val="left"/>
      <w:pPr>
        <w:ind w:left="6011" w:hanging="351"/>
      </w:pPr>
      <w:rPr>
        <w:rFonts w:hint="default"/>
      </w:rPr>
    </w:lvl>
    <w:lvl w:ilvl="7">
      <w:start w:val="1"/>
      <w:numFmt w:val="bullet"/>
      <w:lvlText w:val="•"/>
      <w:lvlJc w:val="left"/>
      <w:pPr>
        <w:ind w:left="7050" w:hanging="351"/>
      </w:pPr>
      <w:rPr>
        <w:rFonts w:hint="default"/>
      </w:rPr>
    </w:lvl>
    <w:lvl w:ilvl="8">
      <w:start w:val="1"/>
      <w:numFmt w:val="bullet"/>
      <w:lvlText w:val="•"/>
      <w:lvlJc w:val="left"/>
      <w:pPr>
        <w:ind w:left="8088" w:hanging="351"/>
      </w:pPr>
      <w:rPr>
        <w:rFonts w:hint="default"/>
      </w:rPr>
    </w:lvl>
  </w:abstractNum>
  <w:abstractNum w:abstractNumId="28">
    <w:multiLevelType w:val="hybridMultilevel"/>
    <w:lvl w:ilvl="0">
      <w:start w:val="1"/>
      <w:numFmt w:val="bullet"/>
      <w:lvlText w:val=""/>
      <w:lvlJc w:val="left"/>
      <w:pPr>
        <w:ind w:left="816" w:hanging="351"/>
      </w:pPr>
      <w:rPr>
        <w:rFonts w:hint="default" w:ascii="Symbol" w:hAnsi="Symbol" w:eastAsia="Symbol" w:cs="Symbol"/>
        <w:w w:val="101"/>
        <w:sz w:val="23"/>
        <w:szCs w:val="23"/>
      </w:rPr>
    </w:lvl>
    <w:lvl w:ilvl="1">
      <w:start w:val="1"/>
      <w:numFmt w:val="bullet"/>
      <w:lvlText w:val="•"/>
      <w:lvlJc w:val="left"/>
      <w:pPr>
        <w:ind w:left="1754" w:hanging="351"/>
      </w:pPr>
      <w:rPr>
        <w:rFonts w:hint="default"/>
      </w:rPr>
    </w:lvl>
    <w:lvl w:ilvl="2">
      <w:start w:val="1"/>
      <w:numFmt w:val="bullet"/>
      <w:lvlText w:val="•"/>
      <w:lvlJc w:val="left"/>
      <w:pPr>
        <w:ind w:left="2689" w:hanging="351"/>
      </w:pPr>
      <w:rPr>
        <w:rFonts w:hint="default"/>
      </w:rPr>
    </w:lvl>
    <w:lvl w:ilvl="3">
      <w:start w:val="1"/>
      <w:numFmt w:val="bullet"/>
      <w:lvlText w:val="•"/>
      <w:lvlJc w:val="left"/>
      <w:pPr>
        <w:ind w:left="3623" w:hanging="351"/>
      </w:pPr>
      <w:rPr>
        <w:rFonts w:hint="default"/>
      </w:rPr>
    </w:lvl>
    <w:lvl w:ilvl="4">
      <w:start w:val="1"/>
      <w:numFmt w:val="bullet"/>
      <w:lvlText w:val="•"/>
      <w:lvlJc w:val="left"/>
      <w:pPr>
        <w:ind w:left="4558" w:hanging="351"/>
      </w:pPr>
      <w:rPr>
        <w:rFonts w:hint="default"/>
      </w:rPr>
    </w:lvl>
    <w:lvl w:ilvl="5">
      <w:start w:val="1"/>
      <w:numFmt w:val="bullet"/>
      <w:lvlText w:val="•"/>
      <w:lvlJc w:val="left"/>
      <w:pPr>
        <w:ind w:left="5492" w:hanging="351"/>
      </w:pPr>
      <w:rPr>
        <w:rFonts w:hint="default"/>
      </w:rPr>
    </w:lvl>
    <w:lvl w:ilvl="6">
      <w:start w:val="1"/>
      <w:numFmt w:val="bullet"/>
      <w:lvlText w:val="•"/>
      <w:lvlJc w:val="left"/>
      <w:pPr>
        <w:ind w:left="6427" w:hanging="351"/>
      </w:pPr>
      <w:rPr>
        <w:rFonts w:hint="default"/>
      </w:rPr>
    </w:lvl>
    <w:lvl w:ilvl="7">
      <w:start w:val="1"/>
      <w:numFmt w:val="bullet"/>
      <w:lvlText w:val="•"/>
      <w:lvlJc w:val="left"/>
      <w:pPr>
        <w:ind w:left="7361" w:hanging="351"/>
      </w:pPr>
      <w:rPr>
        <w:rFonts w:hint="default"/>
      </w:rPr>
    </w:lvl>
    <w:lvl w:ilvl="8">
      <w:start w:val="1"/>
      <w:numFmt w:val="bullet"/>
      <w:lvlText w:val="•"/>
      <w:lvlJc w:val="left"/>
      <w:pPr>
        <w:ind w:left="8296" w:hanging="351"/>
      </w:pPr>
      <w:rPr>
        <w:rFonts w:hint="default"/>
      </w:rPr>
    </w:lvl>
  </w:abstractNum>
  <w:abstractNum w:abstractNumId="27">
    <w:multiLevelType w:val="hybridMultilevel"/>
    <w:lvl w:ilvl="0">
      <w:start w:val="1"/>
      <w:numFmt w:val="decimal"/>
      <w:lvlText w:val="%1."/>
      <w:lvlJc w:val="left"/>
      <w:pPr>
        <w:ind w:left="100" w:hanging="216"/>
        <w:jc w:val="left"/>
      </w:pPr>
      <w:rPr>
        <w:rFonts w:hint="default" w:ascii="Arial" w:hAnsi="Arial" w:eastAsia="Arial" w:cs="Arial"/>
        <w:spacing w:val="0"/>
        <w:w w:val="103"/>
        <w:sz w:val="19"/>
        <w:szCs w:val="19"/>
      </w:rPr>
    </w:lvl>
    <w:lvl w:ilvl="1">
      <w:start w:val="1"/>
      <w:numFmt w:val="bullet"/>
      <w:lvlText w:val="•"/>
      <w:lvlJc w:val="left"/>
      <w:pPr>
        <w:ind w:left="305" w:hanging="216"/>
      </w:pPr>
      <w:rPr>
        <w:rFonts w:hint="default"/>
      </w:rPr>
    </w:lvl>
    <w:lvl w:ilvl="2">
      <w:start w:val="1"/>
      <w:numFmt w:val="bullet"/>
      <w:lvlText w:val="•"/>
      <w:lvlJc w:val="left"/>
      <w:pPr>
        <w:ind w:left="510" w:hanging="216"/>
      </w:pPr>
      <w:rPr>
        <w:rFonts w:hint="default"/>
      </w:rPr>
    </w:lvl>
    <w:lvl w:ilvl="3">
      <w:start w:val="1"/>
      <w:numFmt w:val="bullet"/>
      <w:lvlText w:val="•"/>
      <w:lvlJc w:val="left"/>
      <w:pPr>
        <w:ind w:left="715" w:hanging="216"/>
      </w:pPr>
      <w:rPr>
        <w:rFonts w:hint="default"/>
      </w:rPr>
    </w:lvl>
    <w:lvl w:ilvl="4">
      <w:start w:val="1"/>
      <w:numFmt w:val="bullet"/>
      <w:lvlText w:val="•"/>
      <w:lvlJc w:val="left"/>
      <w:pPr>
        <w:ind w:left="920" w:hanging="216"/>
      </w:pPr>
      <w:rPr>
        <w:rFonts w:hint="default"/>
      </w:rPr>
    </w:lvl>
    <w:lvl w:ilvl="5">
      <w:start w:val="1"/>
      <w:numFmt w:val="bullet"/>
      <w:lvlText w:val="•"/>
      <w:lvlJc w:val="left"/>
      <w:pPr>
        <w:ind w:left="1125" w:hanging="216"/>
      </w:pPr>
      <w:rPr>
        <w:rFonts w:hint="default"/>
      </w:rPr>
    </w:lvl>
    <w:lvl w:ilvl="6">
      <w:start w:val="1"/>
      <w:numFmt w:val="bullet"/>
      <w:lvlText w:val="•"/>
      <w:lvlJc w:val="left"/>
      <w:pPr>
        <w:ind w:left="1330" w:hanging="216"/>
      </w:pPr>
      <w:rPr>
        <w:rFonts w:hint="default"/>
      </w:rPr>
    </w:lvl>
    <w:lvl w:ilvl="7">
      <w:start w:val="1"/>
      <w:numFmt w:val="bullet"/>
      <w:lvlText w:val="•"/>
      <w:lvlJc w:val="left"/>
      <w:pPr>
        <w:ind w:left="1535" w:hanging="216"/>
      </w:pPr>
      <w:rPr>
        <w:rFonts w:hint="default"/>
      </w:rPr>
    </w:lvl>
    <w:lvl w:ilvl="8">
      <w:start w:val="1"/>
      <w:numFmt w:val="bullet"/>
      <w:lvlText w:val="•"/>
      <w:lvlJc w:val="left"/>
      <w:pPr>
        <w:ind w:left="1740" w:hanging="216"/>
      </w:pPr>
      <w:rPr>
        <w:rFonts w:hint="default"/>
      </w:rPr>
    </w:lvl>
  </w:abstractNum>
  <w:abstractNum w:abstractNumId="26">
    <w:multiLevelType w:val="hybridMultilevel"/>
    <w:lvl w:ilvl="0">
      <w:start w:val="1"/>
      <w:numFmt w:val="decimal"/>
      <w:lvlText w:val="%1."/>
      <w:lvlJc w:val="left"/>
      <w:pPr>
        <w:ind w:left="100" w:hanging="216"/>
        <w:jc w:val="left"/>
      </w:pPr>
      <w:rPr>
        <w:rFonts w:hint="default" w:ascii="Arial" w:hAnsi="Arial" w:eastAsia="Arial" w:cs="Arial"/>
        <w:spacing w:val="0"/>
        <w:w w:val="103"/>
        <w:sz w:val="19"/>
        <w:szCs w:val="19"/>
      </w:rPr>
    </w:lvl>
    <w:lvl w:ilvl="1">
      <w:start w:val="1"/>
      <w:numFmt w:val="bullet"/>
      <w:lvlText w:val="•"/>
      <w:lvlJc w:val="left"/>
      <w:pPr>
        <w:ind w:left="305" w:hanging="216"/>
      </w:pPr>
      <w:rPr>
        <w:rFonts w:hint="default"/>
      </w:rPr>
    </w:lvl>
    <w:lvl w:ilvl="2">
      <w:start w:val="1"/>
      <w:numFmt w:val="bullet"/>
      <w:lvlText w:val="•"/>
      <w:lvlJc w:val="left"/>
      <w:pPr>
        <w:ind w:left="510" w:hanging="216"/>
      </w:pPr>
      <w:rPr>
        <w:rFonts w:hint="default"/>
      </w:rPr>
    </w:lvl>
    <w:lvl w:ilvl="3">
      <w:start w:val="1"/>
      <w:numFmt w:val="bullet"/>
      <w:lvlText w:val="•"/>
      <w:lvlJc w:val="left"/>
      <w:pPr>
        <w:ind w:left="715" w:hanging="216"/>
      </w:pPr>
      <w:rPr>
        <w:rFonts w:hint="default"/>
      </w:rPr>
    </w:lvl>
    <w:lvl w:ilvl="4">
      <w:start w:val="1"/>
      <w:numFmt w:val="bullet"/>
      <w:lvlText w:val="•"/>
      <w:lvlJc w:val="left"/>
      <w:pPr>
        <w:ind w:left="920" w:hanging="216"/>
      </w:pPr>
      <w:rPr>
        <w:rFonts w:hint="default"/>
      </w:rPr>
    </w:lvl>
    <w:lvl w:ilvl="5">
      <w:start w:val="1"/>
      <w:numFmt w:val="bullet"/>
      <w:lvlText w:val="•"/>
      <w:lvlJc w:val="left"/>
      <w:pPr>
        <w:ind w:left="1125" w:hanging="216"/>
      </w:pPr>
      <w:rPr>
        <w:rFonts w:hint="default"/>
      </w:rPr>
    </w:lvl>
    <w:lvl w:ilvl="6">
      <w:start w:val="1"/>
      <w:numFmt w:val="bullet"/>
      <w:lvlText w:val="•"/>
      <w:lvlJc w:val="left"/>
      <w:pPr>
        <w:ind w:left="1330" w:hanging="216"/>
      </w:pPr>
      <w:rPr>
        <w:rFonts w:hint="default"/>
      </w:rPr>
    </w:lvl>
    <w:lvl w:ilvl="7">
      <w:start w:val="1"/>
      <w:numFmt w:val="bullet"/>
      <w:lvlText w:val="•"/>
      <w:lvlJc w:val="left"/>
      <w:pPr>
        <w:ind w:left="1535" w:hanging="216"/>
      </w:pPr>
      <w:rPr>
        <w:rFonts w:hint="default"/>
      </w:rPr>
    </w:lvl>
    <w:lvl w:ilvl="8">
      <w:start w:val="1"/>
      <w:numFmt w:val="bullet"/>
      <w:lvlText w:val="•"/>
      <w:lvlJc w:val="left"/>
      <w:pPr>
        <w:ind w:left="1740" w:hanging="216"/>
      </w:pPr>
      <w:rPr>
        <w:rFonts w:hint="default"/>
      </w:rPr>
    </w:lvl>
  </w:abstractNum>
  <w:abstractNum w:abstractNumId="25">
    <w:multiLevelType w:val="hybridMultilevel"/>
    <w:lvl w:ilvl="0">
      <w:start w:val="4"/>
      <w:numFmt w:val="decimal"/>
      <w:lvlText w:val="%1"/>
      <w:lvlJc w:val="left"/>
      <w:pPr>
        <w:ind w:left="802" w:hanging="687"/>
        <w:jc w:val="left"/>
      </w:pPr>
      <w:rPr>
        <w:rFonts w:hint="default"/>
      </w:rPr>
    </w:lvl>
    <w:lvl w:ilvl="1">
      <w:start w:val="1"/>
      <w:numFmt w:val="decimal"/>
      <w:lvlText w:val="%1.%2."/>
      <w:lvlJc w:val="left"/>
      <w:pPr>
        <w:ind w:left="802" w:hanging="687"/>
        <w:jc w:val="right"/>
      </w:pPr>
      <w:rPr>
        <w:rFonts w:hint="default" w:ascii="Arial" w:hAnsi="Arial" w:eastAsia="Arial" w:cs="Arial"/>
        <w:b/>
        <w:bCs/>
        <w:spacing w:val="-3"/>
        <w:w w:val="101"/>
        <w:sz w:val="23"/>
        <w:szCs w:val="23"/>
      </w:rPr>
    </w:lvl>
    <w:lvl w:ilvl="2">
      <w:start w:val="1"/>
      <w:numFmt w:val="bullet"/>
      <w:lvlText w:val="•"/>
      <w:lvlJc w:val="left"/>
      <w:pPr>
        <w:ind w:left="2462" w:hanging="687"/>
      </w:pPr>
      <w:rPr>
        <w:rFonts w:hint="default"/>
      </w:rPr>
    </w:lvl>
    <w:lvl w:ilvl="3">
      <w:start w:val="1"/>
      <w:numFmt w:val="bullet"/>
      <w:lvlText w:val="•"/>
      <w:lvlJc w:val="left"/>
      <w:pPr>
        <w:ind w:left="3425" w:hanging="687"/>
      </w:pPr>
      <w:rPr>
        <w:rFonts w:hint="default"/>
      </w:rPr>
    </w:lvl>
    <w:lvl w:ilvl="4">
      <w:start w:val="1"/>
      <w:numFmt w:val="bullet"/>
      <w:lvlText w:val="•"/>
      <w:lvlJc w:val="left"/>
      <w:pPr>
        <w:ind w:left="4388" w:hanging="687"/>
      </w:pPr>
      <w:rPr>
        <w:rFonts w:hint="default"/>
      </w:rPr>
    </w:lvl>
    <w:lvl w:ilvl="5">
      <w:start w:val="1"/>
      <w:numFmt w:val="bullet"/>
      <w:lvlText w:val="•"/>
      <w:lvlJc w:val="left"/>
      <w:pPr>
        <w:ind w:left="5351" w:hanging="687"/>
      </w:pPr>
      <w:rPr>
        <w:rFonts w:hint="default"/>
      </w:rPr>
    </w:lvl>
    <w:lvl w:ilvl="6">
      <w:start w:val="1"/>
      <w:numFmt w:val="bullet"/>
      <w:lvlText w:val="•"/>
      <w:lvlJc w:val="left"/>
      <w:pPr>
        <w:ind w:left="6314" w:hanging="687"/>
      </w:pPr>
      <w:rPr>
        <w:rFonts w:hint="default"/>
      </w:rPr>
    </w:lvl>
    <w:lvl w:ilvl="7">
      <w:start w:val="1"/>
      <w:numFmt w:val="bullet"/>
      <w:lvlText w:val="•"/>
      <w:lvlJc w:val="left"/>
      <w:pPr>
        <w:ind w:left="7277" w:hanging="687"/>
      </w:pPr>
      <w:rPr>
        <w:rFonts w:hint="default"/>
      </w:rPr>
    </w:lvl>
    <w:lvl w:ilvl="8">
      <w:start w:val="1"/>
      <w:numFmt w:val="bullet"/>
      <w:lvlText w:val="•"/>
      <w:lvlJc w:val="left"/>
      <w:pPr>
        <w:ind w:left="8239" w:hanging="687"/>
      </w:pPr>
      <w:rPr>
        <w:rFonts w:hint="default"/>
      </w:rPr>
    </w:lvl>
  </w:abstractNum>
  <w:abstractNum w:abstractNumId="24">
    <w:multiLevelType w:val="hybridMultilevel"/>
    <w:lvl w:ilvl="0">
      <w:start w:val="3"/>
      <w:numFmt w:val="decimal"/>
      <w:lvlText w:val="%1"/>
      <w:lvlJc w:val="left"/>
      <w:pPr>
        <w:ind w:left="816" w:hanging="701"/>
        <w:jc w:val="left"/>
      </w:pPr>
      <w:rPr>
        <w:rFonts w:hint="default"/>
      </w:rPr>
    </w:lvl>
    <w:lvl w:ilvl="1">
      <w:start w:val="5"/>
      <w:numFmt w:val="decimal"/>
      <w:lvlText w:val="%1.%2."/>
      <w:lvlJc w:val="left"/>
      <w:pPr>
        <w:ind w:left="816" w:hanging="701"/>
        <w:jc w:val="left"/>
      </w:pPr>
      <w:rPr>
        <w:rFonts w:hint="default" w:ascii="Arial" w:hAnsi="Arial" w:eastAsia="Arial" w:cs="Arial"/>
        <w:b/>
        <w:bCs/>
        <w:spacing w:val="-3"/>
        <w:w w:val="101"/>
        <w:sz w:val="23"/>
        <w:szCs w:val="23"/>
      </w:rPr>
    </w:lvl>
    <w:lvl w:ilvl="2">
      <w:start w:val="1"/>
      <w:numFmt w:val="lowerLetter"/>
      <w:lvlText w:val="%3)"/>
      <w:lvlJc w:val="left"/>
      <w:pPr>
        <w:ind w:left="1080" w:hanging="591"/>
        <w:jc w:val="left"/>
      </w:pPr>
      <w:rPr>
        <w:rFonts w:hint="default" w:ascii="Arial" w:hAnsi="Arial" w:eastAsia="Arial" w:cs="Arial"/>
        <w:spacing w:val="-1"/>
        <w:w w:val="101"/>
        <w:sz w:val="23"/>
        <w:szCs w:val="23"/>
      </w:rPr>
    </w:lvl>
    <w:lvl w:ilvl="3">
      <w:start w:val="1"/>
      <w:numFmt w:val="bullet"/>
      <w:lvlText w:val="•"/>
      <w:lvlJc w:val="left"/>
      <w:pPr>
        <w:ind w:left="3099" w:hanging="591"/>
      </w:pPr>
      <w:rPr>
        <w:rFonts w:hint="default"/>
      </w:rPr>
    </w:lvl>
    <w:lvl w:ilvl="4">
      <w:start w:val="1"/>
      <w:numFmt w:val="bullet"/>
      <w:lvlText w:val="•"/>
      <w:lvlJc w:val="left"/>
      <w:pPr>
        <w:ind w:left="4108" w:hanging="591"/>
      </w:pPr>
      <w:rPr>
        <w:rFonts w:hint="default"/>
      </w:rPr>
    </w:lvl>
    <w:lvl w:ilvl="5">
      <w:start w:val="1"/>
      <w:numFmt w:val="bullet"/>
      <w:lvlText w:val="•"/>
      <w:lvlJc w:val="left"/>
      <w:pPr>
        <w:ind w:left="5118" w:hanging="591"/>
      </w:pPr>
      <w:rPr>
        <w:rFonts w:hint="default"/>
      </w:rPr>
    </w:lvl>
    <w:lvl w:ilvl="6">
      <w:start w:val="1"/>
      <w:numFmt w:val="bullet"/>
      <w:lvlText w:val="•"/>
      <w:lvlJc w:val="left"/>
      <w:pPr>
        <w:ind w:left="6127" w:hanging="591"/>
      </w:pPr>
      <w:rPr>
        <w:rFonts w:hint="default"/>
      </w:rPr>
    </w:lvl>
    <w:lvl w:ilvl="7">
      <w:start w:val="1"/>
      <w:numFmt w:val="bullet"/>
      <w:lvlText w:val="•"/>
      <w:lvlJc w:val="left"/>
      <w:pPr>
        <w:ind w:left="7137" w:hanging="591"/>
      </w:pPr>
      <w:rPr>
        <w:rFonts w:hint="default"/>
      </w:rPr>
    </w:lvl>
    <w:lvl w:ilvl="8">
      <w:start w:val="1"/>
      <w:numFmt w:val="bullet"/>
      <w:lvlText w:val="•"/>
      <w:lvlJc w:val="left"/>
      <w:pPr>
        <w:ind w:left="8146" w:hanging="591"/>
      </w:pPr>
      <w:rPr>
        <w:rFonts w:hint="default"/>
      </w:rPr>
    </w:lvl>
  </w:abstractNum>
  <w:abstractNum w:abstractNumId="23">
    <w:multiLevelType w:val="hybridMultilevel"/>
    <w:lvl w:ilvl="0">
      <w:start w:val="3"/>
      <w:numFmt w:val="decimal"/>
      <w:lvlText w:val="%1"/>
      <w:lvlJc w:val="left"/>
      <w:pPr>
        <w:ind w:left="879" w:hanging="764"/>
        <w:jc w:val="left"/>
      </w:pPr>
      <w:rPr>
        <w:rFonts w:hint="default"/>
      </w:rPr>
    </w:lvl>
    <w:lvl w:ilvl="1">
      <w:start w:val="4"/>
      <w:numFmt w:val="decimal"/>
      <w:lvlText w:val="%1.%2"/>
      <w:lvlJc w:val="left"/>
      <w:pPr>
        <w:ind w:left="879" w:hanging="764"/>
        <w:jc w:val="left"/>
      </w:pPr>
      <w:rPr>
        <w:rFonts w:hint="default"/>
      </w:rPr>
    </w:lvl>
    <w:lvl w:ilvl="2">
      <w:start w:val="1"/>
      <w:numFmt w:val="decimal"/>
      <w:lvlText w:val="%1.%2.%3."/>
      <w:lvlJc w:val="left"/>
      <w:pPr>
        <w:ind w:left="879" w:hanging="764"/>
        <w:jc w:val="left"/>
      </w:pPr>
      <w:rPr>
        <w:rFonts w:hint="default" w:ascii="Arial" w:hAnsi="Arial" w:eastAsia="Arial" w:cs="Arial"/>
        <w:b/>
        <w:bCs/>
        <w:spacing w:val="-3"/>
        <w:w w:val="101"/>
        <w:sz w:val="23"/>
        <w:szCs w:val="23"/>
      </w:rPr>
    </w:lvl>
    <w:lvl w:ilvl="3">
      <w:start w:val="1"/>
      <w:numFmt w:val="bullet"/>
      <w:lvlText w:val="•"/>
      <w:lvlJc w:val="left"/>
      <w:pPr>
        <w:ind w:left="3665" w:hanging="764"/>
      </w:pPr>
      <w:rPr>
        <w:rFonts w:hint="default"/>
      </w:rPr>
    </w:lvl>
    <w:lvl w:ilvl="4">
      <w:start w:val="1"/>
      <w:numFmt w:val="bullet"/>
      <w:lvlText w:val="•"/>
      <w:lvlJc w:val="left"/>
      <w:pPr>
        <w:ind w:left="4594" w:hanging="764"/>
      </w:pPr>
      <w:rPr>
        <w:rFonts w:hint="default"/>
      </w:rPr>
    </w:lvl>
    <w:lvl w:ilvl="5">
      <w:start w:val="1"/>
      <w:numFmt w:val="bullet"/>
      <w:lvlText w:val="•"/>
      <w:lvlJc w:val="left"/>
      <w:pPr>
        <w:ind w:left="5522" w:hanging="764"/>
      </w:pPr>
      <w:rPr>
        <w:rFonts w:hint="default"/>
      </w:rPr>
    </w:lvl>
    <w:lvl w:ilvl="6">
      <w:start w:val="1"/>
      <w:numFmt w:val="bullet"/>
      <w:lvlText w:val="•"/>
      <w:lvlJc w:val="left"/>
      <w:pPr>
        <w:ind w:left="6451" w:hanging="764"/>
      </w:pPr>
      <w:rPr>
        <w:rFonts w:hint="default"/>
      </w:rPr>
    </w:lvl>
    <w:lvl w:ilvl="7">
      <w:start w:val="1"/>
      <w:numFmt w:val="bullet"/>
      <w:lvlText w:val="•"/>
      <w:lvlJc w:val="left"/>
      <w:pPr>
        <w:ind w:left="7379" w:hanging="764"/>
      </w:pPr>
      <w:rPr>
        <w:rFonts w:hint="default"/>
      </w:rPr>
    </w:lvl>
    <w:lvl w:ilvl="8">
      <w:start w:val="1"/>
      <w:numFmt w:val="bullet"/>
      <w:lvlText w:val="•"/>
      <w:lvlJc w:val="left"/>
      <w:pPr>
        <w:ind w:left="8308" w:hanging="764"/>
      </w:pPr>
      <w:rPr>
        <w:rFonts w:hint="default"/>
      </w:rPr>
    </w:lvl>
  </w:abstractNum>
  <w:abstractNum w:abstractNumId="22">
    <w:multiLevelType w:val="hybridMultilevel"/>
    <w:lvl w:ilvl="0">
      <w:start w:val="1"/>
      <w:numFmt w:val="lowerLetter"/>
      <w:lvlText w:val="%1)"/>
      <w:lvlJc w:val="left"/>
      <w:pPr>
        <w:ind w:left="116" w:hanging="687"/>
        <w:jc w:val="left"/>
      </w:pPr>
      <w:rPr>
        <w:rFonts w:hint="default" w:ascii="Arial" w:hAnsi="Arial" w:eastAsia="Arial" w:cs="Arial"/>
        <w:spacing w:val="-1"/>
        <w:w w:val="101"/>
        <w:sz w:val="23"/>
        <w:szCs w:val="23"/>
      </w:rPr>
    </w:lvl>
    <w:lvl w:ilvl="1">
      <w:start w:val="1"/>
      <w:numFmt w:val="bullet"/>
      <w:lvlText w:val="•"/>
      <w:lvlJc w:val="left"/>
      <w:pPr>
        <w:ind w:left="1124" w:hanging="687"/>
      </w:pPr>
      <w:rPr>
        <w:rFonts w:hint="default"/>
      </w:rPr>
    </w:lvl>
    <w:lvl w:ilvl="2">
      <w:start w:val="1"/>
      <w:numFmt w:val="bullet"/>
      <w:lvlText w:val="•"/>
      <w:lvlJc w:val="left"/>
      <w:pPr>
        <w:ind w:left="2129" w:hanging="687"/>
      </w:pPr>
      <w:rPr>
        <w:rFonts w:hint="default"/>
      </w:rPr>
    </w:lvl>
    <w:lvl w:ilvl="3">
      <w:start w:val="1"/>
      <w:numFmt w:val="bullet"/>
      <w:lvlText w:val="•"/>
      <w:lvlJc w:val="left"/>
      <w:pPr>
        <w:ind w:left="3133" w:hanging="687"/>
      </w:pPr>
      <w:rPr>
        <w:rFonts w:hint="default"/>
      </w:rPr>
    </w:lvl>
    <w:lvl w:ilvl="4">
      <w:start w:val="1"/>
      <w:numFmt w:val="bullet"/>
      <w:lvlText w:val="•"/>
      <w:lvlJc w:val="left"/>
      <w:pPr>
        <w:ind w:left="4138" w:hanging="687"/>
      </w:pPr>
      <w:rPr>
        <w:rFonts w:hint="default"/>
      </w:rPr>
    </w:lvl>
    <w:lvl w:ilvl="5">
      <w:start w:val="1"/>
      <w:numFmt w:val="bullet"/>
      <w:lvlText w:val="•"/>
      <w:lvlJc w:val="left"/>
      <w:pPr>
        <w:ind w:left="5142" w:hanging="687"/>
      </w:pPr>
      <w:rPr>
        <w:rFonts w:hint="default"/>
      </w:rPr>
    </w:lvl>
    <w:lvl w:ilvl="6">
      <w:start w:val="1"/>
      <w:numFmt w:val="bullet"/>
      <w:lvlText w:val="•"/>
      <w:lvlJc w:val="left"/>
      <w:pPr>
        <w:ind w:left="6147" w:hanging="687"/>
      </w:pPr>
      <w:rPr>
        <w:rFonts w:hint="default"/>
      </w:rPr>
    </w:lvl>
    <w:lvl w:ilvl="7">
      <w:start w:val="1"/>
      <w:numFmt w:val="bullet"/>
      <w:lvlText w:val="•"/>
      <w:lvlJc w:val="left"/>
      <w:pPr>
        <w:ind w:left="7151" w:hanging="687"/>
      </w:pPr>
      <w:rPr>
        <w:rFonts w:hint="default"/>
      </w:rPr>
    </w:lvl>
    <w:lvl w:ilvl="8">
      <w:start w:val="1"/>
      <w:numFmt w:val="bullet"/>
      <w:lvlText w:val="•"/>
      <w:lvlJc w:val="left"/>
      <w:pPr>
        <w:ind w:left="8156" w:hanging="687"/>
      </w:pPr>
      <w:rPr>
        <w:rFonts w:hint="default"/>
      </w:rPr>
    </w:lvl>
  </w:abstractNum>
  <w:abstractNum w:abstractNumId="21">
    <w:multiLevelType w:val="hybridMultilevel"/>
    <w:lvl w:ilvl="0">
      <w:start w:val="3"/>
      <w:numFmt w:val="decimal"/>
      <w:lvlText w:val="%1"/>
      <w:lvlJc w:val="left"/>
      <w:pPr>
        <w:ind w:left="816" w:hanging="701"/>
        <w:jc w:val="left"/>
      </w:pPr>
      <w:rPr>
        <w:rFonts w:hint="default"/>
      </w:rPr>
    </w:lvl>
    <w:lvl w:ilvl="1">
      <w:start w:val="1"/>
      <w:numFmt w:val="decimal"/>
      <w:lvlText w:val="%1.%2."/>
      <w:lvlJc w:val="left"/>
      <w:pPr>
        <w:ind w:left="816" w:hanging="701"/>
        <w:jc w:val="right"/>
      </w:pPr>
      <w:rPr>
        <w:rFonts w:hint="default" w:ascii="Arial" w:hAnsi="Arial" w:eastAsia="Arial" w:cs="Arial"/>
        <w:b/>
        <w:bCs/>
        <w:spacing w:val="-3"/>
        <w:w w:val="101"/>
        <w:sz w:val="23"/>
        <w:szCs w:val="23"/>
      </w:rPr>
    </w:lvl>
    <w:lvl w:ilvl="2">
      <w:start w:val="1"/>
      <w:numFmt w:val="lowerLetter"/>
      <w:lvlText w:val="%3)"/>
      <w:lvlJc w:val="left"/>
      <w:pPr>
        <w:ind w:left="1493" w:hanging="725"/>
        <w:jc w:val="left"/>
      </w:pPr>
      <w:rPr>
        <w:rFonts w:hint="default" w:ascii="Arial" w:hAnsi="Arial" w:eastAsia="Arial" w:cs="Arial"/>
        <w:spacing w:val="-1"/>
        <w:w w:val="101"/>
        <w:sz w:val="23"/>
        <w:szCs w:val="23"/>
      </w:rPr>
    </w:lvl>
    <w:lvl w:ilvl="3">
      <w:start w:val="1"/>
      <w:numFmt w:val="bullet"/>
      <w:lvlText w:val="•"/>
      <w:lvlJc w:val="left"/>
      <w:pPr>
        <w:ind w:left="3425" w:hanging="725"/>
      </w:pPr>
      <w:rPr>
        <w:rFonts w:hint="default"/>
      </w:rPr>
    </w:lvl>
    <w:lvl w:ilvl="4">
      <w:start w:val="1"/>
      <w:numFmt w:val="bullet"/>
      <w:lvlText w:val="•"/>
      <w:lvlJc w:val="left"/>
      <w:pPr>
        <w:ind w:left="4388" w:hanging="725"/>
      </w:pPr>
      <w:rPr>
        <w:rFonts w:hint="default"/>
      </w:rPr>
    </w:lvl>
    <w:lvl w:ilvl="5">
      <w:start w:val="1"/>
      <w:numFmt w:val="bullet"/>
      <w:lvlText w:val="•"/>
      <w:lvlJc w:val="left"/>
      <w:pPr>
        <w:ind w:left="5351" w:hanging="725"/>
      </w:pPr>
      <w:rPr>
        <w:rFonts w:hint="default"/>
      </w:rPr>
    </w:lvl>
    <w:lvl w:ilvl="6">
      <w:start w:val="1"/>
      <w:numFmt w:val="bullet"/>
      <w:lvlText w:val="•"/>
      <w:lvlJc w:val="left"/>
      <w:pPr>
        <w:ind w:left="6314" w:hanging="725"/>
      </w:pPr>
      <w:rPr>
        <w:rFonts w:hint="default"/>
      </w:rPr>
    </w:lvl>
    <w:lvl w:ilvl="7">
      <w:start w:val="1"/>
      <w:numFmt w:val="bullet"/>
      <w:lvlText w:val="•"/>
      <w:lvlJc w:val="left"/>
      <w:pPr>
        <w:ind w:left="7277" w:hanging="725"/>
      </w:pPr>
      <w:rPr>
        <w:rFonts w:hint="default"/>
      </w:rPr>
    </w:lvl>
    <w:lvl w:ilvl="8">
      <w:start w:val="1"/>
      <w:numFmt w:val="bullet"/>
      <w:lvlText w:val="•"/>
      <w:lvlJc w:val="left"/>
      <w:pPr>
        <w:ind w:left="8239" w:hanging="725"/>
      </w:pPr>
      <w:rPr>
        <w:rFonts w:hint="default"/>
      </w:rPr>
    </w:lvl>
  </w:abstractNum>
  <w:abstractNum w:abstractNumId="20">
    <w:multiLevelType w:val="hybridMultilevel"/>
    <w:lvl w:ilvl="0">
      <w:start w:val="1"/>
      <w:numFmt w:val="bullet"/>
      <w:lvlText w:val="•"/>
      <w:lvlJc w:val="left"/>
      <w:pPr>
        <w:ind w:left="116" w:hanging="692"/>
      </w:pPr>
      <w:rPr>
        <w:rFonts w:hint="default" w:ascii="Arial" w:hAnsi="Arial" w:eastAsia="Arial" w:cs="Arial"/>
        <w:w w:val="101"/>
        <w:sz w:val="23"/>
        <w:szCs w:val="23"/>
      </w:rPr>
    </w:lvl>
    <w:lvl w:ilvl="1">
      <w:start w:val="1"/>
      <w:numFmt w:val="bullet"/>
      <w:lvlText w:val="•"/>
      <w:lvlJc w:val="left"/>
      <w:pPr>
        <w:ind w:left="1124" w:hanging="692"/>
      </w:pPr>
      <w:rPr>
        <w:rFonts w:hint="default"/>
      </w:rPr>
    </w:lvl>
    <w:lvl w:ilvl="2">
      <w:start w:val="1"/>
      <w:numFmt w:val="bullet"/>
      <w:lvlText w:val="•"/>
      <w:lvlJc w:val="left"/>
      <w:pPr>
        <w:ind w:left="2129" w:hanging="692"/>
      </w:pPr>
      <w:rPr>
        <w:rFonts w:hint="default"/>
      </w:rPr>
    </w:lvl>
    <w:lvl w:ilvl="3">
      <w:start w:val="1"/>
      <w:numFmt w:val="bullet"/>
      <w:lvlText w:val="•"/>
      <w:lvlJc w:val="left"/>
      <w:pPr>
        <w:ind w:left="3133" w:hanging="692"/>
      </w:pPr>
      <w:rPr>
        <w:rFonts w:hint="default"/>
      </w:rPr>
    </w:lvl>
    <w:lvl w:ilvl="4">
      <w:start w:val="1"/>
      <w:numFmt w:val="bullet"/>
      <w:lvlText w:val="•"/>
      <w:lvlJc w:val="left"/>
      <w:pPr>
        <w:ind w:left="4138" w:hanging="692"/>
      </w:pPr>
      <w:rPr>
        <w:rFonts w:hint="default"/>
      </w:rPr>
    </w:lvl>
    <w:lvl w:ilvl="5">
      <w:start w:val="1"/>
      <w:numFmt w:val="bullet"/>
      <w:lvlText w:val="•"/>
      <w:lvlJc w:val="left"/>
      <w:pPr>
        <w:ind w:left="5142" w:hanging="692"/>
      </w:pPr>
      <w:rPr>
        <w:rFonts w:hint="default"/>
      </w:rPr>
    </w:lvl>
    <w:lvl w:ilvl="6">
      <w:start w:val="1"/>
      <w:numFmt w:val="bullet"/>
      <w:lvlText w:val="•"/>
      <w:lvlJc w:val="left"/>
      <w:pPr>
        <w:ind w:left="6147" w:hanging="692"/>
      </w:pPr>
      <w:rPr>
        <w:rFonts w:hint="default"/>
      </w:rPr>
    </w:lvl>
    <w:lvl w:ilvl="7">
      <w:start w:val="1"/>
      <w:numFmt w:val="bullet"/>
      <w:lvlText w:val="•"/>
      <w:lvlJc w:val="left"/>
      <w:pPr>
        <w:ind w:left="7151" w:hanging="692"/>
      </w:pPr>
      <w:rPr>
        <w:rFonts w:hint="default"/>
      </w:rPr>
    </w:lvl>
    <w:lvl w:ilvl="8">
      <w:start w:val="1"/>
      <w:numFmt w:val="bullet"/>
      <w:lvlText w:val="•"/>
      <w:lvlJc w:val="left"/>
      <w:pPr>
        <w:ind w:left="8156" w:hanging="692"/>
      </w:pPr>
      <w:rPr>
        <w:rFonts w:hint="default"/>
      </w:rPr>
    </w:lvl>
  </w:abstractNum>
  <w:abstractNum w:abstractNumId="19">
    <w:multiLevelType w:val="hybridMultilevel"/>
    <w:lvl w:ilvl="0">
      <w:start w:val="3"/>
      <w:numFmt w:val="decimal"/>
      <w:lvlText w:val="%1."/>
      <w:lvlJc w:val="left"/>
      <w:pPr>
        <w:ind w:left="1152" w:hanging="351"/>
        <w:jc w:val="left"/>
      </w:pPr>
      <w:rPr>
        <w:rFonts w:hint="default" w:ascii="Arial" w:hAnsi="Arial" w:eastAsia="Arial" w:cs="Arial"/>
        <w:b/>
        <w:bCs/>
        <w:spacing w:val="-1"/>
        <w:w w:val="101"/>
        <w:sz w:val="23"/>
        <w:szCs w:val="23"/>
      </w:rPr>
    </w:lvl>
    <w:lvl w:ilvl="1">
      <w:start w:val="1"/>
      <w:numFmt w:val="bullet"/>
      <w:lvlText w:val="•"/>
      <w:lvlJc w:val="left"/>
      <w:pPr>
        <w:ind w:left="1160" w:hanging="351"/>
      </w:pPr>
      <w:rPr>
        <w:rFonts w:hint="default"/>
      </w:rPr>
    </w:lvl>
    <w:lvl w:ilvl="2">
      <w:start w:val="1"/>
      <w:numFmt w:val="bullet"/>
      <w:lvlText w:val="•"/>
      <w:lvlJc w:val="left"/>
      <w:pPr>
        <w:ind w:left="2160" w:hanging="351"/>
      </w:pPr>
      <w:rPr>
        <w:rFonts w:hint="default"/>
      </w:rPr>
    </w:lvl>
    <w:lvl w:ilvl="3">
      <w:start w:val="1"/>
      <w:numFmt w:val="bullet"/>
      <w:lvlText w:val="•"/>
      <w:lvlJc w:val="left"/>
      <w:pPr>
        <w:ind w:left="3161" w:hanging="351"/>
      </w:pPr>
      <w:rPr>
        <w:rFonts w:hint="default"/>
      </w:rPr>
    </w:lvl>
    <w:lvl w:ilvl="4">
      <w:start w:val="1"/>
      <w:numFmt w:val="bullet"/>
      <w:lvlText w:val="•"/>
      <w:lvlJc w:val="left"/>
      <w:pPr>
        <w:ind w:left="4161" w:hanging="351"/>
      </w:pPr>
      <w:rPr>
        <w:rFonts w:hint="default"/>
      </w:rPr>
    </w:lvl>
    <w:lvl w:ilvl="5">
      <w:start w:val="1"/>
      <w:numFmt w:val="bullet"/>
      <w:lvlText w:val="•"/>
      <w:lvlJc w:val="left"/>
      <w:pPr>
        <w:ind w:left="5162" w:hanging="351"/>
      </w:pPr>
      <w:rPr>
        <w:rFonts w:hint="default"/>
      </w:rPr>
    </w:lvl>
    <w:lvl w:ilvl="6">
      <w:start w:val="1"/>
      <w:numFmt w:val="bullet"/>
      <w:lvlText w:val="•"/>
      <w:lvlJc w:val="left"/>
      <w:pPr>
        <w:ind w:left="6163" w:hanging="351"/>
      </w:pPr>
      <w:rPr>
        <w:rFonts w:hint="default"/>
      </w:rPr>
    </w:lvl>
    <w:lvl w:ilvl="7">
      <w:start w:val="1"/>
      <w:numFmt w:val="bullet"/>
      <w:lvlText w:val="•"/>
      <w:lvlJc w:val="left"/>
      <w:pPr>
        <w:ind w:left="7163" w:hanging="351"/>
      </w:pPr>
      <w:rPr>
        <w:rFonts w:hint="default"/>
      </w:rPr>
    </w:lvl>
    <w:lvl w:ilvl="8">
      <w:start w:val="1"/>
      <w:numFmt w:val="bullet"/>
      <w:lvlText w:val="•"/>
      <w:lvlJc w:val="left"/>
      <w:pPr>
        <w:ind w:left="8164" w:hanging="351"/>
      </w:pPr>
      <w:rPr>
        <w:rFonts w:hint="default"/>
      </w:rPr>
    </w:lvl>
  </w:abstractNum>
  <w:abstractNum w:abstractNumId="18">
    <w:multiLevelType w:val="hybridMultilevel"/>
    <w:lvl w:ilvl="0">
      <w:start w:val="2"/>
      <w:numFmt w:val="decimal"/>
      <w:lvlText w:val="%1"/>
      <w:lvlJc w:val="left"/>
      <w:pPr>
        <w:ind w:left="1498" w:hanging="692"/>
        <w:jc w:val="left"/>
      </w:pPr>
      <w:rPr>
        <w:rFonts w:hint="default"/>
      </w:rPr>
    </w:lvl>
    <w:lvl w:ilvl="1">
      <w:start w:val="1"/>
      <w:numFmt w:val="decimal"/>
      <w:lvlText w:val="%1.%2."/>
      <w:lvlJc w:val="left"/>
      <w:pPr>
        <w:ind w:left="1498" w:hanging="692"/>
        <w:jc w:val="left"/>
      </w:pPr>
      <w:rPr>
        <w:rFonts w:hint="default" w:ascii="Arial" w:hAnsi="Arial" w:eastAsia="Arial" w:cs="Arial"/>
        <w:b/>
        <w:bCs/>
        <w:spacing w:val="-3"/>
        <w:w w:val="101"/>
        <w:sz w:val="23"/>
        <w:szCs w:val="23"/>
      </w:rPr>
    </w:lvl>
    <w:lvl w:ilvl="2">
      <w:start w:val="1"/>
      <w:numFmt w:val="bullet"/>
      <w:lvlText w:val="•"/>
      <w:lvlJc w:val="left"/>
      <w:pPr>
        <w:ind w:left="3233" w:hanging="692"/>
      </w:pPr>
      <w:rPr>
        <w:rFonts w:hint="default"/>
      </w:rPr>
    </w:lvl>
    <w:lvl w:ilvl="3">
      <w:start w:val="1"/>
      <w:numFmt w:val="bullet"/>
      <w:lvlText w:val="•"/>
      <w:lvlJc w:val="left"/>
      <w:pPr>
        <w:ind w:left="4099" w:hanging="692"/>
      </w:pPr>
      <w:rPr>
        <w:rFonts w:hint="default"/>
      </w:rPr>
    </w:lvl>
    <w:lvl w:ilvl="4">
      <w:start w:val="1"/>
      <w:numFmt w:val="bullet"/>
      <w:lvlText w:val="•"/>
      <w:lvlJc w:val="left"/>
      <w:pPr>
        <w:ind w:left="4966" w:hanging="692"/>
      </w:pPr>
      <w:rPr>
        <w:rFonts w:hint="default"/>
      </w:rPr>
    </w:lvl>
    <w:lvl w:ilvl="5">
      <w:start w:val="1"/>
      <w:numFmt w:val="bullet"/>
      <w:lvlText w:val="•"/>
      <w:lvlJc w:val="left"/>
      <w:pPr>
        <w:ind w:left="5832" w:hanging="692"/>
      </w:pPr>
      <w:rPr>
        <w:rFonts w:hint="default"/>
      </w:rPr>
    </w:lvl>
    <w:lvl w:ilvl="6">
      <w:start w:val="1"/>
      <w:numFmt w:val="bullet"/>
      <w:lvlText w:val="•"/>
      <w:lvlJc w:val="left"/>
      <w:pPr>
        <w:ind w:left="6699" w:hanging="692"/>
      </w:pPr>
      <w:rPr>
        <w:rFonts w:hint="default"/>
      </w:rPr>
    </w:lvl>
    <w:lvl w:ilvl="7">
      <w:start w:val="1"/>
      <w:numFmt w:val="bullet"/>
      <w:lvlText w:val="•"/>
      <w:lvlJc w:val="left"/>
      <w:pPr>
        <w:ind w:left="7565" w:hanging="692"/>
      </w:pPr>
      <w:rPr>
        <w:rFonts w:hint="default"/>
      </w:rPr>
    </w:lvl>
    <w:lvl w:ilvl="8">
      <w:start w:val="1"/>
      <w:numFmt w:val="bullet"/>
      <w:lvlText w:val="•"/>
      <w:lvlJc w:val="left"/>
      <w:pPr>
        <w:ind w:left="8432" w:hanging="692"/>
      </w:pPr>
      <w:rPr>
        <w:rFonts w:hint="default"/>
      </w:rPr>
    </w:lvl>
  </w:abstractNum>
  <w:abstractNum w:abstractNumId="17">
    <w:multiLevelType w:val="hybridMultilevel"/>
    <w:lvl w:ilvl="0">
      <w:start w:val="1"/>
      <w:numFmt w:val="decimal"/>
      <w:lvlText w:val="%1."/>
      <w:lvlJc w:val="left"/>
      <w:pPr>
        <w:ind w:left="116" w:hanging="331"/>
        <w:jc w:val="left"/>
      </w:pPr>
      <w:rPr>
        <w:rFonts w:hint="default" w:ascii="Arial" w:hAnsi="Arial" w:eastAsia="Arial" w:cs="Arial"/>
        <w:spacing w:val="-1"/>
        <w:w w:val="101"/>
        <w:sz w:val="23"/>
        <w:szCs w:val="23"/>
      </w:rPr>
    </w:lvl>
    <w:lvl w:ilvl="1">
      <w:start w:val="1"/>
      <w:numFmt w:val="bullet"/>
      <w:lvlText w:val="•"/>
      <w:lvlJc w:val="left"/>
      <w:pPr>
        <w:ind w:left="1124" w:hanging="331"/>
      </w:pPr>
      <w:rPr>
        <w:rFonts w:hint="default"/>
      </w:rPr>
    </w:lvl>
    <w:lvl w:ilvl="2">
      <w:start w:val="1"/>
      <w:numFmt w:val="bullet"/>
      <w:lvlText w:val="•"/>
      <w:lvlJc w:val="left"/>
      <w:pPr>
        <w:ind w:left="2129" w:hanging="331"/>
      </w:pPr>
      <w:rPr>
        <w:rFonts w:hint="default"/>
      </w:rPr>
    </w:lvl>
    <w:lvl w:ilvl="3">
      <w:start w:val="1"/>
      <w:numFmt w:val="bullet"/>
      <w:lvlText w:val="•"/>
      <w:lvlJc w:val="left"/>
      <w:pPr>
        <w:ind w:left="3133" w:hanging="331"/>
      </w:pPr>
      <w:rPr>
        <w:rFonts w:hint="default"/>
      </w:rPr>
    </w:lvl>
    <w:lvl w:ilvl="4">
      <w:start w:val="1"/>
      <w:numFmt w:val="bullet"/>
      <w:lvlText w:val="•"/>
      <w:lvlJc w:val="left"/>
      <w:pPr>
        <w:ind w:left="4138" w:hanging="331"/>
      </w:pPr>
      <w:rPr>
        <w:rFonts w:hint="default"/>
      </w:rPr>
    </w:lvl>
    <w:lvl w:ilvl="5">
      <w:start w:val="1"/>
      <w:numFmt w:val="bullet"/>
      <w:lvlText w:val="•"/>
      <w:lvlJc w:val="left"/>
      <w:pPr>
        <w:ind w:left="5142" w:hanging="331"/>
      </w:pPr>
      <w:rPr>
        <w:rFonts w:hint="default"/>
      </w:rPr>
    </w:lvl>
    <w:lvl w:ilvl="6">
      <w:start w:val="1"/>
      <w:numFmt w:val="bullet"/>
      <w:lvlText w:val="•"/>
      <w:lvlJc w:val="left"/>
      <w:pPr>
        <w:ind w:left="6147" w:hanging="331"/>
      </w:pPr>
      <w:rPr>
        <w:rFonts w:hint="default"/>
      </w:rPr>
    </w:lvl>
    <w:lvl w:ilvl="7">
      <w:start w:val="1"/>
      <w:numFmt w:val="bullet"/>
      <w:lvlText w:val="•"/>
      <w:lvlJc w:val="left"/>
      <w:pPr>
        <w:ind w:left="7151" w:hanging="331"/>
      </w:pPr>
      <w:rPr>
        <w:rFonts w:hint="default"/>
      </w:rPr>
    </w:lvl>
    <w:lvl w:ilvl="8">
      <w:start w:val="1"/>
      <w:numFmt w:val="bullet"/>
      <w:lvlText w:val="•"/>
      <w:lvlJc w:val="left"/>
      <w:pPr>
        <w:ind w:left="8156" w:hanging="331"/>
      </w:pPr>
      <w:rPr>
        <w:rFonts w:hint="default"/>
      </w:rPr>
    </w:lvl>
  </w:abstractNum>
  <w:abstractNum w:abstractNumId="16">
    <w:multiLevelType w:val="hybridMultilevel"/>
    <w:lvl w:ilvl="0">
      <w:start w:val="1"/>
      <w:numFmt w:val="decimal"/>
      <w:lvlText w:val="%1."/>
      <w:lvlJc w:val="left"/>
      <w:pPr>
        <w:ind w:left="389" w:hanging="274"/>
        <w:jc w:val="right"/>
      </w:pPr>
      <w:rPr>
        <w:rFonts w:hint="default" w:ascii="Arial" w:hAnsi="Arial" w:eastAsia="Arial" w:cs="Arial"/>
        <w:b/>
        <w:bCs/>
        <w:spacing w:val="-1"/>
        <w:w w:val="101"/>
        <w:sz w:val="23"/>
        <w:szCs w:val="23"/>
      </w:rPr>
    </w:lvl>
    <w:lvl w:ilvl="1">
      <w:start w:val="1"/>
      <w:numFmt w:val="bullet"/>
      <w:lvlText w:val="•"/>
      <w:lvlJc w:val="left"/>
      <w:pPr>
        <w:ind w:left="1358" w:hanging="274"/>
      </w:pPr>
      <w:rPr>
        <w:rFonts w:hint="default"/>
      </w:rPr>
    </w:lvl>
    <w:lvl w:ilvl="2">
      <w:start w:val="1"/>
      <w:numFmt w:val="bullet"/>
      <w:lvlText w:val="•"/>
      <w:lvlJc w:val="left"/>
      <w:pPr>
        <w:ind w:left="2337" w:hanging="274"/>
      </w:pPr>
      <w:rPr>
        <w:rFonts w:hint="default"/>
      </w:rPr>
    </w:lvl>
    <w:lvl w:ilvl="3">
      <w:start w:val="1"/>
      <w:numFmt w:val="bullet"/>
      <w:lvlText w:val="•"/>
      <w:lvlJc w:val="left"/>
      <w:pPr>
        <w:ind w:left="3315" w:hanging="274"/>
      </w:pPr>
      <w:rPr>
        <w:rFonts w:hint="default"/>
      </w:rPr>
    </w:lvl>
    <w:lvl w:ilvl="4">
      <w:start w:val="1"/>
      <w:numFmt w:val="bullet"/>
      <w:lvlText w:val="•"/>
      <w:lvlJc w:val="left"/>
      <w:pPr>
        <w:ind w:left="4294" w:hanging="274"/>
      </w:pPr>
      <w:rPr>
        <w:rFonts w:hint="default"/>
      </w:rPr>
    </w:lvl>
    <w:lvl w:ilvl="5">
      <w:start w:val="1"/>
      <w:numFmt w:val="bullet"/>
      <w:lvlText w:val="•"/>
      <w:lvlJc w:val="left"/>
      <w:pPr>
        <w:ind w:left="5272" w:hanging="274"/>
      </w:pPr>
      <w:rPr>
        <w:rFonts w:hint="default"/>
      </w:rPr>
    </w:lvl>
    <w:lvl w:ilvl="6">
      <w:start w:val="1"/>
      <w:numFmt w:val="bullet"/>
      <w:lvlText w:val="•"/>
      <w:lvlJc w:val="left"/>
      <w:pPr>
        <w:ind w:left="6251" w:hanging="274"/>
      </w:pPr>
      <w:rPr>
        <w:rFonts w:hint="default"/>
      </w:rPr>
    </w:lvl>
    <w:lvl w:ilvl="7">
      <w:start w:val="1"/>
      <w:numFmt w:val="bullet"/>
      <w:lvlText w:val="•"/>
      <w:lvlJc w:val="left"/>
      <w:pPr>
        <w:ind w:left="7229" w:hanging="274"/>
      </w:pPr>
      <w:rPr>
        <w:rFonts w:hint="default"/>
      </w:rPr>
    </w:lvl>
    <w:lvl w:ilvl="8">
      <w:start w:val="1"/>
      <w:numFmt w:val="bullet"/>
      <w:lvlText w:val="•"/>
      <w:lvlJc w:val="left"/>
      <w:pPr>
        <w:ind w:left="8208" w:hanging="274"/>
      </w:pPr>
      <w:rPr>
        <w:rFonts w:hint="default"/>
      </w:rPr>
    </w:lvl>
  </w:abstractNum>
  <w:abstractNum w:abstractNumId="15">
    <w:multiLevelType w:val="hybridMultilevel"/>
    <w:lvl w:ilvl="0">
      <w:start w:val="2"/>
      <w:numFmt w:val="decimal"/>
      <w:lvlText w:val="%1"/>
      <w:lvlJc w:val="left"/>
      <w:pPr>
        <w:ind w:left="816" w:hanging="701"/>
        <w:jc w:val="left"/>
      </w:pPr>
      <w:rPr>
        <w:rFonts w:hint="default"/>
      </w:rPr>
    </w:lvl>
    <w:lvl w:ilvl="1">
      <w:start w:val="4"/>
      <w:numFmt w:val="decimal"/>
      <w:lvlText w:val="%1.%2."/>
      <w:lvlJc w:val="left"/>
      <w:pPr>
        <w:ind w:left="816" w:hanging="701"/>
        <w:jc w:val="left"/>
      </w:pPr>
      <w:rPr>
        <w:rFonts w:hint="default" w:ascii="Arial" w:hAnsi="Arial" w:eastAsia="Arial" w:cs="Arial"/>
        <w:b/>
        <w:bCs/>
        <w:spacing w:val="-3"/>
        <w:w w:val="101"/>
        <w:sz w:val="23"/>
        <w:szCs w:val="23"/>
      </w:rPr>
    </w:lvl>
    <w:lvl w:ilvl="2">
      <w:start w:val="1"/>
      <w:numFmt w:val="lowerLetter"/>
      <w:lvlText w:val="%3)"/>
      <w:lvlJc w:val="left"/>
      <w:pPr>
        <w:ind w:left="816" w:hanging="351"/>
        <w:jc w:val="left"/>
      </w:pPr>
      <w:rPr>
        <w:rFonts w:hint="default" w:ascii="Arial" w:hAnsi="Arial" w:eastAsia="Arial" w:cs="Arial"/>
        <w:spacing w:val="-1"/>
        <w:w w:val="101"/>
        <w:sz w:val="23"/>
        <w:szCs w:val="23"/>
      </w:rPr>
    </w:lvl>
    <w:lvl w:ilvl="3">
      <w:start w:val="1"/>
      <w:numFmt w:val="bullet"/>
      <w:lvlText w:val="•"/>
      <w:lvlJc w:val="left"/>
      <w:pPr>
        <w:ind w:left="3623" w:hanging="351"/>
      </w:pPr>
      <w:rPr>
        <w:rFonts w:hint="default"/>
      </w:rPr>
    </w:lvl>
    <w:lvl w:ilvl="4">
      <w:start w:val="1"/>
      <w:numFmt w:val="bullet"/>
      <w:lvlText w:val="•"/>
      <w:lvlJc w:val="left"/>
      <w:pPr>
        <w:ind w:left="4558" w:hanging="351"/>
      </w:pPr>
      <w:rPr>
        <w:rFonts w:hint="default"/>
      </w:rPr>
    </w:lvl>
    <w:lvl w:ilvl="5">
      <w:start w:val="1"/>
      <w:numFmt w:val="bullet"/>
      <w:lvlText w:val="•"/>
      <w:lvlJc w:val="left"/>
      <w:pPr>
        <w:ind w:left="5492" w:hanging="351"/>
      </w:pPr>
      <w:rPr>
        <w:rFonts w:hint="default"/>
      </w:rPr>
    </w:lvl>
    <w:lvl w:ilvl="6">
      <w:start w:val="1"/>
      <w:numFmt w:val="bullet"/>
      <w:lvlText w:val="•"/>
      <w:lvlJc w:val="left"/>
      <w:pPr>
        <w:ind w:left="6427" w:hanging="351"/>
      </w:pPr>
      <w:rPr>
        <w:rFonts w:hint="default"/>
      </w:rPr>
    </w:lvl>
    <w:lvl w:ilvl="7">
      <w:start w:val="1"/>
      <w:numFmt w:val="bullet"/>
      <w:lvlText w:val="•"/>
      <w:lvlJc w:val="left"/>
      <w:pPr>
        <w:ind w:left="7361" w:hanging="351"/>
      </w:pPr>
      <w:rPr>
        <w:rFonts w:hint="default"/>
      </w:rPr>
    </w:lvl>
    <w:lvl w:ilvl="8">
      <w:start w:val="1"/>
      <w:numFmt w:val="bullet"/>
      <w:lvlText w:val="•"/>
      <w:lvlJc w:val="left"/>
      <w:pPr>
        <w:ind w:left="8296" w:hanging="351"/>
      </w:pPr>
      <w:rPr>
        <w:rFonts w:hint="default"/>
      </w:rPr>
    </w:lvl>
  </w:abstractNum>
  <w:abstractNum w:abstractNumId="14">
    <w:multiLevelType w:val="hybridMultilevel"/>
    <w:lvl w:ilvl="0">
      <w:start w:val="2"/>
      <w:numFmt w:val="decimal"/>
      <w:lvlText w:val="%1"/>
      <w:lvlJc w:val="left"/>
      <w:pPr>
        <w:ind w:left="801" w:hanging="701"/>
        <w:jc w:val="left"/>
      </w:pPr>
      <w:rPr>
        <w:rFonts w:hint="default"/>
      </w:rPr>
    </w:lvl>
    <w:lvl w:ilvl="1">
      <w:start w:val="3"/>
      <w:numFmt w:val="decimal"/>
      <w:lvlText w:val="%1.%2"/>
      <w:lvlJc w:val="left"/>
      <w:pPr>
        <w:ind w:left="801" w:hanging="701"/>
        <w:jc w:val="left"/>
      </w:pPr>
      <w:rPr>
        <w:rFonts w:hint="default"/>
      </w:rPr>
    </w:lvl>
    <w:lvl w:ilvl="2">
      <w:start w:val="2"/>
      <w:numFmt w:val="decimal"/>
      <w:lvlText w:val="%1.%2.%3."/>
      <w:lvlJc w:val="left"/>
      <w:pPr>
        <w:ind w:left="801" w:hanging="701"/>
        <w:jc w:val="left"/>
      </w:pPr>
      <w:rPr>
        <w:rFonts w:hint="default" w:ascii="Arial" w:hAnsi="Arial" w:eastAsia="Arial" w:cs="Arial"/>
        <w:b/>
        <w:bCs/>
        <w:spacing w:val="-3"/>
        <w:w w:val="101"/>
        <w:sz w:val="23"/>
        <w:szCs w:val="23"/>
      </w:rPr>
    </w:lvl>
    <w:lvl w:ilvl="3">
      <w:start w:val="1"/>
      <w:numFmt w:val="bullet"/>
      <w:lvlText w:val="•"/>
      <w:lvlJc w:val="left"/>
      <w:pPr>
        <w:ind w:left="3603" w:hanging="701"/>
      </w:pPr>
      <w:rPr>
        <w:rFonts w:hint="default"/>
      </w:rPr>
    </w:lvl>
    <w:lvl w:ilvl="4">
      <w:start w:val="1"/>
      <w:numFmt w:val="bullet"/>
      <w:lvlText w:val="•"/>
      <w:lvlJc w:val="left"/>
      <w:pPr>
        <w:ind w:left="4538" w:hanging="701"/>
      </w:pPr>
      <w:rPr>
        <w:rFonts w:hint="default"/>
      </w:rPr>
    </w:lvl>
    <w:lvl w:ilvl="5">
      <w:start w:val="1"/>
      <w:numFmt w:val="bullet"/>
      <w:lvlText w:val="•"/>
      <w:lvlJc w:val="left"/>
      <w:pPr>
        <w:ind w:left="5472" w:hanging="701"/>
      </w:pPr>
      <w:rPr>
        <w:rFonts w:hint="default"/>
      </w:rPr>
    </w:lvl>
    <w:lvl w:ilvl="6">
      <w:start w:val="1"/>
      <w:numFmt w:val="bullet"/>
      <w:lvlText w:val="•"/>
      <w:lvlJc w:val="left"/>
      <w:pPr>
        <w:ind w:left="6407" w:hanging="701"/>
      </w:pPr>
      <w:rPr>
        <w:rFonts w:hint="default"/>
      </w:rPr>
    </w:lvl>
    <w:lvl w:ilvl="7">
      <w:start w:val="1"/>
      <w:numFmt w:val="bullet"/>
      <w:lvlText w:val="•"/>
      <w:lvlJc w:val="left"/>
      <w:pPr>
        <w:ind w:left="7341" w:hanging="701"/>
      </w:pPr>
      <w:rPr>
        <w:rFonts w:hint="default"/>
      </w:rPr>
    </w:lvl>
    <w:lvl w:ilvl="8">
      <w:start w:val="1"/>
      <w:numFmt w:val="bullet"/>
      <w:lvlText w:val="•"/>
      <w:lvlJc w:val="left"/>
      <w:pPr>
        <w:ind w:left="8276" w:hanging="701"/>
      </w:pPr>
      <w:rPr>
        <w:rFonts w:hint="default"/>
      </w:rPr>
    </w:lvl>
  </w:abstractNum>
  <w:abstractNum w:abstractNumId="13">
    <w:multiLevelType w:val="hybridMultilevel"/>
    <w:lvl w:ilvl="0">
      <w:start w:val="1"/>
      <w:numFmt w:val="bullet"/>
      <w:lvlText w:val=""/>
      <w:lvlJc w:val="left"/>
      <w:pPr>
        <w:ind w:left="816" w:hanging="351"/>
      </w:pPr>
      <w:rPr>
        <w:rFonts w:hint="default" w:ascii="Symbol" w:hAnsi="Symbol" w:eastAsia="Symbol" w:cs="Symbol"/>
        <w:w w:val="101"/>
        <w:sz w:val="23"/>
        <w:szCs w:val="23"/>
      </w:rPr>
    </w:lvl>
    <w:lvl w:ilvl="1">
      <w:start w:val="1"/>
      <w:numFmt w:val="bullet"/>
      <w:lvlText w:val="•"/>
      <w:lvlJc w:val="left"/>
      <w:pPr>
        <w:ind w:left="1754" w:hanging="351"/>
      </w:pPr>
      <w:rPr>
        <w:rFonts w:hint="default"/>
      </w:rPr>
    </w:lvl>
    <w:lvl w:ilvl="2">
      <w:start w:val="1"/>
      <w:numFmt w:val="bullet"/>
      <w:lvlText w:val="•"/>
      <w:lvlJc w:val="left"/>
      <w:pPr>
        <w:ind w:left="2689" w:hanging="351"/>
      </w:pPr>
      <w:rPr>
        <w:rFonts w:hint="default"/>
      </w:rPr>
    </w:lvl>
    <w:lvl w:ilvl="3">
      <w:start w:val="1"/>
      <w:numFmt w:val="bullet"/>
      <w:lvlText w:val="•"/>
      <w:lvlJc w:val="left"/>
      <w:pPr>
        <w:ind w:left="3623" w:hanging="351"/>
      </w:pPr>
      <w:rPr>
        <w:rFonts w:hint="default"/>
      </w:rPr>
    </w:lvl>
    <w:lvl w:ilvl="4">
      <w:start w:val="1"/>
      <w:numFmt w:val="bullet"/>
      <w:lvlText w:val="•"/>
      <w:lvlJc w:val="left"/>
      <w:pPr>
        <w:ind w:left="4558" w:hanging="351"/>
      </w:pPr>
      <w:rPr>
        <w:rFonts w:hint="default"/>
      </w:rPr>
    </w:lvl>
    <w:lvl w:ilvl="5">
      <w:start w:val="1"/>
      <w:numFmt w:val="bullet"/>
      <w:lvlText w:val="•"/>
      <w:lvlJc w:val="left"/>
      <w:pPr>
        <w:ind w:left="5492" w:hanging="351"/>
      </w:pPr>
      <w:rPr>
        <w:rFonts w:hint="default"/>
      </w:rPr>
    </w:lvl>
    <w:lvl w:ilvl="6">
      <w:start w:val="1"/>
      <w:numFmt w:val="bullet"/>
      <w:lvlText w:val="•"/>
      <w:lvlJc w:val="left"/>
      <w:pPr>
        <w:ind w:left="6427" w:hanging="351"/>
      </w:pPr>
      <w:rPr>
        <w:rFonts w:hint="default"/>
      </w:rPr>
    </w:lvl>
    <w:lvl w:ilvl="7">
      <w:start w:val="1"/>
      <w:numFmt w:val="bullet"/>
      <w:lvlText w:val="•"/>
      <w:lvlJc w:val="left"/>
      <w:pPr>
        <w:ind w:left="7361" w:hanging="351"/>
      </w:pPr>
      <w:rPr>
        <w:rFonts w:hint="default"/>
      </w:rPr>
    </w:lvl>
    <w:lvl w:ilvl="8">
      <w:start w:val="1"/>
      <w:numFmt w:val="bullet"/>
      <w:lvlText w:val="•"/>
      <w:lvlJc w:val="left"/>
      <w:pPr>
        <w:ind w:left="8296" w:hanging="351"/>
      </w:pPr>
      <w:rPr>
        <w:rFonts w:hint="default"/>
      </w:rPr>
    </w:lvl>
  </w:abstractNum>
  <w:abstractNum w:abstractNumId="12">
    <w:multiLevelType w:val="hybridMultilevel"/>
    <w:lvl w:ilvl="0">
      <w:start w:val="2"/>
      <w:numFmt w:val="decimal"/>
      <w:lvlText w:val="%1"/>
      <w:lvlJc w:val="left"/>
      <w:pPr>
        <w:ind w:left="864" w:hanging="749"/>
        <w:jc w:val="left"/>
      </w:pPr>
      <w:rPr>
        <w:rFonts w:hint="default"/>
      </w:rPr>
    </w:lvl>
    <w:lvl w:ilvl="1">
      <w:start w:val="1"/>
      <w:numFmt w:val="decimal"/>
      <w:lvlText w:val="%1.%2."/>
      <w:lvlJc w:val="left"/>
      <w:pPr>
        <w:ind w:left="864" w:hanging="749"/>
        <w:jc w:val="left"/>
      </w:pPr>
      <w:rPr>
        <w:rFonts w:hint="default" w:ascii="Arial" w:hAnsi="Arial" w:eastAsia="Arial" w:cs="Arial"/>
        <w:b/>
        <w:bCs/>
        <w:spacing w:val="-3"/>
        <w:w w:val="101"/>
        <w:sz w:val="23"/>
        <w:szCs w:val="23"/>
      </w:rPr>
    </w:lvl>
    <w:lvl w:ilvl="2">
      <w:start w:val="1"/>
      <w:numFmt w:val="lowerLetter"/>
      <w:lvlText w:val="%3)"/>
      <w:lvlJc w:val="left"/>
      <w:pPr>
        <w:ind w:left="1152" w:hanging="351"/>
        <w:jc w:val="left"/>
      </w:pPr>
      <w:rPr>
        <w:rFonts w:hint="default" w:ascii="Arial" w:hAnsi="Arial" w:eastAsia="Arial" w:cs="Arial"/>
        <w:b/>
        <w:bCs/>
        <w:spacing w:val="-1"/>
        <w:w w:val="101"/>
        <w:sz w:val="23"/>
        <w:szCs w:val="23"/>
      </w:rPr>
    </w:lvl>
    <w:lvl w:ilvl="3">
      <w:start w:val="1"/>
      <w:numFmt w:val="bullet"/>
      <w:lvlText w:val="•"/>
      <w:lvlJc w:val="left"/>
      <w:pPr>
        <w:ind w:left="3161" w:hanging="351"/>
      </w:pPr>
      <w:rPr>
        <w:rFonts w:hint="default"/>
      </w:rPr>
    </w:lvl>
    <w:lvl w:ilvl="4">
      <w:start w:val="1"/>
      <w:numFmt w:val="bullet"/>
      <w:lvlText w:val="•"/>
      <w:lvlJc w:val="left"/>
      <w:pPr>
        <w:ind w:left="4161" w:hanging="351"/>
      </w:pPr>
      <w:rPr>
        <w:rFonts w:hint="default"/>
      </w:rPr>
    </w:lvl>
    <w:lvl w:ilvl="5">
      <w:start w:val="1"/>
      <w:numFmt w:val="bullet"/>
      <w:lvlText w:val="•"/>
      <w:lvlJc w:val="left"/>
      <w:pPr>
        <w:ind w:left="5162" w:hanging="351"/>
      </w:pPr>
      <w:rPr>
        <w:rFonts w:hint="default"/>
      </w:rPr>
    </w:lvl>
    <w:lvl w:ilvl="6">
      <w:start w:val="1"/>
      <w:numFmt w:val="bullet"/>
      <w:lvlText w:val="•"/>
      <w:lvlJc w:val="left"/>
      <w:pPr>
        <w:ind w:left="6163" w:hanging="351"/>
      </w:pPr>
      <w:rPr>
        <w:rFonts w:hint="default"/>
      </w:rPr>
    </w:lvl>
    <w:lvl w:ilvl="7">
      <w:start w:val="1"/>
      <w:numFmt w:val="bullet"/>
      <w:lvlText w:val="•"/>
      <w:lvlJc w:val="left"/>
      <w:pPr>
        <w:ind w:left="7163" w:hanging="351"/>
      </w:pPr>
      <w:rPr>
        <w:rFonts w:hint="default"/>
      </w:rPr>
    </w:lvl>
    <w:lvl w:ilvl="8">
      <w:start w:val="1"/>
      <w:numFmt w:val="bullet"/>
      <w:lvlText w:val="•"/>
      <w:lvlJc w:val="left"/>
      <w:pPr>
        <w:ind w:left="8164" w:hanging="351"/>
      </w:pPr>
      <w:rPr>
        <w:rFonts w:hint="default"/>
      </w:rPr>
    </w:lvl>
  </w:abstractNum>
  <w:abstractNum w:abstractNumId="11">
    <w:multiLevelType w:val="hybridMultilevel"/>
    <w:lvl w:ilvl="0">
      <w:start w:val="2"/>
      <w:numFmt w:val="lowerLetter"/>
      <w:lvlText w:val="%1)"/>
      <w:lvlJc w:val="left"/>
      <w:pPr>
        <w:ind w:left="667" w:hanging="351"/>
        <w:jc w:val="right"/>
      </w:pPr>
      <w:rPr>
        <w:rFonts w:hint="default" w:ascii="Arial" w:hAnsi="Arial" w:eastAsia="Arial" w:cs="Arial"/>
        <w:spacing w:val="-1"/>
        <w:w w:val="101"/>
        <w:sz w:val="23"/>
        <w:szCs w:val="23"/>
      </w:rPr>
    </w:lvl>
    <w:lvl w:ilvl="1">
      <w:start w:val="1"/>
      <w:numFmt w:val="bullet"/>
      <w:lvlText w:val="•"/>
      <w:lvlJc w:val="left"/>
      <w:pPr>
        <w:ind w:left="1596" w:hanging="351"/>
      </w:pPr>
      <w:rPr>
        <w:rFonts w:hint="default"/>
      </w:rPr>
    </w:lvl>
    <w:lvl w:ilvl="2">
      <w:start w:val="1"/>
      <w:numFmt w:val="bullet"/>
      <w:lvlText w:val="•"/>
      <w:lvlJc w:val="left"/>
      <w:pPr>
        <w:ind w:left="2533" w:hanging="351"/>
      </w:pPr>
      <w:rPr>
        <w:rFonts w:hint="default"/>
      </w:rPr>
    </w:lvl>
    <w:lvl w:ilvl="3">
      <w:start w:val="1"/>
      <w:numFmt w:val="bullet"/>
      <w:lvlText w:val="•"/>
      <w:lvlJc w:val="left"/>
      <w:pPr>
        <w:ind w:left="3469" w:hanging="351"/>
      </w:pPr>
      <w:rPr>
        <w:rFonts w:hint="default"/>
      </w:rPr>
    </w:lvl>
    <w:lvl w:ilvl="4">
      <w:start w:val="1"/>
      <w:numFmt w:val="bullet"/>
      <w:lvlText w:val="•"/>
      <w:lvlJc w:val="left"/>
      <w:pPr>
        <w:ind w:left="4406" w:hanging="351"/>
      </w:pPr>
      <w:rPr>
        <w:rFonts w:hint="default"/>
      </w:rPr>
    </w:lvl>
    <w:lvl w:ilvl="5">
      <w:start w:val="1"/>
      <w:numFmt w:val="bullet"/>
      <w:lvlText w:val="•"/>
      <w:lvlJc w:val="left"/>
      <w:pPr>
        <w:ind w:left="5342" w:hanging="351"/>
      </w:pPr>
      <w:rPr>
        <w:rFonts w:hint="default"/>
      </w:rPr>
    </w:lvl>
    <w:lvl w:ilvl="6">
      <w:start w:val="1"/>
      <w:numFmt w:val="bullet"/>
      <w:lvlText w:val="•"/>
      <w:lvlJc w:val="left"/>
      <w:pPr>
        <w:ind w:left="6279" w:hanging="351"/>
      </w:pPr>
      <w:rPr>
        <w:rFonts w:hint="default"/>
      </w:rPr>
    </w:lvl>
    <w:lvl w:ilvl="7">
      <w:start w:val="1"/>
      <w:numFmt w:val="bullet"/>
      <w:lvlText w:val="•"/>
      <w:lvlJc w:val="left"/>
      <w:pPr>
        <w:ind w:left="7215" w:hanging="351"/>
      </w:pPr>
      <w:rPr>
        <w:rFonts w:hint="default"/>
      </w:rPr>
    </w:lvl>
    <w:lvl w:ilvl="8">
      <w:start w:val="1"/>
      <w:numFmt w:val="bullet"/>
      <w:lvlText w:val="•"/>
      <w:lvlJc w:val="left"/>
      <w:pPr>
        <w:ind w:left="8152" w:hanging="351"/>
      </w:pPr>
      <w:rPr>
        <w:rFonts w:hint="default"/>
      </w:rPr>
    </w:lvl>
  </w:abstractNum>
  <w:abstractNum w:abstractNumId="10">
    <w:multiLevelType w:val="hybridMultilevel"/>
    <w:lvl w:ilvl="0">
      <w:start w:val="1"/>
      <w:numFmt w:val="lowerLetter"/>
      <w:lvlText w:val="%1)"/>
      <w:lvlJc w:val="left"/>
      <w:pPr>
        <w:ind w:left="816" w:hanging="351"/>
        <w:jc w:val="left"/>
      </w:pPr>
      <w:rPr>
        <w:rFonts w:hint="default" w:ascii="Arial" w:hAnsi="Arial" w:eastAsia="Arial" w:cs="Arial"/>
        <w:spacing w:val="-1"/>
        <w:w w:val="101"/>
        <w:sz w:val="23"/>
        <w:szCs w:val="23"/>
      </w:rPr>
    </w:lvl>
    <w:lvl w:ilvl="1">
      <w:start w:val="1"/>
      <w:numFmt w:val="lowerLetter"/>
      <w:lvlText w:val="%2)"/>
      <w:lvlJc w:val="left"/>
      <w:pPr>
        <w:ind w:left="1167" w:hanging="351"/>
        <w:jc w:val="left"/>
      </w:pPr>
      <w:rPr>
        <w:rFonts w:hint="default" w:ascii="Arial" w:hAnsi="Arial" w:eastAsia="Arial" w:cs="Arial"/>
        <w:spacing w:val="-1"/>
        <w:w w:val="101"/>
        <w:sz w:val="23"/>
        <w:szCs w:val="23"/>
      </w:rPr>
    </w:lvl>
    <w:lvl w:ilvl="2">
      <w:start w:val="1"/>
      <w:numFmt w:val="bullet"/>
      <w:lvlText w:val="•"/>
      <w:lvlJc w:val="left"/>
      <w:pPr>
        <w:ind w:left="2160" w:hanging="351"/>
      </w:pPr>
      <w:rPr>
        <w:rFonts w:hint="default"/>
      </w:rPr>
    </w:lvl>
    <w:lvl w:ilvl="3">
      <w:start w:val="1"/>
      <w:numFmt w:val="bullet"/>
      <w:lvlText w:val="•"/>
      <w:lvlJc w:val="left"/>
      <w:pPr>
        <w:ind w:left="3161" w:hanging="351"/>
      </w:pPr>
      <w:rPr>
        <w:rFonts w:hint="default"/>
      </w:rPr>
    </w:lvl>
    <w:lvl w:ilvl="4">
      <w:start w:val="1"/>
      <w:numFmt w:val="bullet"/>
      <w:lvlText w:val="•"/>
      <w:lvlJc w:val="left"/>
      <w:pPr>
        <w:ind w:left="4161" w:hanging="351"/>
      </w:pPr>
      <w:rPr>
        <w:rFonts w:hint="default"/>
      </w:rPr>
    </w:lvl>
    <w:lvl w:ilvl="5">
      <w:start w:val="1"/>
      <w:numFmt w:val="bullet"/>
      <w:lvlText w:val="•"/>
      <w:lvlJc w:val="left"/>
      <w:pPr>
        <w:ind w:left="5162" w:hanging="351"/>
      </w:pPr>
      <w:rPr>
        <w:rFonts w:hint="default"/>
      </w:rPr>
    </w:lvl>
    <w:lvl w:ilvl="6">
      <w:start w:val="1"/>
      <w:numFmt w:val="bullet"/>
      <w:lvlText w:val="•"/>
      <w:lvlJc w:val="left"/>
      <w:pPr>
        <w:ind w:left="6163" w:hanging="351"/>
      </w:pPr>
      <w:rPr>
        <w:rFonts w:hint="default"/>
      </w:rPr>
    </w:lvl>
    <w:lvl w:ilvl="7">
      <w:start w:val="1"/>
      <w:numFmt w:val="bullet"/>
      <w:lvlText w:val="•"/>
      <w:lvlJc w:val="left"/>
      <w:pPr>
        <w:ind w:left="7163" w:hanging="351"/>
      </w:pPr>
      <w:rPr>
        <w:rFonts w:hint="default"/>
      </w:rPr>
    </w:lvl>
    <w:lvl w:ilvl="8">
      <w:start w:val="1"/>
      <w:numFmt w:val="bullet"/>
      <w:lvlText w:val="•"/>
      <w:lvlJc w:val="left"/>
      <w:pPr>
        <w:ind w:left="8164" w:hanging="351"/>
      </w:pPr>
      <w:rPr>
        <w:rFonts w:hint="default"/>
      </w:rPr>
    </w:lvl>
  </w:abstractNum>
  <w:abstractNum w:abstractNumId="9">
    <w:multiLevelType w:val="hybridMultilevel"/>
    <w:lvl w:ilvl="0">
      <w:start w:val="1"/>
      <w:numFmt w:val="bullet"/>
      <w:lvlText w:val=""/>
      <w:lvlJc w:val="left"/>
      <w:pPr>
        <w:ind w:left="105" w:hanging="351"/>
      </w:pPr>
      <w:rPr>
        <w:rFonts w:hint="default" w:ascii="Symbol" w:hAnsi="Symbol" w:eastAsia="Symbol" w:cs="Symbol"/>
        <w:w w:val="103"/>
        <w:sz w:val="19"/>
        <w:szCs w:val="19"/>
      </w:rPr>
    </w:lvl>
    <w:lvl w:ilvl="1">
      <w:start w:val="1"/>
      <w:numFmt w:val="bullet"/>
      <w:lvlText w:val="•"/>
      <w:lvlJc w:val="left"/>
      <w:pPr>
        <w:ind w:left="460" w:hanging="351"/>
      </w:pPr>
      <w:rPr>
        <w:rFonts w:hint="default"/>
      </w:rPr>
    </w:lvl>
    <w:lvl w:ilvl="2">
      <w:start w:val="1"/>
      <w:numFmt w:val="bullet"/>
      <w:lvlText w:val="•"/>
      <w:lvlJc w:val="left"/>
      <w:pPr>
        <w:ind w:left="820" w:hanging="351"/>
      </w:pPr>
      <w:rPr>
        <w:rFonts w:hint="default"/>
      </w:rPr>
    </w:lvl>
    <w:lvl w:ilvl="3">
      <w:start w:val="1"/>
      <w:numFmt w:val="bullet"/>
      <w:lvlText w:val="•"/>
      <w:lvlJc w:val="left"/>
      <w:pPr>
        <w:ind w:left="1180" w:hanging="351"/>
      </w:pPr>
      <w:rPr>
        <w:rFonts w:hint="default"/>
      </w:rPr>
    </w:lvl>
    <w:lvl w:ilvl="4">
      <w:start w:val="1"/>
      <w:numFmt w:val="bullet"/>
      <w:lvlText w:val="•"/>
      <w:lvlJc w:val="left"/>
      <w:pPr>
        <w:ind w:left="1540" w:hanging="351"/>
      </w:pPr>
      <w:rPr>
        <w:rFonts w:hint="default"/>
      </w:rPr>
    </w:lvl>
    <w:lvl w:ilvl="5">
      <w:start w:val="1"/>
      <w:numFmt w:val="bullet"/>
      <w:lvlText w:val="•"/>
      <w:lvlJc w:val="left"/>
      <w:pPr>
        <w:ind w:left="1900" w:hanging="351"/>
      </w:pPr>
      <w:rPr>
        <w:rFonts w:hint="default"/>
      </w:rPr>
    </w:lvl>
    <w:lvl w:ilvl="6">
      <w:start w:val="1"/>
      <w:numFmt w:val="bullet"/>
      <w:lvlText w:val="•"/>
      <w:lvlJc w:val="left"/>
      <w:pPr>
        <w:ind w:left="2260" w:hanging="351"/>
      </w:pPr>
      <w:rPr>
        <w:rFonts w:hint="default"/>
      </w:rPr>
    </w:lvl>
    <w:lvl w:ilvl="7">
      <w:start w:val="1"/>
      <w:numFmt w:val="bullet"/>
      <w:lvlText w:val="•"/>
      <w:lvlJc w:val="left"/>
      <w:pPr>
        <w:ind w:left="2620" w:hanging="351"/>
      </w:pPr>
      <w:rPr>
        <w:rFonts w:hint="default"/>
      </w:rPr>
    </w:lvl>
    <w:lvl w:ilvl="8">
      <w:start w:val="1"/>
      <w:numFmt w:val="bullet"/>
      <w:lvlText w:val="•"/>
      <w:lvlJc w:val="left"/>
      <w:pPr>
        <w:ind w:left="2980" w:hanging="351"/>
      </w:pPr>
      <w:rPr>
        <w:rFonts w:hint="default"/>
      </w:rPr>
    </w:lvl>
  </w:abstractNum>
  <w:abstractNum w:abstractNumId="8">
    <w:multiLevelType w:val="hybridMultilevel"/>
    <w:lvl w:ilvl="0">
      <w:start w:val="1"/>
      <w:numFmt w:val="bullet"/>
      <w:lvlText w:val=""/>
      <w:lvlJc w:val="left"/>
      <w:pPr>
        <w:ind w:left="806" w:hanging="351"/>
      </w:pPr>
      <w:rPr>
        <w:rFonts w:hint="default" w:ascii="Symbol" w:hAnsi="Symbol" w:eastAsia="Symbol" w:cs="Symbol"/>
        <w:w w:val="103"/>
        <w:sz w:val="19"/>
        <w:szCs w:val="19"/>
      </w:rPr>
    </w:lvl>
    <w:lvl w:ilvl="1">
      <w:start w:val="1"/>
      <w:numFmt w:val="bullet"/>
      <w:lvlText w:val="•"/>
      <w:lvlJc w:val="left"/>
      <w:pPr>
        <w:ind w:left="1090" w:hanging="351"/>
      </w:pPr>
      <w:rPr>
        <w:rFonts w:hint="default"/>
      </w:rPr>
    </w:lvl>
    <w:lvl w:ilvl="2">
      <w:start w:val="1"/>
      <w:numFmt w:val="bullet"/>
      <w:lvlText w:val="•"/>
      <w:lvlJc w:val="left"/>
      <w:pPr>
        <w:ind w:left="1380" w:hanging="351"/>
      </w:pPr>
      <w:rPr>
        <w:rFonts w:hint="default"/>
      </w:rPr>
    </w:lvl>
    <w:lvl w:ilvl="3">
      <w:start w:val="1"/>
      <w:numFmt w:val="bullet"/>
      <w:lvlText w:val="•"/>
      <w:lvlJc w:val="left"/>
      <w:pPr>
        <w:ind w:left="1670" w:hanging="351"/>
      </w:pPr>
      <w:rPr>
        <w:rFonts w:hint="default"/>
      </w:rPr>
    </w:lvl>
    <w:lvl w:ilvl="4">
      <w:start w:val="1"/>
      <w:numFmt w:val="bullet"/>
      <w:lvlText w:val="•"/>
      <w:lvlJc w:val="left"/>
      <w:pPr>
        <w:ind w:left="1960" w:hanging="351"/>
      </w:pPr>
      <w:rPr>
        <w:rFonts w:hint="default"/>
      </w:rPr>
    </w:lvl>
    <w:lvl w:ilvl="5">
      <w:start w:val="1"/>
      <w:numFmt w:val="bullet"/>
      <w:lvlText w:val="•"/>
      <w:lvlJc w:val="left"/>
      <w:pPr>
        <w:ind w:left="2250" w:hanging="351"/>
      </w:pPr>
      <w:rPr>
        <w:rFonts w:hint="default"/>
      </w:rPr>
    </w:lvl>
    <w:lvl w:ilvl="6">
      <w:start w:val="1"/>
      <w:numFmt w:val="bullet"/>
      <w:lvlText w:val="•"/>
      <w:lvlJc w:val="left"/>
      <w:pPr>
        <w:ind w:left="2540" w:hanging="351"/>
      </w:pPr>
      <w:rPr>
        <w:rFonts w:hint="default"/>
      </w:rPr>
    </w:lvl>
    <w:lvl w:ilvl="7">
      <w:start w:val="1"/>
      <w:numFmt w:val="bullet"/>
      <w:lvlText w:val="•"/>
      <w:lvlJc w:val="left"/>
      <w:pPr>
        <w:ind w:left="2830" w:hanging="351"/>
      </w:pPr>
      <w:rPr>
        <w:rFonts w:hint="default"/>
      </w:rPr>
    </w:lvl>
    <w:lvl w:ilvl="8">
      <w:start w:val="1"/>
      <w:numFmt w:val="bullet"/>
      <w:lvlText w:val="•"/>
      <w:lvlJc w:val="left"/>
      <w:pPr>
        <w:ind w:left="3120" w:hanging="351"/>
      </w:pPr>
      <w:rPr>
        <w:rFonts w:hint="default"/>
      </w:rPr>
    </w:lvl>
  </w:abstractNum>
  <w:abstractNum w:abstractNumId="7">
    <w:multiLevelType w:val="hybridMultilevel"/>
    <w:lvl w:ilvl="0">
      <w:start w:val="1"/>
      <w:numFmt w:val="decimal"/>
      <w:lvlText w:val="%1"/>
      <w:lvlJc w:val="left"/>
      <w:pPr>
        <w:ind w:left="802" w:hanging="687"/>
        <w:jc w:val="left"/>
      </w:pPr>
      <w:rPr>
        <w:rFonts w:hint="default"/>
      </w:rPr>
    </w:lvl>
    <w:lvl w:ilvl="1">
      <w:start w:val="1"/>
      <w:numFmt w:val="decimal"/>
      <w:lvlText w:val="%1.%2."/>
      <w:lvlJc w:val="left"/>
      <w:pPr>
        <w:ind w:left="802" w:hanging="687"/>
        <w:jc w:val="left"/>
      </w:pPr>
      <w:rPr>
        <w:rFonts w:hint="default" w:ascii="Arial" w:hAnsi="Arial" w:eastAsia="Arial" w:cs="Arial"/>
        <w:b/>
        <w:bCs/>
        <w:spacing w:val="-3"/>
        <w:w w:val="101"/>
        <w:sz w:val="23"/>
        <w:szCs w:val="23"/>
      </w:rPr>
    </w:lvl>
    <w:lvl w:ilvl="2">
      <w:start w:val="1"/>
      <w:numFmt w:val="lowerLetter"/>
      <w:lvlText w:val="%3)"/>
      <w:lvlJc w:val="left"/>
      <w:pPr>
        <w:ind w:left="816" w:hanging="351"/>
        <w:jc w:val="left"/>
      </w:pPr>
      <w:rPr>
        <w:rFonts w:hint="default" w:ascii="Arial" w:hAnsi="Arial" w:eastAsia="Arial" w:cs="Arial"/>
        <w:spacing w:val="-1"/>
        <w:w w:val="101"/>
        <w:sz w:val="23"/>
        <w:szCs w:val="23"/>
      </w:rPr>
    </w:lvl>
    <w:lvl w:ilvl="3">
      <w:start w:val="1"/>
      <w:numFmt w:val="bullet"/>
      <w:lvlText w:val="•"/>
      <w:lvlJc w:val="left"/>
      <w:pPr>
        <w:ind w:left="2896" w:hanging="351"/>
      </w:pPr>
      <w:rPr>
        <w:rFonts w:hint="default"/>
      </w:rPr>
    </w:lvl>
    <w:lvl w:ilvl="4">
      <w:start w:val="1"/>
      <w:numFmt w:val="bullet"/>
      <w:lvlText w:val="•"/>
      <w:lvlJc w:val="left"/>
      <w:pPr>
        <w:ind w:left="3935" w:hanging="351"/>
      </w:pPr>
      <w:rPr>
        <w:rFonts w:hint="default"/>
      </w:rPr>
    </w:lvl>
    <w:lvl w:ilvl="5">
      <w:start w:val="1"/>
      <w:numFmt w:val="bullet"/>
      <w:lvlText w:val="•"/>
      <w:lvlJc w:val="left"/>
      <w:pPr>
        <w:ind w:left="4973" w:hanging="351"/>
      </w:pPr>
      <w:rPr>
        <w:rFonts w:hint="default"/>
      </w:rPr>
    </w:lvl>
    <w:lvl w:ilvl="6">
      <w:start w:val="1"/>
      <w:numFmt w:val="bullet"/>
      <w:lvlText w:val="•"/>
      <w:lvlJc w:val="left"/>
      <w:pPr>
        <w:ind w:left="6011" w:hanging="351"/>
      </w:pPr>
      <w:rPr>
        <w:rFonts w:hint="default"/>
      </w:rPr>
    </w:lvl>
    <w:lvl w:ilvl="7">
      <w:start w:val="1"/>
      <w:numFmt w:val="bullet"/>
      <w:lvlText w:val="•"/>
      <w:lvlJc w:val="left"/>
      <w:pPr>
        <w:ind w:left="7050" w:hanging="351"/>
      </w:pPr>
      <w:rPr>
        <w:rFonts w:hint="default"/>
      </w:rPr>
    </w:lvl>
    <w:lvl w:ilvl="8">
      <w:start w:val="1"/>
      <w:numFmt w:val="bullet"/>
      <w:lvlText w:val="•"/>
      <w:lvlJc w:val="left"/>
      <w:pPr>
        <w:ind w:left="8088" w:hanging="351"/>
      </w:pPr>
      <w:rPr>
        <w:rFonts w:hint="default"/>
      </w:rPr>
    </w:lvl>
  </w:abstractNum>
  <w:abstractNum w:abstractNumId="6">
    <w:multiLevelType w:val="hybridMultilevel"/>
    <w:lvl w:ilvl="0">
      <w:start w:val="1"/>
      <w:numFmt w:val="decimal"/>
      <w:lvlText w:val="%1."/>
      <w:lvlJc w:val="left"/>
      <w:pPr>
        <w:ind w:left="389" w:hanging="274"/>
        <w:jc w:val="left"/>
      </w:pPr>
      <w:rPr>
        <w:rFonts w:hint="default" w:ascii="Arial" w:hAnsi="Arial" w:eastAsia="Arial" w:cs="Arial"/>
        <w:spacing w:val="-1"/>
        <w:w w:val="101"/>
        <w:sz w:val="23"/>
        <w:szCs w:val="23"/>
      </w:rPr>
    </w:lvl>
    <w:lvl w:ilvl="1">
      <w:start w:val="1"/>
      <w:numFmt w:val="bullet"/>
      <w:lvlText w:val=""/>
      <w:lvlJc w:val="left"/>
      <w:pPr>
        <w:ind w:left="816" w:hanging="351"/>
      </w:pPr>
      <w:rPr>
        <w:rFonts w:hint="default" w:ascii="Symbol" w:hAnsi="Symbol" w:eastAsia="Symbol" w:cs="Symbol"/>
        <w:w w:val="101"/>
        <w:sz w:val="23"/>
        <w:szCs w:val="23"/>
      </w:rPr>
    </w:lvl>
    <w:lvl w:ilvl="2">
      <w:start w:val="1"/>
      <w:numFmt w:val="bullet"/>
      <w:lvlText w:val="•"/>
      <w:lvlJc w:val="left"/>
      <w:pPr>
        <w:ind w:left="1858" w:hanging="351"/>
      </w:pPr>
      <w:rPr>
        <w:rFonts w:hint="default"/>
      </w:rPr>
    </w:lvl>
    <w:lvl w:ilvl="3">
      <w:start w:val="1"/>
      <w:numFmt w:val="bullet"/>
      <w:lvlText w:val="•"/>
      <w:lvlJc w:val="left"/>
      <w:pPr>
        <w:ind w:left="2896" w:hanging="351"/>
      </w:pPr>
      <w:rPr>
        <w:rFonts w:hint="default"/>
      </w:rPr>
    </w:lvl>
    <w:lvl w:ilvl="4">
      <w:start w:val="1"/>
      <w:numFmt w:val="bullet"/>
      <w:lvlText w:val="•"/>
      <w:lvlJc w:val="left"/>
      <w:pPr>
        <w:ind w:left="3935" w:hanging="351"/>
      </w:pPr>
      <w:rPr>
        <w:rFonts w:hint="default"/>
      </w:rPr>
    </w:lvl>
    <w:lvl w:ilvl="5">
      <w:start w:val="1"/>
      <w:numFmt w:val="bullet"/>
      <w:lvlText w:val="•"/>
      <w:lvlJc w:val="left"/>
      <w:pPr>
        <w:ind w:left="4973" w:hanging="351"/>
      </w:pPr>
      <w:rPr>
        <w:rFonts w:hint="default"/>
      </w:rPr>
    </w:lvl>
    <w:lvl w:ilvl="6">
      <w:start w:val="1"/>
      <w:numFmt w:val="bullet"/>
      <w:lvlText w:val="•"/>
      <w:lvlJc w:val="left"/>
      <w:pPr>
        <w:ind w:left="6011" w:hanging="351"/>
      </w:pPr>
      <w:rPr>
        <w:rFonts w:hint="default"/>
      </w:rPr>
    </w:lvl>
    <w:lvl w:ilvl="7">
      <w:start w:val="1"/>
      <w:numFmt w:val="bullet"/>
      <w:lvlText w:val="•"/>
      <w:lvlJc w:val="left"/>
      <w:pPr>
        <w:ind w:left="7050" w:hanging="351"/>
      </w:pPr>
      <w:rPr>
        <w:rFonts w:hint="default"/>
      </w:rPr>
    </w:lvl>
    <w:lvl w:ilvl="8">
      <w:start w:val="1"/>
      <w:numFmt w:val="bullet"/>
      <w:lvlText w:val="•"/>
      <w:lvlJc w:val="left"/>
      <w:pPr>
        <w:ind w:left="8088" w:hanging="351"/>
      </w:pPr>
      <w:rPr>
        <w:rFonts w:hint="default"/>
      </w:rPr>
    </w:lvl>
  </w:abstractNum>
  <w:abstractNum w:abstractNumId="5">
    <w:multiLevelType w:val="hybridMultilevel"/>
    <w:lvl w:ilvl="0">
      <w:start w:val="1"/>
      <w:numFmt w:val="decimal"/>
      <w:lvlText w:val="%1."/>
      <w:lvlJc w:val="left"/>
      <w:pPr>
        <w:ind w:left="466" w:hanging="351"/>
        <w:jc w:val="left"/>
      </w:pPr>
      <w:rPr>
        <w:rFonts w:hint="default" w:ascii="Arial" w:hAnsi="Arial" w:eastAsia="Arial" w:cs="Arial"/>
        <w:spacing w:val="-1"/>
        <w:w w:val="101"/>
        <w:sz w:val="23"/>
        <w:szCs w:val="23"/>
      </w:rPr>
    </w:lvl>
    <w:lvl w:ilvl="1">
      <w:start w:val="1"/>
      <w:numFmt w:val="bullet"/>
      <w:lvlText w:val="•"/>
      <w:lvlJc w:val="left"/>
      <w:pPr>
        <w:ind w:left="1430" w:hanging="351"/>
      </w:pPr>
      <w:rPr>
        <w:rFonts w:hint="default"/>
      </w:rPr>
    </w:lvl>
    <w:lvl w:ilvl="2">
      <w:start w:val="1"/>
      <w:numFmt w:val="bullet"/>
      <w:lvlText w:val="•"/>
      <w:lvlJc w:val="left"/>
      <w:pPr>
        <w:ind w:left="2401" w:hanging="351"/>
      </w:pPr>
      <w:rPr>
        <w:rFonts w:hint="default"/>
      </w:rPr>
    </w:lvl>
    <w:lvl w:ilvl="3">
      <w:start w:val="1"/>
      <w:numFmt w:val="bullet"/>
      <w:lvlText w:val="•"/>
      <w:lvlJc w:val="left"/>
      <w:pPr>
        <w:ind w:left="3371" w:hanging="351"/>
      </w:pPr>
      <w:rPr>
        <w:rFonts w:hint="default"/>
      </w:rPr>
    </w:lvl>
    <w:lvl w:ilvl="4">
      <w:start w:val="1"/>
      <w:numFmt w:val="bullet"/>
      <w:lvlText w:val="•"/>
      <w:lvlJc w:val="left"/>
      <w:pPr>
        <w:ind w:left="4342" w:hanging="351"/>
      </w:pPr>
      <w:rPr>
        <w:rFonts w:hint="default"/>
      </w:rPr>
    </w:lvl>
    <w:lvl w:ilvl="5">
      <w:start w:val="1"/>
      <w:numFmt w:val="bullet"/>
      <w:lvlText w:val="•"/>
      <w:lvlJc w:val="left"/>
      <w:pPr>
        <w:ind w:left="5312" w:hanging="351"/>
      </w:pPr>
      <w:rPr>
        <w:rFonts w:hint="default"/>
      </w:rPr>
    </w:lvl>
    <w:lvl w:ilvl="6">
      <w:start w:val="1"/>
      <w:numFmt w:val="bullet"/>
      <w:lvlText w:val="•"/>
      <w:lvlJc w:val="left"/>
      <w:pPr>
        <w:ind w:left="6283" w:hanging="351"/>
      </w:pPr>
      <w:rPr>
        <w:rFonts w:hint="default"/>
      </w:rPr>
    </w:lvl>
    <w:lvl w:ilvl="7">
      <w:start w:val="1"/>
      <w:numFmt w:val="bullet"/>
      <w:lvlText w:val="•"/>
      <w:lvlJc w:val="left"/>
      <w:pPr>
        <w:ind w:left="7253" w:hanging="351"/>
      </w:pPr>
      <w:rPr>
        <w:rFonts w:hint="default"/>
      </w:rPr>
    </w:lvl>
    <w:lvl w:ilvl="8">
      <w:start w:val="1"/>
      <w:numFmt w:val="bullet"/>
      <w:lvlText w:val="•"/>
      <w:lvlJc w:val="left"/>
      <w:pPr>
        <w:ind w:left="8224" w:hanging="351"/>
      </w:pPr>
      <w:rPr>
        <w:rFonts w:hint="default"/>
      </w:rPr>
    </w:lvl>
  </w:abstractNum>
  <w:abstractNum w:abstractNumId="4">
    <w:multiLevelType w:val="hybridMultilevel"/>
    <w:lvl w:ilvl="0">
      <w:start w:val="5"/>
      <w:numFmt w:val="decimal"/>
      <w:lvlText w:val="%1"/>
      <w:lvlJc w:val="left"/>
      <w:pPr>
        <w:ind w:left="504" w:hanging="389"/>
        <w:jc w:val="left"/>
      </w:pPr>
      <w:rPr>
        <w:rFonts w:hint="default"/>
      </w:rPr>
    </w:lvl>
    <w:lvl w:ilvl="1">
      <w:start w:val="1"/>
      <w:numFmt w:val="decimal"/>
      <w:lvlText w:val="%1.%2"/>
      <w:lvlJc w:val="left"/>
      <w:pPr>
        <w:ind w:left="504" w:hanging="389"/>
        <w:jc w:val="left"/>
      </w:pPr>
      <w:rPr>
        <w:rFonts w:hint="default" w:ascii="Arial" w:hAnsi="Arial" w:eastAsia="Arial" w:cs="Arial"/>
        <w:spacing w:val="-3"/>
        <w:w w:val="101"/>
        <w:sz w:val="23"/>
        <w:szCs w:val="23"/>
      </w:rPr>
    </w:lvl>
    <w:lvl w:ilvl="2">
      <w:start w:val="1"/>
      <w:numFmt w:val="bullet"/>
      <w:lvlText w:val="•"/>
      <w:lvlJc w:val="left"/>
      <w:pPr>
        <w:ind w:left="2356" w:hanging="389"/>
      </w:pPr>
      <w:rPr>
        <w:rFonts w:hint="default"/>
      </w:rPr>
    </w:lvl>
    <w:lvl w:ilvl="3">
      <w:start w:val="1"/>
      <w:numFmt w:val="bullet"/>
      <w:lvlText w:val="•"/>
      <w:lvlJc w:val="left"/>
      <w:pPr>
        <w:ind w:left="3332" w:hanging="389"/>
      </w:pPr>
      <w:rPr>
        <w:rFonts w:hint="default"/>
      </w:rPr>
    </w:lvl>
    <w:lvl w:ilvl="4">
      <w:start w:val="1"/>
      <w:numFmt w:val="bullet"/>
      <w:lvlText w:val="•"/>
      <w:lvlJc w:val="left"/>
      <w:pPr>
        <w:ind w:left="4308" w:hanging="389"/>
      </w:pPr>
      <w:rPr>
        <w:rFonts w:hint="default"/>
      </w:rPr>
    </w:lvl>
    <w:lvl w:ilvl="5">
      <w:start w:val="1"/>
      <w:numFmt w:val="bullet"/>
      <w:lvlText w:val="•"/>
      <w:lvlJc w:val="left"/>
      <w:pPr>
        <w:ind w:left="5284" w:hanging="389"/>
      </w:pPr>
      <w:rPr>
        <w:rFonts w:hint="default"/>
      </w:rPr>
    </w:lvl>
    <w:lvl w:ilvl="6">
      <w:start w:val="1"/>
      <w:numFmt w:val="bullet"/>
      <w:lvlText w:val="•"/>
      <w:lvlJc w:val="left"/>
      <w:pPr>
        <w:ind w:left="6260" w:hanging="389"/>
      </w:pPr>
      <w:rPr>
        <w:rFonts w:hint="default"/>
      </w:rPr>
    </w:lvl>
    <w:lvl w:ilvl="7">
      <w:start w:val="1"/>
      <w:numFmt w:val="bullet"/>
      <w:lvlText w:val="•"/>
      <w:lvlJc w:val="left"/>
      <w:pPr>
        <w:ind w:left="7237" w:hanging="389"/>
      </w:pPr>
      <w:rPr>
        <w:rFonts w:hint="default"/>
      </w:rPr>
    </w:lvl>
    <w:lvl w:ilvl="8">
      <w:start w:val="1"/>
      <w:numFmt w:val="bullet"/>
      <w:lvlText w:val="•"/>
      <w:lvlJc w:val="left"/>
      <w:pPr>
        <w:ind w:left="8213" w:hanging="389"/>
      </w:pPr>
      <w:rPr>
        <w:rFonts w:hint="default"/>
      </w:rPr>
    </w:lvl>
  </w:abstractNum>
  <w:abstractNum w:abstractNumId="3">
    <w:multiLevelType w:val="hybridMultilevel"/>
    <w:lvl w:ilvl="0">
      <w:start w:val="4"/>
      <w:numFmt w:val="decimal"/>
      <w:lvlText w:val="%1"/>
      <w:lvlJc w:val="left"/>
      <w:pPr>
        <w:ind w:left="504" w:hanging="389"/>
        <w:jc w:val="left"/>
      </w:pPr>
      <w:rPr>
        <w:rFonts w:hint="default"/>
      </w:rPr>
    </w:lvl>
    <w:lvl w:ilvl="1">
      <w:start w:val="1"/>
      <w:numFmt w:val="decimal"/>
      <w:lvlText w:val="%1.%2"/>
      <w:lvlJc w:val="left"/>
      <w:pPr>
        <w:ind w:left="504" w:hanging="389"/>
        <w:jc w:val="left"/>
      </w:pPr>
      <w:rPr>
        <w:rFonts w:hint="default" w:ascii="Arial" w:hAnsi="Arial" w:eastAsia="Arial" w:cs="Arial"/>
        <w:spacing w:val="-3"/>
        <w:w w:val="101"/>
        <w:sz w:val="23"/>
        <w:szCs w:val="23"/>
      </w:rPr>
    </w:lvl>
    <w:lvl w:ilvl="2">
      <w:start w:val="1"/>
      <w:numFmt w:val="decimal"/>
      <w:lvlText w:val="%1.%2.%3."/>
      <w:lvlJc w:val="left"/>
      <w:pPr>
        <w:ind w:left="1449" w:hanging="648"/>
        <w:jc w:val="left"/>
      </w:pPr>
      <w:rPr>
        <w:rFonts w:hint="default" w:ascii="Arial" w:hAnsi="Arial" w:eastAsia="Arial" w:cs="Arial"/>
        <w:spacing w:val="-3"/>
        <w:w w:val="101"/>
        <w:sz w:val="23"/>
        <w:szCs w:val="23"/>
      </w:rPr>
    </w:lvl>
    <w:lvl w:ilvl="3">
      <w:start w:val="1"/>
      <w:numFmt w:val="bullet"/>
      <w:lvlText w:val="•"/>
      <w:lvlJc w:val="left"/>
      <w:pPr>
        <w:ind w:left="3379" w:hanging="648"/>
      </w:pPr>
      <w:rPr>
        <w:rFonts w:hint="default"/>
      </w:rPr>
    </w:lvl>
    <w:lvl w:ilvl="4">
      <w:start w:val="1"/>
      <w:numFmt w:val="bullet"/>
      <w:lvlText w:val="•"/>
      <w:lvlJc w:val="left"/>
      <w:pPr>
        <w:ind w:left="4348" w:hanging="648"/>
      </w:pPr>
      <w:rPr>
        <w:rFonts w:hint="default"/>
      </w:rPr>
    </w:lvl>
    <w:lvl w:ilvl="5">
      <w:start w:val="1"/>
      <w:numFmt w:val="bullet"/>
      <w:lvlText w:val="•"/>
      <w:lvlJc w:val="left"/>
      <w:pPr>
        <w:ind w:left="5318" w:hanging="648"/>
      </w:pPr>
      <w:rPr>
        <w:rFonts w:hint="default"/>
      </w:rPr>
    </w:lvl>
    <w:lvl w:ilvl="6">
      <w:start w:val="1"/>
      <w:numFmt w:val="bullet"/>
      <w:lvlText w:val="•"/>
      <w:lvlJc w:val="left"/>
      <w:pPr>
        <w:ind w:left="6287" w:hanging="648"/>
      </w:pPr>
      <w:rPr>
        <w:rFonts w:hint="default"/>
      </w:rPr>
    </w:lvl>
    <w:lvl w:ilvl="7">
      <w:start w:val="1"/>
      <w:numFmt w:val="bullet"/>
      <w:lvlText w:val="•"/>
      <w:lvlJc w:val="left"/>
      <w:pPr>
        <w:ind w:left="7257" w:hanging="648"/>
      </w:pPr>
      <w:rPr>
        <w:rFonts w:hint="default"/>
      </w:rPr>
    </w:lvl>
    <w:lvl w:ilvl="8">
      <w:start w:val="1"/>
      <w:numFmt w:val="bullet"/>
      <w:lvlText w:val="•"/>
      <w:lvlJc w:val="left"/>
      <w:pPr>
        <w:ind w:left="8226" w:hanging="648"/>
      </w:pPr>
      <w:rPr>
        <w:rFonts w:hint="default"/>
      </w:rPr>
    </w:lvl>
  </w:abstractNum>
  <w:abstractNum w:abstractNumId="2">
    <w:multiLevelType w:val="hybridMultilevel"/>
    <w:lvl w:ilvl="0">
      <w:start w:val="3"/>
      <w:numFmt w:val="decimal"/>
      <w:lvlText w:val="%1"/>
      <w:lvlJc w:val="left"/>
      <w:pPr>
        <w:ind w:left="504" w:hanging="389"/>
        <w:jc w:val="left"/>
      </w:pPr>
      <w:rPr>
        <w:rFonts w:hint="default"/>
      </w:rPr>
    </w:lvl>
    <w:lvl w:ilvl="1">
      <w:start w:val="1"/>
      <w:numFmt w:val="decimal"/>
      <w:lvlText w:val="%1.%2"/>
      <w:lvlJc w:val="left"/>
      <w:pPr>
        <w:ind w:left="504" w:hanging="389"/>
        <w:jc w:val="left"/>
      </w:pPr>
      <w:rPr>
        <w:rFonts w:hint="default" w:ascii="Arial" w:hAnsi="Arial" w:eastAsia="Arial" w:cs="Arial"/>
        <w:spacing w:val="-3"/>
        <w:w w:val="101"/>
        <w:sz w:val="23"/>
        <w:szCs w:val="23"/>
      </w:rPr>
    </w:lvl>
    <w:lvl w:ilvl="2">
      <w:start w:val="1"/>
      <w:numFmt w:val="decimal"/>
      <w:lvlText w:val="%1.%2.%3."/>
      <w:lvlJc w:val="left"/>
      <w:pPr>
        <w:ind w:left="1416" w:hanging="648"/>
        <w:jc w:val="left"/>
      </w:pPr>
      <w:rPr>
        <w:rFonts w:hint="default" w:ascii="Arial" w:hAnsi="Arial" w:eastAsia="Arial" w:cs="Arial"/>
        <w:spacing w:val="-3"/>
        <w:w w:val="101"/>
        <w:sz w:val="23"/>
        <w:szCs w:val="23"/>
      </w:rPr>
    </w:lvl>
    <w:lvl w:ilvl="3">
      <w:start w:val="1"/>
      <w:numFmt w:val="bullet"/>
      <w:lvlText w:val="•"/>
      <w:lvlJc w:val="left"/>
      <w:pPr>
        <w:ind w:left="3363" w:hanging="648"/>
      </w:pPr>
      <w:rPr>
        <w:rFonts w:hint="default"/>
      </w:rPr>
    </w:lvl>
    <w:lvl w:ilvl="4">
      <w:start w:val="1"/>
      <w:numFmt w:val="bullet"/>
      <w:lvlText w:val="•"/>
      <w:lvlJc w:val="left"/>
      <w:pPr>
        <w:ind w:left="4335" w:hanging="648"/>
      </w:pPr>
      <w:rPr>
        <w:rFonts w:hint="default"/>
      </w:rPr>
    </w:lvl>
    <w:lvl w:ilvl="5">
      <w:start w:val="1"/>
      <w:numFmt w:val="bullet"/>
      <w:lvlText w:val="•"/>
      <w:lvlJc w:val="left"/>
      <w:pPr>
        <w:ind w:left="5306" w:hanging="648"/>
      </w:pPr>
      <w:rPr>
        <w:rFonts w:hint="default"/>
      </w:rPr>
    </w:lvl>
    <w:lvl w:ilvl="6">
      <w:start w:val="1"/>
      <w:numFmt w:val="bullet"/>
      <w:lvlText w:val="•"/>
      <w:lvlJc w:val="left"/>
      <w:pPr>
        <w:ind w:left="6278" w:hanging="648"/>
      </w:pPr>
      <w:rPr>
        <w:rFonts w:hint="default"/>
      </w:rPr>
    </w:lvl>
    <w:lvl w:ilvl="7">
      <w:start w:val="1"/>
      <w:numFmt w:val="bullet"/>
      <w:lvlText w:val="•"/>
      <w:lvlJc w:val="left"/>
      <w:pPr>
        <w:ind w:left="7250" w:hanging="648"/>
      </w:pPr>
      <w:rPr>
        <w:rFonts w:hint="default"/>
      </w:rPr>
    </w:lvl>
    <w:lvl w:ilvl="8">
      <w:start w:val="1"/>
      <w:numFmt w:val="bullet"/>
      <w:lvlText w:val="•"/>
      <w:lvlJc w:val="left"/>
      <w:pPr>
        <w:ind w:left="8222" w:hanging="648"/>
      </w:pPr>
      <w:rPr>
        <w:rFonts w:hint="default"/>
      </w:rPr>
    </w:lvl>
  </w:abstractNum>
  <w:abstractNum w:abstractNumId="1">
    <w:multiLevelType w:val="hybridMultilevel"/>
    <w:lvl w:ilvl="0">
      <w:start w:val="2"/>
      <w:numFmt w:val="decimal"/>
      <w:lvlText w:val="%1"/>
      <w:lvlJc w:val="left"/>
      <w:pPr>
        <w:ind w:left="504" w:hanging="389"/>
        <w:jc w:val="left"/>
      </w:pPr>
      <w:rPr>
        <w:rFonts w:hint="default"/>
      </w:rPr>
    </w:lvl>
    <w:lvl w:ilvl="1">
      <w:start w:val="1"/>
      <w:numFmt w:val="decimal"/>
      <w:lvlText w:val="%1.%2"/>
      <w:lvlJc w:val="left"/>
      <w:pPr>
        <w:ind w:left="504" w:hanging="389"/>
        <w:jc w:val="right"/>
      </w:pPr>
      <w:rPr>
        <w:rFonts w:hint="default" w:ascii="Arial" w:hAnsi="Arial" w:eastAsia="Arial" w:cs="Arial"/>
        <w:spacing w:val="-3"/>
        <w:w w:val="101"/>
        <w:sz w:val="23"/>
        <w:szCs w:val="23"/>
      </w:rPr>
    </w:lvl>
    <w:lvl w:ilvl="2">
      <w:start w:val="1"/>
      <w:numFmt w:val="decimal"/>
      <w:lvlText w:val="%1.%2.%3"/>
      <w:lvlJc w:val="left"/>
      <w:pPr>
        <w:ind w:left="1387" w:hanging="586"/>
        <w:jc w:val="left"/>
      </w:pPr>
      <w:rPr>
        <w:rFonts w:hint="default" w:ascii="Arial" w:hAnsi="Arial" w:eastAsia="Arial" w:cs="Arial"/>
        <w:spacing w:val="-3"/>
        <w:w w:val="101"/>
        <w:sz w:val="23"/>
        <w:szCs w:val="23"/>
      </w:rPr>
    </w:lvl>
    <w:lvl w:ilvl="3">
      <w:start w:val="1"/>
      <w:numFmt w:val="bullet"/>
      <w:lvlText w:val="•"/>
      <w:lvlJc w:val="left"/>
      <w:pPr>
        <w:ind w:left="3332" w:hanging="586"/>
      </w:pPr>
      <w:rPr>
        <w:rFonts w:hint="default"/>
      </w:rPr>
    </w:lvl>
    <w:lvl w:ilvl="4">
      <w:start w:val="1"/>
      <w:numFmt w:val="bullet"/>
      <w:lvlText w:val="•"/>
      <w:lvlJc w:val="left"/>
      <w:pPr>
        <w:ind w:left="4308" w:hanging="586"/>
      </w:pPr>
      <w:rPr>
        <w:rFonts w:hint="default"/>
      </w:rPr>
    </w:lvl>
    <w:lvl w:ilvl="5">
      <w:start w:val="1"/>
      <w:numFmt w:val="bullet"/>
      <w:lvlText w:val="•"/>
      <w:lvlJc w:val="left"/>
      <w:pPr>
        <w:ind w:left="5284" w:hanging="586"/>
      </w:pPr>
      <w:rPr>
        <w:rFonts w:hint="default"/>
      </w:rPr>
    </w:lvl>
    <w:lvl w:ilvl="6">
      <w:start w:val="1"/>
      <w:numFmt w:val="bullet"/>
      <w:lvlText w:val="•"/>
      <w:lvlJc w:val="left"/>
      <w:pPr>
        <w:ind w:left="6260" w:hanging="586"/>
      </w:pPr>
      <w:rPr>
        <w:rFonts w:hint="default"/>
      </w:rPr>
    </w:lvl>
    <w:lvl w:ilvl="7">
      <w:start w:val="1"/>
      <w:numFmt w:val="bullet"/>
      <w:lvlText w:val="•"/>
      <w:lvlJc w:val="left"/>
      <w:pPr>
        <w:ind w:left="7237" w:hanging="586"/>
      </w:pPr>
      <w:rPr>
        <w:rFonts w:hint="default"/>
      </w:rPr>
    </w:lvl>
    <w:lvl w:ilvl="8">
      <w:start w:val="1"/>
      <w:numFmt w:val="bullet"/>
      <w:lvlText w:val="•"/>
      <w:lvlJc w:val="left"/>
      <w:pPr>
        <w:ind w:left="8213" w:hanging="586"/>
      </w:pPr>
      <w:rPr>
        <w:rFonts w:hint="default"/>
      </w:rPr>
    </w:lvl>
  </w:abstractNum>
  <w:abstractNum w:abstractNumId="0">
    <w:multiLevelType w:val="hybridMultilevel"/>
    <w:lvl w:ilvl="0">
      <w:start w:val="1"/>
      <w:numFmt w:val="decimal"/>
      <w:lvlText w:val="%1"/>
      <w:lvlJc w:val="left"/>
      <w:pPr>
        <w:ind w:left="490" w:hanging="375"/>
        <w:jc w:val="left"/>
      </w:pPr>
      <w:rPr>
        <w:rFonts w:hint="default"/>
      </w:rPr>
    </w:lvl>
    <w:lvl w:ilvl="1">
      <w:start w:val="1"/>
      <w:numFmt w:val="decimal"/>
      <w:lvlText w:val="%1.%2"/>
      <w:lvlJc w:val="left"/>
      <w:pPr>
        <w:ind w:left="490" w:hanging="375"/>
        <w:jc w:val="left"/>
      </w:pPr>
      <w:rPr>
        <w:rFonts w:hint="default" w:ascii="Arial" w:hAnsi="Arial" w:eastAsia="Arial" w:cs="Arial"/>
        <w:spacing w:val="-3"/>
        <w:w w:val="101"/>
        <w:sz w:val="23"/>
        <w:szCs w:val="23"/>
      </w:rPr>
    </w:lvl>
    <w:lvl w:ilvl="2">
      <w:start w:val="1"/>
      <w:numFmt w:val="bullet"/>
      <w:lvlText w:val="•"/>
      <w:lvlJc w:val="left"/>
      <w:pPr>
        <w:ind w:left="2433" w:hanging="375"/>
      </w:pPr>
      <w:rPr>
        <w:rFonts w:hint="default"/>
      </w:rPr>
    </w:lvl>
    <w:lvl w:ilvl="3">
      <w:start w:val="1"/>
      <w:numFmt w:val="bullet"/>
      <w:lvlText w:val="•"/>
      <w:lvlJc w:val="left"/>
      <w:pPr>
        <w:ind w:left="3399" w:hanging="375"/>
      </w:pPr>
      <w:rPr>
        <w:rFonts w:hint="default"/>
      </w:rPr>
    </w:lvl>
    <w:lvl w:ilvl="4">
      <w:start w:val="1"/>
      <w:numFmt w:val="bullet"/>
      <w:lvlText w:val="•"/>
      <w:lvlJc w:val="left"/>
      <w:pPr>
        <w:ind w:left="4366" w:hanging="375"/>
      </w:pPr>
      <w:rPr>
        <w:rFonts w:hint="default"/>
      </w:rPr>
    </w:lvl>
    <w:lvl w:ilvl="5">
      <w:start w:val="1"/>
      <w:numFmt w:val="bullet"/>
      <w:lvlText w:val="•"/>
      <w:lvlJc w:val="left"/>
      <w:pPr>
        <w:ind w:left="5332" w:hanging="375"/>
      </w:pPr>
      <w:rPr>
        <w:rFonts w:hint="default"/>
      </w:rPr>
    </w:lvl>
    <w:lvl w:ilvl="6">
      <w:start w:val="1"/>
      <w:numFmt w:val="bullet"/>
      <w:lvlText w:val="•"/>
      <w:lvlJc w:val="left"/>
      <w:pPr>
        <w:ind w:left="6299" w:hanging="375"/>
      </w:pPr>
      <w:rPr>
        <w:rFonts w:hint="default"/>
      </w:rPr>
    </w:lvl>
    <w:lvl w:ilvl="7">
      <w:start w:val="1"/>
      <w:numFmt w:val="bullet"/>
      <w:lvlText w:val="•"/>
      <w:lvlJc w:val="left"/>
      <w:pPr>
        <w:ind w:left="7265" w:hanging="375"/>
      </w:pPr>
      <w:rPr>
        <w:rFonts w:hint="default"/>
      </w:rPr>
    </w:lvl>
    <w:lvl w:ilvl="8">
      <w:start w:val="1"/>
      <w:numFmt w:val="bullet"/>
      <w:lvlText w:val="•"/>
      <w:lvlJc w:val="left"/>
      <w:pPr>
        <w:ind w:left="8232" w:hanging="375"/>
      </w:pPr>
      <w:rPr>
        <w:rFonts w:hint="default"/>
      </w:rPr>
    </w:lvl>
  </w:abstract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03"/>
      <w:ind w:left="115" w:right="989"/>
    </w:pPr>
    <w:rPr>
      <w:rFonts w:ascii="Arial" w:hAnsi="Arial" w:eastAsia="Arial" w:cs="Arial"/>
      <w:b/>
      <w:bCs/>
      <w:sz w:val="23"/>
      <w:szCs w:val="23"/>
    </w:rPr>
  </w:style>
  <w:style w:styleId="TOC2" w:type="paragraph">
    <w:name w:val="TOC 2"/>
    <w:basedOn w:val="Normal"/>
    <w:uiPriority w:val="1"/>
    <w:qFormat/>
    <w:pPr>
      <w:spacing w:before="119"/>
      <w:ind w:left="504" w:hanging="388"/>
    </w:pPr>
    <w:rPr>
      <w:rFonts w:ascii="Arial" w:hAnsi="Arial" w:eastAsia="Arial" w:cs="Arial"/>
      <w:sz w:val="23"/>
      <w:szCs w:val="23"/>
    </w:rPr>
  </w:style>
  <w:style w:styleId="TOC3" w:type="paragraph">
    <w:name w:val="TOC 3"/>
    <w:basedOn w:val="Normal"/>
    <w:uiPriority w:val="1"/>
    <w:qFormat/>
    <w:pPr>
      <w:spacing w:before="119"/>
      <w:ind w:left="115" w:right="989"/>
    </w:pPr>
    <w:rPr>
      <w:rFonts w:ascii="Arial" w:hAnsi="Arial" w:eastAsia="Arial" w:cs="Arial"/>
      <w:b/>
      <w:bCs/>
      <w:i/>
    </w:rPr>
  </w:style>
  <w:style w:styleId="TOC4" w:type="paragraph">
    <w:name w:val="TOC 4"/>
    <w:basedOn w:val="Normal"/>
    <w:uiPriority w:val="1"/>
    <w:qFormat/>
    <w:pPr>
      <w:spacing w:before="509"/>
      <w:ind w:left="1416" w:hanging="648"/>
    </w:pPr>
    <w:rPr>
      <w:rFonts w:ascii="Arial" w:hAnsi="Arial" w:eastAsia="Arial" w:cs="Arial"/>
      <w:sz w:val="23"/>
      <w:szCs w:val="23"/>
    </w:rPr>
  </w:style>
  <w:style w:styleId="TOC5" w:type="paragraph">
    <w:name w:val="TOC 5"/>
    <w:basedOn w:val="Normal"/>
    <w:uiPriority w:val="1"/>
    <w:qFormat/>
    <w:pPr>
      <w:spacing w:before="124"/>
      <w:ind w:left="1387" w:hanging="585"/>
    </w:pPr>
    <w:rPr>
      <w:rFonts w:ascii="Arial" w:hAnsi="Arial" w:eastAsia="Arial" w:cs="Arial"/>
      <w:sz w:val="23"/>
      <w:szCs w:val="23"/>
    </w:rPr>
  </w:style>
  <w:style w:styleId="BodyText" w:type="paragraph">
    <w:name w:val="Body Text"/>
    <w:basedOn w:val="Normal"/>
    <w:uiPriority w:val="1"/>
    <w:qFormat/>
    <w:pPr/>
    <w:rPr>
      <w:rFonts w:ascii="Arial" w:hAnsi="Arial" w:eastAsia="Arial" w:cs="Arial"/>
      <w:sz w:val="23"/>
      <w:szCs w:val="23"/>
    </w:rPr>
  </w:style>
  <w:style w:styleId="Heading1" w:type="paragraph">
    <w:name w:val="Heading 1"/>
    <w:basedOn w:val="Normal"/>
    <w:uiPriority w:val="1"/>
    <w:qFormat/>
    <w:pPr>
      <w:spacing w:line="311" w:lineRule="exact"/>
      <w:ind w:left="20"/>
      <w:outlineLvl w:val="1"/>
    </w:pPr>
    <w:rPr>
      <w:rFonts w:ascii="Gabriola" w:hAnsi="Gabriola" w:eastAsia="Gabriola" w:cs="Gabriola"/>
      <w:sz w:val="27"/>
      <w:szCs w:val="27"/>
    </w:rPr>
  </w:style>
  <w:style w:styleId="Heading2" w:type="paragraph">
    <w:name w:val="Heading 2"/>
    <w:basedOn w:val="Normal"/>
    <w:uiPriority w:val="1"/>
    <w:qFormat/>
    <w:pPr>
      <w:spacing w:before="74"/>
      <w:ind w:left="802"/>
      <w:jc w:val="both"/>
      <w:outlineLvl w:val="2"/>
    </w:pPr>
    <w:rPr>
      <w:rFonts w:ascii="Arial" w:hAnsi="Arial" w:eastAsia="Arial" w:cs="Arial"/>
      <w:b/>
      <w:bCs/>
      <w:sz w:val="23"/>
      <w:szCs w:val="23"/>
    </w:rPr>
  </w:style>
  <w:style w:styleId="ListParagraph" w:type="paragraph">
    <w:name w:val="List Paragraph"/>
    <w:basedOn w:val="Normal"/>
    <w:uiPriority w:val="1"/>
    <w:qFormat/>
    <w:pPr>
      <w:ind w:left="816" w:hanging="35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header" Target="header2.xml"/><Relationship Id="rId13" Type="http://schemas.openxmlformats.org/officeDocument/2006/relationships/image" Target="media/image5.jpeg"/><Relationship Id="rId14" Type="http://schemas.openxmlformats.org/officeDocument/2006/relationships/image" Target="media/image6.png"/><Relationship Id="rId15" Type="http://schemas.openxmlformats.org/officeDocument/2006/relationships/header" Target="header3.xml"/><Relationship Id="rId16" Type="http://schemas.openxmlformats.org/officeDocument/2006/relationships/footer" Target="footer3.xml"/><Relationship Id="rId17" Type="http://schemas.openxmlformats.org/officeDocument/2006/relationships/header" Target="header4.xml"/><Relationship Id="rId18" Type="http://schemas.openxmlformats.org/officeDocument/2006/relationships/footer" Target="footer4.xml"/><Relationship Id="rId19" Type="http://schemas.openxmlformats.org/officeDocument/2006/relationships/image" Target="media/image7.png"/><Relationship Id="rId20" Type="http://schemas.openxmlformats.org/officeDocument/2006/relationships/image" Target="media/image8.png"/><Relationship Id="rId21" Type="http://schemas.openxmlformats.org/officeDocument/2006/relationships/header" Target="header5.xml"/><Relationship Id="rId22" Type="http://schemas.openxmlformats.org/officeDocument/2006/relationships/footer" Target="footer5.xml"/><Relationship Id="rId23" Type="http://schemas.openxmlformats.org/officeDocument/2006/relationships/header" Target="header6.xml"/><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header" Target="header7.xml"/><Relationship Id="rId30" Type="http://schemas.openxmlformats.org/officeDocument/2006/relationships/footer" Target="footer6.xml"/><Relationship Id="rId31" Type="http://schemas.openxmlformats.org/officeDocument/2006/relationships/header" Target="header8.xml"/><Relationship Id="rId32" Type="http://schemas.openxmlformats.org/officeDocument/2006/relationships/image" Target="media/image14.png"/><Relationship Id="rId33" Type="http://schemas.openxmlformats.org/officeDocument/2006/relationships/image" Target="media/image15.png"/><Relationship Id="rId34" Type="http://schemas.openxmlformats.org/officeDocument/2006/relationships/header" Target="header9.xml"/><Relationship Id="rId35" Type="http://schemas.openxmlformats.org/officeDocument/2006/relationships/footer" Target="footer7.xml"/><Relationship Id="rId36" Type="http://schemas.openxmlformats.org/officeDocument/2006/relationships/hyperlink" Target="http://www.sectur.gob.mx/" TargetMode="External"/><Relationship Id="rId37" Type="http://schemas.openxmlformats.org/officeDocument/2006/relationships/hyperlink" Target="http://www.medioambiente.gob.mx/" TargetMode="External"/><Relationship Id="rId38" Type="http://schemas.openxmlformats.org/officeDocument/2006/relationships/footer" Target="footer8.xml"/><Relationship Id="rId39" Type="http://schemas.openxmlformats.org/officeDocument/2006/relationships/footer" Target="footer9.xml"/><Relationship Id="rId40" Type="http://schemas.openxmlformats.org/officeDocument/2006/relationships/header" Target="header10.xml"/><Relationship Id="rId41" Type="http://schemas.openxmlformats.org/officeDocument/2006/relationships/footer" Target="footer10.xml"/><Relationship Id="rId42" Type="http://schemas.openxmlformats.org/officeDocument/2006/relationships/image" Target="media/image16.png"/><Relationship Id="rId43" Type="http://schemas.openxmlformats.org/officeDocument/2006/relationships/header" Target="header11.xml"/><Relationship Id="rId44" Type="http://schemas.openxmlformats.org/officeDocument/2006/relationships/footer" Target="footer11.xml"/><Relationship Id="rId45" Type="http://schemas.openxmlformats.org/officeDocument/2006/relationships/footer" Target="footer12.xml"/><Relationship Id="rId46" Type="http://schemas.openxmlformats.org/officeDocument/2006/relationships/image" Target="media/image17.png"/><Relationship Id="rId47" Type="http://schemas.openxmlformats.org/officeDocument/2006/relationships/image" Target="media/image18.png"/><Relationship Id="rId48" Type="http://schemas.openxmlformats.org/officeDocument/2006/relationships/image" Target="media/image19.png"/><Relationship Id="rId49" Type="http://schemas.openxmlformats.org/officeDocument/2006/relationships/image" Target="media/image20.png"/><Relationship Id="rId50" Type="http://schemas.openxmlformats.org/officeDocument/2006/relationships/image" Target="media/image21.png"/><Relationship Id="rId51" Type="http://schemas.openxmlformats.org/officeDocument/2006/relationships/image" Target="media/image22.png"/><Relationship Id="rId52" Type="http://schemas.openxmlformats.org/officeDocument/2006/relationships/image" Target="media/image23.png"/><Relationship Id="rId53" Type="http://schemas.openxmlformats.org/officeDocument/2006/relationships/image" Target="media/image24.png"/><Relationship Id="rId54" Type="http://schemas.openxmlformats.org/officeDocument/2006/relationships/image" Target="media/image25.png"/><Relationship Id="rId55" Type="http://schemas.openxmlformats.org/officeDocument/2006/relationships/image" Target="media/image26.png"/><Relationship Id="rId56" Type="http://schemas.openxmlformats.org/officeDocument/2006/relationships/header" Target="header12.xml"/><Relationship Id="rId57" Type="http://schemas.openxmlformats.org/officeDocument/2006/relationships/footer" Target="footer13.xml"/><Relationship Id="rId58" Type="http://schemas.openxmlformats.org/officeDocument/2006/relationships/image" Target="media/image27.png"/><Relationship Id="rId59" Type="http://schemas.openxmlformats.org/officeDocument/2006/relationships/image" Target="media/image28.png"/><Relationship Id="rId60" Type="http://schemas.openxmlformats.org/officeDocument/2006/relationships/image" Target="media/image29.png"/><Relationship Id="rId61" Type="http://schemas.openxmlformats.org/officeDocument/2006/relationships/header" Target="header13.xml"/><Relationship Id="rId62" Type="http://schemas.openxmlformats.org/officeDocument/2006/relationships/footer" Target="footer14.xml"/><Relationship Id="rId63" Type="http://schemas.openxmlformats.org/officeDocument/2006/relationships/hyperlink" Target="mailto:susytour8@gmail.com" TargetMode="External"/><Relationship Id="rId64" Type="http://schemas.openxmlformats.org/officeDocument/2006/relationships/hyperlink" Target="mailto:elvacolegio@hotmail.com" TargetMode="External"/><Relationship Id="rId65" Type="http://schemas.openxmlformats.org/officeDocument/2006/relationships/hyperlink" Target="mailto:lzv04@yahoo.com" TargetMode="External"/><Relationship Id="rId66" Type="http://schemas.openxmlformats.org/officeDocument/2006/relationships/hyperlink" Target="mailto:alts2002@hotmail.com" TargetMode="External"/><Relationship Id="rId67" Type="http://schemas.openxmlformats.org/officeDocument/2006/relationships/footer" Target="footer15.xml"/><Relationship Id="rId68" Type="http://schemas.openxmlformats.org/officeDocument/2006/relationships/header" Target="header14.xml"/><Relationship Id="rId69" Type="http://schemas.openxmlformats.org/officeDocument/2006/relationships/footer" Target="footer16.xml"/><Relationship Id="rId70" Type="http://schemas.openxmlformats.org/officeDocument/2006/relationships/image" Target="media/image30.png"/><Relationship Id="rId71" Type="http://schemas.openxmlformats.org/officeDocument/2006/relationships/header" Target="header15.xml"/><Relationship Id="rId72" Type="http://schemas.openxmlformats.org/officeDocument/2006/relationships/footer" Target="footer17.xml"/><Relationship Id="rId73" Type="http://schemas.openxmlformats.org/officeDocument/2006/relationships/footer" Target="footer18.xml"/><Relationship Id="rId74" Type="http://schemas.openxmlformats.org/officeDocument/2006/relationships/hyperlink" Target="http://ec.europa.eu/environment/news.htm" TargetMode="External"/><Relationship Id="rId75" Type="http://schemas.openxmlformats.org/officeDocument/2006/relationships/hyperlink" Target="http://ec.europ/environment/news.es.htm" TargetMode="External"/><Relationship Id="rId76" Type="http://schemas.openxmlformats.org/officeDocument/2006/relationships/hyperlink" Target="http://www.imacmexico.org/" TargetMode="External"/><Relationship Id="rId77" Type="http://schemas.openxmlformats.org/officeDocument/2006/relationships/hyperlink" Target="http://www.turismo-responsable.net/" TargetMode="External"/><Relationship Id="rId78" Type="http://schemas.openxmlformats.org/officeDocument/2006/relationships/hyperlink" Target="http://www.un.org/esa/agenda21/natlinfo/indicato.htm" TargetMode="External"/><Relationship Id="rId79" Type="http://schemas.openxmlformats.org/officeDocument/2006/relationships/footer" Target="footer19.xml"/><Relationship Id="rId80" Type="http://schemas.openxmlformats.org/officeDocument/2006/relationships/hyperlink" Target="http://contaduriapublica.org.mx/?p=1950" TargetMode="External"/><Relationship Id="rId81" Type="http://schemas.openxmlformats.org/officeDocument/2006/relationships/hyperlink" Target="http://www.roymorgan.com/news/polls/2002" TargetMode="External"/><Relationship Id="rId82" Type="http://schemas.openxmlformats.org/officeDocument/2006/relationships/hyperlink" Target="http://www.cinu.org.mx/" TargetMode="External"/><Relationship Id="rId83" Type="http://schemas.openxmlformats.org/officeDocument/2006/relationships/hyperlink" Target="http://www.profepa.gob.mx/innovaportal/v/3934/1/mx/que_es_el_programa.html" TargetMode="External"/><Relationship Id="rId84" Type="http://schemas.openxmlformats.org/officeDocument/2006/relationships/header" Target="header16.xml"/><Relationship Id="rId85" Type="http://schemas.openxmlformats.org/officeDocument/2006/relationships/footer" Target="footer20.xml"/><Relationship Id="rId86" Type="http://schemas.openxmlformats.org/officeDocument/2006/relationships/image" Target="media/image31.jpeg"/><Relationship Id="rId87" Type="http://schemas.openxmlformats.org/officeDocument/2006/relationships/header" Target="header17.xml"/><Relationship Id="rId88" Type="http://schemas.openxmlformats.org/officeDocument/2006/relationships/footer" Target="footer21.xml"/><Relationship Id="rId89" Type="http://schemas.openxmlformats.org/officeDocument/2006/relationships/header" Target="header18.xml"/><Relationship Id="rId90" Type="http://schemas.openxmlformats.org/officeDocument/2006/relationships/image" Target="media/image32.jpeg"/><Relationship Id="rId91" Type="http://schemas.openxmlformats.org/officeDocument/2006/relationships/image" Target="media/image33.jpeg"/><Relationship Id="rId92" Type="http://schemas.openxmlformats.org/officeDocument/2006/relationships/image" Target="media/image34.jpeg"/><Relationship Id="rId93" Type="http://schemas.openxmlformats.org/officeDocument/2006/relationships/image" Target="media/image35.jpeg"/><Relationship Id="rId94" Type="http://schemas.openxmlformats.org/officeDocument/2006/relationships/image" Target="media/image36.png"/><Relationship Id="rId95" Type="http://schemas.openxmlformats.org/officeDocument/2006/relationships/image" Target="media/image37.jpeg"/><Relationship Id="rId96" Type="http://schemas.openxmlformats.org/officeDocument/2006/relationships/image" Target="media/image38.jpeg"/><Relationship Id="rId97" Type="http://schemas.openxmlformats.org/officeDocument/2006/relationships/image" Target="media/image39.jpeg"/><Relationship Id="rId98" Type="http://schemas.openxmlformats.org/officeDocument/2006/relationships/image" Target="media/image40.png"/><Relationship Id="rId99" Type="http://schemas.openxmlformats.org/officeDocument/2006/relationships/image" Target="media/image41.jpeg"/><Relationship Id="rId100" Type="http://schemas.openxmlformats.org/officeDocument/2006/relationships/image" Target="media/image42.png"/><Relationship Id="rId101" Type="http://schemas.openxmlformats.org/officeDocument/2006/relationships/image" Target="media/image43.png"/><Relationship Id="rId102" Type="http://schemas.openxmlformats.org/officeDocument/2006/relationships/image" Target="media/image44.png"/><Relationship Id="rId103" Type="http://schemas.openxmlformats.org/officeDocument/2006/relationships/numbering" Target="numbering.xml"/></Relationships>

</file>

<file path=word/_rels/header1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pc-10</dc:creator>
  <dcterms:created xsi:type="dcterms:W3CDTF">2017-05-19T20:57:07Z</dcterms:created>
  <dcterms:modified xsi:type="dcterms:W3CDTF">2017-05-19T20:57:07Z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2016-01-19T00:00:00Z</vt:filetime>
  </property>
  <property fmtid="{D5CDD505-2E9C-101B-9397-08002B2CF9AE}" pid="3" name="Creator">
    <vt:lpwstr>PDF Architect 4</vt:lpwstr>
  </property>
  <property fmtid="{D5CDD505-2E9C-101B-9397-08002B2CF9AE}" pid="4" name="LastSaved">
    <vt:filetime>2017-05-19T00:00:00Z</vt:filetime>
  </property>
</Properties>
</file>