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4"/>
        </w:rPr>
      </w:pPr>
      <w:r>
        <w:rPr/>
        <w:drawing>
          <wp:anchor distT="0" distB="0" distL="0" distR="0" allowOverlap="1" layoutInCell="1" locked="0" behindDoc="1" simplePos="0" relativeHeight="268382783">
            <wp:simplePos x="0" y="0"/>
            <wp:positionH relativeFrom="page">
              <wp:posOffset>1028700</wp:posOffset>
            </wp:positionH>
            <wp:positionV relativeFrom="page">
              <wp:posOffset>882396</wp:posOffset>
            </wp:positionV>
            <wp:extent cx="1057404" cy="951356"/>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57404" cy="951356"/>
                    </a:xfrm>
                    <a:prstGeom prst="rect">
                      <a:avLst/>
                    </a:prstGeom>
                  </pic:spPr>
                </pic:pic>
              </a:graphicData>
            </a:graphic>
          </wp:anchor>
        </w:drawing>
      </w:r>
      <w:r>
        <w:rPr/>
        <w:drawing>
          <wp:anchor distT="0" distB="0" distL="0" distR="0" allowOverlap="1" layoutInCell="1" locked="0" behindDoc="1" simplePos="0" relativeHeight="268382807">
            <wp:simplePos x="0" y="0"/>
            <wp:positionH relativeFrom="page">
              <wp:posOffset>5667755</wp:posOffset>
            </wp:positionH>
            <wp:positionV relativeFrom="page">
              <wp:posOffset>809244</wp:posOffset>
            </wp:positionV>
            <wp:extent cx="1129627" cy="1026795"/>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29627" cy="1026795"/>
                    </a:xfrm>
                    <a:prstGeom prst="rect">
                      <a:avLst/>
                    </a:prstGeom>
                  </pic:spPr>
                </pic:pic>
              </a:graphicData>
            </a:graphic>
          </wp:anchor>
        </w:drawing>
      </w: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57"/>
      </w:tblGrid>
      <w:tr>
        <w:trPr>
          <w:trHeight w:val="2053" w:hRule="exact"/>
        </w:trPr>
        <w:tc>
          <w:tcPr>
            <w:tcW w:w="9057" w:type="dxa"/>
          </w:tcPr>
          <w:p>
            <w:pPr>
              <w:pStyle w:val="TableParagraph"/>
              <w:spacing w:line="226" w:lineRule="exact"/>
              <w:ind w:left="1714" w:right="1715"/>
              <w:rPr>
                <w:sz w:val="22"/>
              </w:rPr>
            </w:pPr>
            <w:r>
              <w:rPr>
                <w:sz w:val="22"/>
              </w:rPr>
              <w:t>UNIVERSIDAD AUTÓNOMA DEL ESTADO DE MÉXICO</w:t>
            </w:r>
          </w:p>
          <w:p>
            <w:pPr>
              <w:pStyle w:val="TableParagraph"/>
              <w:jc w:val="left"/>
              <w:rPr>
                <w:rFonts w:ascii="Times New Roman"/>
                <w:sz w:val="22"/>
              </w:rPr>
            </w:pPr>
          </w:p>
          <w:p>
            <w:pPr>
              <w:pStyle w:val="TableParagraph"/>
              <w:spacing w:before="2"/>
              <w:jc w:val="left"/>
              <w:rPr>
                <w:rFonts w:ascii="Times New Roman"/>
                <w:sz w:val="22"/>
              </w:rPr>
            </w:pPr>
          </w:p>
          <w:p>
            <w:pPr>
              <w:pStyle w:val="TableParagraph"/>
              <w:ind w:left="1714" w:right="1715"/>
              <w:rPr>
                <w:sz w:val="22"/>
              </w:rPr>
            </w:pPr>
            <w:r>
              <w:rPr>
                <w:sz w:val="22"/>
              </w:rPr>
              <w:t>FACULTAD DE QUÍMICA</w:t>
            </w:r>
          </w:p>
        </w:tc>
      </w:tr>
      <w:tr>
        <w:trPr>
          <w:trHeight w:val="2247" w:hRule="exact"/>
        </w:trPr>
        <w:tc>
          <w:tcPr>
            <w:tcW w:w="9057" w:type="dxa"/>
            <w:tcBorders>
              <w:bottom w:val="single" w:sz="4" w:space="0" w:color="4F81BC"/>
            </w:tcBorders>
          </w:tcPr>
          <w:p>
            <w:pPr>
              <w:pStyle w:val="TableParagraph"/>
              <w:jc w:val="left"/>
              <w:rPr>
                <w:rFonts w:ascii="Times New Roman"/>
                <w:sz w:val="28"/>
              </w:rPr>
            </w:pPr>
          </w:p>
          <w:p>
            <w:pPr>
              <w:pStyle w:val="TableParagraph"/>
              <w:jc w:val="left"/>
              <w:rPr>
                <w:rFonts w:ascii="Times New Roman"/>
                <w:sz w:val="28"/>
              </w:rPr>
            </w:pPr>
          </w:p>
          <w:p>
            <w:pPr>
              <w:pStyle w:val="TableParagraph"/>
              <w:spacing w:before="1"/>
              <w:jc w:val="left"/>
              <w:rPr>
                <w:rFonts w:ascii="Times New Roman"/>
                <w:sz w:val="34"/>
              </w:rPr>
            </w:pPr>
          </w:p>
          <w:p>
            <w:pPr>
              <w:pStyle w:val="TableParagraph"/>
              <w:ind w:left="179" w:right="188" w:firstLine="1"/>
              <w:rPr>
                <w:b/>
                <w:sz w:val="28"/>
              </w:rPr>
            </w:pPr>
            <w:r>
              <w:rPr>
                <w:b/>
                <w:sz w:val="28"/>
              </w:rPr>
              <w:t>“DESARROLLO Y CARACTERIZACIÓN DE CONCRETO POLIMÉRICO MODIFICADO CON FIBRAS RECICLADAS:</w:t>
            </w:r>
            <w:r>
              <w:rPr>
                <w:b/>
                <w:spacing w:val="-33"/>
                <w:sz w:val="28"/>
              </w:rPr>
              <w:t> </w:t>
            </w:r>
            <w:r>
              <w:rPr>
                <w:b/>
                <w:sz w:val="28"/>
              </w:rPr>
              <w:t>EFECTO DE LA RADIACIÓN</w:t>
            </w:r>
            <w:r>
              <w:rPr>
                <w:b/>
                <w:spacing w:val="-22"/>
                <w:sz w:val="28"/>
              </w:rPr>
              <w:t> </w:t>
            </w:r>
            <w:r>
              <w:rPr>
                <w:b/>
                <w:sz w:val="28"/>
              </w:rPr>
              <w:t>GAMMA”</w:t>
            </w:r>
          </w:p>
        </w:tc>
      </w:tr>
      <w:tr>
        <w:trPr>
          <w:trHeight w:val="828" w:hRule="exact"/>
        </w:trPr>
        <w:tc>
          <w:tcPr>
            <w:tcW w:w="9057" w:type="dxa"/>
            <w:tcBorders>
              <w:top w:val="single" w:sz="4" w:space="0" w:color="4F81BC"/>
            </w:tcBorders>
          </w:tcPr>
          <w:p>
            <w:pPr>
              <w:pStyle w:val="TableParagraph"/>
              <w:spacing w:before="198"/>
              <w:ind w:left="1714" w:right="1715"/>
              <w:rPr>
                <w:sz w:val="28"/>
              </w:rPr>
            </w:pPr>
            <w:r>
              <w:rPr>
                <w:sz w:val="28"/>
              </w:rPr>
              <w:t>TESIS</w:t>
            </w:r>
          </w:p>
        </w:tc>
      </w:tr>
      <w:tr>
        <w:trPr>
          <w:trHeight w:val="630" w:hRule="exact"/>
        </w:trPr>
        <w:tc>
          <w:tcPr>
            <w:tcW w:w="9057" w:type="dxa"/>
          </w:tcPr>
          <w:p>
            <w:pPr>
              <w:pStyle w:val="TableParagraph"/>
              <w:spacing w:before="10"/>
              <w:jc w:val="left"/>
              <w:rPr>
                <w:rFonts w:ascii="Times New Roman"/>
                <w:sz w:val="23"/>
              </w:rPr>
            </w:pPr>
          </w:p>
          <w:p>
            <w:pPr>
              <w:pStyle w:val="TableParagraph"/>
              <w:ind w:left="1710" w:right="1715"/>
              <w:rPr>
                <w:sz w:val="28"/>
              </w:rPr>
            </w:pPr>
            <w:r>
              <w:rPr>
                <w:sz w:val="28"/>
              </w:rPr>
              <w:t>QUE PARA OBTENER EL GRADO DE</w:t>
            </w:r>
          </w:p>
        </w:tc>
      </w:tr>
      <w:tr>
        <w:trPr>
          <w:trHeight w:val="320" w:hRule="exact"/>
        </w:trPr>
        <w:tc>
          <w:tcPr>
            <w:tcW w:w="9057" w:type="dxa"/>
          </w:tcPr>
          <w:p>
            <w:pPr>
              <w:pStyle w:val="TableParagraph"/>
              <w:spacing w:before="4"/>
              <w:ind w:left="1712" w:right="1715"/>
              <w:rPr>
                <w:b/>
                <w:sz w:val="28"/>
              </w:rPr>
            </w:pPr>
            <w:r>
              <w:rPr>
                <w:b/>
                <w:sz w:val="28"/>
              </w:rPr>
              <w:t>MAESTRA EN CIENCIA DE MATERIALES</w:t>
            </w:r>
          </w:p>
        </w:tc>
      </w:tr>
    </w:tbl>
    <w:p>
      <w:pPr>
        <w:pStyle w:val="BodyText"/>
        <w:spacing w:before="5"/>
        <w:rPr>
          <w:rFonts w:ascii="Times New Roman"/>
        </w:rPr>
      </w:pPr>
    </w:p>
    <w:p>
      <w:pPr>
        <w:spacing w:before="65"/>
        <w:ind w:left="2185" w:right="2224" w:firstLine="0"/>
        <w:jc w:val="center"/>
        <w:rPr>
          <w:sz w:val="28"/>
        </w:rPr>
      </w:pPr>
      <w:r>
        <w:rPr>
          <w:sz w:val="28"/>
        </w:rPr>
        <w:t>PRESENTA:</w:t>
      </w:r>
    </w:p>
    <w:p>
      <w:pPr>
        <w:pStyle w:val="BodyText"/>
        <w:spacing w:before="11"/>
        <w:rPr>
          <w:sz w:val="27"/>
        </w:rPr>
      </w:pPr>
    </w:p>
    <w:p>
      <w:pPr>
        <w:spacing w:before="0"/>
        <w:ind w:left="2807" w:right="0" w:firstLine="0"/>
        <w:jc w:val="left"/>
        <w:rPr>
          <w:sz w:val="28"/>
        </w:rPr>
      </w:pPr>
      <w:r>
        <w:rPr>
          <w:sz w:val="28"/>
        </w:rPr>
        <w:t>I.Q. ELISA MARTÍNEZ CRUZ</w:t>
      </w:r>
    </w:p>
    <w:p>
      <w:pPr>
        <w:pStyle w:val="BodyText"/>
        <w:rPr>
          <w:sz w:val="28"/>
        </w:rPr>
      </w:pPr>
    </w:p>
    <w:p>
      <w:pPr>
        <w:pStyle w:val="BodyText"/>
        <w:rPr>
          <w:sz w:val="28"/>
        </w:rPr>
      </w:pPr>
    </w:p>
    <w:p>
      <w:pPr>
        <w:pStyle w:val="BodyText"/>
        <w:rPr>
          <w:sz w:val="28"/>
        </w:rPr>
      </w:pPr>
    </w:p>
    <w:p>
      <w:pPr>
        <w:pStyle w:val="BodyText"/>
        <w:rPr>
          <w:sz w:val="28"/>
        </w:rPr>
      </w:pPr>
    </w:p>
    <w:p>
      <w:pPr>
        <w:spacing w:before="0"/>
        <w:ind w:left="2185" w:right="2220" w:firstLine="0"/>
        <w:jc w:val="center"/>
        <w:rPr>
          <w:sz w:val="28"/>
        </w:rPr>
      </w:pPr>
      <w:r>
        <w:rPr>
          <w:sz w:val="28"/>
        </w:rPr>
        <w:t>DIRIGIDA POR:</w:t>
      </w:r>
    </w:p>
    <w:p>
      <w:pPr>
        <w:pStyle w:val="BodyText"/>
        <w:spacing w:before="10"/>
        <w:rPr>
          <w:sz w:val="27"/>
        </w:rPr>
      </w:pPr>
    </w:p>
    <w:p>
      <w:pPr>
        <w:spacing w:before="0"/>
        <w:ind w:left="2185" w:right="2225" w:firstLine="0"/>
        <w:jc w:val="center"/>
        <w:rPr>
          <w:sz w:val="28"/>
        </w:rPr>
      </w:pPr>
      <w:r>
        <w:rPr>
          <w:sz w:val="28"/>
        </w:rPr>
        <w:t>DR. GONZALO MARTÍNEZ BARRERA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spacing w:before="185"/>
        <w:ind w:left="4523" w:right="0" w:firstLine="0"/>
        <w:jc w:val="left"/>
        <w:rPr>
          <w:sz w:val="22"/>
        </w:rPr>
      </w:pPr>
      <w:r>
        <w:rPr>
          <w:sz w:val="22"/>
        </w:rPr>
        <w:t>TOLUCA, ESTADO DE MÉXICO, MAYO 2016</w:t>
      </w:r>
    </w:p>
    <w:p>
      <w:pPr>
        <w:spacing w:after="0"/>
        <w:jc w:val="left"/>
        <w:rPr>
          <w:sz w:val="22"/>
        </w:rPr>
        <w:sectPr>
          <w:type w:val="continuous"/>
          <w:pgSz w:w="12240" w:h="15840"/>
          <w:pgMar w:top="1280" w:bottom="280" w:left="1480" w:right="1440"/>
        </w:sectPr>
      </w:pPr>
    </w:p>
    <w:p>
      <w:pPr>
        <w:pStyle w:val="BodyText"/>
        <w:ind w:left="110"/>
        <w:rPr>
          <w:sz w:val="20"/>
        </w:rPr>
      </w:pPr>
      <w:r>
        <w:rPr>
          <w:sz w:val="20"/>
        </w:rPr>
        <w:drawing>
          <wp:inline distT="0" distB="0" distL="0" distR="0">
            <wp:extent cx="6270072" cy="8113680"/>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6270072" cy="8113680"/>
                    </a:xfrm>
                    <a:prstGeom prst="rect">
                      <a:avLst/>
                    </a:prstGeom>
                  </pic:spPr>
                </pic:pic>
              </a:graphicData>
            </a:graphic>
          </wp:inline>
        </w:drawing>
      </w:r>
      <w:r>
        <w:rPr>
          <w:sz w:val="20"/>
        </w:rPr>
      </w:r>
    </w:p>
    <w:p>
      <w:pPr>
        <w:spacing w:after="0"/>
        <w:rPr>
          <w:sz w:val="20"/>
        </w:rPr>
        <w:sectPr>
          <w:footerReference w:type="default" r:id="rId7"/>
          <w:pgSz w:w="12240" w:h="15840"/>
          <w:pgMar w:footer="975" w:header="0" w:top="1420" w:bottom="1160" w:left="1620" w:right="380"/>
          <w:pgNumType w:start="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02"/>
        <w:ind w:left="85" w:right="165"/>
        <w:jc w:val="center"/>
      </w:pPr>
      <w:r>
        <w:rPr/>
        <w:t>AGRADECIMIENTOS</w:t>
      </w:r>
    </w:p>
    <w:p>
      <w:pPr>
        <w:pStyle w:val="BodyText"/>
        <w:rPr>
          <w:b/>
        </w:rPr>
      </w:pPr>
    </w:p>
    <w:p>
      <w:pPr>
        <w:pStyle w:val="BodyText"/>
        <w:rPr>
          <w:b/>
        </w:rPr>
      </w:pPr>
    </w:p>
    <w:p>
      <w:pPr>
        <w:pStyle w:val="BodyText"/>
        <w:spacing w:line="278" w:lineRule="auto" w:before="207"/>
        <w:ind w:left="87" w:right="162"/>
        <w:jc w:val="center"/>
      </w:pPr>
      <w:r>
        <w:rPr/>
        <w:t>A David y a Román por ser mi impulso día con día, los amo, este trabajo es por y para ustedes.</w:t>
      </w:r>
    </w:p>
    <w:p>
      <w:pPr>
        <w:pStyle w:val="BodyText"/>
        <w:spacing w:before="197"/>
        <w:ind w:left="82" w:right="165"/>
        <w:jc w:val="center"/>
      </w:pPr>
      <w:r>
        <w:rPr/>
        <w:t>A mi madre por su apoyo incondicional, su generosidad y su amor infinito.</w:t>
      </w:r>
    </w:p>
    <w:p>
      <w:pPr>
        <w:pStyle w:val="BodyText"/>
        <w:rPr>
          <w:sz w:val="21"/>
        </w:rPr>
      </w:pPr>
    </w:p>
    <w:p>
      <w:pPr>
        <w:pStyle w:val="BodyText"/>
        <w:spacing w:before="1"/>
        <w:ind w:left="82" w:right="165"/>
        <w:jc w:val="center"/>
      </w:pPr>
      <w:r>
        <w:rPr/>
        <w:t>A mi hermana, por ser mi confidente y por su confianza .</w:t>
      </w:r>
    </w:p>
    <w:p>
      <w:pPr>
        <w:pStyle w:val="BodyText"/>
        <w:spacing w:before="10"/>
        <w:rPr>
          <w:sz w:val="20"/>
        </w:rPr>
      </w:pPr>
    </w:p>
    <w:p>
      <w:pPr>
        <w:pStyle w:val="BodyText"/>
        <w:ind w:left="87" w:right="165"/>
        <w:jc w:val="center"/>
      </w:pPr>
      <w:r>
        <w:rPr/>
        <w:t>A mis amigos, por su fe en mí.</w:t>
      </w:r>
    </w:p>
    <w:p>
      <w:pPr>
        <w:pStyle w:val="BodyText"/>
        <w:rPr>
          <w:sz w:val="21"/>
        </w:rPr>
      </w:pPr>
    </w:p>
    <w:p>
      <w:pPr>
        <w:pStyle w:val="BodyText"/>
        <w:spacing w:line="276" w:lineRule="auto" w:before="1"/>
        <w:ind w:left="84" w:right="165"/>
        <w:jc w:val="center"/>
      </w:pPr>
      <w:r>
        <w:rPr/>
        <w:t>A Miguel por su amistad, por su ayuda y por el enorme apoyo que siempre he recibido de él.</w:t>
      </w:r>
    </w:p>
    <w:p>
      <w:pPr>
        <w:pStyle w:val="BodyText"/>
        <w:spacing w:line="276" w:lineRule="auto" w:before="202"/>
        <w:ind w:left="87" w:right="165"/>
        <w:jc w:val="center"/>
      </w:pPr>
      <w:r>
        <w:rPr/>
        <w:t>Al Dr. Gonzalo Martínez Barrera, este trabajo es resultado de su apoyo, paciencia y confianza. Gracias por compartir conmigo tanto conocimiento.</w:t>
      </w:r>
    </w:p>
    <w:p>
      <w:pPr>
        <w:pStyle w:val="BodyText"/>
      </w:pPr>
    </w:p>
    <w:p>
      <w:pPr>
        <w:pStyle w:val="BodyText"/>
      </w:pPr>
    </w:p>
    <w:p>
      <w:pPr>
        <w:pStyle w:val="BodyText"/>
        <w:spacing w:before="166"/>
        <w:ind w:left="86" w:right="165"/>
        <w:jc w:val="center"/>
      </w:pPr>
      <w:r>
        <w:rPr/>
        <w:t>A la comisión revisora por las valiosas aportaciones que hicieron a este trabajo.</w:t>
      </w:r>
    </w:p>
    <w:p>
      <w:pPr>
        <w:spacing w:after="0"/>
        <w:jc w:val="center"/>
        <w:sectPr>
          <w:pgSz w:w="12240" w:h="15840"/>
          <w:pgMar w:header="0" w:footer="975" w:top="1500" w:bottom="1160" w:left="166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04"/>
        <w:ind w:left="85" w:right="165"/>
        <w:jc w:val="center"/>
      </w:pPr>
      <w:r>
        <w:rPr/>
        <w:t>AGRADECIMIENTOS</w:t>
      </w:r>
    </w:p>
    <w:p>
      <w:pPr>
        <w:pStyle w:val="BodyText"/>
        <w:rPr>
          <w:b/>
        </w:rPr>
      </w:pPr>
    </w:p>
    <w:p>
      <w:pPr>
        <w:pStyle w:val="BodyText"/>
        <w:rPr>
          <w:b/>
        </w:rPr>
      </w:pPr>
    </w:p>
    <w:p>
      <w:pPr>
        <w:pStyle w:val="BodyText"/>
        <w:spacing w:line="276" w:lineRule="auto" w:before="206"/>
        <w:ind w:left="109" w:right="189" w:hanging="1"/>
        <w:jc w:val="center"/>
      </w:pPr>
      <w:r>
        <w:rPr/>
        <w:t>Agradezco al Consejo de Ciencia y Tecnología (CONACyT) por la beca otorgada para mis estudios de maestría, y que permitió la realización de esta investigación.</w:t>
      </w:r>
    </w:p>
    <w:p>
      <w:pPr>
        <w:pStyle w:val="BodyText"/>
      </w:pPr>
    </w:p>
    <w:p>
      <w:pPr>
        <w:pStyle w:val="BodyText"/>
      </w:pPr>
    </w:p>
    <w:p>
      <w:pPr>
        <w:pStyle w:val="BodyText"/>
      </w:pPr>
    </w:p>
    <w:p>
      <w:pPr>
        <w:pStyle w:val="BodyText"/>
        <w:spacing w:before="6"/>
        <w:rPr>
          <w:sz w:val="35"/>
        </w:rPr>
      </w:pPr>
    </w:p>
    <w:p>
      <w:pPr>
        <w:pStyle w:val="BodyText"/>
        <w:ind w:left="87" w:right="160"/>
        <w:jc w:val="center"/>
      </w:pPr>
      <w:r>
        <w:rPr/>
        <w:t>Agradezco al COMECyT por la beca otorgada para la obtención del grado.</w:t>
      </w:r>
    </w:p>
    <w:p>
      <w:pPr>
        <w:spacing w:after="0"/>
        <w:jc w:val="center"/>
        <w:sectPr>
          <w:pgSz w:w="12240" w:h="15840"/>
          <w:pgMar w:header="0" w:footer="975" w:top="1500" w:bottom="1160" w:left="1660" w:right="1580"/>
        </w:sectPr>
      </w:pPr>
    </w:p>
    <w:p>
      <w:pPr>
        <w:pStyle w:val="Heading2"/>
        <w:spacing w:before="54"/>
        <w:ind w:left="3098" w:right="3114"/>
        <w:jc w:val="center"/>
      </w:pPr>
      <w:r>
        <w:rPr/>
        <w:t>CONTENIDO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204"/>
        <w:ind w:left="102" w:right="0" w:firstLine="0"/>
        <w:jc w:val="left"/>
        <w:rPr>
          <w:b/>
          <w:sz w:val="24"/>
        </w:rPr>
      </w:pPr>
      <w:r>
        <w:rPr>
          <w:b/>
          <w:sz w:val="24"/>
        </w:rPr>
        <w:t>CAPÍTULO 1</w:t>
      </w:r>
    </w:p>
    <w:p>
      <w:pPr>
        <w:spacing w:after="0"/>
        <w:jc w:val="left"/>
        <w:rPr>
          <w:sz w:val="24"/>
        </w:rPr>
        <w:sectPr>
          <w:pgSz w:w="12240" w:h="15840"/>
          <w:pgMar w:header="0" w:footer="975" w:top="1360" w:bottom="1417" w:left="1600" w:right="1580"/>
        </w:sectPr>
      </w:pPr>
    </w:p>
    <w:sdt>
      <w:sdtPr>
        <w:docPartObj>
          <w:docPartGallery w:val="Table of Contents"/>
          <w:docPartUnique/>
        </w:docPartObj>
      </w:sdtPr>
      <w:sdtEndPr/>
      <w:sdtContent>
        <w:p>
          <w:pPr>
            <w:pStyle w:val="TOC1"/>
            <w:tabs>
              <w:tab w:pos="8929" w:val="right" w:leader="dot"/>
            </w:tabs>
            <w:spacing w:before="276"/>
            <w:ind w:left="102" w:firstLine="0"/>
          </w:pPr>
          <w:hyperlink w:history="true" w:anchor="_bookmark0">
            <w:r>
              <w:rPr/>
              <w:t>RESUMEN</w:t>
              <w:tab/>
              <w:t>9</w:t>
            </w:r>
          </w:hyperlink>
        </w:p>
        <w:p>
          <w:pPr>
            <w:pStyle w:val="TOC1"/>
            <w:tabs>
              <w:tab w:pos="8933" w:val="right" w:leader="dot"/>
            </w:tabs>
            <w:ind w:left="102" w:firstLine="0"/>
          </w:pPr>
          <w:hyperlink w:history="true" w:anchor="_bookmark1">
            <w:r>
              <w:rPr/>
              <w:t>ABSTRACT</w:t>
              <w:tab/>
              <w:t>10</w:t>
            </w:r>
          </w:hyperlink>
        </w:p>
        <w:p>
          <w:pPr>
            <w:pStyle w:val="TOC1"/>
            <w:tabs>
              <w:tab w:pos="8916" w:val="right" w:leader="dot"/>
            </w:tabs>
            <w:ind w:left="102" w:firstLine="0"/>
          </w:pPr>
          <w:hyperlink w:history="true" w:anchor="_bookmark2">
            <w:r>
              <w:rPr/>
              <w:t>CAPÍTULO</w:t>
            </w:r>
            <w:r>
              <w:rPr>
                <w:spacing w:val="-1"/>
              </w:rPr>
              <w:t> </w:t>
            </w:r>
            <w:r>
              <w:rPr/>
              <w:t>1:</w:t>
            </w:r>
            <w:r>
              <w:rPr>
                <w:spacing w:val="-15"/>
              </w:rPr>
              <w:t> </w:t>
            </w:r>
            <w:r>
              <w:rPr/>
              <w:t>ANTECEDENTES</w:t>
              <w:tab/>
            </w:r>
            <w:r>
              <w:rPr>
                <w:spacing w:val="-16"/>
              </w:rPr>
              <w:t>11</w:t>
            </w:r>
          </w:hyperlink>
        </w:p>
        <w:p>
          <w:pPr>
            <w:pStyle w:val="TOC1"/>
            <w:numPr>
              <w:ilvl w:val="1"/>
              <w:numId w:val="1"/>
            </w:numPr>
            <w:tabs>
              <w:tab w:pos="505" w:val="left" w:leader="none"/>
              <w:tab w:pos="8916" w:val="right" w:leader="dot"/>
            </w:tabs>
            <w:spacing w:line="240" w:lineRule="auto" w:before="98" w:after="0"/>
            <w:ind w:left="504" w:right="0" w:hanging="402"/>
            <w:jc w:val="left"/>
          </w:pPr>
          <w:hyperlink w:history="true" w:anchor="_bookmark3">
            <w:r>
              <w:rPr/>
              <w:t>Introducción</w:t>
              <w:tab/>
            </w:r>
            <w:r>
              <w:rPr>
                <w:spacing w:val="-16"/>
              </w:rPr>
              <w:t>11</w:t>
            </w:r>
          </w:hyperlink>
        </w:p>
        <w:p>
          <w:pPr>
            <w:pStyle w:val="TOC1"/>
            <w:numPr>
              <w:ilvl w:val="1"/>
              <w:numId w:val="1"/>
            </w:numPr>
            <w:tabs>
              <w:tab w:pos="505" w:val="left" w:leader="none"/>
              <w:tab w:pos="8933" w:val="right" w:leader="dot"/>
            </w:tabs>
            <w:spacing w:line="240" w:lineRule="auto" w:before="101" w:after="0"/>
            <w:ind w:left="504" w:right="0" w:hanging="402"/>
            <w:jc w:val="left"/>
          </w:pPr>
          <w:hyperlink w:history="true" w:anchor="_bookmark4">
            <w:r>
              <w:rPr/>
              <w:t>Concreto</w:t>
            </w:r>
            <w:r>
              <w:rPr>
                <w:spacing w:val="-3"/>
              </w:rPr>
              <w:t> </w:t>
            </w:r>
            <w:r>
              <w:rPr/>
              <w:t>Polimérico</w:t>
              <w:tab/>
              <w:t>12</w:t>
            </w:r>
          </w:hyperlink>
        </w:p>
        <w:p>
          <w:pPr>
            <w:pStyle w:val="TOC2"/>
            <w:numPr>
              <w:ilvl w:val="2"/>
              <w:numId w:val="1"/>
            </w:numPr>
            <w:tabs>
              <w:tab w:pos="944" w:val="left" w:leader="none"/>
              <w:tab w:pos="8933" w:val="right" w:leader="dot"/>
            </w:tabs>
            <w:spacing w:line="240" w:lineRule="auto" w:before="101" w:after="0"/>
            <w:ind w:left="943" w:right="0" w:hanging="601"/>
            <w:jc w:val="left"/>
          </w:pPr>
          <w:hyperlink w:history="true" w:anchor="_bookmark5">
            <w:r>
              <w:rPr/>
              <w:t>Resina</w:t>
            </w:r>
            <w:r>
              <w:rPr>
                <w:spacing w:val="-2"/>
              </w:rPr>
              <w:t> </w:t>
            </w:r>
            <w:r>
              <w:rPr/>
              <w:t>poliéster</w:t>
              <w:tab/>
              <w:t>13</w:t>
            </w:r>
          </w:hyperlink>
        </w:p>
        <w:p>
          <w:pPr>
            <w:pStyle w:val="TOC1"/>
            <w:numPr>
              <w:ilvl w:val="1"/>
              <w:numId w:val="1"/>
            </w:numPr>
            <w:tabs>
              <w:tab w:pos="505" w:val="left" w:leader="none"/>
              <w:tab w:pos="8933" w:val="right" w:leader="dot"/>
            </w:tabs>
            <w:spacing w:line="240" w:lineRule="auto" w:before="98" w:after="0"/>
            <w:ind w:left="504" w:right="0" w:hanging="402"/>
            <w:jc w:val="left"/>
          </w:pPr>
          <w:hyperlink w:history="true" w:anchor="_bookmark7">
            <w:r>
              <w:rPr/>
              <w:t>Concreto reforzado</w:t>
            </w:r>
            <w:r>
              <w:rPr>
                <w:spacing w:val="-5"/>
              </w:rPr>
              <w:t> </w:t>
            </w:r>
            <w:r>
              <w:rPr/>
              <w:t>con</w:t>
            </w:r>
            <w:r>
              <w:rPr>
                <w:spacing w:val="-3"/>
              </w:rPr>
              <w:t> </w:t>
            </w:r>
            <w:r>
              <w:rPr/>
              <w:t>fibras</w:t>
              <w:tab/>
              <w:t>15</w:t>
            </w:r>
          </w:hyperlink>
        </w:p>
        <w:p>
          <w:pPr>
            <w:pStyle w:val="TOC1"/>
            <w:numPr>
              <w:ilvl w:val="1"/>
              <w:numId w:val="1"/>
            </w:numPr>
            <w:tabs>
              <w:tab w:pos="505" w:val="left" w:leader="none"/>
              <w:tab w:pos="8933" w:val="right" w:leader="dot"/>
            </w:tabs>
            <w:spacing w:line="240" w:lineRule="auto" w:before="101" w:after="0"/>
            <w:ind w:left="504" w:right="0" w:hanging="402"/>
            <w:jc w:val="left"/>
          </w:pPr>
          <w:hyperlink w:history="true" w:anchor="_bookmark8">
            <w:r>
              <w:rPr/>
              <w:t>Concreto Ecológico:</w:t>
            </w:r>
            <w:r>
              <w:rPr>
                <w:spacing w:val="-17"/>
              </w:rPr>
              <w:t> </w:t>
            </w:r>
            <w:r>
              <w:rPr/>
              <w:t>Agregados</w:t>
            </w:r>
            <w:r>
              <w:rPr>
                <w:spacing w:val="-1"/>
              </w:rPr>
              <w:t> </w:t>
            </w:r>
            <w:r>
              <w:rPr/>
              <w:t>reciclados</w:t>
              <w:tab/>
              <w:t>17</w:t>
            </w:r>
          </w:hyperlink>
        </w:p>
        <w:p>
          <w:pPr>
            <w:pStyle w:val="TOC2"/>
            <w:numPr>
              <w:ilvl w:val="2"/>
              <w:numId w:val="1"/>
            </w:numPr>
            <w:tabs>
              <w:tab w:pos="944" w:val="left" w:leader="none"/>
              <w:tab w:pos="8933" w:val="right" w:leader="dot"/>
            </w:tabs>
            <w:spacing w:line="240" w:lineRule="auto" w:before="101" w:after="0"/>
            <w:ind w:left="943" w:right="0" w:hanging="601"/>
            <w:jc w:val="left"/>
          </w:pPr>
          <w:hyperlink w:history="true" w:anchor="_bookmark9">
            <w:r>
              <w:rPr/>
              <w:t>Llantas y su reuso</w:t>
            </w:r>
            <w:r>
              <w:rPr>
                <w:spacing w:val="-5"/>
              </w:rPr>
              <w:t> </w:t>
            </w:r>
            <w:r>
              <w:rPr/>
              <w:t>en</w:t>
            </w:r>
            <w:r>
              <w:rPr>
                <w:spacing w:val="-3"/>
              </w:rPr>
              <w:t> </w:t>
            </w:r>
            <w:r>
              <w:rPr/>
              <w:t>concreto</w:t>
              <w:tab/>
              <w:t>18</w:t>
            </w:r>
          </w:hyperlink>
        </w:p>
        <w:p>
          <w:pPr>
            <w:pStyle w:val="TOC1"/>
            <w:numPr>
              <w:ilvl w:val="1"/>
              <w:numId w:val="1"/>
            </w:numPr>
            <w:tabs>
              <w:tab w:pos="505" w:val="left" w:leader="none"/>
              <w:tab w:pos="8933" w:val="right" w:leader="dot"/>
            </w:tabs>
            <w:spacing w:line="240" w:lineRule="auto" w:before="98" w:after="0"/>
            <w:ind w:left="504" w:right="0" w:hanging="402"/>
            <w:jc w:val="left"/>
          </w:pPr>
          <w:hyperlink w:history="true" w:anchor="_bookmark12">
            <w:r>
              <w:rPr/>
              <w:t>Radiación</w:t>
            </w:r>
            <w:r>
              <w:rPr>
                <w:spacing w:val="-3"/>
              </w:rPr>
              <w:t> </w:t>
            </w:r>
            <w:r>
              <w:rPr/>
              <w:t>gamma</w:t>
              <w:tab/>
              <w:t>21</w:t>
            </w:r>
          </w:hyperlink>
        </w:p>
        <w:p>
          <w:pPr>
            <w:pStyle w:val="TOC2"/>
            <w:numPr>
              <w:ilvl w:val="2"/>
              <w:numId w:val="1"/>
            </w:numPr>
            <w:tabs>
              <w:tab w:pos="944" w:val="left" w:leader="none"/>
              <w:tab w:pos="8933" w:val="right" w:leader="dot"/>
            </w:tabs>
            <w:spacing w:line="240" w:lineRule="auto" w:before="101" w:after="0"/>
            <w:ind w:left="943" w:right="0" w:hanging="601"/>
            <w:jc w:val="left"/>
          </w:pPr>
          <w:hyperlink w:history="true" w:anchor="_bookmark13">
            <w:r>
              <w:rPr/>
              <w:t>Efecto de la radiación gamma en polímeros y en</w:t>
            </w:r>
            <w:r>
              <w:rPr>
                <w:spacing w:val="-10"/>
              </w:rPr>
              <w:t> </w:t>
            </w:r>
            <w:r>
              <w:rPr/>
              <w:t>concreto</w:t>
            </w:r>
            <w:r>
              <w:rPr>
                <w:spacing w:val="-4"/>
              </w:rPr>
              <w:t> </w:t>
            </w:r>
            <w:r>
              <w:rPr/>
              <w:t>polimérico</w:t>
              <w:tab/>
              <w:t>22</w:t>
            </w:r>
          </w:hyperlink>
        </w:p>
        <w:p>
          <w:pPr>
            <w:pStyle w:val="TOC1"/>
            <w:tabs>
              <w:tab w:pos="8933" w:val="right" w:leader="dot"/>
            </w:tabs>
            <w:ind w:left="102" w:firstLine="0"/>
          </w:pPr>
          <w:hyperlink w:history="true" w:anchor="_bookmark15">
            <w:r>
              <w:rPr/>
              <w:t>CAPÍTULO 2:</w:t>
            </w:r>
            <w:r>
              <w:rPr>
                <w:spacing w:val="-1"/>
              </w:rPr>
              <w:t> </w:t>
            </w:r>
            <w:r>
              <w:rPr/>
              <w:t>DESARROLLO</w:t>
            </w:r>
            <w:r>
              <w:rPr>
                <w:spacing w:val="-1"/>
              </w:rPr>
              <w:t> </w:t>
            </w:r>
            <w:r>
              <w:rPr>
                <w:spacing w:val="-2"/>
              </w:rPr>
              <w:t>EXPERIMENTAL</w:t>
              <w:tab/>
            </w:r>
            <w:r>
              <w:rPr/>
              <w:t>26</w:t>
            </w:r>
          </w:hyperlink>
        </w:p>
        <w:p>
          <w:pPr>
            <w:pStyle w:val="TOC1"/>
            <w:numPr>
              <w:ilvl w:val="1"/>
              <w:numId w:val="2"/>
            </w:numPr>
            <w:tabs>
              <w:tab w:pos="505" w:val="left" w:leader="none"/>
              <w:tab w:pos="8933" w:val="right" w:leader="dot"/>
            </w:tabs>
            <w:spacing w:line="240" w:lineRule="auto" w:before="98" w:after="0"/>
            <w:ind w:left="504" w:right="0" w:hanging="402"/>
            <w:jc w:val="left"/>
          </w:pPr>
          <w:hyperlink w:history="true" w:anchor="_bookmark16">
            <w:r>
              <w:rPr/>
              <w:t>Materiales</w:t>
              <w:tab/>
              <w:t>26</w:t>
            </w:r>
          </w:hyperlink>
        </w:p>
        <w:p>
          <w:pPr>
            <w:pStyle w:val="TOC2"/>
            <w:numPr>
              <w:ilvl w:val="2"/>
              <w:numId w:val="2"/>
            </w:numPr>
            <w:tabs>
              <w:tab w:pos="944" w:val="left" w:leader="none"/>
              <w:tab w:pos="8933" w:val="right" w:leader="dot"/>
            </w:tabs>
            <w:spacing w:line="240" w:lineRule="auto" w:before="101" w:after="0"/>
            <w:ind w:left="943" w:right="0" w:hanging="601"/>
            <w:jc w:val="left"/>
          </w:pPr>
          <w:hyperlink w:history="true" w:anchor="_bookmark17">
            <w:r>
              <w:rPr/>
              <w:t>Resina</w:t>
            </w:r>
            <w:r>
              <w:rPr>
                <w:spacing w:val="-2"/>
              </w:rPr>
              <w:t> </w:t>
            </w:r>
            <w:r>
              <w:rPr/>
              <w:t>Poliéster</w:t>
              <w:tab/>
              <w:t>26</w:t>
            </w:r>
          </w:hyperlink>
        </w:p>
        <w:p>
          <w:pPr>
            <w:pStyle w:val="TOC2"/>
            <w:numPr>
              <w:ilvl w:val="2"/>
              <w:numId w:val="2"/>
            </w:numPr>
            <w:tabs>
              <w:tab w:pos="930" w:val="left" w:leader="none"/>
              <w:tab w:pos="8933" w:val="right" w:leader="dot"/>
            </w:tabs>
            <w:spacing w:line="240" w:lineRule="auto" w:before="101" w:after="0"/>
            <w:ind w:left="929" w:right="0" w:hanging="587"/>
            <w:jc w:val="left"/>
          </w:pPr>
          <w:hyperlink w:history="true" w:anchor="_bookmark19">
            <w:r>
              <w:rPr/>
              <w:t>Arena</w:t>
            </w:r>
            <w:r>
              <w:rPr>
                <w:spacing w:val="-3"/>
              </w:rPr>
              <w:t> </w:t>
            </w:r>
            <w:r>
              <w:rPr/>
              <w:t>sílice</w:t>
              <w:tab/>
              <w:t>26</w:t>
            </w:r>
          </w:hyperlink>
        </w:p>
        <w:p>
          <w:pPr>
            <w:pStyle w:val="TOC2"/>
            <w:numPr>
              <w:ilvl w:val="2"/>
              <w:numId w:val="2"/>
            </w:numPr>
            <w:tabs>
              <w:tab w:pos="944" w:val="left" w:leader="none"/>
              <w:tab w:pos="8933" w:val="right" w:leader="dot"/>
            </w:tabs>
            <w:spacing w:line="240" w:lineRule="auto" w:before="98" w:after="0"/>
            <w:ind w:left="943" w:right="0" w:hanging="601"/>
            <w:jc w:val="left"/>
          </w:pPr>
          <w:hyperlink w:history="true" w:anchor="_bookmark22">
            <w:r>
              <w:rPr/>
              <w:t>Fibras recicladas</w:t>
            </w:r>
            <w:r>
              <w:rPr>
                <w:spacing w:val="-4"/>
              </w:rPr>
              <w:t> </w:t>
            </w:r>
            <w:r>
              <w:rPr/>
              <w:t>de</w:t>
            </w:r>
            <w:r>
              <w:rPr>
                <w:spacing w:val="-1"/>
              </w:rPr>
              <w:t> </w:t>
            </w:r>
            <w:r>
              <w:rPr/>
              <w:t>llanta</w:t>
              <w:tab/>
              <w:t>27</w:t>
            </w:r>
          </w:hyperlink>
        </w:p>
        <w:p>
          <w:pPr>
            <w:pStyle w:val="TOC1"/>
            <w:numPr>
              <w:ilvl w:val="1"/>
              <w:numId w:val="2"/>
            </w:numPr>
            <w:tabs>
              <w:tab w:pos="505" w:val="left" w:leader="none"/>
              <w:tab w:pos="8933" w:val="right" w:leader="dot"/>
            </w:tabs>
            <w:spacing w:line="240" w:lineRule="auto" w:before="101" w:after="0"/>
            <w:ind w:left="504" w:right="0" w:hanging="402"/>
            <w:jc w:val="left"/>
          </w:pPr>
          <w:hyperlink w:history="true" w:anchor="_bookmark28">
            <w:r>
              <w:rPr/>
              <w:t>Procedimiento Experimental</w:t>
              <w:tab/>
              <w:t>30</w:t>
            </w:r>
          </w:hyperlink>
        </w:p>
        <w:p>
          <w:pPr>
            <w:pStyle w:val="TOC2"/>
            <w:numPr>
              <w:ilvl w:val="2"/>
              <w:numId w:val="2"/>
            </w:numPr>
            <w:tabs>
              <w:tab w:pos="944" w:val="left" w:leader="none"/>
              <w:tab w:pos="8933" w:val="right" w:leader="dot"/>
            </w:tabs>
            <w:spacing w:line="240" w:lineRule="auto" w:before="101" w:after="0"/>
            <w:ind w:left="943" w:right="0" w:hanging="601"/>
            <w:jc w:val="left"/>
          </w:pPr>
          <w:hyperlink w:history="true" w:anchor="_bookmark30">
            <w:r>
              <w:rPr/>
              <w:t>Elaboración del</w:t>
            </w:r>
            <w:r>
              <w:rPr>
                <w:spacing w:val="-1"/>
              </w:rPr>
              <w:t> </w:t>
            </w:r>
            <w:r>
              <w:rPr/>
              <w:t>concreto</w:t>
            </w:r>
            <w:r>
              <w:rPr>
                <w:spacing w:val="-3"/>
              </w:rPr>
              <w:t> </w:t>
            </w:r>
            <w:r>
              <w:rPr/>
              <w:t>polimérico</w:t>
              <w:tab/>
              <w:t>31</w:t>
            </w:r>
          </w:hyperlink>
        </w:p>
        <w:p>
          <w:pPr>
            <w:pStyle w:val="TOC2"/>
            <w:numPr>
              <w:ilvl w:val="2"/>
              <w:numId w:val="2"/>
            </w:numPr>
            <w:tabs>
              <w:tab w:pos="944" w:val="left" w:leader="none"/>
              <w:tab w:pos="8933" w:val="right" w:leader="dot"/>
            </w:tabs>
            <w:spacing w:line="240" w:lineRule="auto" w:before="98" w:after="0"/>
            <w:ind w:left="943" w:right="0" w:hanging="601"/>
            <w:jc w:val="left"/>
          </w:pPr>
          <w:hyperlink w:history="true" w:anchor="_bookmark31">
            <w:r>
              <w:rPr/>
              <w:t>Radiación Gamma de los concretos polimérico y las</w:t>
            </w:r>
            <w:r>
              <w:rPr>
                <w:spacing w:val="-16"/>
              </w:rPr>
              <w:t> </w:t>
            </w:r>
            <w:r>
              <w:rPr/>
              <w:t>fibras</w:t>
            </w:r>
            <w:r>
              <w:rPr>
                <w:spacing w:val="-1"/>
              </w:rPr>
              <w:t> </w:t>
            </w:r>
            <w:r>
              <w:rPr/>
              <w:t>recicladas</w:t>
              <w:tab/>
              <w:t>32</w:t>
            </w:r>
          </w:hyperlink>
        </w:p>
        <w:p>
          <w:pPr>
            <w:pStyle w:val="TOC1"/>
            <w:numPr>
              <w:ilvl w:val="1"/>
              <w:numId w:val="3"/>
            </w:numPr>
            <w:tabs>
              <w:tab w:pos="572" w:val="left" w:leader="none"/>
              <w:tab w:pos="8933" w:val="right" w:leader="dot"/>
            </w:tabs>
            <w:spacing w:line="240" w:lineRule="auto" w:before="101" w:after="0"/>
            <w:ind w:left="571" w:right="0" w:hanging="469"/>
            <w:jc w:val="left"/>
          </w:pPr>
          <w:hyperlink w:history="true" w:anchor="_bookmark32">
            <w:r>
              <w:rPr/>
              <w:t>Caracterización del concreto polimérico y las</w:t>
            </w:r>
            <w:r>
              <w:rPr>
                <w:spacing w:val="-7"/>
              </w:rPr>
              <w:t> </w:t>
            </w:r>
            <w:r>
              <w:rPr/>
              <w:t>fibras</w:t>
            </w:r>
            <w:r>
              <w:rPr>
                <w:spacing w:val="-1"/>
              </w:rPr>
              <w:t> </w:t>
            </w:r>
            <w:r>
              <w:rPr/>
              <w:t>recicladas</w:t>
              <w:tab/>
              <w:t>32</w:t>
            </w:r>
          </w:hyperlink>
        </w:p>
        <w:p>
          <w:pPr>
            <w:pStyle w:val="TOC2"/>
            <w:numPr>
              <w:ilvl w:val="2"/>
              <w:numId w:val="3"/>
            </w:numPr>
            <w:tabs>
              <w:tab w:pos="944" w:val="left" w:leader="none"/>
              <w:tab w:pos="8933" w:val="right" w:leader="dot"/>
            </w:tabs>
            <w:spacing w:line="240" w:lineRule="auto" w:before="101" w:after="0"/>
            <w:ind w:left="943" w:right="0" w:hanging="601"/>
            <w:jc w:val="left"/>
          </w:pPr>
          <w:hyperlink w:history="true" w:anchor="_bookmark33">
            <w:r>
              <w:rPr/>
              <w:t>Microscopía Electrónica de</w:t>
            </w:r>
            <w:r>
              <w:rPr>
                <w:spacing w:val="-1"/>
              </w:rPr>
              <w:t> </w:t>
            </w:r>
            <w:r>
              <w:rPr/>
              <w:t>Barrido (SEM)</w:t>
              <w:tab/>
              <w:t>32</w:t>
            </w:r>
          </w:hyperlink>
        </w:p>
        <w:p>
          <w:pPr>
            <w:pStyle w:val="TOC2"/>
            <w:numPr>
              <w:ilvl w:val="2"/>
              <w:numId w:val="3"/>
            </w:numPr>
            <w:tabs>
              <w:tab w:pos="944" w:val="left" w:leader="none"/>
              <w:tab w:pos="8933" w:val="right" w:leader="dot"/>
            </w:tabs>
            <w:spacing w:line="240" w:lineRule="auto" w:before="98" w:after="0"/>
            <w:ind w:left="943" w:right="0" w:hanging="601"/>
            <w:jc w:val="left"/>
          </w:pPr>
          <w:hyperlink w:history="true" w:anchor="_bookmark34">
            <w:r>
              <w:rPr/>
              <w:t>Espectroscopía</w:t>
            </w:r>
            <w:r>
              <w:rPr>
                <w:spacing w:val="-1"/>
              </w:rPr>
              <w:t> </w:t>
            </w:r>
            <w:r>
              <w:rPr/>
              <w:t>Infrarroja</w:t>
            </w:r>
            <w:r>
              <w:rPr>
                <w:spacing w:val="-1"/>
              </w:rPr>
              <w:t> </w:t>
            </w:r>
            <w:r>
              <w:rPr/>
              <w:t>(FTIR)</w:t>
              <w:tab/>
              <w:t>32</w:t>
            </w:r>
          </w:hyperlink>
        </w:p>
        <w:p>
          <w:pPr>
            <w:pStyle w:val="TOC2"/>
            <w:numPr>
              <w:ilvl w:val="2"/>
              <w:numId w:val="3"/>
            </w:numPr>
            <w:tabs>
              <w:tab w:pos="944" w:val="left" w:leader="none"/>
              <w:tab w:pos="8933" w:val="right" w:leader="dot"/>
            </w:tabs>
            <w:spacing w:line="240" w:lineRule="auto" w:before="101" w:after="0"/>
            <w:ind w:left="943" w:right="0" w:hanging="601"/>
            <w:jc w:val="left"/>
          </w:pPr>
          <w:hyperlink w:history="true" w:anchor="_bookmark35">
            <w:r>
              <w:rPr/>
              <w:t>Difracción de rayos</w:t>
            </w:r>
            <w:r>
              <w:rPr>
                <w:spacing w:val="1"/>
              </w:rPr>
              <w:t> </w:t>
            </w:r>
            <w:r>
              <w:rPr/>
              <w:t>X</w:t>
            </w:r>
            <w:r>
              <w:rPr>
                <w:spacing w:val="-3"/>
              </w:rPr>
              <w:t> </w:t>
            </w:r>
            <w:r>
              <w:rPr/>
              <w:t>(XRD)</w:t>
              <w:tab/>
              <w:t>32</w:t>
            </w:r>
          </w:hyperlink>
        </w:p>
        <w:p>
          <w:pPr>
            <w:pStyle w:val="TOC2"/>
            <w:numPr>
              <w:ilvl w:val="2"/>
              <w:numId w:val="3"/>
            </w:numPr>
            <w:tabs>
              <w:tab w:pos="944" w:val="left" w:leader="none"/>
              <w:tab w:pos="8933" w:val="right" w:leader="dot"/>
            </w:tabs>
            <w:spacing w:line="240" w:lineRule="auto" w:before="101" w:after="0"/>
            <w:ind w:left="943" w:right="0" w:hanging="601"/>
            <w:jc w:val="left"/>
          </w:pPr>
          <w:hyperlink w:history="true" w:anchor="_bookmark36">
            <w:r>
              <w:rPr/>
              <w:t>Prueba mecánica de resistencia a</w:t>
            </w:r>
            <w:r>
              <w:rPr>
                <w:spacing w:val="-5"/>
              </w:rPr>
              <w:t> </w:t>
            </w:r>
            <w:r>
              <w:rPr/>
              <w:t>la</w:t>
            </w:r>
            <w:r>
              <w:rPr>
                <w:spacing w:val="-3"/>
              </w:rPr>
              <w:t> </w:t>
            </w:r>
            <w:r>
              <w:rPr/>
              <w:t>flexión</w:t>
              <w:tab/>
              <w:t>33</w:t>
            </w:r>
          </w:hyperlink>
        </w:p>
        <w:p>
          <w:pPr>
            <w:pStyle w:val="TOC2"/>
            <w:numPr>
              <w:ilvl w:val="2"/>
              <w:numId w:val="3"/>
            </w:numPr>
            <w:tabs>
              <w:tab w:pos="944" w:val="left" w:leader="none"/>
              <w:tab w:pos="8933" w:val="right" w:leader="dot"/>
            </w:tabs>
            <w:spacing w:line="240" w:lineRule="auto" w:before="98" w:after="0"/>
            <w:ind w:left="943" w:right="0" w:hanging="601"/>
            <w:jc w:val="left"/>
          </w:pPr>
          <w:hyperlink w:history="true" w:anchor="_bookmark38">
            <w:r>
              <w:rPr/>
              <w:t>Prueba mecánica de resistencia a</w:t>
            </w:r>
            <w:r>
              <w:rPr>
                <w:spacing w:val="-5"/>
              </w:rPr>
              <w:t> </w:t>
            </w:r>
            <w:r>
              <w:rPr/>
              <w:t>la</w:t>
            </w:r>
            <w:r>
              <w:rPr>
                <w:spacing w:val="-1"/>
              </w:rPr>
              <w:t> </w:t>
            </w:r>
            <w:r>
              <w:rPr/>
              <w:t>compresión</w:t>
              <w:tab/>
              <w:t>33</w:t>
            </w:r>
          </w:hyperlink>
        </w:p>
        <w:p>
          <w:pPr>
            <w:pStyle w:val="TOC1"/>
            <w:tabs>
              <w:tab w:pos="8933" w:val="right" w:leader="dot"/>
            </w:tabs>
            <w:ind w:left="102" w:firstLine="0"/>
          </w:pPr>
          <w:hyperlink w:history="true" w:anchor="_bookmark40">
            <w:r>
              <w:rPr/>
              <w:t>CAPÍTULO 3: ANÁLISIS</w:t>
            </w:r>
            <w:r>
              <w:rPr>
                <w:spacing w:val="-14"/>
              </w:rPr>
              <w:t> </w:t>
            </w:r>
            <w:r>
              <w:rPr/>
              <w:t>DE</w:t>
            </w:r>
            <w:r>
              <w:rPr>
                <w:spacing w:val="-1"/>
              </w:rPr>
              <w:t> </w:t>
            </w:r>
            <w:r>
              <w:rPr>
                <w:spacing w:val="-4"/>
              </w:rPr>
              <w:t>RESULTADOS</w:t>
              <w:tab/>
            </w:r>
            <w:r>
              <w:rPr/>
              <w:t>34</w:t>
            </w:r>
          </w:hyperlink>
        </w:p>
        <w:p>
          <w:pPr>
            <w:pStyle w:val="TOC1"/>
            <w:numPr>
              <w:ilvl w:val="1"/>
              <w:numId w:val="4"/>
            </w:numPr>
            <w:tabs>
              <w:tab w:pos="505" w:val="left" w:leader="none"/>
              <w:tab w:pos="8933" w:val="right" w:leader="dot"/>
            </w:tabs>
            <w:spacing w:line="240" w:lineRule="auto" w:before="101" w:after="0"/>
            <w:ind w:left="504" w:right="0" w:hanging="402"/>
            <w:jc w:val="left"/>
          </w:pPr>
          <w:hyperlink w:history="true" w:anchor="_bookmark41">
            <w:r>
              <w:rPr/>
              <w:t>Propiedades mecánicas del</w:t>
            </w:r>
            <w:r>
              <w:rPr>
                <w:spacing w:val="-3"/>
              </w:rPr>
              <w:t> </w:t>
            </w:r>
            <w:r>
              <w:rPr/>
              <w:t>concreto</w:t>
            </w:r>
            <w:r>
              <w:rPr>
                <w:spacing w:val="-2"/>
              </w:rPr>
              <w:t> </w:t>
            </w:r>
            <w:r>
              <w:rPr/>
              <w:t>polimérico</w:t>
              <w:tab/>
              <w:t>34</w:t>
            </w:r>
          </w:hyperlink>
        </w:p>
        <w:p>
          <w:pPr>
            <w:pStyle w:val="TOC3"/>
            <w:numPr>
              <w:ilvl w:val="2"/>
              <w:numId w:val="4"/>
            </w:numPr>
            <w:tabs>
              <w:tab w:pos="944" w:val="left" w:leader="none"/>
              <w:tab w:pos="8933" w:val="right" w:leader="dot"/>
            </w:tabs>
            <w:spacing w:line="240" w:lineRule="auto" w:before="96" w:after="0"/>
            <w:ind w:left="943" w:right="0" w:hanging="601"/>
            <w:jc w:val="left"/>
            <w:rPr>
              <w:i w:val="0"/>
            </w:rPr>
          </w:pPr>
          <w:hyperlink w:history="true" w:anchor="_bookmark42">
            <w:r>
              <w:rPr>
                <w:i/>
              </w:rPr>
              <w:t>Resistencia a</w:t>
            </w:r>
            <w:r>
              <w:rPr>
                <w:i/>
                <w:spacing w:val="-3"/>
              </w:rPr>
              <w:t> </w:t>
            </w:r>
            <w:r>
              <w:rPr>
                <w:i/>
              </w:rPr>
              <w:t>la</w:t>
            </w:r>
            <w:r>
              <w:rPr>
                <w:i/>
                <w:spacing w:val="-3"/>
              </w:rPr>
              <w:t> </w:t>
            </w:r>
            <w:r>
              <w:rPr>
                <w:i/>
              </w:rPr>
              <w:t>compresión</w:t>
            </w:r>
            <w:r>
              <w:rPr>
                <w:i w:val="0"/>
              </w:rPr>
              <w:tab/>
              <w:t>34</w:t>
            </w:r>
          </w:hyperlink>
        </w:p>
        <w:p>
          <w:pPr>
            <w:pStyle w:val="TOC2"/>
            <w:numPr>
              <w:ilvl w:val="2"/>
              <w:numId w:val="4"/>
            </w:numPr>
            <w:tabs>
              <w:tab w:pos="944" w:val="left" w:leader="none"/>
              <w:tab w:pos="8933" w:val="right" w:leader="dot"/>
            </w:tabs>
            <w:spacing w:line="240" w:lineRule="auto" w:before="103" w:after="0"/>
            <w:ind w:left="943" w:right="0" w:hanging="601"/>
            <w:jc w:val="left"/>
          </w:pPr>
          <w:hyperlink w:history="true" w:anchor="_bookmark44">
            <w:r>
              <w:rPr/>
              <w:t>Resistencia a</w:t>
            </w:r>
            <w:r>
              <w:rPr>
                <w:spacing w:val="-3"/>
              </w:rPr>
              <w:t> </w:t>
            </w:r>
            <w:r>
              <w:rPr/>
              <w:t>la</w:t>
            </w:r>
            <w:r>
              <w:rPr>
                <w:spacing w:val="-3"/>
              </w:rPr>
              <w:t> </w:t>
            </w:r>
            <w:r>
              <w:rPr/>
              <w:t>Flexión</w:t>
              <w:tab/>
              <w:t>37</w:t>
            </w:r>
          </w:hyperlink>
        </w:p>
        <w:p>
          <w:pPr>
            <w:pStyle w:val="TOC2"/>
            <w:numPr>
              <w:ilvl w:val="2"/>
              <w:numId w:val="4"/>
            </w:numPr>
            <w:tabs>
              <w:tab w:pos="944" w:val="left" w:leader="none"/>
              <w:tab w:pos="8933" w:val="right" w:leader="dot"/>
            </w:tabs>
            <w:spacing w:line="240" w:lineRule="auto" w:before="51" w:after="0"/>
            <w:ind w:left="943" w:right="0" w:hanging="601"/>
            <w:jc w:val="left"/>
          </w:pPr>
          <w:hyperlink w:history="true" w:anchor="_bookmark46">
            <w:r>
              <w:rPr/>
              <w:t>Módulo</w:t>
            </w:r>
            <w:r>
              <w:rPr>
                <w:spacing w:val="-1"/>
              </w:rPr>
              <w:t> </w:t>
            </w:r>
            <w:r>
              <w:rPr/>
              <w:t>de</w:t>
            </w:r>
            <w:r>
              <w:rPr>
                <w:spacing w:val="-5"/>
              </w:rPr>
              <w:t> Young</w:t>
              <w:tab/>
            </w:r>
            <w:r>
              <w:rPr/>
              <w:t>39</w:t>
            </w:r>
          </w:hyperlink>
        </w:p>
        <w:p>
          <w:pPr>
            <w:pStyle w:val="TOC2"/>
            <w:numPr>
              <w:ilvl w:val="2"/>
              <w:numId w:val="4"/>
            </w:numPr>
            <w:tabs>
              <w:tab w:pos="944" w:val="left" w:leader="none"/>
              <w:tab w:pos="8933" w:val="right" w:leader="dot"/>
            </w:tabs>
            <w:spacing w:line="240" w:lineRule="auto" w:before="101" w:after="0"/>
            <w:ind w:left="943" w:right="0" w:hanging="601"/>
            <w:jc w:val="left"/>
          </w:pPr>
          <w:hyperlink w:history="true" w:anchor="_bookmark48">
            <w:r>
              <w:rPr/>
              <w:t>Deformación en el punto de cedencia</w:t>
            </w:r>
            <w:r>
              <w:rPr>
                <w:spacing w:val="-8"/>
              </w:rPr>
              <w:t> </w:t>
            </w:r>
            <w:r>
              <w:rPr/>
              <w:t>en</w:t>
            </w:r>
            <w:r>
              <w:rPr>
                <w:spacing w:val="-1"/>
              </w:rPr>
              <w:t> </w:t>
            </w:r>
            <w:r>
              <w:rPr/>
              <w:t>compresión</w:t>
              <w:tab/>
              <w:t>41</w:t>
            </w:r>
          </w:hyperlink>
        </w:p>
        <w:p>
          <w:pPr>
            <w:pStyle w:val="TOC2"/>
            <w:numPr>
              <w:ilvl w:val="2"/>
              <w:numId w:val="4"/>
            </w:numPr>
            <w:tabs>
              <w:tab w:pos="944" w:val="left" w:leader="none"/>
              <w:tab w:pos="8933" w:val="right" w:leader="dot"/>
            </w:tabs>
            <w:spacing w:line="240" w:lineRule="auto" w:before="101" w:after="0"/>
            <w:ind w:left="943" w:right="0" w:hanging="601"/>
            <w:jc w:val="left"/>
          </w:pPr>
          <w:hyperlink w:history="true" w:anchor="_bookmark50">
            <w:r>
              <w:rPr/>
              <w:t>Deformación en el punto de cedencia</w:t>
            </w:r>
            <w:r>
              <w:rPr>
                <w:spacing w:val="-7"/>
              </w:rPr>
              <w:t> </w:t>
            </w:r>
            <w:r>
              <w:rPr/>
              <w:t>en</w:t>
            </w:r>
            <w:r>
              <w:rPr>
                <w:spacing w:val="-3"/>
              </w:rPr>
              <w:t> </w:t>
            </w:r>
            <w:r>
              <w:rPr/>
              <w:t>flexión</w:t>
              <w:tab/>
              <w:t>43</w:t>
            </w:r>
          </w:hyperlink>
        </w:p>
        <w:p>
          <w:pPr>
            <w:pStyle w:val="TOC1"/>
            <w:numPr>
              <w:ilvl w:val="1"/>
              <w:numId w:val="4"/>
            </w:numPr>
            <w:tabs>
              <w:tab w:pos="505" w:val="left" w:leader="none"/>
              <w:tab w:pos="8933" w:val="right" w:leader="dot"/>
            </w:tabs>
            <w:spacing w:line="240" w:lineRule="auto" w:before="98" w:after="0"/>
            <w:ind w:left="504" w:right="0" w:hanging="402"/>
            <w:jc w:val="left"/>
          </w:pPr>
          <w:hyperlink w:history="true" w:anchor="_bookmark52">
            <w:r>
              <w:rPr/>
              <w:t>Superficies de las fibras sin irradiar</w:t>
            </w:r>
            <w:r>
              <w:rPr>
                <w:spacing w:val="-6"/>
              </w:rPr>
              <w:t> </w:t>
            </w:r>
            <w:r>
              <w:rPr/>
              <w:t>e irradiadas</w:t>
              <w:tab/>
              <w:t>44</w:t>
            </w:r>
          </w:hyperlink>
        </w:p>
        <w:p>
          <w:pPr>
            <w:pStyle w:val="TOC1"/>
            <w:numPr>
              <w:ilvl w:val="1"/>
              <w:numId w:val="4"/>
            </w:numPr>
            <w:tabs>
              <w:tab w:pos="505" w:val="left" w:leader="none"/>
              <w:tab w:pos="8933" w:val="right" w:leader="dot"/>
            </w:tabs>
            <w:spacing w:line="240" w:lineRule="auto" w:before="101" w:after="0"/>
            <w:ind w:left="504" w:right="0" w:hanging="402"/>
            <w:jc w:val="left"/>
          </w:pPr>
          <w:hyperlink w:history="true" w:anchor="_bookmark56">
            <w:r>
              <w:rPr/>
              <w:t>Espectrocopía Infrarroja de las fibras sin irradiar</w:t>
            </w:r>
            <w:r>
              <w:rPr>
                <w:spacing w:val="-13"/>
              </w:rPr>
              <w:t> </w:t>
            </w:r>
            <w:r>
              <w:rPr/>
              <w:t>e irradiadas</w:t>
              <w:tab/>
              <w:t>48</w:t>
            </w:r>
          </w:hyperlink>
        </w:p>
        <w:p>
          <w:pPr>
            <w:pStyle w:val="TOC1"/>
            <w:numPr>
              <w:ilvl w:val="1"/>
              <w:numId w:val="4"/>
            </w:numPr>
            <w:tabs>
              <w:tab w:pos="505" w:val="left" w:leader="none"/>
              <w:tab w:pos="8933" w:val="right" w:leader="dot"/>
            </w:tabs>
            <w:spacing w:line="240" w:lineRule="auto" w:before="101" w:after="0"/>
            <w:ind w:left="504" w:right="0" w:hanging="402"/>
            <w:jc w:val="left"/>
          </w:pPr>
          <w:hyperlink w:history="true" w:anchor="_bookmark63">
            <w:r>
              <w:rPr/>
              <w:t>Difracción de Rayos X de las fibras sin irradiar</w:t>
            </w:r>
            <w:r>
              <w:rPr>
                <w:spacing w:val="-8"/>
              </w:rPr>
              <w:t> </w:t>
            </w:r>
            <w:r>
              <w:rPr/>
              <w:t>e irradiadas</w:t>
              <w:tab/>
              <w:t>54</w:t>
            </w:r>
          </w:hyperlink>
        </w:p>
        <w:p>
          <w:pPr>
            <w:pStyle w:val="TOC1"/>
            <w:tabs>
              <w:tab w:pos="8933" w:val="right" w:leader="dot"/>
            </w:tabs>
            <w:spacing w:before="98"/>
            <w:ind w:left="102" w:firstLine="0"/>
          </w:pPr>
          <w:hyperlink w:history="true" w:anchor="_bookmark68">
            <w:r>
              <w:rPr/>
              <w:t>Conclusiones</w:t>
              <w:tab/>
              <w:t>58</w:t>
            </w:r>
          </w:hyperlink>
        </w:p>
        <w:p>
          <w:pPr>
            <w:pStyle w:val="TOC1"/>
            <w:tabs>
              <w:tab w:pos="8933" w:val="right" w:leader="dot"/>
            </w:tabs>
            <w:ind w:left="102" w:firstLine="0"/>
          </w:pPr>
          <w:hyperlink w:history="true" w:anchor="_bookmark69">
            <w:r>
              <w:rPr/>
              <w:t>Referencias</w:t>
              <w:tab/>
              <w:t>60</w:t>
            </w:r>
          </w:hyperlink>
        </w:p>
        <w:p>
          <w:pPr>
            <w:pStyle w:val="TOC1"/>
            <w:tabs>
              <w:tab w:pos="8933" w:val="right" w:leader="dot"/>
            </w:tabs>
            <w:ind w:left="102" w:firstLine="0"/>
          </w:pPr>
          <w:hyperlink w:history="true" w:anchor="_bookmark70">
            <w:r>
              <w:rPr/>
              <w:t>Artículo en revista indizada de</w:t>
            </w:r>
            <w:r>
              <w:rPr>
                <w:spacing w:val="-2"/>
              </w:rPr>
              <w:t> </w:t>
            </w:r>
            <w:r>
              <w:rPr/>
              <w:t>carácter</w:t>
            </w:r>
            <w:r>
              <w:rPr>
                <w:spacing w:val="-1"/>
              </w:rPr>
              <w:t> </w:t>
            </w:r>
            <w:r>
              <w:rPr/>
              <w:t>internacional</w:t>
              <w:tab/>
              <w:t>64</w:t>
            </w:r>
          </w:hyperlink>
        </w:p>
      </w:sdtContent>
    </w:sdt>
    <w:p>
      <w:pPr>
        <w:spacing w:after="0"/>
        <w:sectPr>
          <w:type w:val="continuous"/>
          <w:pgSz w:w="12240" w:h="15840"/>
          <w:pgMar w:top="1360" w:bottom="1417" w:left="1600" w:right="1580"/>
        </w:sectPr>
      </w:pPr>
    </w:p>
    <w:p>
      <w:pPr>
        <w:spacing w:before="51"/>
        <w:ind w:left="3096" w:right="3120" w:firstLine="0"/>
        <w:jc w:val="center"/>
        <w:rPr>
          <w:b/>
          <w:sz w:val="24"/>
        </w:rPr>
      </w:pPr>
      <w:r>
        <w:rPr>
          <w:b/>
          <w:sz w:val="24"/>
        </w:rPr>
        <w:t>RELACIÓN DE TABLAS</w:t>
      </w:r>
    </w:p>
    <w:p>
      <w:pPr>
        <w:pStyle w:val="BodyText"/>
        <w:rPr>
          <w:b/>
        </w:rPr>
      </w:pPr>
    </w:p>
    <w:p>
      <w:pPr>
        <w:pStyle w:val="BodyText"/>
        <w:rPr>
          <w:b/>
        </w:rPr>
      </w:pPr>
    </w:p>
    <w:p>
      <w:pPr>
        <w:pStyle w:val="BodyText"/>
        <w:spacing w:before="2"/>
        <w:rPr>
          <w:b/>
        </w:rPr>
      </w:pPr>
    </w:p>
    <w:p>
      <w:pPr>
        <w:pStyle w:val="BodyText"/>
        <w:tabs>
          <w:tab w:pos="8664" w:val="left" w:leader="dot"/>
        </w:tabs>
        <w:spacing w:before="1"/>
        <w:ind w:left="102"/>
      </w:pPr>
      <w:hyperlink w:history="true" w:anchor="_bookmark6">
        <w:r>
          <w:rPr>
            <w:spacing w:val="-6"/>
          </w:rPr>
          <w:t>Tabla </w:t>
        </w:r>
        <w:r>
          <w:rPr/>
          <w:t>1. Propiedades de la</w:t>
        </w:r>
        <w:r>
          <w:rPr>
            <w:spacing w:val="-4"/>
          </w:rPr>
          <w:t> </w:t>
        </w:r>
        <w:r>
          <w:rPr/>
          <w:t>resina</w:t>
        </w:r>
        <w:r>
          <w:rPr>
            <w:spacing w:val="-1"/>
          </w:rPr>
          <w:t> </w:t>
        </w:r>
        <w:r>
          <w:rPr/>
          <w:t>poliéster</w:t>
          <w:tab/>
          <w:t>14</w:t>
        </w:r>
      </w:hyperlink>
    </w:p>
    <w:p>
      <w:pPr>
        <w:pStyle w:val="BodyText"/>
        <w:tabs>
          <w:tab w:pos="8664" w:val="left" w:leader="dot"/>
        </w:tabs>
        <w:spacing w:before="139"/>
        <w:ind w:left="102"/>
      </w:pPr>
      <w:hyperlink w:history="true" w:anchor="_bookmark10">
        <w:r>
          <w:rPr>
            <w:spacing w:val="-6"/>
          </w:rPr>
          <w:t>Tabla </w:t>
        </w:r>
        <w:r>
          <w:rPr/>
          <w:t>2.Composición típica de</w:t>
        </w:r>
        <w:r>
          <w:rPr>
            <w:spacing w:val="-3"/>
          </w:rPr>
          <w:t> </w:t>
        </w:r>
        <w:r>
          <w:rPr/>
          <w:t>llantas</w:t>
        </w:r>
        <w:r>
          <w:rPr>
            <w:spacing w:val="-2"/>
          </w:rPr>
          <w:t> </w:t>
        </w:r>
        <w:r>
          <w:rPr/>
          <w:t>comerciales.</w:t>
          <w:tab/>
          <w:t>18</w:t>
        </w:r>
      </w:hyperlink>
    </w:p>
    <w:p>
      <w:pPr>
        <w:pStyle w:val="BodyText"/>
        <w:tabs>
          <w:tab w:pos="8664" w:val="left" w:leader="dot"/>
        </w:tabs>
        <w:spacing w:before="137"/>
        <w:ind w:left="102"/>
      </w:pPr>
      <w:hyperlink w:history="true" w:anchor="_bookmark14">
        <w:r>
          <w:rPr>
            <w:spacing w:val="-6"/>
          </w:rPr>
          <w:t>Tabla </w:t>
        </w:r>
        <w:r>
          <w:rPr/>
          <w:t>3.Resistencia a la radiación</w:t>
        </w:r>
        <w:r>
          <w:rPr>
            <w:spacing w:val="-1"/>
          </w:rPr>
          <w:t> </w:t>
        </w:r>
        <w:r>
          <w:rPr/>
          <w:t>de</w:t>
        </w:r>
        <w:r>
          <w:rPr>
            <w:spacing w:val="-1"/>
          </w:rPr>
          <w:t> </w:t>
        </w:r>
        <w:r>
          <w:rPr/>
          <w:t>elastómeros</w:t>
          <w:tab/>
          <w:t>24</w:t>
        </w:r>
      </w:hyperlink>
    </w:p>
    <w:p>
      <w:pPr>
        <w:pStyle w:val="BodyText"/>
        <w:tabs>
          <w:tab w:pos="8664" w:val="left" w:leader="dot"/>
        </w:tabs>
        <w:spacing w:before="139"/>
        <w:ind w:left="102"/>
      </w:pPr>
      <w:hyperlink w:history="true" w:anchor="_bookmark18">
        <w:r>
          <w:rPr>
            <w:spacing w:val="-6"/>
          </w:rPr>
          <w:t>Tabla </w:t>
        </w:r>
        <w:r>
          <w:rPr/>
          <w:t>4. Propiedades de la</w:t>
        </w:r>
        <w:r>
          <w:rPr>
            <w:spacing w:val="-3"/>
          </w:rPr>
          <w:t> </w:t>
        </w:r>
        <w:r>
          <w:rPr/>
          <w:t>resina</w:t>
        </w:r>
        <w:r>
          <w:rPr>
            <w:spacing w:val="-1"/>
          </w:rPr>
          <w:t> </w:t>
        </w:r>
        <w:r>
          <w:rPr/>
          <w:t>poliéster</w:t>
          <w:tab/>
          <w:t>26</w:t>
        </w:r>
      </w:hyperlink>
    </w:p>
    <w:p>
      <w:pPr>
        <w:pStyle w:val="BodyText"/>
        <w:tabs>
          <w:tab w:pos="8664" w:val="left" w:leader="dot"/>
        </w:tabs>
        <w:spacing w:before="137"/>
        <w:ind w:left="102"/>
      </w:pPr>
      <w:hyperlink w:history="true" w:anchor="_bookmark20">
        <w:r>
          <w:rPr>
            <w:spacing w:val="-6"/>
          </w:rPr>
          <w:t>Tabla </w:t>
        </w:r>
        <w:r>
          <w:rPr/>
          <w:t>5. Composición de la arena</w:t>
        </w:r>
        <w:r>
          <w:rPr>
            <w:spacing w:val="-6"/>
          </w:rPr>
          <w:t> </w:t>
        </w:r>
        <w:r>
          <w:rPr/>
          <w:t>sílice</w:t>
        </w:r>
        <w:r>
          <w:rPr>
            <w:spacing w:val="-1"/>
          </w:rPr>
          <w:t> </w:t>
        </w:r>
        <w:r>
          <w:rPr/>
          <w:t>SP55</w:t>
          <w:tab/>
          <w:t>27</w:t>
        </w:r>
      </w:hyperlink>
    </w:p>
    <w:p>
      <w:pPr>
        <w:pStyle w:val="BodyText"/>
        <w:tabs>
          <w:tab w:pos="8664" w:val="left" w:leader="dot"/>
        </w:tabs>
        <w:spacing w:before="139"/>
        <w:ind w:left="102"/>
      </w:pPr>
      <w:hyperlink w:history="true" w:anchor="_bookmark21">
        <w:r>
          <w:rPr>
            <w:spacing w:val="-6"/>
          </w:rPr>
          <w:t>Tabla </w:t>
        </w:r>
        <w:r>
          <w:rPr/>
          <w:t>6.Propiedades físicas de la arena</w:t>
        </w:r>
        <w:r>
          <w:rPr>
            <w:spacing w:val="-9"/>
          </w:rPr>
          <w:t> </w:t>
        </w:r>
        <w:r>
          <w:rPr/>
          <w:t>sílice</w:t>
        </w:r>
        <w:r>
          <w:rPr>
            <w:spacing w:val="-2"/>
          </w:rPr>
          <w:t> </w:t>
        </w:r>
        <w:r>
          <w:rPr/>
          <w:t>SP55</w:t>
          <w:tab/>
          <w:t>27</w:t>
        </w:r>
      </w:hyperlink>
    </w:p>
    <w:p>
      <w:pPr>
        <w:pStyle w:val="BodyText"/>
        <w:tabs>
          <w:tab w:pos="8664" w:val="left" w:leader="dot"/>
        </w:tabs>
        <w:spacing w:before="137"/>
        <w:ind w:left="102"/>
      </w:pPr>
      <w:hyperlink w:history="true" w:anchor="_bookmark23">
        <w:r>
          <w:rPr>
            <w:spacing w:val="-6"/>
          </w:rPr>
          <w:t>Tabla </w:t>
        </w:r>
        <w:r>
          <w:rPr/>
          <w:t>7.Propiedades de las fibras</w:t>
        </w:r>
        <w:r>
          <w:rPr>
            <w:spacing w:val="-5"/>
          </w:rPr>
          <w:t> </w:t>
        </w:r>
        <w:r>
          <w:rPr/>
          <w:t>de</w:t>
        </w:r>
        <w:r>
          <w:rPr>
            <w:spacing w:val="-3"/>
          </w:rPr>
          <w:t> </w:t>
        </w:r>
        <w:r>
          <w:rPr/>
          <w:t>llanta</w:t>
          <w:tab/>
          <w:t>27</w:t>
        </w:r>
      </w:hyperlink>
    </w:p>
    <w:p>
      <w:pPr>
        <w:pStyle w:val="BodyText"/>
        <w:tabs>
          <w:tab w:pos="8664" w:val="left" w:leader="dot"/>
        </w:tabs>
        <w:spacing w:before="139"/>
        <w:ind w:left="102"/>
      </w:pPr>
      <w:hyperlink w:history="true" w:anchor="_bookmark24">
        <w:r>
          <w:rPr>
            <w:spacing w:val="-6"/>
          </w:rPr>
          <w:t>Tabla </w:t>
        </w:r>
        <w:r>
          <w:rPr/>
          <w:t>8.Composición porcentual en volumen del</w:t>
        </w:r>
        <w:r>
          <w:rPr>
            <w:spacing w:val="-9"/>
          </w:rPr>
          <w:t> </w:t>
        </w:r>
        <w:r>
          <w:rPr/>
          <w:t>concreto</w:t>
        </w:r>
        <w:r>
          <w:rPr>
            <w:spacing w:val="-4"/>
          </w:rPr>
          <w:t> </w:t>
        </w:r>
        <w:r>
          <w:rPr/>
          <w:t>polimérico</w:t>
          <w:tab/>
          <w:t>28</w:t>
        </w:r>
      </w:hyperlink>
    </w:p>
    <w:p>
      <w:pPr>
        <w:pStyle w:val="BodyText"/>
        <w:tabs>
          <w:tab w:pos="8664" w:val="left" w:leader="dot"/>
        </w:tabs>
        <w:spacing w:before="137"/>
        <w:ind w:left="102"/>
      </w:pPr>
      <w:hyperlink w:history="true" w:anchor="_bookmark25">
        <w:r>
          <w:rPr>
            <w:spacing w:val="-6"/>
          </w:rPr>
          <w:t>Tabla </w:t>
        </w:r>
        <w:r>
          <w:rPr/>
          <w:t>9.Cantidad de arena en el</w:t>
        </w:r>
        <w:r>
          <w:rPr>
            <w:spacing w:val="-12"/>
          </w:rPr>
          <w:t> </w:t>
        </w:r>
        <w:r>
          <w:rPr/>
          <w:t>concreto</w:t>
        </w:r>
        <w:r>
          <w:rPr>
            <w:spacing w:val="-3"/>
          </w:rPr>
          <w:t> </w:t>
        </w:r>
        <w:r>
          <w:rPr/>
          <w:t>polimérico</w:t>
          <w:tab/>
          <w:t>29</w:t>
        </w:r>
      </w:hyperlink>
    </w:p>
    <w:p>
      <w:pPr>
        <w:pStyle w:val="BodyText"/>
        <w:tabs>
          <w:tab w:pos="8664" w:val="left" w:leader="dot"/>
        </w:tabs>
        <w:spacing w:before="139"/>
        <w:ind w:left="102"/>
      </w:pPr>
      <w:hyperlink w:history="true" w:anchor="_bookmark26">
        <w:r>
          <w:rPr>
            <w:spacing w:val="-6"/>
          </w:rPr>
          <w:t>Tabla </w:t>
        </w:r>
        <w:r>
          <w:rPr/>
          <w:t>10. Composición porcentual en volumen del</w:t>
        </w:r>
        <w:r>
          <w:rPr>
            <w:spacing w:val="-13"/>
          </w:rPr>
          <w:t> </w:t>
        </w:r>
        <w:r>
          <w:rPr/>
          <w:t>concreto</w:t>
        </w:r>
        <w:r>
          <w:rPr>
            <w:spacing w:val="-2"/>
          </w:rPr>
          <w:t> </w:t>
        </w:r>
        <w:r>
          <w:rPr/>
          <w:t>polimérico</w:t>
          <w:tab/>
          <w:t>30</w:t>
        </w:r>
      </w:hyperlink>
    </w:p>
    <w:p>
      <w:pPr>
        <w:pStyle w:val="BodyText"/>
        <w:tabs>
          <w:tab w:pos="8664" w:val="left" w:leader="dot"/>
        </w:tabs>
        <w:spacing w:before="137"/>
        <w:ind w:left="102"/>
      </w:pPr>
      <w:hyperlink w:history="true" w:anchor="_bookmark27">
        <w:r>
          <w:rPr>
            <w:spacing w:val="-6"/>
          </w:rPr>
          <w:t>Tabla 11. </w:t>
        </w:r>
        <w:r>
          <w:rPr/>
          <w:t>Composición en peso (gramos), del</w:t>
        </w:r>
        <w:r>
          <w:rPr>
            <w:spacing w:val="-3"/>
          </w:rPr>
          <w:t> </w:t>
        </w:r>
        <w:r>
          <w:rPr/>
          <w:t>concreto</w:t>
        </w:r>
        <w:r>
          <w:rPr>
            <w:spacing w:val="-1"/>
          </w:rPr>
          <w:t> </w:t>
        </w:r>
        <w:r>
          <w:rPr/>
          <w:t>polimérico</w:t>
          <w:tab/>
          <w:t>30</w:t>
        </w:r>
      </w:hyperlink>
    </w:p>
    <w:p>
      <w:pPr>
        <w:pStyle w:val="BodyText"/>
        <w:tabs>
          <w:tab w:pos="8664" w:val="left" w:leader="dot"/>
        </w:tabs>
        <w:spacing w:before="139"/>
        <w:ind w:left="102"/>
      </w:pPr>
      <w:hyperlink w:history="true" w:anchor="_bookmark37">
        <w:r>
          <w:rPr>
            <w:spacing w:val="-6"/>
          </w:rPr>
          <w:t>Tabla </w:t>
        </w:r>
        <w:r>
          <w:rPr/>
          <w:t>12. Condiciones del ensayo</w:t>
        </w:r>
        <w:r>
          <w:rPr>
            <w:spacing w:val="-5"/>
          </w:rPr>
          <w:t> </w:t>
        </w:r>
        <w:r>
          <w:rPr/>
          <w:t>de</w:t>
        </w:r>
        <w:r>
          <w:rPr>
            <w:spacing w:val="-4"/>
          </w:rPr>
          <w:t> </w:t>
        </w:r>
        <w:r>
          <w:rPr/>
          <w:t>flexión</w:t>
          <w:tab/>
          <w:t>33</w:t>
        </w:r>
      </w:hyperlink>
    </w:p>
    <w:p>
      <w:pPr>
        <w:pStyle w:val="BodyText"/>
        <w:tabs>
          <w:tab w:pos="8664" w:val="left" w:leader="dot"/>
        </w:tabs>
        <w:spacing w:before="137"/>
        <w:ind w:left="102"/>
      </w:pPr>
      <w:hyperlink w:history="true" w:anchor="_bookmark39">
        <w:r>
          <w:rPr>
            <w:spacing w:val="-6"/>
          </w:rPr>
          <w:t>Tabla </w:t>
        </w:r>
        <w:r>
          <w:rPr/>
          <w:t>13. Condiciones del ensayo</w:t>
        </w:r>
        <w:r>
          <w:rPr>
            <w:spacing w:val="-6"/>
          </w:rPr>
          <w:t> </w:t>
        </w:r>
        <w:r>
          <w:rPr/>
          <w:t>de</w:t>
        </w:r>
        <w:r>
          <w:rPr>
            <w:spacing w:val="-2"/>
          </w:rPr>
          <w:t> </w:t>
        </w:r>
        <w:r>
          <w:rPr/>
          <w:t>compresión</w:t>
          <w:tab/>
          <w:t>33</w:t>
        </w:r>
      </w:hyperlink>
    </w:p>
    <w:p>
      <w:pPr>
        <w:pStyle w:val="BodyText"/>
        <w:tabs>
          <w:tab w:pos="8664" w:val="left" w:leader="dot"/>
        </w:tabs>
        <w:spacing w:line="360" w:lineRule="auto" w:before="139"/>
        <w:ind w:left="102" w:right="124"/>
      </w:pPr>
      <w:hyperlink w:history="true" w:anchor="_bookmark58">
        <w:r>
          <w:rPr>
            <w:spacing w:val="-6"/>
          </w:rPr>
          <w:t>Tabla </w:t>
        </w:r>
        <w:r>
          <w:rPr/>
          <w:t>14. Asignación de bandas de infrarrojo de las fibras de llanta (Govind</w:t>
        </w:r>
      </w:hyperlink>
      <w:r>
        <w:rPr/>
        <w:t> </w:t>
      </w:r>
      <w:hyperlink w:history="true" w:anchor="_bookmark58">
        <w:r>
          <w:rPr/>
          <w:t>Prasad,</w:t>
        </w:r>
        <w:r>
          <w:rPr>
            <w:spacing w:val="-3"/>
          </w:rPr>
          <w:t> </w:t>
        </w:r>
        <w:r>
          <w:rPr>
            <w:spacing w:val="-4"/>
          </w:rPr>
          <w:t>2011)</w:t>
          <w:tab/>
        </w:r>
        <w:r>
          <w:rPr/>
          <w:t>49</w:t>
        </w:r>
      </w:hyperlink>
    </w:p>
    <w:p>
      <w:pPr>
        <w:pStyle w:val="BodyText"/>
        <w:tabs>
          <w:tab w:pos="8664" w:val="left" w:leader="dot"/>
        </w:tabs>
        <w:spacing w:line="360" w:lineRule="auto" w:before="5"/>
        <w:ind w:left="102" w:right="124"/>
      </w:pPr>
      <w:hyperlink w:history="true" w:anchor="_bookmark60">
        <w:r>
          <w:rPr>
            <w:spacing w:val="-6"/>
          </w:rPr>
          <w:t>Tabla </w:t>
        </w:r>
        <w:r>
          <w:rPr/>
          <w:t>15. Asignación de bandas de infrarrojo de las fibras de llanta (Govind</w:t>
        </w:r>
      </w:hyperlink>
      <w:r>
        <w:rPr/>
        <w:t> </w:t>
      </w:r>
      <w:hyperlink w:history="true" w:anchor="_bookmark60">
        <w:r>
          <w:rPr/>
          <w:t>Prasad,</w:t>
        </w:r>
        <w:r>
          <w:rPr>
            <w:spacing w:val="-3"/>
          </w:rPr>
          <w:t> </w:t>
        </w:r>
        <w:r>
          <w:rPr>
            <w:spacing w:val="-4"/>
          </w:rPr>
          <w:t>2011)</w:t>
          <w:tab/>
        </w:r>
        <w:r>
          <w:rPr/>
          <w:t>50</w:t>
        </w:r>
      </w:hyperlink>
    </w:p>
    <w:p>
      <w:pPr>
        <w:spacing w:after="0" w:line="360" w:lineRule="auto"/>
        <w:sectPr>
          <w:pgSz w:w="12240" w:h="15840"/>
          <w:pgMar w:header="0" w:footer="975" w:top="1360" w:bottom="1220" w:left="1600" w:right="1580"/>
        </w:sectPr>
      </w:pPr>
    </w:p>
    <w:p>
      <w:pPr>
        <w:pStyle w:val="Heading2"/>
        <w:spacing w:before="51"/>
        <w:ind w:left="3098" w:right="3120"/>
        <w:jc w:val="center"/>
      </w:pPr>
      <w:r>
        <w:rPr/>
        <w:t>RELACIÓN DE FIGURAS</w:t>
      </w:r>
    </w:p>
    <w:p>
      <w:pPr>
        <w:pStyle w:val="BodyText"/>
        <w:tabs>
          <w:tab w:pos="8933" w:val="right" w:leader="dot"/>
        </w:tabs>
        <w:spacing w:before="279"/>
        <w:ind w:left="102"/>
      </w:pPr>
      <w:hyperlink w:history="true" w:anchor="_bookmark11">
        <w:r>
          <w:rPr/>
          <w:t>Figura 1. Estructuras químicas de: (a) Isopreno, (b) SBR,</w:t>
        </w:r>
        <w:r>
          <w:rPr>
            <w:spacing w:val="-7"/>
          </w:rPr>
          <w:t> </w:t>
        </w:r>
        <w:r>
          <w:rPr/>
          <w:t>(c)</w:t>
        </w:r>
        <w:r>
          <w:rPr>
            <w:spacing w:val="-2"/>
          </w:rPr>
          <w:t> </w:t>
        </w:r>
        <w:r>
          <w:rPr/>
          <w:t>SBS</w:t>
          <w:tab/>
          <w:t>19</w:t>
        </w:r>
      </w:hyperlink>
    </w:p>
    <w:p>
      <w:pPr>
        <w:pStyle w:val="BodyText"/>
        <w:tabs>
          <w:tab w:pos="8933" w:val="right" w:leader="dot"/>
        </w:tabs>
        <w:spacing w:before="139"/>
        <w:ind w:left="102"/>
      </w:pPr>
      <w:hyperlink w:history="true" w:anchor="_bookmark29">
        <w:r>
          <w:rPr/>
          <w:t>Figura 2.Diagrama de bloques del</w:t>
        </w:r>
        <w:r>
          <w:rPr>
            <w:spacing w:val="-4"/>
          </w:rPr>
          <w:t> </w:t>
        </w:r>
        <w:r>
          <w:rPr/>
          <w:t>procedimiento</w:t>
        </w:r>
        <w:r>
          <w:rPr>
            <w:spacing w:val="-2"/>
          </w:rPr>
          <w:t> </w:t>
        </w:r>
        <w:r>
          <w:rPr/>
          <w:t>experimental.</w:t>
          <w:tab/>
          <w:t>31</w:t>
        </w:r>
      </w:hyperlink>
    </w:p>
    <w:p>
      <w:pPr>
        <w:pStyle w:val="BodyText"/>
        <w:tabs>
          <w:tab w:pos="8933" w:val="right" w:leader="dot"/>
        </w:tabs>
        <w:spacing w:before="137"/>
        <w:ind w:left="102"/>
      </w:pPr>
      <w:hyperlink w:history="true" w:anchor="_bookmark43">
        <w:r>
          <w:rPr/>
          <w:t>Figura 3. Resistencia a la compresión</w:t>
        </w:r>
        <w:r>
          <w:rPr>
            <w:spacing w:val="-2"/>
          </w:rPr>
          <w:t> </w:t>
        </w:r>
        <w:r>
          <w:rPr/>
          <w:t>del</w:t>
        </w:r>
        <w:r>
          <w:rPr>
            <w:spacing w:val="-1"/>
          </w:rPr>
          <w:t> </w:t>
        </w:r>
        <w:r>
          <w:rPr/>
          <w:t>CP</w:t>
          <w:tab/>
          <w:t>35</w:t>
        </w:r>
      </w:hyperlink>
    </w:p>
    <w:p>
      <w:pPr>
        <w:pStyle w:val="BodyText"/>
        <w:tabs>
          <w:tab w:pos="8933" w:val="right" w:leader="dot"/>
        </w:tabs>
        <w:spacing w:before="139"/>
        <w:ind w:left="102"/>
      </w:pPr>
      <w:hyperlink w:history="true" w:anchor="_bookmark45">
        <w:r>
          <w:rPr/>
          <w:t>Figura 4. Resistencia a la flexión del</w:t>
        </w:r>
        <w:r>
          <w:rPr>
            <w:spacing w:val="-4"/>
          </w:rPr>
          <w:t> </w:t>
        </w:r>
        <w:r>
          <w:rPr/>
          <w:t>concreto</w:t>
        </w:r>
        <w:r>
          <w:rPr>
            <w:spacing w:val="2"/>
          </w:rPr>
          <w:t> </w:t>
        </w:r>
        <w:r>
          <w:rPr/>
          <w:t>polimérico</w:t>
          <w:tab/>
          <w:t>38</w:t>
        </w:r>
      </w:hyperlink>
    </w:p>
    <w:p>
      <w:pPr>
        <w:pStyle w:val="BodyText"/>
        <w:tabs>
          <w:tab w:pos="8933" w:val="right" w:leader="dot"/>
        </w:tabs>
        <w:spacing w:before="137"/>
        <w:ind w:left="102"/>
      </w:pPr>
      <w:hyperlink w:history="true" w:anchor="_bookmark47">
        <w:r>
          <w:rPr/>
          <w:t>Figura 5 Módulo de </w:t>
        </w:r>
        <w:r>
          <w:rPr>
            <w:spacing w:val="-6"/>
          </w:rPr>
          <w:t>Young </w:t>
        </w:r>
        <w:r>
          <w:rPr/>
          <w:t>del</w:t>
        </w:r>
        <w:r>
          <w:rPr>
            <w:spacing w:val="-2"/>
          </w:rPr>
          <w:t> </w:t>
        </w:r>
        <w:r>
          <w:rPr/>
          <w:t>concreto</w:t>
        </w:r>
        <w:r>
          <w:rPr>
            <w:spacing w:val="-1"/>
          </w:rPr>
          <w:t> </w:t>
        </w:r>
        <w:r>
          <w:rPr/>
          <w:t>polimérico</w:t>
          <w:tab/>
          <w:t>40</w:t>
        </w:r>
      </w:hyperlink>
    </w:p>
    <w:p>
      <w:pPr>
        <w:pStyle w:val="BodyText"/>
        <w:tabs>
          <w:tab w:pos="8933" w:val="right" w:leader="dot"/>
        </w:tabs>
        <w:spacing w:line="360" w:lineRule="auto" w:before="139"/>
        <w:ind w:left="102" w:right="124"/>
      </w:pPr>
      <w:hyperlink w:history="true" w:anchor="_bookmark49">
        <w:r>
          <w:rPr/>
          <w:t>Figura 6. Deformación en el punto de cedencia en compresión del concreto</w:t>
        </w:r>
      </w:hyperlink>
      <w:r>
        <w:rPr/>
        <w:t> </w:t>
      </w:r>
      <w:hyperlink w:history="true" w:anchor="_bookmark49">
        <w:r>
          <w:rPr/>
          <w:t>polimérico</w:t>
          <w:tab/>
          <w:t>42</w:t>
        </w:r>
      </w:hyperlink>
    </w:p>
    <w:p>
      <w:pPr>
        <w:pStyle w:val="BodyText"/>
        <w:spacing w:before="5"/>
        <w:ind w:left="102"/>
      </w:pPr>
      <w:hyperlink w:history="true" w:anchor="_bookmark51">
        <w:r>
          <w:rPr/>
          <w:t>Figura 7. Deformación en el punto de cedencia en flexión del concreto polimérico.</w:t>
        </w:r>
      </w:hyperlink>
    </w:p>
    <w:p>
      <w:pPr>
        <w:pStyle w:val="BodyText"/>
        <w:spacing w:before="137"/>
        <w:ind w:left="147"/>
      </w:pPr>
      <w:hyperlink w:history="true" w:anchor="_bookmark51">
        <w:r>
          <w:rPr/>
          <w:t>.............................................................................................................................. 44</w:t>
        </w:r>
      </w:hyperlink>
    </w:p>
    <w:p>
      <w:pPr>
        <w:pStyle w:val="BodyText"/>
        <w:tabs>
          <w:tab w:pos="8933" w:val="right" w:leader="dot"/>
        </w:tabs>
        <w:spacing w:before="139"/>
        <w:ind w:left="102"/>
      </w:pPr>
      <w:hyperlink w:history="true" w:anchor="_bookmark53">
        <w:r>
          <w:rPr/>
          <w:t>Figura 8. Distribución de tamaños de fibra reciclada: a) longitud,</w:t>
        </w:r>
        <w:r>
          <w:rPr>
            <w:spacing w:val="-18"/>
          </w:rPr>
          <w:t> </w:t>
        </w:r>
        <w:r>
          <w:rPr/>
          <w:t>b)</w:t>
        </w:r>
        <w:r>
          <w:rPr>
            <w:spacing w:val="-4"/>
          </w:rPr>
          <w:t> </w:t>
        </w:r>
        <w:r>
          <w:rPr/>
          <w:t>diámetro.</w:t>
          <w:tab/>
          <w:t>45</w:t>
        </w:r>
      </w:hyperlink>
    </w:p>
    <w:p>
      <w:pPr>
        <w:pStyle w:val="BodyText"/>
        <w:tabs>
          <w:tab w:pos="8933" w:val="right" w:leader="dot"/>
        </w:tabs>
        <w:spacing w:before="137"/>
        <w:ind w:left="102"/>
      </w:pPr>
      <w:hyperlink w:history="true" w:anchor="_bookmark54">
        <w:r>
          <w:rPr/>
          <w:t>Figura 9. Imagen SEM de las fibras</w:t>
        </w:r>
        <w:r>
          <w:rPr>
            <w:spacing w:val="-9"/>
          </w:rPr>
          <w:t> </w:t>
        </w:r>
        <w:r>
          <w:rPr/>
          <w:t>de</w:t>
        </w:r>
        <w:r>
          <w:rPr>
            <w:spacing w:val="-1"/>
          </w:rPr>
          <w:t> </w:t>
        </w:r>
        <w:r>
          <w:rPr/>
          <w:t>llantas</w:t>
          <w:tab/>
          <w:t>46</w:t>
        </w:r>
      </w:hyperlink>
    </w:p>
    <w:p>
      <w:pPr>
        <w:pStyle w:val="BodyText"/>
        <w:tabs>
          <w:tab w:pos="8933" w:val="right" w:leader="dot"/>
        </w:tabs>
        <w:spacing w:line="360" w:lineRule="auto" w:before="139"/>
        <w:ind w:left="102" w:right="124"/>
      </w:pPr>
      <w:hyperlink w:history="true" w:anchor="_bookmark55">
        <w:r>
          <w:rPr/>
          <w:t>Figura 10. Imágenes SEM de las fibras de llantas irradiadas: a) 50 </w:t>
        </w:r>
        <w:r>
          <w:rPr>
            <w:spacing w:val="-6"/>
          </w:rPr>
          <w:t>kGy, </w:t>
        </w:r>
        <w:r>
          <w:rPr/>
          <w:t>y b) 100</w:t>
        </w:r>
      </w:hyperlink>
      <w:r>
        <w:rPr/>
        <w:t> </w:t>
      </w:r>
      <w:hyperlink w:history="true" w:anchor="_bookmark55">
        <w:r>
          <w:rPr/>
          <w:t>kGy</w:t>
          <w:tab/>
          <w:t>46</w:t>
        </w:r>
      </w:hyperlink>
    </w:p>
    <w:p>
      <w:pPr>
        <w:pStyle w:val="BodyText"/>
        <w:tabs>
          <w:tab w:pos="8933" w:val="right" w:leader="dot"/>
        </w:tabs>
        <w:ind w:left="102"/>
      </w:pPr>
      <w:hyperlink w:history="true" w:anchor="_bookmark57">
        <w:r>
          <w:rPr/>
          <w:t>Figura </w:t>
        </w:r>
        <w:r>
          <w:rPr>
            <w:spacing w:val="-6"/>
          </w:rPr>
          <w:t>11. </w:t>
        </w:r>
        <w:r>
          <w:rPr/>
          <w:t>Región 3500-2000 cm</w:t>
        </w:r>
        <w:r>
          <w:rPr>
            <w:position w:val="8"/>
            <w:sz w:val="16"/>
          </w:rPr>
          <w:t>-1 </w:t>
        </w:r>
        <w:r>
          <w:rPr/>
          <w:t>del espectro infrarrojo de fibras</w:t>
        </w:r>
        <w:r>
          <w:rPr>
            <w:spacing w:val="8"/>
          </w:rPr>
          <w:t> </w:t>
        </w:r>
        <w:r>
          <w:rPr/>
          <w:t>sin</w:t>
        </w:r>
        <w:r>
          <w:rPr>
            <w:spacing w:val="-2"/>
          </w:rPr>
          <w:t> </w:t>
        </w:r>
        <w:r>
          <w:rPr/>
          <w:t>irradiar</w:t>
          <w:tab/>
          <w:t>48</w:t>
        </w:r>
      </w:hyperlink>
    </w:p>
    <w:p>
      <w:pPr>
        <w:pStyle w:val="BodyText"/>
        <w:tabs>
          <w:tab w:pos="8933" w:val="right" w:leader="dot"/>
        </w:tabs>
        <w:spacing w:before="132"/>
        <w:ind w:left="102"/>
      </w:pPr>
      <w:hyperlink w:history="true" w:anchor="_bookmark59">
        <w:r>
          <w:rPr/>
          <w:t>Figura 12. Región 2000-800 cm</w:t>
        </w:r>
        <w:r>
          <w:rPr>
            <w:position w:val="8"/>
            <w:sz w:val="16"/>
          </w:rPr>
          <w:t>-1 </w:t>
        </w:r>
        <w:r>
          <w:rPr/>
          <w:t>del espectro infrarrojo de fibras</w:t>
        </w:r>
        <w:r>
          <w:rPr>
            <w:spacing w:val="5"/>
          </w:rPr>
          <w:t> </w:t>
        </w:r>
        <w:r>
          <w:rPr/>
          <w:t>sin</w:t>
        </w:r>
        <w:r>
          <w:rPr>
            <w:spacing w:val="-2"/>
          </w:rPr>
          <w:t> </w:t>
        </w:r>
        <w:r>
          <w:rPr/>
          <w:t>irradiar</w:t>
          <w:tab/>
          <w:t>50</w:t>
        </w:r>
      </w:hyperlink>
    </w:p>
    <w:p>
      <w:pPr>
        <w:pStyle w:val="BodyText"/>
        <w:tabs>
          <w:tab w:pos="8933" w:val="right" w:leader="dot"/>
        </w:tabs>
        <w:spacing w:line="360" w:lineRule="auto" w:before="134"/>
        <w:ind w:left="102" w:right="124"/>
      </w:pPr>
      <w:hyperlink w:history="true" w:anchor="_bookmark61">
        <w:r>
          <w:rPr/>
          <w:t>Figura 13. Región 3500-2000 cm</w:t>
        </w:r>
        <w:r>
          <w:rPr>
            <w:position w:val="8"/>
            <w:sz w:val="16"/>
          </w:rPr>
          <w:t>-1 </w:t>
        </w:r>
        <w:r>
          <w:rPr/>
          <w:t>del espectro infrarrojo de fibras sin irradiar e</w:t>
        </w:r>
      </w:hyperlink>
      <w:r>
        <w:rPr/>
        <w:t> </w:t>
      </w:r>
      <w:hyperlink w:history="true" w:anchor="_bookmark61">
        <w:r>
          <w:rPr/>
          <w:t>irradiadas a 50 y</w:t>
        </w:r>
        <w:r>
          <w:rPr>
            <w:spacing w:val="-6"/>
          </w:rPr>
          <w:t> </w:t>
        </w:r>
        <w:r>
          <w:rPr/>
          <w:t>100</w:t>
        </w:r>
        <w:r>
          <w:rPr>
            <w:spacing w:val="-1"/>
          </w:rPr>
          <w:t> </w:t>
        </w:r>
        <w:r>
          <w:rPr/>
          <w:t>kGy</w:t>
          <w:tab/>
          <w:t>52</w:t>
        </w:r>
      </w:hyperlink>
    </w:p>
    <w:p>
      <w:pPr>
        <w:pStyle w:val="BodyText"/>
        <w:tabs>
          <w:tab w:pos="8933" w:val="right" w:leader="dot"/>
        </w:tabs>
        <w:spacing w:line="360" w:lineRule="auto"/>
        <w:ind w:left="102" w:right="124"/>
      </w:pPr>
      <w:hyperlink w:history="true" w:anchor="_bookmark62">
        <w:r>
          <w:rPr/>
          <w:t>Figura 14. Región 2000-800 cm</w:t>
        </w:r>
        <w:r>
          <w:rPr>
            <w:position w:val="8"/>
            <w:sz w:val="16"/>
          </w:rPr>
          <w:t>-1 </w:t>
        </w:r>
        <w:r>
          <w:rPr/>
          <w:t>del espectro infrarrojo de fibras sin irradiar e</w:t>
        </w:r>
      </w:hyperlink>
      <w:r>
        <w:rPr/>
        <w:t> </w:t>
      </w:r>
      <w:hyperlink w:history="true" w:anchor="_bookmark62">
        <w:r>
          <w:rPr/>
          <w:t>irradiadas a 50 y</w:t>
        </w:r>
        <w:r>
          <w:rPr>
            <w:spacing w:val="-6"/>
          </w:rPr>
          <w:t> </w:t>
        </w:r>
        <w:r>
          <w:rPr/>
          <w:t>100 kGy</w:t>
          <w:tab/>
          <w:t>53</w:t>
        </w:r>
      </w:hyperlink>
    </w:p>
    <w:p>
      <w:pPr>
        <w:pStyle w:val="BodyText"/>
        <w:tabs>
          <w:tab w:pos="8933" w:val="right" w:leader="dot"/>
        </w:tabs>
        <w:spacing w:before="5"/>
        <w:ind w:left="102"/>
      </w:pPr>
      <w:hyperlink w:history="true" w:anchor="_bookmark64">
        <w:r>
          <w:rPr/>
          <w:t>Figura 15.Difractograma de las fibras de llanta sin irradiar</w:t>
        </w:r>
        <w:r>
          <w:rPr>
            <w:spacing w:val="-13"/>
          </w:rPr>
          <w:t> </w:t>
        </w:r>
        <w:r>
          <w:rPr/>
          <w:t>e</w:t>
        </w:r>
        <w:r>
          <w:rPr>
            <w:spacing w:val="-3"/>
          </w:rPr>
          <w:t> </w:t>
        </w:r>
        <w:r>
          <w:rPr/>
          <w:t>irradiadas.</w:t>
          <w:tab/>
          <w:t>54</w:t>
        </w:r>
      </w:hyperlink>
    </w:p>
    <w:p>
      <w:pPr>
        <w:pStyle w:val="BodyText"/>
        <w:tabs>
          <w:tab w:pos="8933" w:val="right" w:leader="dot"/>
        </w:tabs>
        <w:spacing w:line="360" w:lineRule="auto" w:before="137"/>
        <w:ind w:left="102" w:right="124"/>
      </w:pPr>
      <w:hyperlink w:history="true" w:anchor="_bookmark65">
        <w:r>
          <w:rPr/>
          <w:t>Figura 16 Índice de cristalinidad vs dosis de irradiación aplicada, de las fibras de</w:t>
        </w:r>
      </w:hyperlink>
      <w:r>
        <w:rPr/>
        <w:t> </w:t>
      </w:r>
      <w:hyperlink w:history="true" w:anchor="_bookmark65">
        <w:r>
          <w:rPr/>
          <w:t>llanta</w:t>
          <w:tab/>
          <w:t>55</w:t>
        </w:r>
      </w:hyperlink>
    </w:p>
    <w:p>
      <w:pPr>
        <w:pStyle w:val="BodyText"/>
        <w:tabs>
          <w:tab w:pos="8933" w:val="right" w:leader="dot"/>
        </w:tabs>
        <w:spacing w:before="2"/>
        <w:ind w:left="102"/>
      </w:pPr>
      <w:hyperlink w:history="true" w:anchor="_bookmark66">
        <w:r>
          <w:rPr/>
          <w:t>Figura 17. Distancia interplanar para los picos 2θ = 20.5°y 2θ</w:t>
        </w:r>
        <w:r>
          <w:rPr>
            <w:spacing w:val="-11"/>
          </w:rPr>
          <w:t> </w:t>
        </w:r>
        <w:r>
          <w:rPr/>
          <w:t>=</w:t>
        </w:r>
        <w:r>
          <w:rPr>
            <w:spacing w:val="-1"/>
          </w:rPr>
          <w:t> </w:t>
        </w:r>
        <w:r>
          <w:rPr/>
          <w:t>23.5°</w:t>
          <w:tab/>
          <w:t>56</w:t>
        </w:r>
      </w:hyperlink>
    </w:p>
    <w:p>
      <w:pPr>
        <w:pStyle w:val="BodyText"/>
        <w:tabs>
          <w:tab w:pos="8933" w:val="right" w:leader="dot"/>
        </w:tabs>
        <w:spacing w:before="139"/>
        <w:ind w:left="102"/>
      </w:pPr>
      <w:hyperlink w:history="true" w:anchor="_bookmark67">
        <w:r>
          <w:rPr/>
          <w:t>Figura 18. Intensidad máxima de los picos 2θ = 20.5° y 2θ</w:t>
        </w:r>
        <w:r>
          <w:rPr>
            <w:spacing w:val="-12"/>
          </w:rPr>
          <w:t> </w:t>
        </w:r>
        <w:r>
          <w:rPr/>
          <w:t>=</w:t>
        </w:r>
        <w:r>
          <w:rPr>
            <w:spacing w:val="-1"/>
          </w:rPr>
          <w:t> </w:t>
        </w:r>
        <w:r>
          <w:rPr/>
          <w:t>23.5°</w:t>
          <w:tab/>
          <w:t>57</w:t>
        </w:r>
      </w:hyperlink>
    </w:p>
    <w:p>
      <w:pPr>
        <w:spacing w:after="0"/>
        <w:sectPr>
          <w:pgSz w:w="12240" w:h="15840"/>
          <w:pgMar w:header="0" w:footer="975" w:top="1360" w:bottom="1220" w:left="1600" w:right="1580"/>
        </w:sectPr>
      </w:pPr>
    </w:p>
    <w:p>
      <w:pPr>
        <w:pStyle w:val="Heading2"/>
        <w:spacing w:before="54"/>
        <w:ind w:left="3098" w:right="3115"/>
        <w:jc w:val="center"/>
      </w:pPr>
      <w:bookmarkStart w:name="_bookmark0" w:id="1"/>
      <w:bookmarkEnd w:id="1"/>
      <w:r>
        <w:rPr>
          <w:b w:val="0"/>
        </w:rPr>
      </w:r>
      <w:r>
        <w:rPr/>
        <w:t>RESUMEN</w:t>
      </w:r>
    </w:p>
    <w:p>
      <w:pPr>
        <w:pStyle w:val="BodyText"/>
        <w:rPr>
          <w:b/>
        </w:rPr>
      </w:pPr>
    </w:p>
    <w:p>
      <w:pPr>
        <w:pStyle w:val="BodyText"/>
        <w:spacing w:line="360" w:lineRule="auto" w:before="139"/>
        <w:ind w:left="102" w:right="116"/>
        <w:jc w:val="both"/>
      </w:pPr>
      <w:r>
        <w:rPr/>
        <w:t>En los últimos años, el interés por la reutilizaciónde materiales de desecho ha crecido considerablemente, esto debido a las ventajas tanto económicas como ambientales que presenta. En particular, el reciclaje de llantas automotrices y su posterior uso en concretos hidráulicos,ha sido objeto de investigación con resultados favorables; se ha podido reducir el peso de las piezas, mejorar la resistencia mecánica, obtener mayor grado de ductilidad e incluso de aislamiento acústico. Sin embargo, este tipo de investigaciones han sido muy limitadas para el concreto polimérico con fibras.</w:t>
      </w:r>
    </w:p>
    <w:p>
      <w:pPr>
        <w:pStyle w:val="BodyText"/>
      </w:pPr>
    </w:p>
    <w:p>
      <w:pPr>
        <w:pStyle w:val="BodyText"/>
        <w:spacing w:line="360" w:lineRule="auto" w:before="142"/>
        <w:ind w:left="102" w:right="116"/>
        <w:jc w:val="both"/>
      </w:pPr>
      <w:r>
        <w:rPr/>
        <w:t>En esta investigación se estudiaron los efectos de la incorporación de fibras de llantas recicladas y de la radiación gamma en las propiedades mecánicas de concreto polimérico elaborado con resina poliéster insaturada y arena sílice. Se elaboraron cuatro tipos de concretos poliméricos: I) control (sin fibras), </w:t>
      </w:r>
      <w:r>
        <w:rPr>
          <w:spacing w:val="2"/>
        </w:rPr>
        <w:t>II) </w:t>
      </w:r>
      <w:r>
        <w:rPr/>
        <w:t>con fibras</w:t>
      </w:r>
      <w:r>
        <w:rPr>
          <w:spacing w:val="17"/>
        </w:rPr>
        <w:t> </w:t>
      </w:r>
      <w:r>
        <w:rPr/>
        <w:t>sin</w:t>
      </w:r>
      <w:r>
        <w:rPr>
          <w:spacing w:val="20"/>
        </w:rPr>
        <w:t> </w:t>
      </w:r>
      <w:r>
        <w:rPr/>
        <w:t>irradiar</w:t>
      </w:r>
      <w:r>
        <w:rPr>
          <w:spacing w:val="19"/>
        </w:rPr>
        <w:t> </w:t>
      </w:r>
      <w:r>
        <w:rPr/>
        <w:t>a</w:t>
      </w:r>
      <w:r>
        <w:rPr>
          <w:spacing w:val="18"/>
        </w:rPr>
        <w:t> </w:t>
      </w:r>
      <w:r>
        <w:rPr/>
        <w:t>diferentes</w:t>
      </w:r>
      <w:r>
        <w:rPr>
          <w:spacing w:val="17"/>
        </w:rPr>
        <w:t> </w:t>
      </w:r>
      <w:r>
        <w:rPr/>
        <w:t>concentraciones</w:t>
      </w:r>
      <w:r>
        <w:rPr>
          <w:spacing w:val="19"/>
        </w:rPr>
        <w:t> </w:t>
      </w:r>
      <w:r>
        <w:rPr/>
        <w:t>(0.3,</w:t>
      </w:r>
      <w:r>
        <w:rPr>
          <w:spacing w:val="17"/>
        </w:rPr>
        <w:t> </w:t>
      </w:r>
      <w:r>
        <w:rPr/>
        <w:t>0.6,</w:t>
      </w:r>
      <w:r>
        <w:rPr>
          <w:spacing w:val="20"/>
        </w:rPr>
        <w:t> </w:t>
      </w:r>
      <w:r>
        <w:rPr/>
        <w:t>0.9</w:t>
      </w:r>
      <w:r>
        <w:rPr>
          <w:spacing w:val="21"/>
        </w:rPr>
        <w:t> </w:t>
      </w:r>
      <w:r>
        <w:rPr/>
        <w:t>y</w:t>
      </w:r>
      <w:r>
        <w:rPr>
          <w:spacing w:val="17"/>
        </w:rPr>
        <w:t> </w:t>
      </w:r>
      <w:r>
        <w:rPr/>
        <w:t>1.2%</w:t>
      </w:r>
      <w:r>
        <w:rPr>
          <w:spacing w:val="20"/>
        </w:rPr>
        <w:t> </w:t>
      </w:r>
      <w:r>
        <w:rPr/>
        <w:t>en</w:t>
      </w:r>
      <w:r>
        <w:rPr>
          <w:spacing w:val="20"/>
        </w:rPr>
        <w:t> </w:t>
      </w:r>
      <w:r>
        <w:rPr/>
        <w:t>volumen),</w:t>
      </w:r>
    </w:p>
    <w:p>
      <w:pPr>
        <w:pStyle w:val="BodyText"/>
        <w:spacing w:line="360" w:lineRule="auto" w:before="5"/>
        <w:ind w:left="102" w:right="116"/>
        <w:jc w:val="both"/>
      </w:pPr>
      <w:r>
        <w:rPr/>
        <w:t>III) con fibras irradiadas a 50 y 100 kGy a diferentes concentraciones (0.3, 0.6, 0.9 y 1.2% en volumen), y IV) con fibras sin irradiar a diferentes concentraciones (0.3, 0.6, 0.9 y 1.2% en volumen) e irradiado directamente a 50 y 100 kGy.</w:t>
      </w:r>
    </w:p>
    <w:p>
      <w:pPr>
        <w:pStyle w:val="BodyText"/>
      </w:pPr>
    </w:p>
    <w:p>
      <w:pPr>
        <w:pStyle w:val="BodyText"/>
        <w:spacing w:line="360" w:lineRule="auto" w:before="142"/>
        <w:ind w:left="102" w:right="115"/>
        <w:jc w:val="both"/>
      </w:pPr>
      <w:r>
        <w:rPr/>
        <w:t>Las propiedades mecánicas del concreto polimérico dependen del tipo y cantidad de fibra añadida, así como de la dosis de radiación aplicada. Se obtuvieron las máximas resistencias a la compresión con 1.2% de fibra incorporada. Por otro lado, el concreto polimérico con fibra irradiada tuvo valores más altos de ductilidad que el concreto irradiado</w:t>
      </w:r>
      <w:r>
        <w:rPr>
          <w:spacing w:val="-10"/>
        </w:rPr>
        <w:t> </w:t>
      </w:r>
      <w:r>
        <w:rPr/>
        <w:t>directamente.</w:t>
      </w:r>
    </w:p>
    <w:p>
      <w:pPr>
        <w:spacing w:after="0" w:line="360" w:lineRule="auto"/>
        <w:jc w:val="both"/>
        <w:sectPr>
          <w:pgSz w:w="12240" w:h="15840"/>
          <w:pgMar w:header="0" w:footer="975" w:top="1360" w:bottom="1220" w:left="1600" w:right="1580"/>
        </w:sectPr>
      </w:pPr>
    </w:p>
    <w:p>
      <w:pPr>
        <w:pStyle w:val="BodyText"/>
        <w:rPr>
          <w:sz w:val="20"/>
        </w:rPr>
      </w:pPr>
    </w:p>
    <w:p>
      <w:pPr>
        <w:pStyle w:val="BodyText"/>
        <w:rPr>
          <w:sz w:val="20"/>
        </w:rPr>
      </w:pPr>
    </w:p>
    <w:p>
      <w:pPr>
        <w:pStyle w:val="BodyText"/>
        <w:spacing w:before="2"/>
      </w:pPr>
    </w:p>
    <w:p>
      <w:pPr>
        <w:pStyle w:val="Heading2"/>
        <w:spacing w:before="69"/>
        <w:ind w:left="3098" w:right="3117"/>
        <w:jc w:val="center"/>
      </w:pPr>
      <w:bookmarkStart w:name="_bookmark1" w:id="2"/>
      <w:bookmarkEnd w:id="2"/>
      <w:r>
        <w:rPr>
          <w:b w:val="0"/>
        </w:rPr>
      </w:r>
      <w:r>
        <w:rPr/>
        <w:t>ABSTRACT</w:t>
      </w:r>
    </w:p>
    <w:p>
      <w:pPr>
        <w:pStyle w:val="BodyText"/>
        <w:rPr>
          <w:b/>
        </w:rPr>
      </w:pPr>
    </w:p>
    <w:p>
      <w:pPr>
        <w:pStyle w:val="BodyText"/>
        <w:ind w:left="102" w:right="115"/>
        <w:jc w:val="both"/>
      </w:pPr>
      <w:r>
        <w:rPr/>
        <w:t>In recent years, motivation for reusing waste materials has grown considerably,  due to both economic and environmental advantages. In particular, recycling of automotive tires and their subsequent use in hydraulic concrete, has been investigated with favorable results; it is possible to reduce the weight of parts, to improve the strength and ductility, inclusive to increase the sound insulation. </w:t>
      </w:r>
      <w:r>
        <w:rPr>
          <w:spacing w:val="-3"/>
        </w:rPr>
        <w:t>However, </w:t>
      </w:r>
      <w:r>
        <w:rPr/>
        <w:t>this type of research has been limited to the fiber reinforced polymer concrete</w:t>
      </w:r>
      <w:r>
        <w:rPr>
          <w:spacing w:val="-4"/>
        </w:rPr>
        <w:t> </w:t>
      </w:r>
      <w:r>
        <w:rPr/>
        <w:t>projects.</w:t>
      </w:r>
    </w:p>
    <w:p>
      <w:pPr>
        <w:pStyle w:val="BodyText"/>
      </w:pPr>
    </w:p>
    <w:p>
      <w:pPr>
        <w:pStyle w:val="BodyText"/>
        <w:ind w:left="102" w:right="116"/>
        <w:jc w:val="both"/>
      </w:pPr>
      <w:r>
        <w:rPr/>
        <w:t>In this </w:t>
      </w:r>
      <w:r>
        <w:rPr>
          <w:spacing w:val="-4"/>
        </w:rPr>
        <w:t>study, </w:t>
      </w:r>
      <w:r>
        <w:rPr/>
        <w:t>the effects of the incorporation of fiber recycled tires and gamma radiation on the mechanical properties of polymer concrete were studied. Polymer concrete specimens were elaborated with an unsaturated polyester resin and silica sand. Four different kinds of polymer were elaborated: I) control (without fibers), II) with not-irradiated fibers at different concentrations (0.3, 0.6, 0.9 and 1.2% by volume), III) with irradiated fibers at 50 and 100 kGy at different concentrations  (0.3, 0.6, 0.9 and 1.2% by volume), and IV) with not-irradiated fibers at different concentrations (0.3, 0.6, 0.9 and 1.2% by volume) and irradiated directly to 50 </w:t>
      </w:r>
      <w:r>
        <w:rPr>
          <w:spacing w:val="6"/>
        </w:rPr>
        <w:t> </w:t>
      </w:r>
      <w:r>
        <w:rPr/>
        <w:t>and</w:t>
      </w:r>
    </w:p>
    <w:p>
      <w:pPr>
        <w:pStyle w:val="BodyText"/>
        <w:ind w:left="102"/>
        <w:jc w:val="both"/>
      </w:pPr>
      <w:r>
        <w:rPr/>
        <w:t>100 kGy.</w:t>
      </w:r>
    </w:p>
    <w:p>
      <w:pPr>
        <w:pStyle w:val="BodyText"/>
      </w:pPr>
    </w:p>
    <w:p>
      <w:pPr>
        <w:pStyle w:val="BodyText"/>
        <w:ind w:left="102" w:right="115"/>
        <w:jc w:val="both"/>
      </w:pPr>
      <w:r>
        <w:rPr/>
        <w:t>The mechanical properties of polymer concrete depend on the type and concentration of added </w:t>
      </w:r>
      <w:r>
        <w:rPr>
          <w:spacing w:val="-3"/>
        </w:rPr>
        <w:t>fiber, </w:t>
      </w:r>
      <w:r>
        <w:rPr/>
        <w:t>as well as of the applied radiation dose. The maximum compressive strength values were obtained by adding 1.2% of fibers. Furthermore, higher ductility was observed for polymer concrete with irradiated fibers, instead of polymer concrete directly</w:t>
      </w:r>
      <w:r>
        <w:rPr>
          <w:spacing w:val="-18"/>
        </w:rPr>
        <w:t> </w:t>
      </w:r>
      <w:r>
        <w:rPr/>
        <w:t>irradiated.</w:t>
      </w:r>
    </w:p>
    <w:p>
      <w:pPr>
        <w:spacing w:after="0"/>
        <w:jc w:val="both"/>
        <w:sectPr>
          <w:pgSz w:w="12240" w:h="15840"/>
          <w:pgMar w:header="0" w:footer="975" w:top="1500" w:bottom="1220" w:left="1600" w:right="1580"/>
        </w:sectPr>
      </w:pPr>
    </w:p>
    <w:p>
      <w:pPr>
        <w:pStyle w:val="BodyText"/>
        <w:rPr>
          <w:sz w:val="20"/>
        </w:rPr>
      </w:pPr>
    </w:p>
    <w:p>
      <w:pPr>
        <w:pStyle w:val="BodyText"/>
        <w:rPr>
          <w:sz w:val="20"/>
        </w:rPr>
      </w:pPr>
    </w:p>
    <w:p>
      <w:pPr>
        <w:pStyle w:val="BodyText"/>
        <w:rPr>
          <w:sz w:val="20"/>
        </w:rPr>
      </w:pPr>
    </w:p>
    <w:p>
      <w:pPr>
        <w:pStyle w:val="BodyText"/>
        <w:spacing w:before="9"/>
        <w:rPr>
          <w:sz w:val="25"/>
        </w:rPr>
      </w:pPr>
    </w:p>
    <w:p>
      <w:pPr>
        <w:pStyle w:val="Heading1"/>
        <w:spacing w:before="50"/>
      </w:pPr>
      <w:bookmarkStart w:name="_bookmark2" w:id="3"/>
      <w:bookmarkEnd w:id="3"/>
      <w:r>
        <w:rPr>
          <w:b w:val="0"/>
        </w:rPr>
      </w:r>
      <w:r>
        <w:rPr/>
        <w:t>CAPÍTULO 1</w:t>
      </w:r>
      <w:r>
        <w:rPr>
          <w:b w:val="0"/>
        </w:rPr>
        <w:t>: </w:t>
      </w:r>
      <w:r>
        <w:rPr/>
        <w:t>ANTECEDENTES</w:t>
      </w:r>
    </w:p>
    <w:p>
      <w:pPr>
        <w:pStyle w:val="BodyText"/>
        <w:spacing w:before="8"/>
        <w:rPr>
          <w:b/>
          <w:sz w:val="41"/>
        </w:rPr>
      </w:pPr>
    </w:p>
    <w:p>
      <w:pPr>
        <w:pStyle w:val="Heading2"/>
        <w:numPr>
          <w:ilvl w:val="1"/>
          <w:numId w:val="5"/>
        </w:numPr>
        <w:tabs>
          <w:tab w:pos="505" w:val="left" w:leader="none"/>
        </w:tabs>
        <w:spacing w:line="240" w:lineRule="auto" w:before="0" w:after="0"/>
        <w:ind w:left="504" w:right="0" w:hanging="402"/>
        <w:jc w:val="both"/>
      </w:pPr>
      <w:bookmarkStart w:name="_bookmark3" w:id="4"/>
      <w:bookmarkEnd w:id="4"/>
      <w:r>
        <w:rPr>
          <w:b w:val="0"/>
        </w:rPr>
      </w:r>
      <w:bookmarkStart w:name="_bookmark3" w:id="5"/>
      <w:bookmarkEnd w:id="5"/>
      <w:r>
        <w:rPr/>
        <w:t>I</w:t>
      </w:r>
      <w:r>
        <w:rPr/>
        <w:t>ntroducción</w:t>
      </w:r>
    </w:p>
    <w:p>
      <w:pPr>
        <w:pStyle w:val="BodyText"/>
        <w:rPr>
          <w:b/>
        </w:rPr>
      </w:pPr>
    </w:p>
    <w:p>
      <w:pPr>
        <w:pStyle w:val="BodyText"/>
        <w:spacing w:line="360" w:lineRule="auto" w:before="141"/>
        <w:ind w:left="102" w:right="121"/>
        <w:jc w:val="both"/>
      </w:pPr>
      <w:r>
        <w:rPr/>
        <w:t>De los materiales de construcción existentes, el concreto hidráulico también llamado concreto convencional o concreto a base de cemento Pórtland (CCP), es el material más utilizado para estructuras en el mundo. Algunas de las razones</w:t>
      </w:r>
      <w:r>
        <w:rPr>
          <w:spacing w:val="-37"/>
        </w:rPr>
        <w:t> </w:t>
      </w:r>
      <w:r>
        <w:rPr/>
        <w:t>son su simplicidad en la preparación, la disponibilidad y bajo costo de sus componentes, y sobre todo, las propiedades finales de las</w:t>
      </w:r>
      <w:r>
        <w:rPr>
          <w:spacing w:val="-26"/>
        </w:rPr>
        <w:t> </w:t>
      </w:r>
      <w:r>
        <w:rPr/>
        <w:t>estructuras.</w:t>
      </w:r>
    </w:p>
    <w:p>
      <w:pPr>
        <w:pStyle w:val="BodyText"/>
      </w:pPr>
    </w:p>
    <w:p>
      <w:pPr>
        <w:pStyle w:val="BodyText"/>
        <w:spacing w:line="360" w:lineRule="auto" w:before="142"/>
        <w:ind w:left="102" w:right="118"/>
        <w:jc w:val="both"/>
      </w:pPr>
      <w:r>
        <w:rPr/>
        <w:t>No obstante, presenta algunas desventajas como el grado de porosidad, que se trata de evitar con la extracción de aire al momento de su elaboración. Los poros se convierten en los puntos de entrada de agua líquida, vapor de agua, gases y sustancias químicas que pueden ser perjudiciales para el concreto. Otras desventajas que afectan directamente su rendimiento y limitan sus aplicaciones son la débil adherencia a ciertos materiales, la baja resistencia a medios agresivos y al agua salada, así como su resistencia al calor y pobre aislamiento eléctrico.</w:t>
      </w:r>
    </w:p>
    <w:p>
      <w:pPr>
        <w:pStyle w:val="BodyText"/>
      </w:pPr>
    </w:p>
    <w:p>
      <w:pPr>
        <w:pStyle w:val="BodyText"/>
        <w:spacing w:line="360" w:lineRule="auto" w:before="142"/>
        <w:ind w:left="102" w:right="121"/>
        <w:jc w:val="both"/>
      </w:pPr>
      <w:r>
        <w:rPr/>
        <w:t>Debido a la demanda cada vez más frecuente en la tecnología del concreto, los expertos están respondiendo positivamente al proponer nuevas formulaciones que incorporan otros materiales, con el caso de materiales poliméricos. Se ha logrado mejoramiento cuando son sometidos a esfuerzos mecánicos, obteniéndose altas resistencias a la compresión, tensión y flexión en comparación con concretos hidráulicos sin polímeros.</w:t>
      </w:r>
    </w:p>
    <w:p>
      <w:pPr>
        <w:pStyle w:val="BodyText"/>
      </w:pPr>
    </w:p>
    <w:p>
      <w:pPr>
        <w:pStyle w:val="BodyText"/>
        <w:spacing w:line="360" w:lineRule="auto" w:before="142"/>
        <w:ind w:left="102" w:right="114"/>
        <w:jc w:val="both"/>
      </w:pPr>
      <w:r>
        <w:rPr/>
        <w:t>Los concretos que utilizan polímeros se clasifican en: 1) Concreto modificado con polímeros (CMP), que consiste en utilizar el polímero junto con el cemento; 2) Concreto impregnado con polímeros (CIP), en el cual se introduce un monómero o polímero  en  la  red  de  poros  del  concreto  ya  endurecido  y  posteriormente se</w:t>
      </w:r>
    </w:p>
    <w:p>
      <w:pPr>
        <w:spacing w:after="0" w:line="360" w:lineRule="auto"/>
        <w:jc w:val="both"/>
        <w:sectPr>
          <w:pgSz w:w="12240" w:h="15840"/>
          <w:pgMar w:header="0" w:footer="975" w:top="1500" w:bottom="1220" w:left="1600" w:right="1580"/>
        </w:sectPr>
      </w:pPr>
    </w:p>
    <w:p>
      <w:pPr>
        <w:pStyle w:val="BodyText"/>
        <w:spacing w:line="362" w:lineRule="auto" w:before="54"/>
        <w:ind w:left="102" w:right="121"/>
        <w:jc w:val="both"/>
      </w:pPr>
      <w:r>
        <w:rPr/>
        <w:t>polimeriza in situ; y 3) el Concreto polimérico (CP), en el cual el aglutinante es un polímero que sustituye a la pasta de cemento.</w:t>
      </w:r>
    </w:p>
    <w:p>
      <w:pPr>
        <w:pStyle w:val="BodyText"/>
      </w:pPr>
    </w:p>
    <w:p>
      <w:pPr>
        <w:pStyle w:val="BodyText"/>
      </w:pPr>
    </w:p>
    <w:p>
      <w:pPr>
        <w:pStyle w:val="BodyText"/>
      </w:pPr>
    </w:p>
    <w:p>
      <w:pPr>
        <w:pStyle w:val="Heading2"/>
        <w:numPr>
          <w:ilvl w:val="1"/>
          <w:numId w:val="5"/>
        </w:numPr>
        <w:tabs>
          <w:tab w:pos="506" w:val="left" w:leader="none"/>
        </w:tabs>
        <w:spacing w:line="240" w:lineRule="auto" w:before="0" w:after="0"/>
        <w:ind w:left="505" w:right="0" w:hanging="403"/>
        <w:jc w:val="both"/>
      </w:pPr>
      <w:bookmarkStart w:name="_bookmark4" w:id="6"/>
      <w:bookmarkEnd w:id="6"/>
      <w:r>
        <w:rPr>
          <w:b w:val="0"/>
        </w:rPr>
      </w:r>
      <w:bookmarkStart w:name="_bookmark4" w:id="7"/>
      <w:bookmarkEnd w:id="7"/>
      <w:r>
        <w:rPr/>
        <w:t>C</w:t>
      </w:r>
      <w:r>
        <w:rPr/>
        <w:t>oncreto</w:t>
      </w:r>
      <w:r>
        <w:rPr>
          <w:spacing w:val="-9"/>
        </w:rPr>
        <w:t> </w:t>
      </w:r>
      <w:r>
        <w:rPr/>
        <w:t>Polimérico</w:t>
      </w:r>
    </w:p>
    <w:p>
      <w:pPr>
        <w:pStyle w:val="BodyText"/>
        <w:rPr>
          <w:b/>
        </w:rPr>
      </w:pPr>
    </w:p>
    <w:p>
      <w:pPr>
        <w:pStyle w:val="BodyText"/>
        <w:rPr>
          <w:b/>
        </w:rPr>
      </w:pPr>
    </w:p>
    <w:p>
      <w:pPr>
        <w:pStyle w:val="BodyText"/>
        <w:spacing w:line="360" w:lineRule="auto"/>
        <w:ind w:left="102" w:right="115"/>
        <w:jc w:val="both"/>
      </w:pPr>
      <w:r>
        <w:rPr/>
        <w:t>Los estudios sobre el uso de polímeros en concretos se iniciaron en la década de los 60’s con la adición de resinas a morteros elaborados a base de cemento Portland con el propósito de mejorar la resistencia al desgaste del material, primordialmente cuando eran aplicados en medios en donde se requería resistencia al ataque químico. Dentro de esta clase de concretos se encuentra el concreto polimérico, es un material compuesto que se elabora con resinas poliméricas y agregados minerales. La resina polimérica representa al material cementante, es decir el agente de unión de los minerales incorporados, se le conoce como la “matriz” del material compuesto.</w:t>
      </w:r>
    </w:p>
    <w:p>
      <w:pPr>
        <w:pStyle w:val="BodyText"/>
      </w:pPr>
    </w:p>
    <w:p>
      <w:pPr>
        <w:pStyle w:val="BodyText"/>
        <w:spacing w:line="360" w:lineRule="auto" w:before="142"/>
        <w:ind w:left="102" w:right="115"/>
        <w:jc w:val="both"/>
      </w:pPr>
      <w:r>
        <w:rPr/>
        <w:t>Los concretos poliméricos presentan algunas ventajas con respecto al concreto hidráulico, elaborado con cemento Portland, entre las que se encuentran: ser  ligero (1/4 del peso del hidráulico), alta resistencia mecánica (en compresión, flexión e impacto), resistencia al rayado, alta resistencia química a ácidos, álcalis y otros elementos corrosivos, así como a los rayos UV; baja absorción de humedad y estabilidad bajo condiciones de congelación </w:t>
      </w:r>
      <w:r>
        <w:rPr>
          <w:spacing w:val="-3"/>
        </w:rPr>
        <w:t>(Varughese, </w:t>
      </w:r>
      <w:r>
        <w:rPr/>
        <w:t>1996). Actualmente algunas aplicaciones del concreto polimérico son la fabricación de revestimientos delgados, tuberías, componentes prefabricados para puentes y</w:t>
      </w:r>
      <w:r>
        <w:rPr>
          <w:spacing w:val="-28"/>
        </w:rPr>
        <w:t> </w:t>
      </w:r>
      <w:r>
        <w:rPr/>
        <w:t>edificios.</w:t>
      </w:r>
    </w:p>
    <w:p>
      <w:pPr>
        <w:pStyle w:val="BodyText"/>
      </w:pPr>
    </w:p>
    <w:p>
      <w:pPr>
        <w:pStyle w:val="BodyText"/>
        <w:spacing w:line="360" w:lineRule="auto" w:before="142"/>
        <w:ind w:left="102" w:right="116"/>
        <w:jc w:val="both"/>
      </w:pPr>
      <w:r>
        <w:rPr/>
        <w:t>Las propiedades finales del concreto polimérico dependen del tipo y concentración de resina polimérica, de los agregados minerales, así como de los agentes de curado. Dentro de las matrices poliméricas utilizadas para la elaboración del concreto polimérico, se encuentran diferentes tipos de resinas: poliéster, acrílicas, epóxicas, furánicas, entre otras. Mientras que en el caso de los agregados minerales, es recomendable que con estos el concreto presente bajo volumen y</w:t>
      </w:r>
    </w:p>
    <w:p>
      <w:pPr>
        <w:spacing w:after="0" w:line="360" w:lineRule="auto"/>
        <w:jc w:val="both"/>
        <w:sectPr>
          <w:pgSz w:w="12240" w:h="15840"/>
          <w:pgMar w:header="0" w:footer="975" w:top="1360" w:bottom="1220" w:left="1600" w:right="1580"/>
        </w:sectPr>
      </w:pPr>
    </w:p>
    <w:p>
      <w:pPr>
        <w:pStyle w:val="BodyText"/>
        <w:spacing w:line="360" w:lineRule="auto" w:before="54"/>
        <w:ind w:left="102" w:right="115"/>
        <w:jc w:val="both"/>
      </w:pPr>
      <w:r>
        <w:rPr/>
        <w:t>peso, y de preferencia menor volumen de vacíos (Ahn, 2003). Dentro los agregados finos y gruesos que se han utilizado se encuentran: cenizas volátiles, arena de río, arena sílice, arena o grava triturada, así como de otro tipo como CaCO</w:t>
      </w:r>
      <w:r>
        <w:rPr>
          <w:sz w:val="16"/>
        </w:rPr>
        <w:t>3</w:t>
      </w:r>
      <w:r>
        <w:rPr/>
        <w:t>, bentonita, barita (BaSO</w:t>
      </w:r>
      <w:r>
        <w:rPr>
          <w:sz w:val="16"/>
        </w:rPr>
        <w:t>4</w:t>
      </w:r>
      <w:r>
        <w:rPr/>
        <w:t>) (Martínez Barrera, et al., 2009).</w:t>
      </w:r>
    </w:p>
    <w:p>
      <w:pPr>
        <w:pStyle w:val="BodyText"/>
      </w:pPr>
    </w:p>
    <w:p>
      <w:pPr>
        <w:pStyle w:val="BodyText"/>
        <w:spacing w:line="360" w:lineRule="auto" w:before="142"/>
        <w:ind w:left="102" w:right="113"/>
        <w:jc w:val="both"/>
      </w:pPr>
      <w:r>
        <w:rPr/>
        <w:t>La sílice (SiO</w:t>
      </w:r>
      <w:r>
        <w:rPr>
          <w:position w:val="-4"/>
          <w:sz w:val="16"/>
        </w:rPr>
        <w:t>2</w:t>
      </w:r>
      <w:r>
        <w:rPr/>
        <w:t>) es el segundo elemento más abundante en la corteza terrestre después del oxígeno; se encuentra en la naturaleza en formas muy diversas de cuarzo y es el principal constituyente de la arena. La arena sílice tiene  aplicaciones en diferentes industrias como la electrónica, de la fundición, de la construcción, entre otras. Con la adición de arena sílice al concreto se puede  lograr poca permeabilidad, mejor resistencia a la tensión, flexión y compresión, así como mejor resistencia química y al congelamiento. Se recomienda que los minerales que se agreguen al concreto polimérico estén secos y libres de  suciedad con el fin de lograr mejor adherencia con la</w:t>
      </w:r>
      <w:r>
        <w:rPr>
          <w:spacing w:val="-22"/>
        </w:rPr>
        <w:t> </w:t>
      </w:r>
      <w:r>
        <w:rPr/>
        <w:t>resina.</w:t>
      </w:r>
    </w:p>
    <w:p>
      <w:pPr>
        <w:pStyle w:val="BodyText"/>
      </w:pPr>
    </w:p>
    <w:p>
      <w:pPr>
        <w:pStyle w:val="BodyText"/>
        <w:spacing w:line="360" w:lineRule="auto" w:before="142"/>
        <w:ind w:left="102" w:right="116"/>
        <w:jc w:val="both"/>
      </w:pPr>
      <w:r>
        <w:rPr/>
        <w:t>Adicionalmente, las propiedades del concreto polimérico pueden ser modificadas con la incorporación de materiales de refuerzo (como fibras o partículas). Existen numerosos trabajos de concreto hidráulico reforzado con fibras (naturales o sintéticas), pero muy poca información del reforzamiento con fibras orgánicas e inorgánicas en concreto polimérico. Por ejemplo, se ha incrementado la resistencia a la fractura de concreto polimérico cuando se añade fibra de vidrio y se varían las condiciones de curado y grado de compactación (Reis, 2007).</w:t>
      </w:r>
    </w:p>
    <w:p>
      <w:pPr>
        <w:pStyle w:val="BodyText"/>
      </w:pPr>
    </w:p>
    <w:p>
      <w:pPr>
        <w:pStyle w:val="BodyText"/>
      </w:pPr>
    </w:p>
    <w:p>
      <w:pPr>
        <w:pStyle w:val="BodyText"/>
        <w:spacing w:before="5"/>
      </w:pPr>
    </w:p>
    <w:p>
      <w:pPr>
        <w:pStyle w:val="Heading2"/>
        <w:numPr>
          <w:ilvl w:val="2"/>
          <w:numId w:val="5"/>
        </w:numPr>
        <w:tabs>
          <w:tab w:pos="705" w:val="left" w:leader="none"/>
        </w:tabs>
        <w:spacing w:line="240" w:lineRule="auto" w:before="0" w:after="0"/>
        <w:ind w:left="704" w:right="0" w:hanging="602"/>
        <w:jc w:val="both"/>
      </w:pPr>
      <w:bookmarkStart w:name="_bookmark5" w:id="8"/>
      <w:bookmarkEnd w:id="8"/>
      <w:r>
        <w:rPr>
          <w:b w:val="0"/>
        </w:rPr>
      </w:r>
      <w:bookmarkStart w:name="_bookmark5" w:id="9"/>
      <w:bookmarkEnd w:id="9"/>
      <w:r>
        <w:rPr/>
        <w:t>Re</w:t>
      </w:r>
      <w:r>
        <w:rPr/>
        <w:t>sina</w:t>
      </w:r>
      <w:r>
        <w:rPr>
          <w:spacing w:val="-3"/>
        </w:rPr>
        <w:t> </w:t>
      </w:r>
      <w:r>
        <w:rPr/>
        <w:t>poliéster</w:t>
      </w:r>
    </w:p>
    <w:p>
      <w:pPr>
        <w:pStyle w:val="BodyText"/>
        <w:rPr>
          <w:b/>
        </w:rPr>
      </w:pPr>
    </w:p>
    <w:p>
      <w:pPr>
        <w:pStyle w:val="BodyText"/>
        <w:rPr>
          <w:b/>
        </w:rPr>
      </w:pPr>
    </w:p>
    <w:p>
      <w:pPr>
        <w:pStyle w:val="BodyText"/>
        <w:spacing w:line="360" w:lineRule="auto"/>
        <w:ind w:left="102" w:right="112"/>
        <w:jc w:val="both"/>
      </w:pPr>
      <w:r>
        <w:rPr/>
        <w:t>Dos de las resinas más importantes utilizadas como matriz para la fabricación de concreto polimérico son las resinas de poliéster insaturado y las resinas epóxicas. Las primeras son las más utilizadas debido a sus numerosas ventajas, entre estas ser de menor costo, curar a temperatura ambiente; no es necesario aplicar presión para  su transformación  y moldeado;  tienen  excelente  estabilidad dimensional  y</w:t>
      </w:r>
    </w:p>
    <w:p>
      <w:pPr>
        <w:spacing w:after="0" w:line="360" w:lineRule="auto"/>
        <w:jc w:val="both"/>
        <w:sectPr>
          <w:pgSz w:w="12240" w:h="15840"/>
          <w:pgMar w:header="0" w:footer="975" w:top="1360" w:bottom="1220" w:left="1600" w:right="1580"/>
        </w:sectPr>
      </w:pPr>
    </w:p>
    <w:p>
      <w:pPr>
        <w:pStyle w:val="BodyText"/>
        <w:spacing w:line="362" w:lineRule="auto" w:before="54"/>
        <w:ind w:left="102"/>
      </w:pPr>
      <w:r>
        <w:rPr/>
        <w:t>propiedades mecánicas, además de ser resistentes a ambientes químicamente agresivos.</w:t>
      </w:r>
    </w:p>
    <w:p>
      <w:pPr>
        <w:pStyle w:val="BodyText"/>
      </w:pPr>
    </w:p>
    <w:p>
      <w:pPr>
        <w:pStyle w:val="BodyText"/>
        <w:spacing w:before="139"/>
        <w:ind w:left="102"/>
      </w:pPr>
      <w:r>
        <w:rPr/>
        <w:t>Las propiedades de la resina poliéster se muestran en la Tabla 1.</w:t>
      </w:r>
    </w:p>
    <w:p>
      <w:pPr>
        <w:pStyle w:val="BodyText"/>
      </w:pPr>
    </w:p>
    <w:p>
      <w:pPr>
        <w:pStyle w:val="BodyText"/>
        <w:spacing w:before="8"/>
        <w:rPr>
          <w:sz w:val="23"/>
        </w:rPr>
      </w:pPr>
    </w:p>
    <w:p>
      <w:pPr>
        <w:spacing w:before="0"/>
        <w:ind w:left="2425" w:right="0" w:firstLine="0"/>
        <w:jc w:val="left"/>
        <w:rPr>
          <w:sz w:val="22"/>
        </w:rPr>
      </w:pPr>
      <w:bookmarkStart w:name="_bookmark6" w:id="10"/>
      <w:bookmarkEnd w:id="10"/>
      <w:r>
        <w:rPr/>
      </w:r>
      <w:r>
        <w:rPr>
          <w:b/>
          <w:sz w:val="22"/>
        </w:rPr>
        <w:t>Tabla 1</w:t>
      </w:r>
      <w:r>
        <w:rPr>
          <w:sz w:val="22"/>
        </w:rPr>
        <w:t>. Propiedades de la resina poliéster</w:t>
      </w:r>
    </w:p>
    <w:p>
      <w:pPr>
        <w:pStyle w:val="BodyText"/>
        <w:spacing w:before="9" w:after="1"/>
        <w:rPr>
          <w:sz w:val="17"/>
        </w:rPr>
      </w:pPr>
    </w:p>
    <w:tbl>
      <w:tblPr>
        <w:tblW w:w="0" w:type="auto"/>
        <w:jc w:val="left"/>
        <w:tblInd w:w="23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75"/>
        <w:gridCol w:w="1148"/>
      </w:tblGrid>
      <w:tr>
        <w:trPr>
          <w:trHeight w:val="394" w:hRule="exact"/>
        </w:trPr>
        <w:tc>
          <w:tcPr>
            <w:tcW w:w="3175" w:type="dxa"/>
            <w:tcBorders>
              <w:left w:val="nil"/>
              <w:bottom w:val="single" w:sz="4" w:space="0" w:color="000000"/>
              <w:right w:val="nil"/>
            </w:tcBorders>
          </w:tcPr>
          <w:p>
            <w:pPr>
              <w:pStyle w:val="TableParagraph"/>
              <w:spacing w:line="248" w:lineRule="exact"/>
              <w:ind w:left="1048"/>
              <w:jc w:val="left"/>
              <w:rPr>
                <w:b/>
                <w:sz w:val="22"/>
              </w:rPr>
            </w:pPr>
            <w:r>
              <w:rPr>
                <w:b/>
                <w:sz w:val="22"/>
              </w:rPr>
              <w:t>Propiedad</w:t>
            </w:r>
          </w:p>
        </w:tc>
        <w:tc>
          <w:tcPr>
            <w:tcW w:w="1148" w:type="dxa"/>
            <w:tcBorders>
              <w:left w:val="nil"/>
              <w:bottom w:val="single" w:sz="4" w:space="0" w:color="000000"/>
              <w:right w:val="nil"/>
            </w:tcBorders>
          </w:tcPr>
          <w:p>
            <w:pPr>
              <w:pStyle w:val="TableParagraph"/>
              <w:spacing w:line="248" w:lineRule="exact"/>
              <w:ind w:left="89" w:right="87"/>
              <w:rPr>
                <w:b/>
                <w:sz w:val="22"/>
              </w:rPr>
            </w:pPr>
            <w:r>
              <w:rPr>
                <w:b/>
                <w:sz w:val="22"/>
              </w:rPr>
              <w:t>Valor</w:t>
            </w:r>
          </w:p>
        </w:tc>
      </w:tr>
      <w:tr>
        <w:trPr>
          <w:trHeight w:val="330" w:hRule="exact"/>
        </w:trPr>
        <w:tc>
          <w:tcPr>
            <w:tcW w:w="3175" w:type="dxa"/>
            <w:tcBorders>
              <w:top w:val="single" w:sz="4" w:space="0" w:color="000000"/>
              <w:left w:val="nil"/>
              <w:bottom w:val="nil"/>
              <w:right w:val="nil"/>
            </w:tcBorders>
          </w:tcPr>
          <w:p>
            <w:pPr>
              <w:pStyle w:val="TableParagraph"/>
              <w:spacing w:line="251" w:lineRule="exact"/>
              <w:ind w:left="107"/>
              <w:jc w:val="left"/>
              <w:rPr>
                <w:sz w:val="22"/>
              </w:rPr>
            </w:pPr>
            <w:r>
              <w:rPr>
                <w:sz w:val="22"/>
              </w:rPr>
              <w:t>Resistencia a la tracción, MPa</w:t>
            </w:r>
          </w:p>
        </w:tc>
        <w:tc>
          <w:tcPr>
            <w:tcW w:w="1148" w:type="dxa"/>
            <w:tcBorders>
              <w:top w:val="single" w:sz="4" w:space="0" w:color="000000"/>
              <w:left w:val="nil"/>
              <w:bottom w:val="nil"/>
              <w:right w:val="nil"/>
            </w:tcBorders>
          </w:tcPr>
          <w:p>
            <w:pPr>
              <w:pStyle w:val="TableParagraph"/>
              <w:spacing w:line="251" w:lineRule="exact"/>
              <w:ind w:left="89" w:right="86"/>
              <w:rPr>
                <w:sz w:val="22"/>
              </w:rPr>
            </w:pPr>
            <w:r>
              <w:rPr>
                <w:sz w:val="22"/>
              </w:rPr>
              <w:t>40-90</w:t>
            </w:r>
          </w:p>
        </w:tc>
      </w:tr>
      <w:tr>
        <w:trPr>
          <w:trHeight w:val="380" w:hRule="exact"/>
        </w:trPr>
        <w:tc>
          <w:tcPr>
            <w:tcW w:w="3175" w:type="dxa"/>
            <w:tcBorders>
              <w:top w:val="nil"/>
              <w:left w:val="nil"/>
              <w:bottom w:val="nil"/>
              <w:right w:val="nil"/>
            </w:tcBorders>
          </w:tcPr>
          <w:p>
            <w:pPr>
              <w:pStyle w:val="TableParagraph"/>
              <w:spacing w:before="51"/>
              <w:ind w:left="107"/>
              <w:jc w:val="left"/>
              <w:rPr>
                <w:sz w:val="22"/>
              </w:rPr>
            </w:pPr>
            <w:r>
              <w:rPr>
                <w:sz w:val="22"/>
              </w:rPr>
              <w:t>Módulo de tracción, GPa</w:t>
            </w:r>
          </w:p>
        </w:tc>
        <w:tc>
          <w:tcPr>
            <w:tcW w:w="1148" w:type="dxa"/>
            <w:tcBorders>
              <w:top w:val="nil"/>
              <w:left w:val="nil"/>
              <w:bottom w:val="nil"/>
              <w:right w:val="nil"/>
            </w:tcBorders>
          </w:tcPr>
          <w:p>
            <w:pPr>
              <w:pStyle w:val="TableParagraph"/>
              <w:spacing w:before="51"/>
              <w:ind w:left="88" w:right="88"/>
              <w:rPr>
                <w:sz w:val="22"/>
              </w:rPr>
            </w:pPr>
            <w:r>
              <w:rPr>
                <w:sz w:val="22"/>
              </w:rPr>
              <w:t>2-4.4</w:t>
            </w:r>
          </w:p>
        </w:tc>
      </w:tr>
      <w:tr>
        <w:trPr>
          <w:trHeight w:val="374" w:hRule="exact"/>
        </w:trPr>
        <w:tc>
          <w:tcPr>
            <w:tcW w:w="3175" w:type="dxa"/>
            <w:tcBorders>
              <w:top w:val="nil"/>
              <w:left w:val="nil"/>
              <w:bottom w:val="nil"/>
              <w:right w:val="nil"/>
            </w:tcBorders>
          </w:tcPr>
          <w:p>
            <w:pPr>
              <w:pStyle w:val="TableParagraph"/>
              <w:spacing w:before="52"/>
              <w:ind w:left="107"/>
              <w:jc w:val="left"/>
              <w:rPr>
                <w:sz w:val="22"/>
              </w:rPr>
            </w:pPr>
            <w:r>
              <w:rPr>
                <w:sz w:val="22"/>
              </w:rPr>
              <w:t>Resistencia a la flexión, MPa</w:t>
            </w:r>
          </w:p>
        </w:tc>
        <w:tc>
          <w:tcPr>
            <w:tcW w:w="1148" w:type="dxa"/>
            <w:tcBorders>
              <w:top w:val="nil"/>
              <w:left w:val="nil"/>
              <w:bottom w:val="nil"/>
              <w:right w:val="nil"/>
            </w:tcBorders>
          </w:tcPr>
          <w:p>
            <w:pPr>
              <w:pStyle w:val="TableParagraph"/>
              <w:spacing w:before="52"/>
              <w:ind w:left="89" w:right="88"/>
              <w:rPr>
                <w:sz w:val="22"/>
              </w:rPr>
            </w:pPr>
            <w:r>
              <w:rPr>
                <w:sz w:val="22"/>
              </w:rPr>
              <w:t>60 – 160</w:t>
            </w:r>
          </w:p>
        </w:tc>
      </w:tr>
      <w:tr>
        <w:trPr>
          <w:trHeight w:val="451" w:hRule="exact"/>
        </w:trPr>
        <w:tc>
          <w:tcPr>
            <w:tcW w:w="3175" w:type="dxa"/>
            <w:tcBorders>
              <w:top w:val="nil"/>
              <w:left w:val="nil"/>
              <w:right w:val="nil"/>
            </w:tcBorders>
          </w:tcPr>
          <w:p>
            <w:pPr>
              <w:pStyle w:val="TableParagraph"/>
              <w:spacing w:before="54"/>
              <w:ind w:left="107"/>
              <w:jc w:val="left"/>
              <w:rPr>
                <w:sz w:val="14"/>
              </w:rPr>
            </w:pPr>
            <w:r>
              <w:rPr>
                <w:sz w:val="22"/>
              </w:rPr>
              <w:t>Densidad, g/cm</w:t>
            </w:r>
            <w:r>
              <w:rPr>
                <w:position w:val="8"/>
                <w:sz w:val="14"/>
              </w:rPr>
              <w:t>3</w:t>
            </w:r>
          </w:p>
        </w:tc>
        <w:tc>
          <w:tcPr>
            <w:tcW w:w="1148" w:type="dxa"/>
            <w:tcBorders>
              <w:top w:val="nil"/>
              <w:left w:val="nil"/>
              <w:right w:val="nil"/>
            </w:tcBorders>
          </w:tcPr>
          <w:p>
            <w:pPr>
              <w:pStyle w:val="TableParagraph"/>
              <w:spacing w:before="59"/>
              <w:ind w:left="89" w:right="88"/>
              <w:rPr>
                <w:sz w:val="22"/>
              </w:rPr>
            </w:pPr>
            <w:r>
              <w:rPr>
                <w:sz w:val="22"/>
              </w:rPr>
              <w:t>1.10-1.46</w:t>
            </w:r>
          </w:p>
        </w:tc>
      </w:tr>
    </w:tbl>
    <w:p>
      <w:pPr>
        <w:pStyle w:val="BodyText"/>
        <w:rPr>
          <w:sz w:val="20"/>
        </w:rPr>
      </w:pPr>
    </w:p>
    <w:p>
      <w:pPr>
        <w:pStyle w:val="BodyText"/>
        <w:rPr>
          <w:sz w:val="20"/>
        </w:rPr>
      </w:pPr>
    </w:p>
    <w:p>
      <w:pPr>
        <w:pStyle w:val="BodyText"/>
        <w:spacing w:before="9"/>
        <w:rPr>
          <w:sz w:val="25"/>
        </w:rPr>
      </w:pPr>
    </w:p>
    <w:p>
      <w:pPr>
        <w:pStyle w:val="BodyText"/>
        <w:spacing w:line="360" w:lineRule="auto" w:before="69"/>
        <w:ind w:left="102" w:right="120"/>
        <w:jc w:val="both"/>
      </w:pPr>
      <w:r>
        <w:rPr/>
        <w:t>El curado de la resina poliéster se realiza por diferentes vías: mediante el uso de iniciadores químicos y aceleradores (curado simple), por la aplicación de calor o bien por exposición a la radiación.</w:t>
      </w:r>
    </w:p>
    <w:p>
      <w:pPr>
        <w:pStyle w:val="BodyText"/>
      </w:pPr>
    </w:p>
    <w:p>
      <w:pPr>
        <w:pStyle w:val="BodyText"/>
        <w:spacing w:line="360" w:lineRule="auto" w:before="142"/>
        <w:ind w:left="102" w:right="115"/>
        <w:jc w:val="both"/>
      </w:pPr>
      <w:r>
        <w:rPr/>
        <w:t>Las resinas de poliéster se suministran en forma de líquido viscoso; las resinas comerciales están formadas por moléculas lineales de poliéster insaturado disueltas en estireno y mediante la adición de catalizadores se transforma al estado sólido, el cual no podrá ser transformado nuevamente al estado líquido debido a que la reacción de polimerización que ocurre es irreversible.</w:t>
      </w:r>
    </w:p>
    <w:p>
      <w:pPr>
        <w:pStyle w:val="BodyText"/>
      </w:pPr>
    </w:p>
    <w:p>
      <w:pPr>
        <w:pStyle w:val="BodyText"/>
        <w:spacing w:line="360" w:lineRule="auto" w:before="142"/>
        <w:ind w:left="102" w:right="114"/>
        <w:jc w:val="both"/>
      </w:pPr>
      <w:r>
        <w:rPr/>
        <w:t>En el curado simple (a temperatura ambiente) se agrega primero un acelerador  por ejemplo sal de cobalto orgánica y posteriormente se agrega un iniciador, normalmente se utiliza peróxido de metiletil cetona. Se debe evitar que el acelerador y el iniciador se mezclen directamente ya que generan una reacción exotérmica (explosiva), cuando se alcanza la temperatura de reacción ésta cambia abruptamente y cuando se llega a la temperatura de transición vítrea la velocidad de reacción decrece (Reis y col., 2003). El iniciador reacciona con el acelerador, creando radicales libres que atacan los dobles enlaces de la molécula de</w:t>
      </w:r>
      <w:r>
        <w:rPr>
          <w:spacing w:val="65"/>
        </w:rPr>
        <w:t> </w:t>
      </w:r>
      <w:r>
        <w:rPr/>
        <w:t>poliéster</w:t>
      </w:r>
    </w:p>
    <w:p>
      <w:pPr>
        <w:spacing w:after="0" w:line="360" w:lineRule="auto"/>
        <w:jc w:val="both"/>
        <w:sectPr>
          <w:pgSz w:w="12240" w:h="15840"/>
          <w:pgMar w:header="0" w:footer="975" w:top="1360" w:bottom="1220" w:left="1600" w:right="1580"/>
        </w:sectPr>
      </w:pPr>
    </w:p>
    <w:p>
      <w:pPr>
        <w:pStyle w:val="BodyText"/>
        <w:spacing w:line="360" w:lineRule="auto" w:before="54"/>
        <w:ind w:left="102" w:right="118"/>
        <w:jc w:val="both"/>
      </w:pPr>
      <w:r>
        <w:rPr/>
        <w:t>insaturado y del estireno produciéndose el acoplamiento de las cadenas de estireno sobre las moléculas del prepolímero, es decir el entrecruzamiento que solidifica al poliéster.</w:t>
      </w:r>
    </w:p>
    <w:p>
      <w:pPr>
        <w:pStyle w:val="BodyText"/>
      </w:pPr>
    </w:p>
    <w:p>
      <w:pPr>
        <w:pStyle w:val="BodyText"/>
        <w:spacing w:line="360" w:lineRule="auto" w:before="142"/>
        <w:ind w:left="102" w:right="123"/>
        <w:jc w:val="both"/>
      </w:pPr>
      <w:r>
        <w:rPr/>
        <w:t>Los porcentajes de la resina en el concreto polimérico son variados, por ejemplo en el caso de las resinas poliéster (las más utilizadas por su bajo costo y resistencia a la corrosión) se han utilizado 10, 14 y 18% en peso (Ismail y col. 1998); 12% en peso (resina poliéster isoftálica) </w:t>
      </w:r>
      <w:r>
        <w:rPr>
          <w:spacing w:val="-5"/>
        </w:rPr>
        <w:t>(Tomas </w:t>
      </w:r>
      <w:r>
        <w:rPr/>
        <w:t>y col. 2005), 20% en peso (resina poliéster ortoftálica) (Reis y col. 2003). Para el caso de resina epoxi 20%  en peso (Martínez Ramírez y col.,</w:t>
      </w:r>
      <w:r>
        <w:rPr>
          <w:spacing w:val="-13"/>
        </w:rPr>
        <w:t> </w:t>
      </w:r>
      <w:r>
        <w:rPr/>
        <w:t>2002).</w:t>
      </w:r>
    </w:p>
    <w:p>
      <w:pPr>
        <w:pStyle w:val="BodyText"/>
      </w:pPr>
    </w:p>
    <w:p>
      <w:pPr>
        <w:pStyle w:val="BodyText"/>
        <w:spacing w:line="360" w:lineRule="auto" w:before="142"/>
        <w:ind w:left="102" w:right="124"/>
        <w:jc w:val="both"/>
      </w:pPr>
      <w:r>
        <w:rPr/>
        <w:t>Aunque se han reportado valores elevados en las propiedades mecánicas de concretos poliméricos (resistencia a la compresión, flexión y tensión), se ha encontrado la viabilidad de incrementar estas mediante la adición de fibras.</w:t>
      </w:r>
    </w:p>
    <w:p>
      <w:pPr>
        <w:pStyle w:val="BodyText"/>
      </w:pPr>
    </w:p>
    <w:p>
      <w:pPr>
        <w:pStyle w:val="BodyText"/>
      </w:pPr>
    </w:p>
    <w:p>
      <w:pPr>
        <w:pStyle w:val="BodyText"/>
        <w:spacing w:before="2"/>
      </w:pPr>
    </w:p>
    <w:p>
      <w:pPr>
        <w:pStyle w:val="Heading2"/>
        <w:numPr>
          <w:ilvl w:val="1"/>
          <w:numId w:val="5"/>
        </w:numPr>
        <w:tabs>
          <w:tab w:pos="506" w:val="left" w:leader="none"/>
        </w:tabs>
        <w:spacing w:line="240" w:lineRule="auto" w:before="1" w:after="0"/>
        <w:ind w:left="505" w:right="0" w:hanging="403"/>
        <w:jc w:val="both"/>
      </w:pPr>
      <w:bookmarkStart w:name="_bookmark7" w:id="11"/>
      <w:bookmarkEnd w:id="11"/>
      <w:r>
        <w:rPr>
          <w:b w:val="0"/>
        </w:rPr>
      </w:r>
      <w:bookmarkStart w:name="_bookmark7" w:id="12"/>
      <w:bookmarkEnd w:id="12"/>
      <w:r>
        <w:rPr/>
        <w:t>C</w:t>
      </w:r>
      <w:r>
        <w:rPr/>
        <w:t>oncreto reforzado con</w:t>
      </w:r>
      <w:r>
        <w:rPr>
          <w:spacing w:val="-8"/>
        </w:rPr>
        <w:t> </w:t>
      </w:r>
      <w:r>
        <w:rPr/>
        <w:t>fibras</w:t>
      </w:r>
    </w:p>
    <w:p>
      <w:pPr>
        <w:pStyle w:val="BodyText"/>
        <w:rPr>
          <w:b/>
        </w:rPr>
      </w:pPr>
    </w:p>
    <w:p>
      <w:pPr>
        <w:pStyle w:val="BodyText"/>
        <w:rPr>
          <w:b/>
        </w:rPr>
      </w:pPr>
    </w:p>
    <w:p>
      <w:pPr>
        <w:pStyle w:val="BodyText"/>
        <w:spacing w:line="360" w:lineRule="auto"/>
        <w:ind w:left="102" w:right="115"/>
        <w:jc w:val="both"/>
      </w:pPr>
      <w:r>
        <w:rPr/>
        <w:t>Desde hace mucho tiempo las fibras han sido utilizadas para reforzar materiales frágiles, por ejemplo: la paja en los ladrillos de arcilla cocidos al sol, o el pelo de caballo para las molduras de yeso. Las primeras fibras sintéticas se desarrollaron hacia 1890 tomando como base a la celulosa natural, se dieron a conocer con el nombre de rayón.</w:t>
      </w:r>
    </w:p>
    <w:p>
      <w:pPr>
        <w:pStyle w:val="BodyText"/>
      </w:pPr>
    </w:p>
    <w:p>
      <w:pPr>
        <w:pStyle w:val="BodyText"/>
        <w:spacing w:line="360" w:lineRule="auto" w:before="142"/>
        <w:ind w:left="102" w:right="116"/>
        <w:jc w:val="both"/>
      </w:pPr>
      <w:r>
        <w:rPr/>
        <w:t>Existen diferentes tipos de fibras que se utilizan en el reforzamiento de mezclas de concreto. Éstas pueden ser sintéticas orgánicas (polipropileno, carbón), sintéticas inorgánicas (acero, vidrio) o naturales orgánicas (asbesto). En la actualidad, la mayoría de las fibras sintéticas se fabrican a partir de derivados petroquímicos. Cabe mencionar que las fibras de acero, vidrio, polipropileno y poliéster son las más utilizadas en la industria de la construcción en Estados Unidos, mientras que en  Europa  lo han  sido  las fibras acrílicas.  En  países poco  desarrollados y   por</w:t>
      </w:r>
    </w:p>
    <w:p>
      <w:pPr>
        <w:spacing w:after="0" w:line="360" w:lineRule="auto"/>
        <w:jc w:val="both"/>
        <w:sectPr>
          <w:pgSz w:w="12240" w:h="15840"/>
          <w:pgMar w:header="0" w:footer="975" w:top="1360" w:bottom="1220" w:left="1600" w:right="1580"/>
        </w:sectPr>
      </w:pPr>
    </w:p>
    <w:p>
      <w:pPr>
        <w:pStyle w:val="BodyText"/>
        <w:spacing w:line="362" w:lineRule="auto" w:before="54"/>
        <w:ind w:left="102" w:right="125"/>
        <w:jc w:val="both"/>
      </w:pPr>
      <w:r>
        <w:rPr/>
        <w:t>razones económicas, las fibras naturales orgánicas son las que se utilizan más comúnmente.</w:t>
      </w:r>
    </w:p>
    <w:p>
      <w:pPr>
        <w:pStyle w:val="BodyText"/>
      </w:pPr>
    </w:p>
    <w:p>
      <w:pPr>
        <w:pStyle w:val="BodyText"/>
        <w:spacing w:line="360" w:lineRule="auto" w:before="139"/>
        <w:ind w:left="102" w:right="115"/>
        <w:jc w:val="both"/>
      </w:pPr>
      <w:r>
        <w:rPr/>
        <w:t>Los beneficios que las fibras proporcionan en la resistencia a la tensión y la tenacidad, hacen que el concreto se utilice en losas de aeropuertos y carreteras; en la reparación de piezas con problemas de cavitación; en depósitos, muelles y rompeolas.</w:t>
      </w:r>
    </w:p>
    <w:p>
      <w:pPr>
        <w:pStyle w:val="BodyText"/>
      </w:pPr>
    </w:p>
    <w:p>
      <w:pPr>
        <w:pStyle w:val="BodyText"/>
        <w:spacing w:line="360" w:lineRule="auto" w:before="142"/>
        <w:ind w:left="102" w:right="116"/>
        <w:jc w:val="both"/>
      </w:pPr>
      <w:r>
        <w:rPr/>
        <w:t>En el caso de concretos poliméricos con concentraciones entre el 10 y el 18% en peso de resina epoxi, se ha mejorado la resistencia a la fractura con la adición del 1% en peso de fibra de carbono (Reis y col., 2004). En concreto polimérico con refuerzos de fibra de vidrio, la resistencia a la compresión se ha mejorado (Vipulanandan y col., 1990). Cuando se añade una concentración relativamente baja de fibras de nylon (debido a sus propiedades y ventajas económicas), se mejora considerablemente la resistencia al impacto, sin embargo este tipo de fibras tienen muy poco efecto en la resistencia a la tracción y a la flexión. Por otro lado, las fibras de polipropileno mejoran la capacidad de absorción de energía después del agrietamiento así como la resistencia a la flexión, dureza, ductilidad, entre otros; sin embargo existe una problemática porque aunque las fibras de polipropileno pueden reducir la propagación de grietas, la poca adherencia de este reforzamiento con el concreto puede ocasionar la penetración de agentes externos en él (Martínez Barrera y col.,</w:t>
      </w:r>
      <w:r>
        <w:rPr>
          <w:spacing w:val="-13"/>
        </w:rPr>
        <w:t> </w:t>
      </w:r>
      <w:r>
        <w:rPr/>
        <w:t>2009).</w:t>
      </w:r>
    </w:p>
    <w:p>
      <w:pPr>
        <w:pStyle w:val="BodyText"/>
      </w:pPr>
    </w:p>
    <w:p>
      <w:pPr>
        <w:pStyle w:val="BodyText"/>
        <w:spacing w:line="360" w:lineRule="auto" w:before="142"/>
        <w:ind w:left="102" w:right="116"/>
        <w:jc w:val="both"/>
      </w:pPr>
      <w:r>
        <w:rPr/>
        <w:t>Estas fibras sintéticas utilizadas como refuerzo fueron creadas para tal propósito, y con muy buenos resultados, aún así es posible sacar provecho de algunos productos de desecho, utilizándolos como refuerzo o agregado del concreto; a continuación se mencionan algunos ejemplos de concreto ecológico.</w:t>
      </w:r>
    </w:p>
    <w:p>
      <w:pPr>
        <w:spacing w:after="0" w:line="360" w:lineRule="auto"/>
        <w:jc w:val="both"/>
        <w:sectPr>
          <w:pgSz w:w="12240" w:h="15840"/>
          <w:pgMar w:header="0" w:footer="975" w:top="1360" w:bottom="1220" w:left="1600" w:right="1580"/>
        </w:sectPr>
      </w:pPr>
    </w:p>
    <w:p>
      <w:pPr>
        <w:pStyle w:val="Heading2"/>
        <w:numPr>
          <w:ilvl w:val="1"/>
          <w:numId w:val="5"/>
        </w:numPr>
        <w:tabs>
          <w:tab w:pos="506" w:val="left" w:leader="none"/>
        </w:tabs>
        <w:spacing w:line="240" w:lineRule="auto" w:before="54" w:after="0"/>
        <w:ind w:left="505" w:right="0" w:hanging="403"/>
        <w:jc w:val="both"/>
      </w:pPr>
      <w:bookmarkStart w:name="_bookmark8" w:id="13"/>
      <w:bookmarkEnd w:id="13"/>
      <w:r>
        <w:rPr>
          <w:b w:val="0"/>
        </w:rPr>
      </w:r>
      <w:bookmarkStart w:name="_bookmark8" w:id="14"/>
      <w:bookmarkEnd w:id="14"/>
      <w:r>
        <w:rPr/>
        <w:t>C</w:t>
      </w:r>
      <w:r>
        <w:rPr/>
        <w:t>oncreto Ecológico: Agregados</w:t>
      </w:r>
      <w:r>
        <w:rPr>
          <w:spacing w:val="-23"/>
        </w:rPr>
        <w:t> </w:t>
      </w:r>
      <w:r>
        <w:rPr/>
        <w:t>reciclados</w:t>
      </w:r>
    </w:p>
    <w:p>
      <w:pPr>
        <w:pStyle w:val="BodyText"/>
        <w:rPr>
          <w:b/>
        </w:rPr>
      </w:pPr>
    </w:p>
    <w:p>
      <w:pPr>
        <w:pStyle w:val="BodyText"/>
        <w:rPr>
          <w:b/>
        </w:rPr>
      </w:pPr>
    </w:p>
    <w:p>
      <w:pPr>
        <w:pStyle w:val="BodyText"/>
        <w:spacing w:line="360" w:lineRule="auto"/>
        <w:ind w:left="102" w:right="122"/>
        <w:jc w:val="both"/>
      </w:pPr>
      <w:r>
        <w:rPr/>
        <w:t>Hoy en día la “industria de lo verde” se ha posicionado no solo como una política de manufactura, sino también como una característica adicional que hace a un producto deseable. La industria sustentable que sea amigable con el ambiente tiene como meta aprovechar aquellos desperdicios industriales tanto orgánicos como inorgánicos con el fin de verse beneficiada ecológica y económicamente.</w:t>
      </w:r>
    </w:p>
    <w:p>
      <w:pPr>
        <w:pStyle w:val="BodyText"/>
      </w:pPr>
    </w:p>
    <w:p>
      <w:pPr>
        <w:pStyle w:val="BodyText"/>
        <w:spacing w:line="360" w:lineRule="auto" w:before="142"/>
        <w:ind w:left="102" w:right="115"/>
        <w:jc w:val="both"/>
      </w:pPr>
      <w:r>
        <w:rPr/>
        <w:t>La industria de la construcción ha incursionado en los procesos sustentables; se han desarrollado estrategias ecológicas con el propósito de mejorar las propiedades mecánicas del concreto; estrategias que incluyen la incorporación de materiales reciclados en la elaboración del concreto, provenientes principalmente de residuos industriales o de productos que han terminado su vida útil. Cualquier componente del concreto, en principio, puede ser reemplazado por un material reciclado, como la matriz cementante, los agregados minerales o los refuerzos. La idea primordial es hacer de la industria de la construcción una industria sustentable.</w:t>
      </w:r>
    </w:p>
    <w:p>
      <w:pPr>
        <w:pStyle w:val="BodyText"/>
      </w:pPr>
    </w:p>
    <w:p>
      <w:pPr>
        <w:pStyle w:val="BodyText"/>
        <w:spacing w:line="360" w:lineRule="auto" w:before="142"/>
        <w:ind w:left="102" w:right="114"/>
        <w:jc w:val="both"/>
      </w:pPr>
      <w:r>
        <w:rPr/>
        <w:t>Existen estudios sobre los efectos causados por la adición de residuos reciclados en la elaboración de concreto hidráulico, por ejemplo: a) residuos de materiales de construcción en sustitución de agregados minerales, con lo cual se han logrado materiales para ser utilizados como estructuras (Vytlačilová, </w:t>
      </w:r>
      <w:r>
        <w:rPr>
          <w:spacing w:val="-4"/>
        </w:rPr>
        <w:t>2011); </w:t>
      </w:r>
      <w:r>
        <w:rPr/>
        <w:t>b) Se ha utilizado ceniza volante (fly-ash) y escoria de alto horno (furnace-slag) para  obtener estructuras más duraderas y con mejores propiedades micro- estructurales; c) agregados reciclados que incluyen vidrio (menor a 10 </w:t>
      </w:r>
      <w:r>
        <w:rPr>
          <w:rFonts w:ascii="Symbol" w:hAnsi="Symbol"/>
        </w:rPr>
        <w:t></w:t>
      </w:r>
      <w:r>
        <w:rPr/>
        <w:t>m) para que el concreto hidráulico tenga mayor dureza y resistencia a la abrasión; d) plástico reciclado reforzado con fibra de vidrio añadido al concreto hidráulico; e) Incorporación de polímeros termofijos al concreto con el cual se incrementó la resistencia a la compresión hasta en 15% después de un tiempo de curado de 180 días; concreto que puede ser aplicado como panel de revestimiento (Osmani, </w:t>
      </w:r>
      <w:r>
        <w:rPr>
          <w:spacing w:val="-3"/>
        </w:rPr>
        <w:t>2011).</w:t>
      </w:r>
    </w:p>
    <w:p>
      <w:pPr>
        <w:spacing w:after="0" w:line="360" w:lineRule="auto"/>
        <w:jc w:val="both"/>
        <w:sectPr>
          <w:pgSz w:w="12240" w:h="15840"/>
          <w:pgMar w:header="0" w:footer="975" w:top="1360" w:bottom="1220" w:left="1600" w:right="1580"/>
        </w:sectPr>
      </w:pPr>
    </w:p>
    <w:p>
      <w:pPr>
        <w:pStyle w:val="BodyText"/>
        <w:spacing w:before="7"/>
        <w:rPr>
          <w:sz w:val="22"/>
        </w:rPr>
      </w:pPr>
    </w:p>
    <w:p>
      <w:pPr>
        <w:pStyle w:val="BodyText"/>
        <w:spacing w:line="360" w:lineRule="auto" w:before="69"/>
        <w:ind w:left="102" w:right="115"/>
        <w:jc w:val="both"/>
      </w:pPr>
      <w:r>
        <w:rPr/>
        <w:t>En el caso de concreto polimérico son escasos los estudios que contemplan el añadir un material reciclado. Por ejemplo: a) se ha incorporado plástico reciclado, con el cual se ha aumentado la resistencia a la flexión y a la compresión hasta un 12%, esto al añadir 8% del plástico reciclado. (Ribeiro, </w:t>
      </w:r>
      <w:r>
        <w:rPr>
          <w:spacing w:val="-4"/>
        </w:rPr>
        <w:t>2011);</w:t>
      </w:r>
      <w:r>
        <w:rPr>
          <w:spacing w:val="58"/>
        </w:rPr>
        <w:t> </w:t>
      </w:r>
      <w:r>
        <w:rPr/>
        <w:t>b) concreto polimérico con residuos de madera, lográndose mayor resistencia a la flexión y a  la fractura; concreto que fue elaborado con 20% en peso de resina epóxica, arena sílice y 1% de residuos de madera (Reis 2006); c) concreto polimérico elaborado con agregados reciclados y una resina obtenida de PET reciclado, obteniéndose un material más duradero y resistente. La resina fue obtenida a partir de botellas recicladas, la cual cuenta con propiedades similares a las de una resina poliéster comercial pero con la ventaja de ser de bajo costo, utilizar poca energía en su procesamiento y sobre todo contribuye a reducir la contaminación ambiental (Reis, </w:t>
      </w:r>
      <w:r>
        <w:rPr>
          <w:spacing w:val="-4"/>
        </w:rPr>
        <w:t>2011; </w:t>
      </w:r>
      <w:r>
        <w:rPr/>
        <w:t>Hisham,</w:t>
      </w:r>
      <w:r>
        <w:rPr>
          <w:spacing w:val="7"/>
        </w:rPr>
        <w:t> </w:t>
      </w:r>
      <w:r>
        <w:rPr>
          <w:spacing w:val="-4"/>
        </w:rPr>
        <w:t>2011).</w:t>
      </w:r>
    </w:p>
    <w:p>
      <w:pPr>
        <w:pStyle w:val="BodyText"/>
      </w:pPr>
    </w:p>
    <w:p>
      <w:pPr>
        <w:pStyle w:val="BodyText"/>
      </w:pPr>
    </w:p>
    <w:p>
      <w:pPr>
        <w:pStyle w:val="BodyText"/>
        <w:spacing w:before="2"/>
      </w:pPr>
    </w:p>
    <w:p>
      <w:pPr>
        <w:pStyle w:val="Heading2"/>
        <w:numPr>
          <w:ilvl w:val="2"/>
          <w:numId w:val="5"/>
        </w:numPr>
        <w:tabs>
          <w:tab w:pos="704" w:val="left" w:leader="none"/>
        </w:tabs>
        <w:spacing w:line="240" w:lineRule="auto" w:before="1" w:after="0"/>
        <w:ind w:left="703" w:right="0" w:hanging="601"/>
        <w:jc w:val="both"/>
      </w:pPr>
      <w:bookmarkStart w:name="_bookmark9" w:id="15"/>
      <w:bookmarkEnd w:id="15"/>
      <w:r>
        <w:rPr>
          <w:b w:val="0"/>
        </w:rPr>
      </w:r>
      <w:bookmarkStart w:name="_bookmark9" w:id="16"/>
      <w:bookmarkEnd w:id="16"/>
      <w:r>
        <w:rPr/>
        <w:t>Ll</w:t>
      </w:r>
      <w:r>
        <w:rPr/>
        <w:t>antas y su reuso en</w:t>
      </w:r>
      <w:r>
        <w:rPr>
          <w:spacing w:val="-7"/>
        </w:rPr>
        <w:t> </w:t>
      </w:r>
      <w:r>
        <w:rPr/>
        <w:t>concreto</w:t>
      </w:r>
    </w:p>
    <w:p>
      <w:pPr>
        <w:pStyle w:val="BodyText"/>
        <w:rPr>
          <w:b/>
        </w:rPr>
      </w:pPr>
    </w:p>
    <w:p>
      <w:pPr>
        <w:pStyle w:val="BodyText"/>
        <w:rPr>
          <w:b/>
        </w:rPr>
      </w:pPr>
    </w:p>
    <w:p>
      <w:pPr>
        <w:pStyle w:val="BodyText"/>
        <w:spacing w:line="360" w:lineRule="auto"/>
        <w:ind w:left="102" w:right="117"/>
        <w:jc w:val="both"/>
      </w:pPr>
      <w:r>
        <w:rPr/>
        <w:t>Los componentes típicos en la elaboración de llantas incluyen: elastómeros sintéticos, elastómeros naturales, azufre y sus compuestos, resinas fenólicas, aceites, y cables de acero entre otros. Como pigmentos se utilizan el óxido de  zinc, dióxido de titanio, negro de carbono (Siddique y Naik, 2004). En la </w:t>
      </w:r>
      <w:r>
        <w:rPr>
          <w:spacing w:val="-5"/>
        </w:rPr>
        <w:t>Tabla </w:t>
      </w:r>
      <w:r>
        <w:rPr/>
        <w:t>2 se presenta la composición típica de llantas</w:t>
      </w:r>
      <w:r>
        <w:rPr>
          <w:spacing w:val="-15"/>
        </w:rPr>
        <w:t> </w:t>
      </w:r>
      <w:r>
        <w:rPr/>
        <w:t>comerciales.</w:t>
      </w:r>
    </w:p>
    <w:p>
      <w:pPr>
        <w:pStyle w:val="BodyText"/>
      </w:pPr>
    </w:p>
    <w:p>
      <w:pPr>
        <w:spacing w:before="139"/>
        <w:ind w:left="2041" w:right="0" w:firstLine="0"/>
        <w:jc w:val="left"/>
        <w:rPr>
          <w:sz w:val="22"/>
        </w:rPr>
      </w:pPr>
      <w:bookmarkStart w:name="_bookmark10" w:id="17"/>
      <w:bookmarkEnd w:id="17"/>
      <w:r>
        <w:rPr/>
      </w:r>
      <w:r>
        <w:rPr>
          <w:b/>
          <w:sz w:val="22"/>
        </w:rPr>
        <w:t>Tabla 2</w:t>
      </w:r>
      <w:r>
        <w:rPr>
          <w:sz w:val="22"/>
        </w:rPr>
        <w:t>.Composición típica de llantas comerciales.</w:t>
      </w:r>
    </w:p>
    <w:p>
      <w:pPr>
        <w:pStyle w:val="BodyText"/>
        <w:spacing w:before="10"/>
        <w:rPr>
          <w:sz w:val="17"/>
        </w:rPr>
      </w:pPr>
    </w:p>
    <w:tbl>
      <w:tblPr>
        <w:tblW w:w="0" w:type="auto"/>
        <w:jc w:val="left"/>
        <w:tblInd w:w="1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376"/>
        <w:gridCol w:w="2757"/>
        <w:gridCol w:w="2531"/>
      </w:tblGrid>
      <w:tr>
        <w:trPr>
          <w:trHeight w:val="778" w:hRule="exact"/>
        </w:trPr>
        <w:tc>
          <w:tcPr>
            <w:tcW w:w="3376" w:type="dxa"/>
            <w:tcBorders>
              <w:left w:val="nil"/>
              <w:right w:val="nil"/>
            </w:tcBorders>
          </w:tcPr>
          <w:p>
            <w:pPr/>
          </w:p>
        </w:tc>
        <w:tc>
          <w:tcPr>
            <w:tcW w:w="2757" w:type="dxa"/>
            <w:tcBorders>
              <w:left w:val="nil"/>
              <w:right w:val="nil"/>
            </w:tcBorders>
          </w:tcPr>
          <w:p>
            <w:pPr>
              <w:pStyle w:val="TableParagraph"/>
              <w:spacing w:line="360" w:lineRule="auto"/>
              <w:ind w:left="555" w:right="556" w:firstLine="163"/>
              <w:jc w:val="left"/>
              <w:rPr>
                <w:b/>
                <w:sz w:val="22"/>
              </w:rPr>
            </w:pPr>
            <w:r>
              <w:rPr>
                <w:b/>
                <w:sz w:val="22"/>
              </w:rPr>
              <w:t>Llantas para automóvil(%wt)</w:t>
            </w:r>
          </w:p>
        </w:tc>
        <w:tc>
          <w:tcPr>
            <w:tcW w:w="2531" w:type="dxa"/>
            <w:tcBorders>
              <w:left w:val="nil"/>
              <w:right w:val="nil"/>
            </w:tcBorders>
          </w:tcPr>
          <w:p>
            <w:pPr>
              <w:pStyle w:val="TableParagraph"/>
              <w:spacing w:line="360" w:lineRule="auto"/>
              <w:ind w:left="574" w:right="579" w:firstLine="28"/>
              <w:jc w:val="left"/>
              <w:rPr>
                <w:b/>
                <w:sz w:val="22"/>
              </w:rPr>
            </w:pPr>
            <w:r>
              <w:rPr>
                <w:b/>
                <w:sz w:val="22"/>
              </w:rPr>
              <w:t>Llantas para camión(%wt)</w:t>
            </w:r>
          </w:p>
        </w:tc>
      </w:tr>
      <w:tr>
        <w:trPr>
          <w:trHeight w:val="336" w:hRule="exact"/>
        </w:trPr>
        <w:tc>
          <w:tcPr>
            <w:tcW w:w="3376" w:type="dxa"/>
            <w:tcBorders>
              <w:left w:val="nil"/>
              <w:bottom w:val="nil"/>
              <w:right w:val="nil"/>
            </w:tcBorders>
          </w:tcPr>
          <w:p>
            <w:pPr>
              <w:pStyle w:val="TableParagraph"/>
              <w:spacing w:line="251" w:lineRule="exact"/>
              <w:ind w:left="120"/>
              <w:jc w:val="left"/>
              <w:rPr>
                <w:b/>
                <w:sz w:val="22"/>
              </w:rPr>
            </w:pPr>
            <w:r>
              <w:rPr>
                <w:b/>
                <w:sz w:val="22"/>
              </w:rPr>
              <w:t>Elastómero natural</w:t>
            </w:r>
          </w:p>
        </w:tc>
        <w:tc>
          <w:tcPr>
            <w:tcW w:w="2757" w:type="dxa"/>
            <w:tcBorders>
              <w:left w:val="nil"/>
              <w:bottom w:val="nil"/>
              <w:right w:val="nil"/>
            </w:tcBorders>
          </w:tcPr>
          <w:p>
            <w:pPr>
              <w:pStyle w:val="TableParagraph"/>
              <w:ind w:left="1068" w:right="1082"/>
              <w:rPr>
                <w:sz w:val="22"/>
              </w:rPr>
            </w:pPr>
            <w:r>
              <w:rPr>
                <w:sz w:val="22"/>
              </w:rPr>
              <w:t>14</w:t>
            </w:r>
          </w:p>
        </w:tc>
        <w:tc>
          <w:tcPr>
            <w:tcW w:w="2531" w:type="dxa"/>
            <w:tcBorders>
              <w:left w:val="nil"/>
              <w:bottom w:val="nil"/>
              <w:right w:val="nil"/>
            </w:tcBorders>
          </w:tcPr>
          <w:p>
            <w:pPr>
              <w:pStyle w:val="TableParagraph"/>
              <w:ind w:left="950" w:right="975"/>
              <w:rPr>
                <w:sz w:val="22"/>
              </w:rPr>
            </w:pPr>
            <w:r>
              <w:rPr>
                <w:sz w:val="22"/>
              </w:rPr>
              <w:t>27</w:t>
            </w:r>
          </w:p>
        </w:tc>
      </w:tr>
      <w:tr>
        <w:trPr>
          <w:trHeight w:val="379" w:hRule="exact"/>
        </w:trPr>
        <w:tc>
          <w:tcPr>
            <w:tcW w:w="3376" w:type="dxa"/>
            <w:tcBorders>
              <w:top w:val="nil"/>
              <w:left w:val="nil"/>
              <w:bottom w:val="nil"/>
              <w:right w:val="nil"/>
            </w:tcBorders>
          </w:tcPr>
          <w:p>
            <w:pPr>
              <w:pStyle w:val="TableParagraph"/>
              <w:spacing w:before="50"/>
              <w:ind w:left="120"/>
              <w:jc w:val="left"/>
              <w:rPr>
                <w:b/>
                <w:sz w:val="22"/>
              </w:rPr>
            </w:pPr>
            <w:r>
              <w:rPr>
                <w:b/>
                <w:sz w:val="22"/>
              </w:rPr>
              <w:t>Elastómero sintético</w:t>
            </w:r>
          </w:p>
        </w:tc>
        <w:tc>
          <w:tcPr>
            <w:tcW w:w="2757" w:type="dxa"/>
            <w:tcBorders>
              <w:top w:val="nil"/>
              <w:left w:val="nil"/>
              <w:bottom w:val="nil"/>
              <w:right w:val="nil"/>
            </w:tcBorders>
          </w:tcPr>
          <w:p>
            <w:pPr>
              <w:pStyle w:val="TableParagraph"/>
              <w:spacing w:before="53"/>
              <w:ind w:left="1068" w:right="1082"/>
              <w:rPr>
                <w:sz w:val="22"/>
              </w:rPr>
            </w:pPr>
            <w:r>
              <w:rPr>
                <w:sz w:val="22"/>
              </w:rPr>
              <w:t>27</w:t>
            </w:r>
          </w:p>
        </w:tc>
        <w:tc>
          <w:tcPr>
            <w:tcW w:w="2531" w:type="dxa"/>
            <w:tcBorders>
              <w:top w:val="nil"/>
              <w:left w:val="nil"/>
              <w:bottom w:val="nil"/>
              <w:right w:val="nil"/>
            </w:tcBorders>
          </w:tcPr>
          <w:p>
            <w:pPr>
              <w:pStyle w:val="TableParagraph"/>
              <w:spacing w:before="53"/>
              <w:ind w:left="950" w:right="975"/>
              <w:rPr>
                <w:sz w:val="22"/>
              </w:rPr>
            </w:pPr>
            <w:r>
              <w:rPr>
                <w:sz w:val="22"/>
              </w:rPr>
              <w:t>14</w:t>
            </w:r>
          </w:p>
        </w:tc>
      </w:tr>
      <w:tr>
        <w:trPr>
          <w:trHeight w:val="379" w:hRule="exact"/>
        </w:trPr>
        <w:tc>
          <w:tcPr>
            <w:tcW w:w="3376" w:type="dxa"/>
            <w:tcBorders>
              <w:top w:val="nil"/>
              <w:left w:val="nil"/>
              <w:bottom w:val="nil"/>
              <w:right w:val="nil"/>
            </w:tcBorders>
          </w:tcPr>
          <w:p>
            <w:pPr>
              <w:pStyle w:val="TableParagraph"/>
              <w:spacing w:before="50"/>
              <w:ind w:left="120"/>
              <w:jc w:val="left"/>
              <w:rPr>
                <w:b/>
                <w:sz w:val="22"/>
              </w:rPr>
            </w:pPr>
            <w:r>
              <w:rPr>
                <w:b/>
                <w:sz w:val="22"/>
              </w:rPr>
              <w:t>Negro de carbono</w:t>
            </w:r>
          </w:p>
        </w:tc>
        <w:tc>
          <w:tcPr>
            <w:tcW w:w="2757" w:type="dxa"/>
            <w:tcBorders>
              <w:top w:val="nil"/>
              <w:left w:val="nil"/>
              <w:bottom w:val="nil"/>
              <w:right w:val="nil"/>
            </w:tcBorders>
          </w:tcPr>
          <w:p>
            <w:pPr>
              <w:pStyle w:val="TableParagraph"/>
              <w:spacing w:before="53"/>
              <w:ind w:left="1068" w:right="1082"/>
              <w:rPr>
                <w:sz w:val="22"/>
              </w:rPr>
            </w:pPr>
            <w:r>
              <w:rPr>
                <w:sz w:val="22"/>
              </w:rPr>
              <w:t>28</w:t>
            </w:r>
          </w:p>
        </w:tc>
        <w:tc>
          <w:tcPr>
            <w:tcW w:w="2531" w:type="dxa"/>
            <w:tcBorders>
              <w:top w:val="nil"/>
              <w:left w:val="nil"/>
              <w:bottom w:val="nil"/>
              <w:right w:val="nil"/>
            </w:tcBorders>
          </w:tcPr>
          <w:p>
            <w:pPr>
              <w:pStyle w:val="TableParagraph"/>
              <w:spacing w:before="53"/>
              <w:ind w:left="950" w:right="975"/>
              <w:rPr>
                <w:sz w:val="22"/>
              </w:rPr>
            </w:pPr>
            <w:r>
              <w:rPr>
                <w:sz w:val="22"/>
              </w:rPr>
              <w:t>28</w:t>
            </w:r>
          </w:p>
        </w:tc>
      </w:tr>
      <w:tr>
        <w:trPr>
          <w:trHeight w:val="444" w:hRule="exact"/>
        </w:trPr>
        <w:tc>
          <w:tcPr>
            <w:tcW w:w="3376" w:type="dxa"/>
            <w:tcBorders>
              <w:top w:val="nil"/>
              <w:left w:val="nil"/>
              <w:right w:val="nil"/>
            </w:tcBorders>
          </w:tcPr>
          <w:p>
            <w:pPr>
              <w:pStyle w:val="TableParagraph"/>
              <w:spacing w:before="50"/>
              <w:ind w:left="120"/>
              <w:jc w:val="left"/>
              <w:rPr>
                <w:b/>
                <w:sz w:val="22"/>
              </w:rPr>
            </w:pPr>
            <w:r>
              <w:rPr>
                <w:b/>
                <w:sz w:val="22"/>
              </w:rPr>
              <w:t>Acero</w:t>
            </w:r>
          </w:p>
        </w:tc>
        <w:tc>
          <w:tcPr>
            <w:tcW w:w="2757" w:type="dxa"/>
            <w:tcBorders>
              <w:top w:val="nil"/>
              <w:left w:val="nil"/>
              <w:right w:val="nil"/>
            </w:tcBorders>
          </w:tcPr>
          <w:p>
            <w:pPr>
              <w:pStyle w:val="TableParagraph"/>
              <w:spacing w:before="53"/>
              <w:ind w:left="1070" w:right="1082"/>
              <w:rPr>
                <w:sz w:val="22"/>
              </w:rPr>
            </w:pPr>
            <w:r>
              <w:rPr>
                <w:sz w:val="22"/>
              </w:rPr>
              <w:t>14-15</w:t>
            </w:r>
          </w:p>
        </w:tc>
        <w:tc>
          <w:tcPr>
            <w:tcW w:w="2531" w:type="dxa"/>
            <w:tcBorders>
              <w:top w:val="nil"/>
              <w:left w:val="nil"/>
              <w:right w:val="nil"/>
            </w:tcBorders>
          </w:tcPr>
          <w:p>
            <w:pPr>
              <w:pStyle w:val="TableParagraph"/>
              <w:spacing w:before="53"/>
              <w:ind w:left="952" w:right="975"/>
              <w:rPr>
                <w:sz w:val="22"/>
              </w:rPr>
            </w:pPr>
            <w:r>
              <w:rPr>
                <w:sz w:val="22"/>
              </w:rPr>
              <w:t>14-15</w:t>
            </w:r>
          </w:p>
        </w:tc>
      </w:tr>
    </w:tbl>
    <w:p>
      <w:pPr>
        <w:spacing w:after="0"/>
        <w:rPr>
          <w:sz w:val="22"/>
        </w:rPr>
        <w:sectPr>
          <w:pgSz w:w="12240" w:h="15840"/>
          <w:pgMar w:header="0" w:footer="975" w:top="1500" w:bottom="1220" w:left="1600" w:right="1580"/>
        </w:sectPr>
      </w:pPr>
    </w:p>
    <w:tbl>
      <w:tblPr>
        <w:tblW w:w="0" w:type="auto"/>
        <w:jc w:val="left"/>
        <w:tblInd w:w="1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806"/>
        <w:gridCol w:w="2246"/>
        <w:gridCol w:w="2597"/>
      </w:tblGrid>
      <w:tr>
        <w:trPr>
          <w:trHeight w:val="780" w:hRule="exact"/>
        </w:trPr>
        <w:tc>
          <w:tcPr>
            <w:tcW w:w="3806" w:type="dxa"/>
            <w:tcBorders>
              <w:left w:val="nil"/>
              <w:right w:val="nil"/>
            </w:tcBorders>
          </w:tcPr>
          <w:p>
            <w:pPr>
              <w:pStyle w:val="TableParagraph"/>
              <w:spacing w:line="360" w:lineRule="auto"/>
              <w:ind w:left="105" w:right="596"/>
              <w:jc w:val="left"/>
              <w:rPr>
                <w:b/>
                <w:sz w:val="22"/>
              </w:rPr>
            </w:pPr>
            <w:r>
              <w:rPr>
                <w:b/>
                <w:sz w:val="22"/>
              </w:rPr>
              <w:t>Tela, rellenos, aceleradores y anti-ionizantes</w:t>
            </w:r>
          </w:p>
        </w:tc>
        <w:tc>
          <w:tcPr>
            <w:tcW w:w="2246" w:type="dxa"/>
            <w:tcBorders>
              <w:left w:val="nil"/>
              <w:right w:val="nil"/>
            </w:tcBorders>
          </w:tcPr>
          <w:p>
            <w:pPr>
              <w:pStyle w:val="TableParagraph"/>
              <w:spacing w:line="249" w:lineRule="exact"/>
              <w:ind w:left="644"/>
              <w:jc w:val="left"/>
              <w:rPr>
                <w:sz w:val="22"/>
              </w:rPr>
            </w:pPr>
            <w:r>
              <w:rPr>
                <w:sz w:val="22"/>
              </w:rPr>
              <w:t>16-17</w:t>
            </w:r>
          </w:p>
        </w:tc>
        <w:tc>
          <w:tcPr>
            <w:tcW w:w="2597" w:type="dxa"/>
            <w:tcBorders>
              <w:left w:val="nil"/>
              <w:right w:val="nil"/>
            </w:tcBorders>
          </w:tcPr>
          <w:p>
            <w:pPr>
              <w:pStyle w:val="TableParagraph"/>
              <w:spacing w:line="249" w:lineRule="exact"/>
              <w:ind w:left="1017" w:right="976"/>
              <w:rPr>
                <w:sz w:val="22"/>
              </w:rPr>
            </w:pPr>
            <w:r>
              <w:rPr>
                <w:sz w:val="22"/>
              </w:rPr>
              <w:t>16-17</w:t>
            </w:r>
          </w:p>
        </w:tc>
      </w:tr>
    </w:tbl>
    <w:p>
      <w:pPr>
        <w:pStyle w:val="BodyText"/>
        <w:spacing w:before="6"/>
        <w:rPr>
          <w:sz w:val="29"/>
        </w:rPr>
      </w:pPr>
    </w:p>
    <w:p>
      <w:pPr>
        <w:pStyle w:val="BodyText"/>
        <w:spacing w:line="360" w:lineRule="auto" w:before="70"/>
        <w:ind w:left="102" w:right="116"/>
        <w:jc w:val="both"/>
      </w:pPr>
      <w:r>
        <w:rPr/>
        <w:t>El elastómero natural está compuesto por isopreno (Figura 1a); debido a su alta regularidad estructural, tiende a cristalizar espontáneamente a temperaturas bajas o cuando se estira. Esta cristalización provoca rigidez, alta resistencia a la tracción, al corte, al desgarre, y a la</w:t>
      </w:r>
      <w:r>
        <w:rPr>
          <w:spacing w:val="-15"/>
        </w:rPr>
        <w:t> </w:t>
      </w:r>
      <w:r>
        <w:rPr/>
        <w:t>abrasión.</w:t>
      </w:r>
    </w:p>
    <w:p>
      <w:pPr>
        <w:pStyle w:val="BodyText"/>
      </w:pPr>
    </w:p>
    <w:p>
      <w:pPr>
        <w:pStyle w:val="BodyText"/>
        <w:spacing w:line="360" w:lineRule="auto" w:before="142"/>
        <w:ind w:left="102" w:right="116"/>
        <w:jc w:val="both"/>
      </w:pPr>
      <w:r>
        <w:rPr/>
        <w:t>Los elastómeros sintéticos que conforman las llantas son el SBR (Styrene Butadiene Rubber) y el SBS (Styrene Butadiene Styrene) (Figuras 1b y 1c, respectivamente). El SBR tiene mayor resistencia a la abrasión, al agrietamiento y al calor que el elastómero natural, mientras que el SBS es un elastómero termoplástico compuesto por bloques, cuya cadena principal está constituida por tres segmentos correspondientes al estireno-butadieno-estireno. El elastómero sintético proporciona estabilidad térmica, en tanto que el elastómero natural aporta propiedades elásticas (Figueroa, 2007).</w:t>
      </w:r>
    </w:p>
    <w:p>
      <w:pPr>
        <w:pStyle w:val="BodyText"/>
        <w:rPr>
          <w:sz w:val="20"/>
        </w:rPr>
      </w:pPr>
    </w:p>
    <w:p>
      <w:pPr>
        <w:pStyle w:val="BodyText"/>
        <w:rPr>
          <w:sz w:val="13"/>
        </w:rPr>
      </w:pPr>
      <w:r>
        <w:rPr/>
        <w:drawing>
          <wp:anchor distT="0" distB="0" distL="0" distR="0" allowOverlap="1" layoutInCell="1" locked="0" behindDoc="0" simplePos="0" relativeHeight="1072">
            <wp:simplePos x="0" y="0"/>
            <wp:positionH relativeFrom="page">
              <wp:posOffset>1691639</wp:posOffset>
            </wp:positionH>
            <wp:positionV relativeFrom="paragraph">
              <wp:posOffset>119949</wp:posOffset>
            </wp:positionV>
            <wp:extent cx="4406293" cy="2786062"/>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9" cstate="print"/>
                    <a:stretch>
                      <a:fillRect/>
                    </a:stretch>
                  </pic:blipFill>
                  <pic:spPr>
                    <a:xfrm>
                      <a:off x="0" y="0"/>
                      <a:ext cx="4406293" cy="2786062"/>
                    </a:xfrm>
                    <a:prstGeom prst="rect">
                      <a:avLst/>
                    </a:prstGeom>
                  </pic:spPr>
                </pic:pic>
              </a:graphicData>
            </a:graphic>
          </wp:anchor>
        </w:drawing>
      </w:r>
    </w:p>
    <w:p>
      <w:pPr>
        <w:spacing w:before="97"/>
        <w:ind w:left="1304" w:right="0" w:firstLine="0"/>
        <w:jc w:val="left"/>
        <w:rPr>
          <w:sz w:val="22"/>
        </w:rPr>
      </w:pPr>
      <w:bookmarkStart w:name="_bookmark11" w:id="18"/>
      <w:bookmarkEnd w:id="18"/>
      <w:r>
        <w:rPr/>
      </w:r>
      <w:r>
        <w:rPr>
          <w:b/>
          <w:sz w:val="22"/>
        </w:rPr>
        <w:t>Figura 1</w:t>
      </w:r>
      <w:r>
        <w:rPr>
          <w:sz w:val="22"/>
        </w:rPr>
        <w:t>. Estructuras químicas de: (a) Isopreno, (b) SBR, (c) SBS</w:t>
      </w:r>
    </w:p>
    <w:p>
      <w:pPr>
        <w:spacing w:after="0"/>
        <w:jc w:val="left"/>
        <w:rPr>
          <w:sz w:val="22"/>
        </w:rPr>
        <w:sectPr>
          <w:pgSz w:w="12240" w:h="15840"/>
          <w:pgMar w:header="0" w:footer="975" w:top="1420" w:bottom="1220" w:left="1600" w:right="1580"/>
        </w:sectPr>
      </w:pPr>
    </w:p>
    <w:p>
      <w:pPr>
        <w:pStyle w:val="BodyText"/>
        <w:spacing w:before="7"/>
        <w:rPr>
          <w:sz w:val="22"/>
        </w:rPr>
      </w:pPr>
    </w:p>
    <w:p>
      <w:pPr>
        <w:pStyle w:val="BodyText"/>
        <w:spacing w:line="360" w:lineRule="auto" w:before="69"/>
        <w:ind w:left="102" w:right="115"/>
        <w:jc w:val="both"/>
      </w:pPr>
      <w:r>
        <w:rPr/>
        <w:t>En México, las llantas usadas representan el 1% de los residuos sólidos, para los cuales es difícil encontrarles otros usos, a diferencia de los demás residuos. La Cámara Nacional de la Industria Hulera estima que el promedio anual de llantas usadas en México es de 25 a 30 millones, las cuales son consideradas una importante fuente de contaminación, ya que su degradación natural tarda 500 años. La Asociación Nacional de Distribuidores de Llantas y Plantas  Renovadoras</w:t>
      </w:r>
    </w:p>
    <w:p>
      <w:pPr>
        <w:pStyle w:val="BodyText"/>
        <w:spacing w:line="360" w:lineRule="auto" w:before="5"/>
        <w:ind w:left="102" w:right="116"/>
        <w:jc w:val="both"/>
      </w:pPr>
      <w:r>
        <w:rPr/>
        <w:t>A.C. manifiesta que del total de llantas desechadas: el 5% son renovadas, el 2% se utiliza en la cogeneración de energía, otro 2% se deposita en centros de acopio autorizados y lamentablemente el 91% se arroja al medio</w:t>
      </w:r>
      <w:r>
        <w:rPr>
          <w:spacing w:val="-20"/>
        </w:rPr>
        <w:t> </w:t>
      </w:r>
      <w:r>
        <w:rPr/>
        <w:t>ambiente.</w:t>
      </w:r>
    </w:p>
    <w:p>
      <w:pPr>
        <w:pStyle w:val="BodyText"/>
      </w:pPr>
    </w:p>
    <w:p>
      <w:pPr>
        <w:pStyle w:val="BodyText"/>
        <w:spacing w:line="360" w:lineRule="auto" w:before="142"/>
        <w:ind w:left="102" w:right="117"/>
        <w:jc w:val="both"/>
      </w:pPr>
      <w:r>
        <w:rPr/>
        <w:t>Con el desarrollo de políticas sobre protección del medio ambiente a nivel internacional y la adopción de sistemas de sustentabilidad de la construcción, se planteó el reto del reciclado de muchos desechos, entre ellos las llantas. Las llantas recicladas han tenido diferentes aplicaciones, como ser reusadas en productos de plástico y hule, como combustible alternativo en los hornos de cemento, como material en la producción de negro de carbono.</w:t>
      </w:r>
    </w:p>
    <w:p>
      <w:pPr>
        <w:pStyle w:val="BodyText"/>
      </w:pPr>
    </w:p>
    <w:p>
      <w:pPr>
        <w:pStyle w:val="BodyText"/>
        <w:spacing w:line="360" w:lineRule="auto" w:before="142"/>
        <w:ind w:left="102" w:right="116"/>
        <w:jc w:val="both"/>
      </w:pPr>
      <w:r>
        <w:rPr/>
        <w:t>También han servido para la estabilidad de suelos, en un estudio se emplearon diferentes concentraciones de fibras recicladas de llantas (1, 2, 3, 4, y 5% en peso), con longitudes entre 5 y 15 mm. Se encontró que tanto la concentración como longitud influyen en la resistencia a la compresión de suelos arcillosos; los mayores valores de resistencia a la compresión (de hasta 1.97 veces la resistencia del suelo sin reforzado), se lograron con 2% de fibras de 10mm de longitud (Akbulut, y col., 2007).</w:t>
      </w:r>
    </w:p>
    <w:p>
      <w:pPr>
        <w:pStyle w:val="BodyText"/>
      </w:pPr>
    </w:p>
    <w:p>
      <w:pPr>
        <w:pStyle w:val="BodyText"/>
        <w:spacing w:line="360" w:lineRule="auto" w:before="142"/>
        <w:ind w:left="102" w:right="115"/>
        <w:jc w:val="both"/>
      </w:pPr>
      <w:r>
        <w:rPr/>
        <w:t>Las fibras de llantas se han utilizado en asfaltos, teniendo como resultado mayor flexibilidad y resistencia a la tensión, lo que tiene como consecuencia la disminución de grietas (Gawel, 2006). En combinación con el poliestireno, partículas de llantas trituradas, han hecho que el asfalto reduzca la ductilidad y tenga mayor consistencia (Figueroa, 2007).</w:t>
      </w:r>
    </w:p>
    <w:p>
      <w:pPr>
        <w:spacing w:after="0" w:line="360" w:lineRule="auto"/>
        <w:jc w:val="both"/>
        <w:sectPr>
          <w:pgSz w:w="12240" w:h="15840"/>
          <w:pgMar w:header="0" w:footer="975" w:top="1500" w:bottom="1220" w:left="1600" w:right="1580"/>
        </w:sectPr>
      </w:pPr>
    </w:p>
    <w:p>
      <w:pPr>
        <w:pStyle w:val="BodyText"/>
        <w:spacing w:before="7"/>
        <w:rPr>
          <w:sz w:val="22"/>
        </w:rPr>
      </w:pPr>
    </w:p>
    <w:p>
      <w:pPr>
        <w:pStyle w:val="BodyText"/>
        <w:spacing w:line="360" w:lineRule="auto" w:before="69"/>
        <w:ind w:left="102" w:right="116"/>
        <w:jc w:val="both"/>
      </w:pPr>
      <w:r>
        <w:rPr/>
        <w:t>Se han realizado investigaciones sobre materiales de construcción con elastómeros de llanta, entre estas: concreto ligero prefabricado para la manufactura de paneles; concreto para pavimentos (adoquines), para bloques de albañilería o para bloques de aislamiento utilizados en cimentaciones de máquinas. Las investigaciones de concreto hidráulico modificado con elastómeros se inició en 1996, cuando se utilizaron tiras de llantas de camión en concreto, morteros y mezclas asfálticas, en donde se encontró que los cambios en las propiedades dependen del contenido de elastómeros de llanta (Fattuhi,</w:t>
      </w:r>
      <w:r>
        <w:rPr>
          <w:spacing w:val="-22"/>
        </w:rPr>
        <w:t> </w:t>
      </w:r>
      <w:r>
        <w:rPr/>
        <w:t>1996).</w:t>
      </w:r>
    </w:p>
    <w:p>
      <w:pPr>
        <w:pStyle w:val="BodyText"/>
      </w:pPr>
    </w:p>
    <w:p>
      <w:pPr>
        <w:pStyle w:val="BodyText"/>
        <w:spacing w:line="360" w:lineRule="auto" w:before="142"/>
        <w:ind w:left="102" w:right="115"/>
        <w:jc w:val="both"/>
      </w:pPr>
      <w:r>
        <w:rPr/>
        <w:t>En el concreto hidráulico se han utilizado llantas recicladas con diferentes formas y tamaños: en forma de tiras, granulada, en polvo, etc. El mejoramiento o la reducción de las propiedades del concreto con llantas recicladas dependen tanto de la concentración como del tamaño de llantas recicladas. En general, conforme aumenta el contenido de elastómero, disminuye la resistencia a la compresión, la dureza, y primordialmente la propagación de grietas; pero se incrementan la absorción acústica y el grado de aislamiento térmico (Meyer C., 2009).</w:t>
      </w:r>
    </w:p>
    <w:p>
      <w:pPr>
        <w:pStyle w:val="BodyText"/>
      </w:pPr>
    </w:p>
    <w:p>
      <w:pPr>
        <w:pStyle w:val="BodyText"/>
        <w:spacing w:line="360" w:lineRule="auto" w:before="142"/>
        <w:ind w:left="102" w:right="115"/>
        <w:jc w:val="both"/>
      </w:pPr>
      <w:r>
        <w:rPr/>
        <w:t>En la presente investigación se utilizaron fibras recicladas de llantas como  refuerzo de concreto polimérico debido a que se considera que las mejoras descritas anteriormente encontradas en el concreto hidráulico podrían ser extrapoladas al</w:t>
      </w:r>
      <w:r>
        <w:rPr>
          <w:spacing w:val="-3"/>
        </w:rPr>
        <w:t> </w:t>
      </w:r>
      <w:r>
        <w:rPr>
          <w:spacing w:val="-11"/>
        </w:rPr>
        <w:t>CP.</w:t>
      </w:r>
    </w:p>
    <w:p>
      <w:pPr>
        <w:pStyle w:val="BodyText"/>
      </w:pPr>
    </w:p>
    <w:p>
      <w:pPr>
        <w:pStyle w:val="BodyText"/>
      </w:pPr>
    </w:p>
    <w:p>
      <w:pPr>
        <w:pStyle w:val="BodyText"/>
        <w:spacing w:before="2"/>
      </w:pPr>
    </w:p>
    <w:p>
      <w:pPr>
        <w:pStyle w:val="Heading2"/>
        <w:numPr>
          <w:ilvl w:val="1"/>
          <w:numId w:val="5"/>
        </w:numPr>
        <w:tabs>
          <w:tab w:pos="506" w:val="left" w:leader="none"/>
        </w:tabs>
        <w:spacing w:line="240" w:lineRule="auto" w:before="1" w:after="0"/>
        <w:ind w:left="505" w:right="0" w:hanging="403"/>
        <w:jc w:val="both"/>
      </w:pPr>
      <w:bookmarkStart w:name="_bookmark12" w:id="19"/>
      <w:bookmarkEnd w:id="19"/>
      <w:r>
        <w:rPr>
          <w:b w:val="0"/>
        </w:rPr>
      </w:r>
      <w:bookmarkStart w:name="_bookmark12" w:id="20"/>
      <w:bookmarkEnd w:id="20"/>
      <w:r>
        <w:rPr/>
        <w:t>Rad</w:t>
      </w:r>
      <w:r>
        <w:rPr/>
        <w:t>iación</w:t>
      </w:r>
      <w:r>
        <w:rPr>
          <w:spacing w:val="-6"/>
        </w:rPr>
        <w:t> </w:t>
      </w:r>
      <w:r>
        <w:rPr/>
        <w:t>gamma</w:t>
      </w:r>
    </w:p>
    <w:p>
      <w:pPr>
        <w:pStyle w:val="BodyText"/>
        <w:rPr>
          <w:b/>
        </w:rPr>
      </w:pPr>
    </w:p>
    <w:p>
      <w:pPr>
        <w:pStyle w:val="BodyText"/>
        <w:rPr>
          <w:b/>
        </w:rPr>
      </w:pPr>
    </w:p>
    <w:p>
      <w:pPr>
        <w:pStyle w:val="BodyText"/>
        <w:spacing w:line="360" w:lineRule="auto"/>
        <w:ind w:left="102" w:right="114"/>
        <w:jc w:val="both"/>
      </w:pPr>
      <w:r>
        <w:rPr/>
        <w:t>Los diferentes tipos de radiación incluyen: ondas de televisión y radio, microondas, rayos infrarrojos, radiación visible, rayos ultravioleta, rayos X y rayos gamma. Particularmente, la radiación gamma es la de más alta energía dentro del espectro electromagnético, tiene un comportamiento dual onda-partícula (fotones y partículas   gamma),   es   producida   por   elementos   radioactivos   o    procesos</w:t>
      </w:r>
    </w:p>
    <w:p>
      <w:pPr>
        <w:spacing w:after="0" w:line="360" w:lineRule="auto"/>
        <w:jc w:val="both"/>
        <w:sectPr>
          <w:pgSz w:w="12240" w:h="15840"/>
          <w:pgMar w:header="0" w:footer="975" w:top="1500" w:bottom="1220" w:left="1600" w:right="1580"/>
        </w:sectPr>
      </w:pPr>
    </w:p>
    <w:p>
      <w:pPr>
        <w:pStyle w:val="BodyText"/>
        <w:spacing w:line="362" w:lineRule="auto" w:before="54"/>
        <w:ind w:left="102" w:right="118"/>
        <w:jc w:val="both"/>
      </w:pPr>
      <w:r>
        <w:rPr/>
        <w:t>subatómicos como la aniquilación de un par positrón-electrón. Los elementos radiactivos más comunes son el Cobalto-60 y el Cesio-137 (Reichmanis, 1993).</w:t>
      </w:r>
    </w:p>
    <w:p>
      <w:pPr>
        <w:pStyle w:val="BodyText"/>
      </w:pPr>
    </w:p>
    <w:p>
      <w:pPr>
        <w:pStyle w:val="BodyText"/>
        <w:spacing w:line="357" w:lineRule="auto" w:before="139"/>
        <w:ind w:left="102" w:right="114"/>
        <w:jc w:val="both"/>
      </w:pPr>
      <w:r>
        <w:rPr/>
        <w:t>Debido a las altas energías que poseen, los rayos gamma constituyen un tipo de radiación ionizante capaz de penetrar en la materia más profundamente que la radiación alfa o beta. Los rayos gamma son de una longitud de onda menor a 10</w:t>
      </w:r>
      <w:r>
        <w:rPr>
          <w:position w:val="8"/>
          <w:sz w:val="16"/>
        </w:rPr>
        <w:t>-11 </w:t>
      </w:r>
      <w:r>
        <w:rPr/>
        <w:t>m, frecuencia mayor a 3x10</w:t>
      </w:r>
      <w:r>
        <w:rPr>
          <w:position w:val="8"/>
          <w:sz w:val="16"/>
        </w:rPr>
        <w:t>19 </w:t>
      </w:r>
      <w:r>
        <w:rPr/>
        <w:t>Hz y energías por fotón de 10 keV.</w:t>
      </w:r>
    </w:p>
    <w:p>
      <w:pPr>
        <w:pStyle w:val="BodyText"/>
        <w:spacing w:before="2"/>
        <w:rPr>
          <w:sz w:val="36"/>
        </w:rPr>
      </w:pPr>
    </w:p>
    <w:p>
      <w:pPr>
        <w:pStyle w:val="BodyText"/>
        <w:spacing w:line="360" w:lineRule="auto" w:before="1"/>
        <w:ind w:left="102" w:right="114"/>
        <w:jc w:val="both"/>
      </w:pPr>
      <w:r>
        <w:rPr/>
        <w:t>Las interacciones que acontecen entre los rayos gamma y los electrones de algún material son: Efecto Compton, efecto fotoeléctrico y creación de pares electrón - positrón. Estos procesos tienen como punto en común, la liberación de electrones muy energéticos a través del material.</w:t>
      </w:r>
    </w:p>
    <w:p>
      <w:pPr>
        <w:pStyle w:val="BodyText"/>
      </w:pPr>
    </w:p>
    <w:p>
      <w:pPr>
        <w:pStyle w:val="Heading2"/>
        <w:numPr>
          <w:ilvl w:val="2"/>
          <w:numId w:val="5"/>
        </w:numPr>
        <w:tabs>
          <w:tab w:pos="705" w:val="left" w:leader="none"/>
        </w:tabs>
        <w:spacing w:line="240" w:lineRule="auto" w:before="142" w:after="0"/>
        <w:ind w:left="704" w:right="0" w:hanging="602"/>
        <w:jc w:val="both"/>
      </w:pPr>
      <w:bookmarkStart w:name="_bookmark13" w:id="21"/>
      <w:bookmarkEnd w:id="21"/>
      <w:r>
        <w:rPr>
          <w:b w:val="0"/>
        </w:rPr>
      </w:r>
      <w:bookmarkStart w:name="_bookmark13" w:id="22"/>
      <w:bookmarkEnd w:id="22"/>
      <w:r>
        <w:rPr/>
        <w:t>E</w:t>
      </w:r>
      <w:r>
        <w:rPr/>
        <w:t>fecto de la radiación gamma en polímeros y en concreto</w:t>
      </w:r>
      <w:r>
        <w:rPr>
          <w:spacing w:val="-14"/>
        </w:rPr>
        <w:t> </w:t>
      </w:r>
      <w:r>
        <w:rPr/>
        <w:t>polimérico</w:t>
      </w:r>
    </w:p>
    <w:p>
      <w:pPr>
        <w:pStyle w:val="BodyText"/>
        <w:rPr>
          <w:b/>
        </w:rPr>
      </w:pPr>
    </w:p>
    <w:p>
      <w:pPr>
        <w:pStyle w:val="BodyText"/>
        <w:rPr>
          <w:b/>
        </w:rPr>
      </w:pPr>
    </w:p>
    <w:p>
      <w:pPr>
        <w:pStyle w:val="BodyText"/>
        <w:spacing w:line="360" w:lineRule="auto"/>
        <w:ind w:left="102" w:right="116"/>
        <w:jc w:val="both"/>
      </w:pPr>
      <w:r>
        <w:rPr/>
        <w:t>Cuando se somete un material polimérico a radiación ionizante se producen efectos físicos y químicos que dependen de la intensidad de la dosis aplicada, de las condiciones de radiación así como de la naturaleza de los polímeros en cuestión. Los cambios en la estructura molecular de los polímeros después de ser irradiados influyen en propiedades como: cristalinidad, densidad, coeficiente de expansión térmica, permeabilidad, módulo de elasticidad, así como en la resistencia a la corrosión, a la abrasión y a disolventes (Wündrich,1985).</w:t>
      </w:r>
    </w:p>
    <w:p>
      <w:pPr>
        <w:pStyle w:val="BodyText"/>
      </w:pPr>
    </w:p>
    <w:p>
      <w:pPr>
        <w:pStyle w:val="BodyText"/>
        <w:spacing w:line="360" w:lineRule="auto" w:before="142"/>
        <w:ind w:left="102" w:right="115"/>
        <w:jc w:val="both"/>
      </w:pPr>
      <w:r>
        <w:rPr/>
        <w:t>La radiación gamma en polímeros produce diferentes efectos en las cadenas que los constituyen, como la formación de enlaces entre cadenas (cross-linking), rompimiento de cadenas (chain scission), desprendimiento de radicales que integran las unidades monoméricas, así como oxidación. En general, todos estos mecanismos contribuyen, en mayor o en menor medida, a modificar las propiedades fisicoquímicas de los polímeros. La influencia de cada efecto  depende no sólo de la estructura química de la muestra y la dosis de radiación absorbida por ella, sino también de la tasa de dosis (dose rate), de la atmósfera</w:t>
      </w:r>
      <w:r>
        <w:rPr>
          <w:spacing w:val="-4"/>
        </w:rPr>
        <w:t> </w:t>
      </w:r>
      <w:r>
        <w:rPr/>
        <w:t>en</w:t>
      </w:r>
    </w:p>
    <w:p>
      <w:pPr>
        <w:spacing w:after="0" w:line="360" w:lineRule="auto"/>
        <w:jc w:val="both"/>
        <w:sectPr>
          <w:pgSz w:w="12240" w:h="15840"/>
          <w:pgMar w:header="0" w:footer="975" w:top="1360" w:bottom="1220" w:left="1600" w:right="1580"/>
        </w:sectPr>
      </w:pPr>
    </w:p>
    <w:p>
      <w:pPr>
        <w:pStyle w:val="BodyText"/>
        <w:spacing w:before="54"/>
        <w:ind w:left="102"/>
        <w:jc w:val="both"/>
      </w:pPr>
      <w:r>
        <w:rPr/>
        <w:t>la cual se irradia y de la temperatura a la cual se realiza la irradiación.</w:t>
      </w:r>
    </w:p>
    <w:p>
      <w:pPr>
        <w:pStyle w:val="BodyText"/>
      </w:pPr>
    </w:p>
    <w:p>
      <w:pPr>
        <w:pStyle w:val="BodyText"/>
      </w:pPr>
    </w:p>
    <w:p>
      <w:pPr>
        <w:pStyle w:val="BodyText"/>
        <w:spacing w:line="360" w:lineRule="auto"/>
        <w:ind w:left="102" w:right="116"/>
        <w:jc w:val="both"/>
      </w:pPr>
      <w:r>
        <w:rPr/>
        <w:t>Los análisis de estos cambios, en los polímeros, se realizan primordialmente a través de los cambios en la estructura química, manifestados por la distribución de pesos moleculares, la reordenación geométrica de los enlaces moleculares y el grado de polimerización. Estos cambios estructurales se relacionan con las propiedades mecánicas, incluidas la resistencia a tensión, a la compresión, al impacto, así como las deformaciones en el punto de cedencia (yield point) y a la ruptura.</w:t>
      </w:r>
    </w:p>
    <w:p>
      <w:pPr>
        <w:pStyle w:val="BodyText"/>
      </w:pPr>
    </w:p>
    <w:p>
      <w:pPr>
        <w:pStyle w:val="BodyText"/>
        <w:spacing w:line="360" w:lineRule="auto" w:before="142"/>
        <w:ind w:left="102" w:right="114"/>
        <w:jc w:val="both"/>
      </w:pPr>
      <w:r>
        <w:rPr/>
        <w:t>El diseño y desarrollo de los procedimientos para conocer los efectos de la radiación gamma en polímeros deben ser bien establecidos. En ciertas industrias se requieren polímeros de alto desempeño (high performance) que puedan soportar el estar expuestos a la radiación. Por ejemplo, la industria electrónica requiere de materiales que puedan presentar ya se rompimiento de cadenas (scission) o entrecruzamiento de las mismas (cross-linking), con el fin de resistir los usos a los que se les someterá; mientras que la industria aeroespacial y médica requiere materiales altamente estables ante la radiación (Reichmanis, 1993).</w:t>
      </w:r>
    </w:p>
    <w:p>
      <w:pPr>
        <w:pStyle w:val="BodyText"/>
      </w:pPr>
    </w:p>
    <w:p>
      <w:pPr>
        <w:pStyle w:val="BodyText"/>
        <w:spacing w:line="360" w:lineRule="auto" w:before="142"/>
        <w:ind w:left="102" w:right="114"/>
        <w:jc w:val="both"/>
      </w:pPr>
      <w:r>
        <w:rPr/>
        <w:t>En la radiación de elastómeros, a menudo los procesos de degradación y entrecruzamiento suceden simultáneamente a diferentes grados (Moustafa A.B. y col. 2011), se cuenta con diversos estudios de los efectos de la radiación gamma. En uno de éstos se encontró, que los procesos de oxidación y ozonización se aceleran con la radiación y contribuyen significantemente al deterioro del material (Wündrich, 1985). En la tabla 3 se enlista la resistencia a la radiación de algunos elastómeros, el criterio se basa en la dosis absorbida por el material cuando el valor de la resistencia a la tensión se reduce a la mitad (Seguchi T, 1999).</w:t>
      </w:r>
    </w:p>
    <w:p>
      <w:pPr>
        <w:spacing w:after="0" w:line="360" w:lineRule="auto"/>
        <w:jc w:val="both"/>
        <w:sectPr>
          <w:pgSz w:w="12240" w:h="15840"/>
          <w:pgMar w:header="0" w:footer="975" w:top="1360" w:bottom="1220" w:left="1600" w:right="1580"/>
        </w:sectPr>
      </w:pPr>
    </w:p>
    <w:p>
      <w:pPr>
        <w:spacing w:before="51"/>
        <w:ind w:left="2082" w:right="0" w:firstLine="0"/>
        <w:jc w:val="left"/>
        <w:rPr>
          <w:sz w:val="22"/>
        </w:rPr>
      </w:pPr>
      <w:bookmarkStart w:name="_bookmark14" w:id="23"/>
      <w:bookmarkEnd w:id="23"/>
      <w:r>
        <w:rPr/>
      </w:r>
      <w:r>
        <w:rPr>
          <w:b/>
          <w:sz w:val="22"/>
        </w:rPr>
        <w:t>Tabla 3</w:t>
      </w:r>
      <w:r>
        <w:rPr>
          <w:sz w:val="22"/>
        </w:rPr>
        <w:t>.Resistencia a la radiación de elastómeros</w:t>
      </w:r>
    </w:p>
    <w:p>
      <w:pPr>
        <w:pStyle w:val="BodyText"/>
        <w:spacing w:before="10"/>
        <w:rPr>
          <w:sz w:val="17"/>
        </w:rPr>
      </w:pPr>
    </w:p>
    <w:tbl>
      <w:tblPr>
        <w:tblW w:w="0" w:type="auto"/>
        <w:jc w:val="left"/>
        <w:tblInd w:w="18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41"/>
        <w:gridCol w:w="1507"/>
      </w:tblGrid>
      <w:tr>
        <w:trPr>
          <w:trHeight w:val="770" w:hRule="exact"/>
        </w:trPr>
        <w:tc>
          <w:tcPr>
            <w:tcW w:w="3741" w:type="dxa"/>
            <w:tcBorders>
              <w:left w:val="nil"/>
              <w:right w:val="nil"/>
            </w:tcBorders>
          </w:tcPr>
          <w:p>
            <w:pPr>
              <w:pStyle w:val="TableParagraph"/>
              <w:spacing w:before="185"/>
              <w:ind w:left="1298"/>
              <w:jc w:val="left"/>
              <w:rPr>
                <w:b/>
                <w:sz w:val="22"/>
              </w:rPr>
            </w:pPr>
            <w:r>
              <w:rPr>
                <w:b/>
                <w:sz w:val="22"/>
              </w:rPr>
              <w:t>Elastómero</w:t>
            </w:r>
          </w:p>
        </w:tc>
        <w:tc>
          <w:tcPr>
            <w:tcW w:w="1507" w:type="dxa"/>
            <w:tcBorders>
              <w:left w:val="nil"/>
              <w:right w:val="nil"/>
            </w:tcBorders>
          </w:tcPr>
          <w:p>
            <w:pPr>
              <w:pStyle w:val="TableParagraph"/>
              <w:spacing w:line="360" w:lineRule="auto"/>
              <w:ind w:left="467" w:right="396" w:firstLine="12"/>
              <w:jc w:val="left"/>
              <w:rPr>
                <w:b/>
                <w:sz w:val="22"/>
              </w:rPr>
            </w:pPr>
            <w:r>
              <w:rPr>
                <w:b/>
                <w:sz w:val="22"/>
              </w:rPr>
              <w:t>Dosis (MGy)</w:t>
            </w:r>
          </w:p>
        </w:tc>
      </w:tr>
      <w:tr>
        <w:trPr>
          <w:trHeight w:val="330" w:hRule="exact"/>
        </w:trPr>
        <w:tc>
          <w:tcPr>
            <w:tcW w:w="3741" w:type="dxa"/>
            <w:tcBorders>
              <w:left w:val="nil"/>
              <w:bottom w:val="nil"/>
              <w:right w:val="nil"/>
            </w:tcBorders>
          </w:tcPr>
          <w:p>
            <w:pPr>
              <w:pStyle w:val="TableParagraph"/>
              <w:spacing w:line="251" w:lineRule="exact"/>
              <w:ind w:left="107"/>
              <w:jc w:val="left"/>
              <w:rPr>
                <w:sz w:val="22"/>
              </w:rPr>
            </w:pPr>
            <w:r>
              <w:rPr>
                <w:sz w:val="22"/>
              </w:rPr>
              <w:t>Isobutileno - Isopreno (Butil)</w:t>
            </w:r>
          </w:p>
        </w:tc>
        <w:tc>
          <w:tcPr>
            <w:tcW w:w="1507" w:type="dxa"/>
            <w:tcBorders>
              <w:left w:val="nil"/>
              <w:bottom w:val="nil"/>
              <w:right w:val="nil"/>
            </w:tcBorders>
          </w:tcPr>
          <w:p>
            <w:pPr>
              <w:pStyle w:val="TableParagraph"/>
              <w:spacing w:line="251" w:lineRule="exact"/>
              <w:ind w:right="509"/>
              <w:jc w:val="right"/>
              <w:rPr>
                <w:sz w:val="22"/>
              </w:rPr>
            </w:pPr>
            <w:r>
              <w:rPr>
                <w:sz w:val="22"/>
              </w:rPr>
              <w:t>0.06</w:t>
            </w:r>
          </w:p>
        </w:tc>
      </w:tr>
      <w:tr>
        <w:trPr>
          <w:trHeight w:val="379" w:hRule="exact"/>
        </w:trPr>
        <w:tc>
          <w:tcPr>
            <w:tcW w:w="3741" w:type="dxa"/>
            <w:tcBorders>
              <w:top w:val="nil"/>
              <w:left w:val="nil"/>
              <w:bottom w:val="nil"/>
              <w:right w:val="nil"/>
            </w:tcBorders>
          </w:tcPr>
          <w:p>
            <w:pPr>
              <w:pStyle w:val="TableParagraph"/>
              <w:spacing w:before="51"/>
              <w:ind w:left="107"/>
              <w:jc w:val="left"/>
              <w:rPr>
                <w:sz w:val="22"/>
              </w:rPr>
            </w:pPr>
            <w:r>
              <w:rPr>
                <w:sz w:val="22"/>
              </w:rPr>
              <w:t>Isopreno (elastómero natural)</w:t>
            </w:r>
          </w:p>
        </w:tc>
        <w:tc>
          <w:tcPr>
            <w:tcW w:w="1507" w:type="dxa"/>
            <w:tcBorders>
              <w:top w:val="nil"/>
              <w:left w:val="nil"/>
              <w:bottom w:val="nil"/>
              <w:right w:val="nil"/>
            </w:tcBorders>
          </w:tcPr>
          <w:p>
            <w:pPr>
              <w:pStyle w:val="TableParagraph"/>
              <w:spacing w:before="51"/>
              <w:ind w:right="569"/>
              <w:jc w:val="right"/>
              <w:rPr>
                <w:sz w:val="22"/>
              </w:rPr>
            </w:pPr>
            <w:r>
              <w:rPr>
                <w:sz w:val="22"/>
              </w:rPr>
              <w:t>0.3</w:t>
            </w:r>
          </w:p>
        </w:tc>
      </w:tr>
      <w:tr>
        <w:trPr>
          <w:trHeight w:val="379" w:hRule="exact"/>
        </w:trPr>
        <w:tc>
          <w:tcPr>
            <w:tcW w:w="3741" w:type="dxa"/>
            <w:tcBorders>
              <w:top w:val="nil"/>
              <w:left w:val="nil"/>
              <w:bottom w:val="nil"/>
              <w:right w:val="nil"/>
            </w:tcBorders>
          </w:tcPr>
          <w:p>
            <w:pPr>
              <w:pStyle w:val="TableParagraph"/>
              <w:spacing w:before="51"/>
              <w:ind w:left="107"/>
              <w:jc w:val="left"/>
              <w:rPr>
                <w:sz w:val="22"/>
              </w:rPr>
            </w:pPr>
            <w:r>
              <w:rPr>
                <w:sz w:val="22"/>
              </w:rPr>
              <w:t>Estireno-butadieno SBR</w:t>
            </w:r>
          </w:p>
        </w:tc>
        <w:tc>
          <w:tcPr>
            <w:tcW w:w="1507" w:type="dxa"/>
            <w:tcBorders>
              <w:top w:val="nil"/>
              <w:left w:val="nil"/>
              <w:bottom w:val="nil"/>
              <w:right w:val="nil"/>
            </w:tcBorders>
          </w:tcPr>
          <w:p>
            <w:pPr>
              <w:pStyle w:val="TableParagraph"/>
              <w:spacing w:before="51"/>
              <w:ind w:right="569"/>
              <w:jc w:val="right"/>
              <w:rPr>
                <w:sz w:val="22"/>
              </w:rPr>
            </w:pPr>
            <w:r>
              <w:rPr>
                <w:sz w:val="22"/>
              </w:rPr>
              <w:t>1.2</w:t>
            </w:r>
          </w:p>
        </w:tc>
      </w:tr>
      <w:tr>
        <w:trPr>
          <w:trHeight w:val="379" w:hRule="exact"/>
        </w:trPr>
        <w:tc>
          <w:tcPr>
            <w:tcW w:w="3741" w:type="dxa"/>
            <w:tcBorders>
              <w:top w:val="nil"/>
              <w:left w:val="nil"/>
              <w:bottom w:val="nil"/>
              <w:right w:val="nil"/>
            </w:tcBorders>
          </w:tcPr>
          <w:p>
            <w:pPr>
              <w:pStyle w:val="TableParagraph"/>
              <w:spacing w:before="51"/>
              <w:ind w:left="107"/>
              <w:jc w:val="left"/>
              <w:rPr>
                <w:sz w:val="22"/>
              </w:rPr>
            </w:pPr>
            <w:r>
              <w:rPr>
                <w:sz w:val="22"/>
              </w:rPr>
              <w:t>Etileno-Propileno-Dieno (EPDM)</w:t>
            </w:r>
          </w:p>
        </w:tc>
        <w:tc>
          <w:tcPr>
            <w:tcW w:w="1507" w:type="dxa"/>
            <w:tcBorders>
              <w:top w:val="nil"/>
              <w:left w:val="nil"/>
              <w:bottom w:val="nil"/>
              <w:right w:val="nil"/>
            </w:tcBorders>
          </w:tcPr>
          <w:p>
            <w:pPr>
              <w:pStyle w:val="TableParagraph"/>
              <w:spacing w:before="51"/>
              <w:ind w:right="569"/>
              <w:jc w:val="right"/>
              <w:rPr>
                <w:sz w:val="22"/>
              </w:rPr>
            </w:pPr>
            <w:r>
              <w:rPr>
                <w:sz w:val="22"/>
              </w:rPr>
              <w:t>1.5</w:t>
            </w:r>
          </w:p>
        </w:tc>
      </w:tr>
      <w:tr>
        <w:trPr>
          <w:trHeight w:val="438" w:hRule="exact"/>
        </w:trPr>
        <w:tc>
          <w:tcPr>
            <w:tcW w:w="3741" w:type="dxa"/>
            <w:tcBorders>
              <w:top w:val="nil"/>
              <w:left w:val="nil"/>
              <w:right w:val="nil"/>
            </w:tcBorders>
          </w:tcPr>
          <w:p>
            <w:pPr>
              <w:pStyle w:val="TableParagraph"/>
              <w:spacing w:before="51"/>
              <w:ind w:left="107"/>
              <w:jc w:val="left"/>
              <w:rPr>
                <w:sz w:val="22"/>
              </w:rPr>
            </w:pPr>
            <w:r>
              <w:rPr>
                <w:sz w:val="22"/>
              </w:rPr>
              <w:t>Etilvinilacetato (EVA)</w:t>
            </w:r>
          </w:p>
        </w:tc>
        <w:tc>
          <w:tcPr>
            <w:tcW w:w="1507" w:type="dxa"/>
            <w:tcBorders>
              <w:top w:val="nil"/>
              <w:left w:val="nil"/>
              <w:right w:val="nil"/>
            </w:tcBorders>
          </w:tcPr>
          <w:p>
            <w:pPr>
              <w:pStyle w:val="TableParagraph"/>
              <w:spacing w:before="51"/>
              <w:ind w:right="569"/>
              <w:jc w:val="right"/>
              <w:rPr>
                <w:sz w:val="22"/>
              </w:rPr>
            </w:pPr>
            <w:r>
              <w:rPr>
                <w:sz w:val="22"/>
              </w:rPr>
              <w:t>3.0</w:t>
            </w:r>
          </w:p>
        </w:tc>
      </w:tr>
    </w:tbl>
    <w:p>
      <w:pPr>
        <w:pStyle w:val="BodyText"/>
        <w:spacing w:before="11"/>
        <w:rPr>
          <w:sz w:val="29"/>
        </w:rPr>
      </w:pPr>
    </w:p>
    <w:p>
      <w:pPr>
        <w:pStyle w:val="BodyText"/>
        <w:spacing w:line="360" w:lineRule="auto" w:before="69"/>
        <w:ind w:left="102" w:right="119"/>
        <w:jc w:val="both"/>
      </w:pPr>
      <w:r>
        <w:rPr/>
        <w:t>La radiación gamma se aplica en elastómeros con diferentes fines, por ejemplo: a) en la esterilización de equipo médico, b) para crear compatibilidad reactiva entre polietileno y elastómeros de llanta (Fainleib, 2009).</w:t>
      </w:r>
    </w:p>
    <w:p>
      <w:pPr>
        <w:pStyle w:val="BodyText"/>
      </w:pPr>
    </w:p>
    <w:p>
      <w:pPr>
        <w:pStyle w:val="BodyText"/>
        <w:spacing w:line="360" w:lineRule="auto" w:before="142"/>
        <w:ind w:left="102" w:right="115"/>
        <w:jc w:val="both"/>
      </w:pPr>
      <w:r>
        <w:rPr/>
        <w:t>Por lo general, la interacción entre el concreto y las fibras utilizadas como refuerzo es débil; una alternativa para mejorar esta compatibilidad es mediante la modificación estructural y superficial de ambos componentes por medio de la radiación gamma. La aplicación de radiación gamma en el concreto modificado con polímeros genera varias ventajas, entre las que se encuentran: se polimeriza  a temperatura ambiente sin necesidad de utilizar aditivos y en tiempos más cortos, se mejora la resistencia del polímero a los disolventes, soporta mayores altas temperaturas, y primordialmente, la vida útil del concreto es de mucho mayor tiempo (Chapiro,</w:t>
      </w:r>
      <w:r>
        <w:rPr>
          <w:spacing w:val="-13"/>
        </w:rPr>
        <w:t> </w:t>
      </w:r>
      <w:r>
        <w:rPr/>
        <w:t>2002).</w:t>
      </w:r>
    </w:p>
    <w:p>
      <w:pPr>
        <w:pStyle w:val="BodyText"/>
      </w:pPr>
    </w:p>
    <w:p>
      <w:pPr>
        <w:pStyle w:val="BodyText"/>
        <w:spacing w:line="360" w:lineRule="auto" w:before="142"/>
        <w:ind w:left="102" w:right="115"/>
        <w:jc w:val="both"/>
      </w:pPr>
      <w:r>
        <w:rPr/>
        <w:t>En concretos poliméricos, donde se varia el porcentaje de resina poliéster y se irradian entre 5 y 150 kGy, se encontró que las propiedades mecánicas mejoran considerablemente; la mayor resistencia se obtiene a 100 kGy de radiación (Martínez-Barrera, 2008). C. Menchaca-Campos irradió fibras poliméricas y después las agregó al concreto para mejorar las propiedades mecánicas. Las fibras fueron irradiadas hasta 100 kGy y se agregaron en 1.5, 2.0 y 2.5%. Los resultados muestran un incremento en la resistencia a la compresión de 143%, cuando los concretos se irradian a 50 kGy.</w:t>
      </w:r>
    </w:p>
    <w:p>
      <w:pPr>
        <w:spacing w:after="0" w:line="360" w:lineRule="auto"/>
        <w:jc w:val="both"/>
        <w:sectPr>
          <w:pgSz w:w="12240" w:h="15840"/>
          <w:pgMar w:header="0" w:footer="975" w:top="1360" w:bottom="1220" w:left="1600" w:right="1580"/>
        </w:sectPr>
      </w:pPr>
    </w:p>
    <w:p>
      <w:pPr>
        <w:pStyle w:val="BodyText"/>
        <w:spacing w:line="360" w:lineRule="auto" w:before="54"/>
        <w:ind w:left="102" w:right="119"/>
        <w:jc w:val="both"/>
      </w:pPr>
      <w:r>
        <w:rPr/>
        <w:t>Debido a los estudios mencionados anteriormente, en la presente investigación se utilizaron fibras recicladas de llantas y radiación gamma para modificar las propiedades mecánicas del CP.</w:t>
      </w:r>
    </w:p>
    <w:p>
      <w:pPr>
        <w:spacing w:after="0" w:line="360" w:lineRule="auto"/>
        <w:jc w:val="both"/>
        <w:sectPr>
          <w:pgSz w:w="12240" w:h="15840"/>
          <w:pgMar w:header="0" w:footer="975" w:top="1360" w:bottom="1220" w:left="1600" w:right="1580"/>
        </w:sectPr>
      </w:pPr>
    </w:p>
    <w:p>
      <w:pPr>
        <w:pStyle w:val="Heading1"/>
      </w:pPr>
      <w:bookmarkStart w:name="_bookmark15" w:id="24"/>
      <w:bookmarkEnd w:id="24"/>
      <w:r>
        <w:rPr>
          <w:b w:val="0"/>
        </w:rPr>
      </w:r>
      <w:r>
        <w:rPr/>
        <w:t>CAPÍTULO 2</w:t>
      </w:r>
      <w:r>
        <w:rPr>
          <w:b w:val="0"/>
        </w:rPr>
        <w:t>: </w:t>
      </w:r>
      <w:r>
        <w:rPr/>
        <w:t>DESARROLLO EXPERIMENTAL</w:t>
      </w:r>
    </w:p>
    <w:p>
      <w:pPr>
        <w:pStyle w:val="BodyText"/>
        <w:spacing w:before="5"/>
        <w:rPr>
          <w:b/>
          <w:sz w:val="36"/>
        </w:rPr>
      </w:pPr>
    </w:p>
    <w:p>
      <w:pPr>
        <w:pStyle w:val="BodyText"/>
        <w:spacing w:line="360" w:lineRule="auto"/>
        <w:ind w:left="102" w:right="120"/>
        <w:jc w:val="both"/>
      </w:pPr>
      <w:r>
        <w:rPr/>
        <w:t>En este capítulo se mencionan los materiales utilizados en la elaboración de las probetas de concreto polimérico; se describe la metodología utilizada para la elaboración de las mismas, y se especifican los equipos y las condiciones de ensayo para la caracterización.</w:t>
      </w:r>
    </w:p>
    <w:p>
      <w:pPr>
        <w:pStyle w:val="BodyText"/>
      </w:pPr>
    </w:p>
    <w:p>
      <w:pPr>
        <w:pStyle w:val="Heading2"/>
        <w:numPr>
          <w:ilvl w:val="1"/>
          <w:numId w:val="6"/>
        </w:numPr>
        <w:tabs>
          <w:tab w:pos="505" w:val="left" w:leader="none"/>
        </w:tabs>
        <w:spacing w:line="240" w:lineRule="auto" w:before="142" w:after="0"/>
        <w:ind w:left="504" w:right="0" w:hanging="402"/>
        <w:jc w:val="both"/>
      </w:pPr>
      <w:bookmarkStart w:name="_bookmark16" w:id="25"/>
      <w:bookmarkEnd w:id="25"/>
      <w:r>
        <w:rPr>
          <w:b w:val="0"/>
        </w:rPr>
      </w:r>
      <w:bookmarkStart w:name="_bookmark16" w:id="26"/>
      <w:bookmarkEnd w:id="26"/>
      <w:r>
        <w:rPr/>
        <w:t>Ma</w:t>
      </w:r>
      <w:r>
        <w:rPr/>
        <w:t>teriales</w:t>
      </w:r>
    </w:p>
    <w:p>
      <w:pPr>
        <w:pStyle w:val="BodyText"/>
        <w:rPr>
          <w:b/>
        </w:rPr>
      </w:pPr>
    </w:p>
    <w:p>
      <w:pPr>
        <w:pStyle w:val="BodyText"/>
        <w:rPr>
          <w:b/>
        </w:rPr>
      </w:pPr>
    </w:p>
    <w:p>
      <w:pPr>
        <w:pStyle w:val="Heading2"/>
        <w:numPr>
          <w:ilvl w:val="2"/>
          <w:numId w:val="6"/>
        </w:numPr>
        <w:tabs>
          <w:tab w:pos="704" w:val="left" w:leader="none"/>
        </w:tabs>
        <w:spacing w:line="240" w:lineRule="auto" w:before="0" w:after="0"/>
        <w:ind w:left="703" w:right="0" w:hanging="601"/>
        <w:jc w:val="both"/>
      </w:pPr>
      <w:bookmarkStart w:name="_bookmark17" w:id="27"/>
      <w:bookmarkEnd w:id="27"/>
      <w:r>
        <w:rPr>
          <w:b w:val="0"/>
        </w:rPr>
      </w:r>
      <w:bookmarkStart w:name="_bookmark17" w:id="28"/>
      <w:bookmarkEnd w:id="28"/>
      <w:r>
        <w:rPr/>
        <w:t>Re</w:t>
      </w:r>
      <w:r>
        <w:rPr/>
        <w:t>sina</w:t>
      </w:r>
      <w:r>
        <w:rPr>
          <w:spacing w:val="-10"/>
        </w:rPr>
        <w:t> </w:t>
      </w:r>
      <w:r>
        <w:rPr/>
        <w:t>Poliéster</w:t>
      </w:r>
    </w:p>
    <w:p>
      <w:pPr>
        <w:pStyle w:val="BodyText"/>
        <w:spacing w:line="360" w:lineRule="auto" w:before="137"/>
        <w:ind w:left="102" w:right="116"/>
        <w:jc w:val="both"/>
      </w:pPr>
      <w:r>
        <w:rPr/>
        <w:t>La resina poliéster utilizada en este proyecto fue donada por el Instituto de Engenharia Mecânica e Gestão Industrial (INEGI) de Porto, en Portugal; de la marca Matexplás (Aropol</w:t>
      </w:r>
      <w:r>
        <w:rPr>
          <w:position w:val="6"/>
          <w:sz w:val="12"/>
        </w:rPr>
        <w:t>TM </w:t>
      </w:r>
      <w:r>
        <w:rPr/>
        <w:t>FS 3992). Fue empleado octoato de cobre al 1% como acelerador y peróxido de metiletil cetona como iniciador. En la </w:t>
      </w:r>
      <w:r>
        <w:rPr>
          <w:spacing w:val="-6"/>
        </w:rPr>
        <w:t>Tabla </w:t>
      </w:r>
      <w:r>
        <w:rPr/>
        <w:t>4 se muestran las propiedades de la resina Poliéster.</w:t>
      </w:r>
    </w:p>
    <w:p>
      <w:pPr>
        <w:pStyle w:val="BodyText"/>
      </w:pPr>
    </w:p>
    <w:p>
      <w:pPr>
        <w:spacing w:before="139"/>
        <w:ind w:left="2425" w:right="0" w:firstLine="0"/>
        <w:jc w:val="left"/>
        <w:rPr>
          <w:sz w:val="22"/>
        </w:rPr>
      </w:pPr>
      <w:bookmarkStart w:name="_bookmark18" w:id="29"/>
      <w:bookmarkEnd w:id="29"/>
      <w:r>
        <w:rPr/>
      </w:r>
      <w:r>
        <w:rPr>
          <w:b/>
          <w:sz w:val="22"/>
        </w:rPr>
        <w:t>Tabla 4</w:t>
      </w:r>
      <w:r>
        <w:rPr>
          <w:sz w:val="22"/>
        </w:rPr>
        <w:t>. Propiedades de la resina poliéster</w:t>
      </w:r>
    </w:p>
    <w:p>
      <w:pPr>
        <w:pStyle w:val="BodyText"/>
        <w:spacing w:before="10"/>
        <w:rPr>
          <w:sz w:val="17"/>
        </w:rPr>
      </w:pPr>
    </w:p>
    <w:tbl>
      <w:tblPr>
        <w:tblW w:w="0" w:type="auto"/>
        <w:jc w:val="left"/>
        <w:tblInd w:w="20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71"/>
        <w:gridCol w:w="1456"/>
      </w:tblGrid>
      <w:tr>
        <w:trPr>
          <w:trHeight w:val="425" w:hRule="exact"/>
        </w:trPr>
        <w:tc>
          <w:tcPr>
            <w:tcW w:w="3571" w:type="dxa"/>
            <w:tcBorders>
              <w:left w:val="nil"/>
              <w:right w:val="nil"/>
            </w:tcBorders>
          </w:tcPr>
          <w:p>
            <w:pPr>
              <w:pStyle w:val="TableParagraph"/>
              <w:spacing w:line="274" w:lineRule="exact"/>
              <w:ind w:left="1145"/>
              <w:jc w:val="left"/>
              <w:rPr>
                <w:b/>
                <w:sz w:val="24"/>
              </w:rPr>
            </w:pPr>
            <w:r>
              <w:rPr>
                <w:b/>
                <w:sz w:val="24"/>
              </w:rPr>
              <w:t>Propiedad</w:t>
            </w:r>
          </w:p>
        </w:tc>
        <w:tc>
          <w:tcPr>
            <w:tcW w:w="1456" w:type="dxa"/>
            <w:tcBorders>
              <w:left w:val="nil"/>
              <w:right w:val="nil"/>
            </w:tcBorders>
          </w:tcPr>
          <w:p>
            <w:pPr>
              <w:pStyle w:val="TableParagraph"/>
              <w:spacing w:line="274" w:lineRule="exact"/>
              <w:ind w:left="214" w:right="319"/>
              <w:rPr>
                <w:b/>
                <w:sz w:val="24"/>
              </w:rPr>
            </w:pPr>
            <w:r>
              <w:rPr>
                <w:b/>
                <w:sz w:val="24"/>
              </w:rPr>
              <w:t>Valor</w:t>
            </w:r>
          </w:p>
        </w:tc>
      </w:tr>
      <w:tr>
        <w:trPr>
          <w:trHeight w:val="360" w:hRule="exact"/>
        </w:trPr>
        <w:tc>
          <w:tcPr>
            <w:tcW w:w="3571" w:type="dxa"/>
            <w:tcBorders>
              <w:left w:val="nil"/>
              <w:bottom w:val="nil"/>
              <w:right w:val="nil"/>
            </w:tcBorders>
          </w:tcPr>
          <w:p>
            <w:pPr>
              <w:pStyle w:val="TableParagraph"/>
              <w:spacing w:line="274" w:lineRule="exact"/>
              <w:ind w:left="105"/>
              <w:jc w:val="left"/>
              <w:rPr>
                <w:sz w:val="24"/>
              </w:rPr>
            </w:pPr>
            <w:r>
              <w:rPr>
                <w:sz w:val="24"/>
              </w:rPr>
              <w:t>Contenido de estireno, %</w:t>
            </w:r>
          </w:p>
        </w:tc>
        <w:tc>
          <w:tcPr>
            <w:tcW w:w="1456" w:type="dxa"/>
            <w:tcBorders>
              <w:left w:val="nil"/>
              <w:bottom w:val="nil"/>
              <w:right w:val="nil"/>
            </w:tcBorders>
          </w:tcPr>
          <w:p>
            <w:pPr>
              <w:pStyle w:val="TableParagraph"/>
              <w:spacing w:line="274" w:lineRule="exact"/>
              <w:ind w:left="216" w:right="315"/>
              <w:rPr>
                <w:sz w:val="24"/>
              </w:rPr>
            </w:pPr>
            <w:r>
              <w:rPr>
                <w:sz w:val="24"/>
              </w:rPr>
              <w:t>40-44</w:t>
            </w:r>
          </w:p>
        </w:tc>
      </w:tr>
      <w:tr>
        <w:trPr>
          <w:trHeight w:val="414" w:hRule="exact"/>
        </w:trPr>
        <w:tc>
          <w:tcPr>
            <w:tcW w:w="3571" w:type="dxa"/>
            <w:tcBorders>
              <w:top w:val="nil"/>
              <w:left w:val="nil"/>
              <w:bottom w:val="nil"/>
              <w:right w:val="nil"/>
            </w:tcBorders>
          </w:tcPr>
          <w:p>
            <w:pPr>
              <w:pStyle w:val="TableParagraph"/>
              <w:spacing w:before="55"/>
              <w:ind w:left="105"/>
              <w:jc w:val="left"/>
              <w:rPr>
                <w:sz w:val="24"/>
              </w:rPr>
            </w:pPr>
            <w:r>
              <w:rPr>
                <w:sz w:val="24"/>
              </w:rPr>
              <w:t>Tiempo de gel, min</w:t>
            </w:r>
          </w:p>
        </w:tc>
        <w:tc>
          <w:tcPr>
            <w:tcW w:w="1456" w:type="dxa"/>
            <w:tcBorders>
              <w:top w:val="nil"/>
              <w:left w:val="nil"/>
              <w:bottom w:val="nil"/>
              <w:right w:val="nil"/>
            </w:tcBorders>
          </w:tcPr>
          <w:p>
            <w:pPr>
              <w:pStyle w:val="TableParagraph"/>
              <w:spacing w:before="55"/>
              <w:ind w:left="214" w:right="319"/>
              <w:rPr>
                <w:sz w:val="24"/>
              </w:rPr>
            </w:pPr>
            <w:r>
              <w:rPr>
                <w:sz w:val="24"/>
              </w:rPr>
              <w:t>4-7</w:t>
            </w:r>
          </w:p>
        </w:tc>
      </w:tr>
      <w:tr>
        <w:trPr>
          <w:trHeight w:val="414" w:hRule="exact"/>
        </w:trPr>
        <w:tc>
          <w:tcPr>
            <w:tcW w:w="3571" w:type="dxa"/>
            <w:tcBorders>
              <w:top w:val="nil"/>
              <w:left w:val="nil"/>
              <w:bottom w:val="nil"/>
              <w:right w:val="nil"/>
            </w:tcBorders>
          </w:tcPr>
          <w:p>
            <w:pPr>
              <w:pStyle w:val="TableParagraph"/>
              <w:spacing w:before="57"/>
              <w:ind w:left="105"/>
              <w:jc w:val="left"/>
              <w:rPr>
                <w:sz w:val="24"/>
              </w:rPr>
            </w:pPr>
            <w:r>
              <w:rPr>
                <w:sz w:val="24"/>
              </w:rPr>
              <w:t>Resistencia a la tracción, MPa</w:t>
            </w:r>
          </w:p>
        </w:tc>
        <w:tc>
          <w:tcPr>
            <w:tcW w:w="1456" w:type="dxa"/>
            <w:tcBorders>
              <w:top w:val="nil"/>
              <w:left w:val="nil"/>
              <w:bottom w:val="nil"/>
              <w:right w:val="nil"/>
            </w:tcBorders>
          </w:tcPr>
          <w:p>
            <w:pPr>
              <w:pStyle w:val="TableParagraph"/>
              <w:spacing w:before="57"/>
              <w:ind w:left="215" w:right="319"/>
              <w:rPr>
                <w:sz w:val="24"/>
              </w:rPr>
            </w:pPr>
            <w:r>
              <w:rPr>
                <w:sz w:val="24"/>
              </w:rPr>
              <w:t>50-70</w:t>
            </w:r>
          </w:p>
        </w:tc>
      </w:tr>
      <w:tr>
        <w:trPr>
          <w:trHeight w:val="414" w:hRule="exact"/>
        </w:trPr>
        <w:tc>
          <w:tcPr>
            <w:tcW w:w="3571" w:type="dxa"/>
            <w:tcBorders>
              <w:top w:val="nil"/>
              <w:left w:val="nil"/>
              <w:bottom w:val="nil"/>
              <w:right w:val="nil"/>
            </w:tcBorders>
          </w:tcPr>
          <w:p>
            <w:pPr>
              <w:pStyle w:val="TableParagraph"/>
              <w:spacing w:before="55"/>
              <w:ind w:left="105"/>
              <w:jc w:val="left"/>
              <w:rPr>
                <w:sz w:val="24"/>
              </w:rPr>
            </w:pPr>
            <w:r>
              <w:rPr>
                <w:sz w:val="24"/>
              </w:rPr>
              <w:t>Resistencia a la flexión, MPa</w:t>
            </w:r>
          </w:p>
        </w:tc>
        <w:tc>
          <w:tcPr>
            <w:tcW w:w="1456" w:type="dxa"/>
            <w:tcBorders>
              <w:top w:val="nil"/>
              <w:left w:val="nil"/>
              <w:bottom w:val="nil"/>
              <w:right w:val="nil"/>
            </w:tcBorders>
          </w:tcPr>
          <w:p>
            <w:pPr>
              <w:pStyle w:val="TableParagraph"/>
              <w:spacing w:before="55"/>
              <w:ind w:left="216" w:right="319"/>
              <w:rPr>
                <w:sz w:val="24"/>
              </w:rPr>
            </w:pPr>
            <w:r>
              <w:rPr>
                <w:sz w:val="24"/>
              </w:rPr>
              <w:t>88 - 107</w:t>
            </w:r>
          </w:p>
        </w:tc>
      </w:tr>
      <w:tr>
        <w:trPr>
          <w:trHeight w:val="406" w:hRule="exact"/>
        </w:trPr>
        <w:tc>
          <w:tcPr>
            <w:tcW w:w="3571" w:type="dxa"/>
            <w:tcBorders>
              <w:top w:val="nil"/>
              <w:left w:val="nil"/>
              <w:bottom w:val="nil"/>
              <w:right w:val="nil"/>
            </w:tcBorders>
          </w:tcPr>
          <w:p>
            <w:pPr>
              <w:pStyle w:val="TableParagraph"/>
              <w:spacing w:before="57"/>
              <w:ind w:left="105"/>
              <w:jc w:val="left"/>
              <w:rPr>
                <w:sz w:val="24"/>
              </w:rPr>
            </w:pPr>
            <w:r>
              <w:rPr>
                <w:sz w:val="24"/>
              </w:rPr>
              <w:t>Viscosidad de Brookfield,cPs</w:t>
            </w:r>
          </w:p>
        </w:tc>
        <w:tc>
          <w:tcPr>
            <w:tcW w:w="1456" w:type="dxa"/>
            <w:tcBorders>
              <w:top w:val="nil"/>
              <w:left w:val="nil"/>
              <w:bottom w:val="nil"/>
              <w:right w:val="nil"/>
            </w:tcBorders>
          </w:tcPr>
          <w:p>
            <w:pPr>
              <w:pStyle w:val="TableParagraph"/>
              <w:spacing w:before="57"/>
              <w:ind w:left="216" w:right="319"/>
              <w:rPr>
                <w:sz w:val="24"/>
              </w:rPr>
            </w:pPr>
            <w:r>
              <w:rPr>
                <w:sz w:val="24"/>
              </w:rPr>
              <w:t>150-300</w:t>
            </w:r>
          </w:p>
        </w:tc>
      </w:tr>
      <w:tr>
        <w:trPr>
          <w:trHeight w:val="507" w:hRule="exact"/>
        </w:trPr>
        <w:tc>
          <w:tcPr>
            <w:tcW w:w="3571" w:type="dxa"/>
            <w:tcBorders>
              <w:top w:val="nil"/>
              <w:left w:val="nil"/>
              <w:right w:val="nil"/>
            </w:tcBorders>
          </w:tcPr>
          <w:p>
            <w:pPr>
              <w:pStyle w:val="TableParagraph"/>
              <w:spacing w:before="58"/>
              <w:ind w:left="105"/>
              <w:jc w:val="left"/>
              <w:rPr>
                <w:sz w:val="16"/>
              </w:rPr>
            </w:pPr>
            <w:r>
              <w:rPr>
                <w:sz w:val="24"/>
              </w:rPr>
              <w:t>Densidad,g/cm</w:t>
            </w:r>
            <w:r>
              <w:rPr>
                <w:position w:val="8"/>
                <w:sz w:val="16"/>
              </w:rPr>
              <w:t>3</w:t>
            </w:r>
          </w:p>
        </w:tc>
        <w:tc>
          <w:tcPr>
            <w:tcW w:w="1456" w:type="dxa"/>
            <w:tcBorders>
              <w:top w:val="nil"/>
              <w:left w:val="nil"/>
              <w:right w:val="nil"/>
            </w:tcBorders>
          </w:tcPr>
          <w:p>
            <w:pPr>
              <w:pStyle w:val="TableParagraph"/>
              <w:spacing w:before="63"/>
              <w:ind w:left="216" w:right="319"/>
              <w:rPr>
                <w:sz w:val="24"/>
              </w:rPr>
            </w:pPr>
            <w:r>
              <w:rPr>
                <w:sz w:val="24"/>
              </w:rPr>
              <w:t>1.1</w:t>
            </w:r>
          </w:p>
        </w:tc>
      </w:tr>
    </w:tbl>
    <w:p>
      <w:pPr>
        <w:pStyle w:val="BodyText"/>
        <w:rPr>
          <w:sz w:val="20"/>
        </w:rPr>
      </w:pPr>
    </w:p>
    <w:p>
      <w:pPr>
        <w:pStyle w:val="BodyText"/>
        <w:rPr>
          <w:sz w:val="20"/>
        </w:rPr>
      </w:pPr>
    </w:p>
    <w:p>
      <w:pPr>
        <w:pStyle w:val="BodyText"/>
        <w:spacing w:before="9"/>
        <w:rPr>
          <w:sz w:val="25"/>
        </w:rPr>
      </w:pPr>
    </w:p>
    <w:p>
      <w:pPr>
        <w:pStyle w:val="Heading2"/>
        <w:numPr>
          <w:ilvl w:val="2"/>
          <w:numId w:val="6"/>
        </w:numPr>
        <w:tabs>
          <w:tab w:pos="697" w:val="left" w:leader="none"/>
        </w:tabs>
        <w:spacing w:line="240" w:lineRule="auto" w:before="70" w:after="0"/>
        <w:ind w:left="696" w:right="0" w:hanging="594"/>
        <w:jc w:val="both"/>
      </w:pPr>
      <w:bookmarkStart w:name="_bookmark19" w:id="30"/>
      <w:bookmarkEnd w:id="30"/>
      <w:r>
        <w:rPr>
          <w:b w:val="0"/>
        </w:rPr>
      </w:r>
      <w:bookmarkStart w:name="_bookmark19" w:id="31"/>
      <w:bookmarkEnd w:id="31"/>
      <w:r>
        <w:rPr/>
        <w:t>A</w:t>
      </w:r>
      <w:r>
        <w:rPr/>
        <w:t>rena</w:t>
      </w:r>
      <w:r>
        <w:rPr>
          <w:spacing w:val="-8"/>
        </w:rPr>
        <w:t> </w:t>
      </w:r>
      <w:r>
        <w:rPr/>
        <w:t>sílice</w:t>
      </w:r>
    </w:p>
    <w:p>
      <w:pPr>
        <w:pStyle w:val="BodyText"/>
        <w:spacing w:line="360" w:lineRule="auto" w:before="137"/>
        <w:ind w:left="102" w:right="122"/>
        <w:jc w:val="both"/>
      </w:pPr>
      <w:r>
        <w:rPr/>
        <w:t>El agregado mineral utilizado para la elaboración de las probetas de concreto polimérico fue arena sílice con nombre comercial SP55. Su composición y características físicas se muestran en la Tabla 5 y 6, respectivamente.</w:t>
      </w:r>
    </w:p>
    <w:p>
      <w:pPr>
        <w:spacing w:after="0" w:line="360" w:lineRule="auto"/>
        <w:jc w:val="both"/>
        <w:sectPr>
          <w:pgSz w:w="12240" w:h="15840"/>
          <w:pgMar w:header="0" w:footer="975" w:top="1380" w:bottom="1220" w:left="1600" w:right="1580"/>
        </w:sectPr>
      </w:pPr>
    </w:p>
    <w:p>
      <w:pPr>
        <w:spacing w:before="51"/>
        <w:ind w:left="2380" w:right="0" w:firstLine="0"/>
        <w:jc w:val="left"/>
        <w:rPr>
          <w:sz w:val="22"/>
        </w:rPr>
      </w:pPr>
      <w:bookmarkStart w:name="_bookmark20" w:id="32"/>
      <w:bookmarkEnd w:id="32"/>
      <w:r>
        <w:rPr/>
      </w:r>
      <w:r>
        <w:rPr>
          <w:b/>
          <w:sz w:val="22"/>
        </w:rPr>
        <w:t>Tabla 5</w:t>
      </w:r>
      <w:r>
        <w:rPr>
          <w:sz w:val="22"/>
        </w:rPr>
        <w:t>. Composición de la arena sílice SP55.</w:t>
      </w:r>
    </w:p>
    <w:p>
      <w:pPr>
        <w:pStyle w:val="BodyText"/>
        <w:spacing w:before="10"/>
        <w:rPr>
          <w:sz w:val="17"/>
        </w:rPr>
      </w:pPr>
    </w:p>
    <w:tbl>
      <w:tblPr>
        <w:tblW w:w="0" w:type="auto"/>
        <w:jc w:val="left"/>
        <w:tblInd w:w="34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6"/>
        <w:gridCol w:w="816"/>
      </w:tblGrid>
      <w:tr>
        <w:trPr>
          <w:trHeight w:val="425" w:hRule="exact"/>
        </w:trPr>
        <w:tc>
          <w:tcPr>
            <w:tcW w:w="1536" w:type="dxa"/>
            <w:tcBorders>
              <w:left w:val="nil"/>
              <w:right w:val="nil"/>
            </w:tcBorders>
          </w:tcPr>
          <w:p>
            <w:pPr>
              <w:pStyle w:val="TableParagraph"/>
              <w:spacing w:line="274" w:lineRule="exact"/>
              <w:ind w:left="88" w:right="88"/>
              <w:rPr>
                <w:b/>
                <w:sz w:val="24"/>
              </w:rPr>
            </w:pPr>
            <w:r>
              <w:rPr>
                <w:b/>
                <w:sz w:val="24"/>
              </w:rPr>
              <w:t>Compuesto</w:t>
            </w:r>
          </w:p>
        </w:tc>
        <w:tc>
          <w:tcPr>
            <w:tcW w:w="816" w:type="dxa"/>
            <w:tcBorders>
              <w:left w:val="nil"/>
              <w:right w:val="nil"/>
            </w:tcBorders>
          </w:tcPr>
          <w:p>
            <w:pPr>
              <w:pStyle w:val="TableParagraph"/>
              <w:spacing w:line="274" w:lineRule="exact"/>
              <w:rPr>
                <w:b/>
                <w:sz w:val="24"/>
              </w:rPr>
            </w:pPr>
            <w:r>
              <w:rPr>
                <w:b/>
                <w:w w:val="99"/>
                <w:sz w:val="24"/>
              </w:rPr>
              <w:t>%</w:t>
            </w:r>
          </w:p>
        </w:tc>
      </w:tr>
      <w:tr>
        <w:trPr>
          <w:trHeight w:val="360" w:hRule="exact"/>
        </w:trPr>
        <w:tc>
          <w:tcPr>
            <w:tcW w:w="1536" w:type="dxa"/>
            <w:tcBorders>
              <w:left w:val="nil"/>
              <w:bottom w:val="nil"/>
              <w:right w:val="nil"/>
            </w:tcBorders>
          </w:tcPr>
          <w:p>
            <w:pPr>
              <w:pStyle w:val="TableParagraph"/>
              <w:spacing w:line="274" w:lineRule="exact"/>
              <w:ind w:left="88" w:right="88"/>
              <w:rPr>
                <w:sz w:val="16"/>
              </w:rPr>
            </w:pPr>
            <w:r>
              <w:rPr>
                <w:position w:val="1"/>
                <w:sz w:val="24"/>
              </w:rPr>
              <w:t>SiO</w:t>
            </w:r>
            <w:r>
              <w:rPr>
                <w:sz w:val="16"/>
              </w:rPr>
              <w:t>2</w:t>
            </w:r>
          </w:p>
        </w:tc>
        <w:tc>
          <w:tcPr>
            <w:tcW w:w="816" w:type="dxa"/>
            <w:tcBorders>
              <w:left w:val="nil"/>
              <w:bottom w:val="nil"/>
              <w:right w:val="nil"/>
            </w:tcBorders>
          </w:tcPr>
          <w:p>
            <w:pPr>
              <w:pStyle w:val="TableParagraph"/>
              <w:spacing w:line="274" w:lineRule="exact"/>
              <w:ind w:right="172"/>
              <w:jc w:val="right"/>
              <w:rPr>
                <w:sz w:val="24"/>
              </w:rPr>
            </w:pPr>
            <w:r>
              <w:rPr>
                <w:sz w:val="24"/>
              </w:rPr>
              <w:t>99.0</w:t>
            </w:r>
          </w:p>
        </w:tc>
      </w:tr>
      <w:tr>
        <w:trPr>
          <w:trHeight w:val="414" w:hRule="exact"/>
        </w:trPr>
        <w:tc>
          <w:tcPr>
            <w:tcW w:w="1536" w:type="dxa"/>
            <w:tcBorders>
              <w:top w:val="nil"/>
              <w:left w:val="nil"/>
              <w:bottom w:val="nil"/>
              <w:right w:val="nil"/>
            </w:tcBorders>
          </w:tcPr>
          <w:p>
            <w:pPr>
              <w:pStyle w:val="TableParagraph"/>
              <w:spacing w:before="55"/>
              <w:ind w:left="88" w:right="88"/>
              <w:rPr>
                <w:sz w:val="16"/>
              </w:rPr>
            </w:pPr>
            <w:r>
              <w:rPr>
                <w:position w:val="1"/>
                <w:sz w:val="24"/>
              </w:rPr>
              <w:t>Al</w:t>
            </w:r>
            <w:r>
              <w:rPr>
                <w:sz w:val="16"/>
              </w:rPr>
              <w:t>2</w:t>
            </w:r>
            <w:r>
              <w:rPr>
                <w:position w:val="1"/>
                <w:sz w:val="24"/>
              </w:rPr>
              <w:t>O</w:t>
            </w:r>
            <w:r>
              <w:rPr>
                <w:sz w:val="16"/>
              </w:rPr>
              <w:t>3</w:t>
            </w:r>
          </w:p>
        </w:tc>
        <w:tc>
          <w:tcPr>
            <w:tcW w:w="816" w:type="dxa"/>
            <w:tcBorders>
              <w:top w:val="nil"/>
              <w:left w:val="nil"/>
              <w:bottom w:val="nil"/>
              <w:right w:val="nil"/>
            </w:tcBorders>
          </w:tcPr>
          <w:p>
            <w:pPr>
              <w:pStyle w:val="TableParagraph"/>
              <w:spacing w:before="55"/>
              <w:ind w:right="171"/>
              <w:jc w:val="right"/>
              <w:rPr>
                <w:sz w:val="24"/>
              </w:rPr>
            </w:pPr>
            <w:r>
              <w:rPr>
                <w:sz w:val="24"/>
              </w:rPr>
              <w:t>0.40</w:t>
            </w:r>
          </w:p>
        </w:tc>
      </w:tr>
      <w:tr>
        <w:trPr>
          <w:trHeight w:val="414" w:hRule="exact"/>
        </w:trPr>
        <w:tc>
          <w:tcPr>
            <w:tcW w:w="1536" w:type="dxa"/>
            <w:tcBorders>
              <w:top w:val="nil"/>
              <w:left w:val="nil"/>
              <w:bottom w:val="nil"/>
              <w:right w:val="nil"/>
            </w:tcBorders>
          </w:tcPr>
          <w:p>
            <w:pPr>
              <w:pStyle w:val="TableParagraph"/>
              <w:spacing w:before="56"/>
              <w:ind w:left="88" w:right="86"/>
              <w:rPr>
                <w:sz w:val="16"/>
              </w:rPr>
            </w:pPr>
            <w:r>
              <w:rPr>
                <w:position w:val="1"/>
                <w:sz w:val="24"/>
              </w:rPr>
              <w:t>TiO</w:t>
            </w:r>
            <w:r>
              <w:rPr>
                <w:sz w:val="16"/>
              </w:rPr>
              <w:t>2</w:t>
            </w:r>
          </w:p>
        </w:tc>
        <w:tc>
          <w:tcPr>
            <w:tcW w:w="816" w:type="dxa"/>
            <w:tcBorders>
              <w:top w:val="nil"/>
              <w:left w:val="nil"/>
              <w:bottom w:val="nil"/>
              <w:right w:val="nil"/>
            </w:tcBorders>
          </w:tcPr>
          <w:p>
            <w:pPr>
              <w:pStyle w:val="TableParagraph"/>
              <w:spacing w:before="57"/>
              <w:ind w:right="172"/>
              <w:jc w:val="right"/>
              <w:rPr>
                <w:sz w:val="24"/>
              </w:rPr>
            </w:pPr>
            <w:r>
              <w:rPr>
                <w:sz w:val="24"/>
              </w:rPr>
              <w:t>0.10</w:t>
            </w:r>
          </w:p>
        </w:tc>
      </w:tr>
      <w:tr>
        <w:trPr>
          <w:trHeight w:val="414" w:hRule="exact"/>
        </w:trPr>
        <w:tc>
          <w:tcPr>
            <w:tcW w:w="1536" w:type="dxa"/>
            <w:tcBorders>
              <w:top w:val="nil"/>
              <w:left w:val="nil"/>
              <w:bottom w:val="nil"/>
              <w:right w:val="nil"/>
            </w:tcBorders>
          </w:tcPr>
          <w:p>
            <w:pPr>
              <w:pStyle w:val="TableParagraph"/>
              <w:spacing w:before="55"/>
              <w:ind w:left="88" w:right="88"/>
              <w:rPr>
                <w:sz w:val="16"/>
              </w:rPr>
            </w:pPr>
            <w:r>
              <w:rPr>
                <w:position w:val="1"/>
                <w:sz w:val="24"/>
              </w:rPr>
              <w:t>Fe</w:t>
            </w:r>
            <w:r>
              <w:rPr>
                <w:sz w:val="16"/>
              </w:rPr>
              <w:t>2</w:t>
            </w:r>
            <w:r>
              <w:rPr>
                <w:position w:val="1"/>
                <w:sz w:val="24"/>
              </w:rPr>
              <w:t>O</w:t>
            </w:r>
            <w:r>
              <w:rPr>
                <w:sz w:val="16"/>
              </w:rPr>
              <w:t>3</w:t>
            </w:r>
          </w:p>
        </w:tc>
        <w:tc>
          <w:tcPr>
            <w:tcW w:w="816" w:type="dxa"/>
            <w:tcBorders>
              <w:top w:val="nil"/>
              <w:left w:val="nil"/>
              <w:bottom w:val="nil"/>
              <w:right w:val="nil"/>
            </w:tcBorders>
          </w:tcPr>
          <w:p>
            <w:pPr>
              <w:pStyle w:val="TableParagraph"/>
              <w:spacing w:before="55"/>
              <w:ind w:right="172"/>
              <w:jc w:val="right"/>
              <w:rPr>
                <w:sz w:val="24"/>
              </w:rPr>
            </w:pPr>
            <w:r>
              <w:rPr>
                <w:sz w:val="24"/>
              </w:rPr>
              <w:t>0.07</w:t>
            </w:r>
          </w:p>
        </w:tc>
      </w:tr>
      <w:tr>
        <w:trPr>
          <w:trHeight w:val="414" w:hRule="exact"/>
        </w:trPr>
        <w:tc>
          <w:tcPr>
            <w:tcW w:w="1536" w:type="dxa"/>
            <w:tcBorders>
              <w:top w:val="nil"/>
              <w:left w:val="nil"/>
              <w:bottom w:val="nil"/>
              <w:right w:val="nil"/>
            </w:tcBorders>
          </w:tcPr>
          <w:p>
            <w:pPr>
              <w:pStyle w:val="TableParagraph"/>
              <w:spacing w:before="56"/>
              <w:ind w:left="87" w:right="88"/>
              <w:rPr>
                <w:sz w:val="24"/>
              </w:rPr>
            </w:pPr>
            <w:r>
              <w:rPr>
                <w:position w:val="1"/>
                <w:sz w:val="24"/>
              </w:rPr>
              <w:t>Na</w:t>
            </w:r>
            <w:r>
              <w:rPr>
                <w:sz w:val="16"/>
              </w:rPr>
              <w:t>2</w:t>
            </w:r>
            <w:r>
              <w:rPr>
                <w:position w:val="1"/>
                <w:sz w:val="24"/>
              </w:rPr>
              <w:t>O</w:t>
            </w:r>
          </w:p>
        </w:tc>
        <w:tc>
          <w:tcPr>
            <w:tcW w:w="816" w:type="dxa"/>
            <w:tcBorders>
              <w:top w:val="nil"/>
              <w:left w:val="nil"/>
              <w:bottom w:val="nil"/>
              <w:right w:val="nil"/>
            </w:tcBorders>
          </w:tcPr>
          <w:p>
            <w:pPr>
              <w:pStyle w:val="TableParagraph"/>
              <w:spacing w:before="57"/>
              <w:ind w:right="172"/>
              <w:jc w:val="right"/>
              <w:rPr>
                <w:sz w:val="24"/>
              </w:rPr>
            </w:pPr>
            <w:r>
              <w:rPr>
                <w:sz w:val="24"/>
              </w:rPr>
              <w:t>0.05</w:t>
            </w:r>
          </w:p>
        </w:tc>
      </w:tr>
      <w:tr>
        <w:trPr>
          <w:trHeight w:val="414" w:hRule="exact"/>
        </w:trPr>
        <w:tc>
          <w:tcPr>
            <w:tcW w:w="1536" w:type="dxa"/>
            <w:tcBorders>
              <w:top w:val="nil"/>
              <w:left w:val="nil"/>
              <w:bottom w:val="nil"/>
              <w:right w:val="nil"/>
            </w:tcBorders>
          </w:tcPr>
          <w:p>
            <w:pPr>
              <w:pStyle w:val="TableParagraph"/>
              <w:spacing w:before="55"/>
              <w:ind w:left="87" w:right="88"/>
              <w:rPr>
                <w:sz w:val="24"/>
              </w:rPr>
            </w:pPr>
            <w:r>
              <w:rPr>
                <w:sz w:val="24"/>
              </w:rPr>
              <w:t>CaO</w:t>
            </w:r>
          </w:p>
        </w:tc>
        <w:tc>
          <w:tcPr>
            <w:tcW w:w="816" w:type="dxa"/>
            <w:tcBorders>
              <w:top w:val="nil"/>
              <w:left w:val="nil"/>
              <w:bottom w:val="nil"/>
              <w:right w:val="nil"/>
            </w:tcBorders>
          </w:tcPr>
          <w:p>
            <w:pPr>
              <w:pStyle w:val="TableParagraph"/>
              <w:spacing w:before="55"/>
              <w:ind w:right="172"/>
              <w:jc w:val="right"/>
              <w:rPr>
                <w:sz w:val="24"/>
              </w:rPr>
            </w:pPr>
            <w:r>
              <w:rPr>
                <w:sz w:val="24"/>
              </w:rPr>
              <w:t>0.03</w:t>
            </w:r>
          </w:p>
        </w:tc>
      </w:tr>
      <w:tr>
        <w:trPr>
          <w:trHeight w:val="414" w:hRule="exact"/>
        </w:trPr>
        <w:tc>
          <w:tcPr>
            <w:tcW w:w="1536" w:type="dxa"/>
            <w:tcBorders>
              <w:top w:val="nil"/>
              <w:left w:val="nil"/>
              <w:bottom w:val="nil"/>
              <w:right w:val="nil"/>
            </w:tcBorders>
          </w:tcPr>
          <w:p>
            <w:pPr>
              <w:pStyle w:val="TableParagraph"/>
              <w:spacing w:before="57"/>
              <w:ind w:left="85" w:right="88"/>
              <w:rPr>
                <w:sz w:val="24"/>
              </w:rPr>
            </w:pPr>
            <w:r>
              <w:rPr>
                <w:sz w:val="24"/>
              </w:rPr>
              <w:t>MgO</w:t>
            </w:r>
          </w:p>
        </w:tc>
        <w:tc>
          <w:tcPr>
            <w:tcW w:w="816" w:type="dxa"/>
            <w:tcBorders>
              <w:top w:val="nil"/>
              <w:left w:val="nil"/>
              <w:bottom w:val="nil"/>
              <w:right w:val="nil"/>
            </w:tcBorders>
          </w:tcPr>
          <w:p>
            <w:pPr>
              <w:pStyle w:val="TableParagraph"/>
              <w:spacing w:before="57"/>
              <w:ind w:right="172"/>
              <w:jc w:val="right"/>
              <w:rPr>
                <w:sz w:val="24"/>
              </w:rPr>
            </w:pPr>
            <w:r>
              <w:rPr>
                <w:sz w:val="24"/>
              </w:rPr>
              <w:t>0.03</w:t>
            </w:r>
          </w:p>
        </w:tc>
      </w:tr>
      <w:tr>
        <w:trPr>
          <w:trHeight w:val="478" w:hRule="exact"/>
        </w:trPr>
        <w:tc>
          <w:tcPr>
            <w:tcW w:w="1536" w:type="dxa"/>
            <w:tcBorders>
              <w:top w:val="nil"/>
              <w:left w:val="nil"/>
              <w:right w:val="nil"/>
            </w:tcBorders>
          </w:tcPr>
          <w:p>
            <w:pPr>
              <w:pStyle w:val="TableParagraph"/>
              <w:spacing w:before="55"/>
              <w:ind w:left="88" w:right="88"/>
              <w:rPr>
                <w:sz w:val="24"/>
              </w:rPr>
            </w:pPr>
            <w:r>
              <w:rPr>
                <w:position w:val="1"/>
                <w:sz w:val="24"/>
              </w:rPr>
              <w:t>K</w:t>
            </w:r>
            <w:r>
              <w:rPr>
                <w:sz w:val="16"/>
              </w:rPr>
              <w:t>2</w:t>
            </w:r>
            <w:r>
              <w:rPr>
                <w:position w:val="1"/>
                <w:sz w:val="24"/>
              </w:rPr>
              <w:t>O</w:t>
            </w:r>
          </w:p>
        </w:tc>
        <w:tc>
          <w:tcPr>
            <w:tcW w:w="816" w:type="dxa"/>
            <w:tcBorders>
              <w:top w:val="nil"/>
              <w:left w:val="nil"/>
              <w:right w:val="nil"/>
            </w:tcBorders>
          </w:tcPr>
          <w:p>
            <w:pPr>
              <w:pStyle w:val="TableParagraph"/>
              <w:spacing w:before="56"/>
              <w:ind w:right="105"/>
              <w:jc w:val="right"/>
              <w:rPr>
                <w:sz w:val="24"/>
              </w:rPr>
            </w:pPr>
            <w:r>
              <w:rPr>
                <w:sz w:val="24"/>
              </w:rPr>
              <w:t>0.007</w:t>
            </w:r>
          </w:p>
        </w:tc>
      </w:tr>
    </w:tbl>
    <w:p>
      <w:pPr>
        <w:pStyle w:val="BodyText"/>
        <w:spacing w:before="4"/>
        <w:rPr>
          <w:sz w:val="29"/>
        </w:rPr>
      </w:pPr>
    </w:p>
    <w:p>
      <w:pPr>
        <w:spacing w:before="73"/>
        <w:ind w:left="2086" w:right="0" w:firstLine="0"/>
        <w:jc w:val="left"/>
        <w:rPr>
          <w:sz w:val="22"/>
        </w:rPr>
      </w:pPr>
      <w:bookmarkStart w:name="_bookmark21" w:id="33"/>
      <w:bookmarkEnd w:id="33"/>
      <w:r>
        <w:rPr/>
      </w:r>
      <w:r>
        <w:rPr>
          <w:b/>
          <w:sz w:val="22"/>
        </w:rPr>
        <w:t>Tabla 6.</w:t>
      </w:r>
      <w:r>
        <w:rPr>
          <w:sz w:val="22"/>
        </w:rPr>
        <w:t>Propiedades físicas de la arena sílice SP55.</w:t>
      </w:r>
    </w:p>
    <w:p>
      <w:pPr>
        <w:pStyle w:val="BodyText"/>
        <w:spacing w:before="7"/>
        <w:rPr>
          <w:sz w:val="17"/>
        </w:rPr>
      </w:pPr>
    </w:p>
    <w:tbl>
      <w:tblPr>
        <w:tblW w:w="0" w:type="auto"/>
        <w:jc w:val="left"/>
        <w:tblInd w:w="2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46"/>
        <w:gridCol w:w="804"/>
      </w:tblGrid>
      <w:tr>
        <w:trPr>
          <w:trHeight w:val="425" w:hRule="exact"/>
        </w:trPr>
        <w:tc>
          <w:tcPr>
            <w:tcW w:w="3346" w:type="dxa"/>
            <w:tcBorders>
              <w:left w:val="nil"/>
              <w:right w:val="nil"/>
            </w:tcBorders>
          </w:tcPr>
          <w:p>
            <w:pPr>
              <w:pStyle w:val="TableParagraph"/>
              <w:spacing w:line="274" w:lineRule="exact"/>
              <w:ind w:left="1084"/>
              <w:jc w:val="left"/>
              <w:rPr>
                <w:b/>
                <w:sz w:val="24"/>
              </w:rPr>
            </w:pPr>
            <w:r>
              <w:rPr>
                <w:b/>
                <w:sz w:val="24"/>
              </w:rPr>
              <w:t>Propiedad</w:t>
            </w:r>
          </w:p>
        </w:tc>
        <w:tc>
          <w:tcPr>
            <w:tcW w:w="804" w:type="dxa"/>
            <w:tcBorders>
              <w:left w:val="nil"/>
              <w:right w:val="nil"/>
            </w:tcBorders>
          </w:tcPr>
          <w:p>
            <w:pPr>
              <w:pStyle w:val="TableParagraph"/>
              <w:spacing w:line="274" w:lineRule="exact"/>
              <w:ind w:right="106"/>
              <w:jc w:val="right"/>
              <w:rPr>
                <w:b/>
                <w:sz w:val="24"/>
              </w:rPr>
            </w:pPr>
            <w:r>
              <w:rPr>
                <w:b/>
                <w:sz w:val="24"/>
              </w:rPr>
              <w:t>Valor</w:t>
            </w:r>
          </w:p>
        </w:tc>
      </w:tr>
      <w:tr>
        <w:trPr>
          <w:trHeight w:val="354" w:hRule="exact"/>
        </w:trPr>
        <w:tc>
          <w:tcPr>
            <w:tcW w:w="3346" w:type="dxa"/>
            <w:tcBorders>
              <w:left w:val="nil"/>
              <w:bottom w:val="nil"/>
              <w:right w:val="nil"/>
            </w:tcBorders>
          </w:tcPr>
          <w:p>
            <w:pPr>
              <w:pStyle w:val="TableParagraph"/>
              <w:spacing w:line="274" w:lineRule="exact"/>
              <w:ind w:left="105"/>
              <w:jc w:val="left"/>
              <w:rPr>
                <w:sz w:val="16"/>
              </w:rPr>
            </w:pPr>
            <w:r>
              <w:rPr>
                <w:sz w:val="24"/>
              </w:rPr>
              <w:t>Densidad aparente,g/cm</w:t>
            </w:r>
            <w:r>
              <w:rPr>
                <w:position w:val="8"/>
                <w:sz w:val="16"/>
              </w:rPr>
              <w:t>3</w:t>
            </w:r>
          </w:p>
        </w:tc>
        <w:tc>
          <w:tcPr>
            <w:tcW w:w="804" w:type="dxa"/>
            <w:tcBorders>
              <w:left w:val="nil"/>
              <w:bottom w:val="nil"/>
              <w:right w:val="nil"/>
            </w:tcBorders>
          </w:tcPr>
          <w:p>
            <w:pPr>
              <w:pStyle w:val="TableParagraph"/>
              <w:spacing w:line="274" w:lineRule="exact"/>
              <w:ind w:left="167"/>
              <w:jc w:val="left"/>
              <w:rPr>
                <w:sz w:val="24"/>
              </w:rPr>
            </w:pPr>
            <w:r>
              <w:rPr>
                <w:sz w:val="24"/>
              </w:rPr>
              <w:t>1.56</w:t>
            </w:r>
          </w:p>
        </w:tc>
      </w:tr>
      <w:tr>
        <w:trPr>
          <w:trHeight w:val="422" w:hRule="exact"/>
        </w:trPr>
        <w:tc>
          <w:tcPr>
            <w:tcW w:w="3346" w:type="dxa"/>
            <w:tcBorders>
              <w:top w:val="nil"/>
              <w:left w:val="nil"/>
              <w:bottom w:val="nil"/>
              <w:right w:val="nil"/>
            </w:tcBorders>
          </w:tcPr>
          <w:p>
            <w:pPr>
              <w:pStyle w:val="TableParagraph"/>
              <w:spacing w:before="59"/>
              <w:ind w:left="105"/>
              <w:jc w:val="left"/>
              <w:rPr>
                <w:sz w:val="16"/>
              </w:rPr>
            </w:pPr>
            <w:r>
              <w:rPr>
                <w:sz w:val="24"/>
              </w:rPr>
              <w:t>Densidad de partículas,g/cm</w:t>
            </w:r>
            <w:r>
              <w:rPr>
                <w:position w:val="8"/>
                <w:sz w:val="16"/>
              </w:rPr>
              <w:t>3</w:t>
            </w:r>
          </w:p>
        </w:tc>
        <w:tc>
          <w:tcPr>
            <w:tcW w:w="804" w:type="dxa"/>
            <w:tcBorders>
              <w:top w:val="nil"/>
              <w:left w:val="nil"/>
              <w:bottom w:val="nil"/>
              <w:right w:val="nil"/>
            </w:tcBorders>
          </w:tcPr>
          <w:p>
            <w:pPr>
              <w:pStyle w:val="TableParagraph"/>
              <w:spacing w:before="64"/>
              <w:ind w:right="133"/>
              <w:jc w:val="right"/>
              <w:rPr>
                <w:sz w:val="24"/>
              </w:rPr>
            </w:pPr>
            <w:r>
              <w:rPr>
                <w:sz w:val="24"/>
              </w:rPr>
              <w:t>2.65</w:t>
            </w:r>
          </w:p>
        </w:tc>
      </w:tr>
      <w:tr>
        <w:trPr>
          <w:trHeight w:val="414" w:hRule="exact"/>
        </w:trPr>
        <w:tc>
          <w:tcPr>
            <w:tcW w:w="3346" w:type="dxa"/>
            <w:tcBorders>
              <w:top w:val="nil"/>
              <w:left w:val="nil"/>
              <w:bottom w:val="nil"/>
              <w:right w:val="nil"/>
            </w:tcBorders>
          </w:tcPr>
          <w:p>
            <w:pPr>
              <w:pStyle w:val="TableParagraph"/>
              <w:spacing w:before="55"/>
              <w:ind w:left="105"/>
              <w:jc w:val="left"/>
              <w:rPr>
                <w:sz w:val="24"/>
              </w:rPr>
            </w:pPr>
            <w:r>
              <w:rPr>
                <w:sz w:val="24"/>
              </w:rPr>
              <w:t>Dureza (escala Mohs)</w:t>
            </w:r>
          </w:p>
        </w:tc>
        <w:tc>
          <w:tcPr>
            <w:tcW w:w="804" w:type="dxa"/>
            <w:tcBorders>
              <w:top w:val="nil"/>
              <w:left w:val="nil"/>
              <w:bottom w:val="nil"/>
              <w:right w:val="nil"/>
            </w:tcBorders>
          </w:tcPr>
          <w:p>
            <w:pPr>
              <w:pStyle w:val="TableParagraph"/>
              <w:spacing w:before="55"/>
              <w:ind w:left="232"/>
              <w:jc w:val="left"/>
              <w:rPr>
                <w:sz w:val="24"/>
              </w:rPr>
            </w:pPr>
            <w:r>
              <w:rPr>
                <w:sz w:val="24"/>
              </w:rPr>
              <w:t>7.0</w:t>
            </w:r>
          </w:p>
        </w:tc>
      </w:tr>
      <w:tr>
        <w:trPr>
          <w:trHeight w:val="477" w:hRule="exact"/>
        </w:trPr>
        <w:tc>
          <w:tcPr>
            <w:tcW w:w="3346" w:type="dxa"/>
            <w:tcBorders>
              <w:top w:val="nil"/>
              <w:left w:val="nil"/>
              <w:right w:val="nil"/>
            </w:tcBorders>
          </w:tcPr>
          <w:p>
            <w:pPr>
              <w:pStyle w:val="TableParagraph"/>
              <w:spacing w:before="56"/>
              <w:ind w:left="105"/>
              <w:jc w:val="left"/>
              <w:rPr>
                <w:sz w:val="24"/>
              </w:rPr>
            </w:pPr>
            <w:r>
              <w:rPr>
                <w:position w:val="1"/>
                <w:sz w:val="24"/>
              </w:rPr>
              <w:t>Diámetro promedio D</w:t>
            </w:r>
            <w:r>
              <w:rPr>
                <w:sz w:val="16"/>
              </w:rPr>
              <w:t>50</w:t>
            </w:r>
            <w:r>
              <w:rPr>
                <w:position w:val="1"/>
                <w:sz w:val="24"/>
              </w:rPr>
              <w:t>, µm</w:t>
            </w:r>
          </w:p>
        </w:tc>
        <w:tc>
          <w:tcPr>
            <w:tcW w:w="804" w:type="dxa"/>
            <w:tcBorders>
              <w:top w:val="nil"/>
              <w:left w:val="nil"/>
              <w:right w:val="nil"/>
            </w:tcBorders>
          </w:tcPr>
          <w:p>
            <w:pPr>
              <w:pStyle w:val="TableParagraph"/>
              <w:spacing w:before="57"/>
              <w:ind w:left="198"/>
              <w:jc w:val="left"/>
              <w:rPr>
                <w:sz w:val="24"/>
              </w:rPr>
            </w:pPr>
            <w:r>
              <w:rPr>
                <w:sz w:val="24"/>
              </w:rPr>
              <w:t>245</w:t>
            </w:r>
          </w:p>
        </w:tc>
      </w:tr>
    </w:tbl>
    <w:p>
      <w:pPr>
        <w:pStyle w:val="BodyText"/>
        <w:spacing w:before="10"/>
        <w:rPr>
          <w:sz w:val="29"/>
        </w:rPr>
      </w:pPr>
    </w:p>
    <w:p>
      <w:pPr>
        <w:pStyle w:val="Heading2"/>
        <w:numPr>
          <w:ilvl w:val="2"/>
          <w:numId w:val="6"/>
        </w:numPr>
        <w:tabs>
          <w:tab w:pos="824" w:val="left" w:leader="none"/>
        </w:tabs>
        <w:spacing w:line="240" w:lineRule="auto" w:before="70" w:after="0"/>
        <w:ind w:left="823" w:right="0" w:hanging="601"/>
        <w:jc w:val="both"/>
      </w:pPr>
      <w:bookmarkStart w:name="_bookmark22" w:id="34"/>
      <w:bookmarkEnd w:id="34"/>
      <w:r>
        <w:rPr>
          <w:b w:val="0"/>
        </w:rPr>
      </w:r>
      <w:bookmarkStart w:name="_bookmark22" w:id="35"/>
      <w:bookmarkEnd w:id="35"/>
      <w:r>
        <w:rPr/>
        <w:t>Fibr</w:t>
      </w:r>
      <w:r>
        <w:rPr/>
        <w:t>as recicladas de</w:t>
      </w:r>
      <w:r>
        <w:rPr>
          <w:spacing w:val="-7"/>
        </w:rPr>
        <w:t> </w:t>
      </w:r>
      <w:r>
        <w:rPr/>
        <w:t>llanta</w:t>
      </w:r>
    </w:p>
    <w:p>
      <w:pPr>
        <w:pStyle w:val="BodyText"/>
        <w:spacing w:line="360" w:lineRule="auto" w:before="137"/>
        <w:ind w:left="222" w:right="220"/>
        <w:jc w:val="both"/>
      </w:pPr>
      <w:r>
        <w:rPr/>
        <w:t>Las fibras de llanta empleadas en este proyecto fueron donadas por el Instituto de Macromoléculas de Ucrania. Las fibras se obtuvieron de diferentes tipos de llanta, con la  composición elastomérica y propiedades señaladas en la Tabla 7.</w:t>
      </w:r>
    </w:p>
    <w:p>
      <w:pPr>
        <w:pStyle w:val="BodyText"/>
      </w:pPr>
    </w:p>
    <w:p>
      <w:pPr>
        <w:spacing w:before="141"/>
        <w:ind w:left="2637" w:right="0" w:firstLine="0"/>
        <w:jc w:val="left"/>
        <w:rPr>
          <w:sz w:val="22"/>
        </w:rPr>
      </w:pPr>
      <w:bookmarkStart w:name="_bookmark23" w:id="36"/>
      <w:bookmarkEnd w:id="36"/>
      <w:r>
        <w:rPr/>
      </w:r>
      <w:r>
        <w:rPr>
          <w:sz w:val="18"/>
        </w:rPr>
        <w:t>Tabla 7.</w:t>
      </w:r>
      <w:r>
        <w:rPr>
          <w:sz w:val="22"/>
        </w:rPr>
        <w:t>Propiedades de las fibras de llanta</w:t>
      </w:r>
    </w:p>
    <w:p>
      <w:pPr>
        <w:pStyle w:val="BodyText"/>
        <w:spacing w:before="7"/>
        <w:rPr>
          <w:sz w:val="17"/>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85"/>
        <w:gridCol w:w="1882"/>
        <w:gridCol w:w="1904"/>
        <w:gridCol w:w="1281"/>
        <w:gridCol w:w="1404"/>
      </w:tblGrid>
      <w:tr>
        <w:trPr>
          <w:trHeight w:val="769" w:hRule="exact"/>
        </w:trPr>
        <w:tc>
          <w:tcPr>
            <w:tcW w:w="2585" w:type="dxa"/>
            <w:tcBorders>
              <w:left w:val="nil"/>
              <w:right w:val="nil"/>
            </w:tcBorders>
          </w:tcPr>
          <w:p>
            <w:pPr>
              <w:pStyle w:val="TableParagraph"/>
              <w:spacing w:line="248" w:lineRule="exact"/>
              <w:ind w:left="640"/>
              <w:jc w:val="left"/>
              <w:rPr>
                <w:b/>
                <w:sz w:val="22"/>
              </w:rPr>
            </w:pPr>
            <w:r>
              <w:rPr>
                <w:b/>
                <w:sz w:val="22"/>
              </w:rPr>
              <w:t>Tipo de Hule</w:t>
            </w:r>
          </w:p>
        </w:tc>
        <w:tc>
          <w:tcPr>
            <w:tcW w:w="1882" w:type="dxa"/>
            <w:tcBorders>
              <w:left w:val="nil"/>
              <w:right w:val="nil"/>
            </w:tcBorders>
          </w:tcPr>
          <w:p>
            <w:pPr>
              <w:pStyle w:val="TableParagraph"/>
              <w:spacing w:line="360" w:lineRule="auto"/>
              <w:ind w:left="446" w:right="128" w:hanging="252"/>
              <w:jc w:val="left"/>
              <w:rPr>
                <w:b/>
                <w:sz w:val="22"/>
              </w:rPr>
            </w:pPr>
            <w:r>
              <w:rPr>
                <w:b/>
                <w:sz w:val="22"/>
              </w:rPr>
              <w:t>Concentración (% en vol)</w:t>
            </w:r>
          </w:p>
        </w:tc>
        <w:tc>
          <w:tcPr>
            <w:tcW w:w="1904" w:type="dxa"/>
            <w:tcBorders>
              <w:left w:val="nil"/>
              <w:right w:val="nil"/>
            </w:tcBorders>
          </w:tcPr>
          <w:p>
            <w:pPr>
              <w:pStyle w:val="TableParagraph"/>
              <w:spacing w:line="360" w:lineRule="auto"/>
              <w:ind w:left="249" w:right="90" w:hanging="106"/>
              <w:jc w:val="left"/>
              <w:rPr>
                <w:b/>
                <w:sz w:val="22"/>
              </w:rPr>
            </w:pPr>
            <w:r>
              <w:rPr>
                <w:b/>
                <w:sz w:val="22"/>
              </w:rPr>
              <w:t>Resistencia a la tensión (MPa)</w:t>
            </w:r>
          </w:p>
        </w:tc>
        <w:tc>
          <w:tcPr>
            <w:tcW w:w="1281" w:type="dxa"/>
            <w:tcBorders>
              <w:left w:val="nil"/>
              <w:right w:val="nil"/>
            </w:tcBorders>
          </w:tcPr>
          <w:p>
            <w:pPr>
              <w:pStyle w:val="TableParagraph"/>
              <w:spacing w:line="360" w:lineRule="auto"/>
              <w:ind w:left="107" w:right="90" w:firstLine="24"/>
              <w:jc w:val="left"/>
              <w:rPr>
                <w:b/>
                <w:sz w:val="22"/>
              </w:rPr>
            </w:pPr>
            <w:r>
              <w:rPr>
                <w:b/>
                <w:sz w:val="22"/>
              </w:rPr>
              <w:t>Gravedad específica</w:t>
            </w:r>
          </w:p>
        </w:tc>
        <w:tc>
          <w:tcPr>
            <w:tcW w:w="1404" w:type="dxa"/>
            <w:tcBorders>
              <w:left w:val="nil"/>
              <w:right w:val="nil"/>
            </w:tcBorders>
          </w:tcPr>
          <w:p>
            <w:pPr>
              <w:pStyle w:val="TableParagraph"/>
              <w:spacing w:line="360" w:lineRule="auto"/>
              <w:ind w:left="527" w:right="91" w:hanging="420"/>
              <w:jc w:val="left"/>
              <w:rPr>
                <w:b/>
                <w:sz w:val="22"/>
              </w:rPr>
            </w:pPr>
            <w:r>
              <w:rPr>
                <w:b/>
                <w:sz w:val="22"/>
              </w:rPr>
              <w:t>Elongación (%)</w:t>
            </w:r>
          </w:p>
        </w:tc>
      </w:tr>
      <w:tr>
        <w:trPr>
          <w:trHeight w:val="361" w:hRule="exact"/>
        </w:trPr>
        <w:tc>
          <w:tcPr>
            <w:tcW w:w="2585" w:type="dxa"/>
            <w:tcBorders>
              <w:left w:val="nil"/>
              <w:bottom w:val="nil"/>
              <w:right w:val="nil"/>
            </w:tcBorders>
          </w:tcPr>
          <w:p>
            <w:pPr>
              <w:pStyle w:val="TableParagraph"/>
              <w:spacing w:line="274" w:lineRule="exact"/>
              <w:ind w:left="108"/>
              <w:jc w:val="left"/>
              <w:rPr>
                <w:sz w:val="20"/>
              </w:rPr>
            </w:pPr>
            <w:r>
              <w:rPr>
                <w:sz w:val="24"/>
              </w:rPr>
              <w:t>NR</w:t>
            </w:r>
            <w:r>
              <w:rPr>
                <w:sz w:val="20"/>
              </w:rPr>
              <w:t>(Natural Rubber)</w:t>
            </w:r>
          </w:p>
        </w:tc>
        <w:tc>
          <w:tcPr>
            <w:tcW w:w="1882" w:type="dxa"/>
            <w:tcBorders>
              <w:left w:val="nil"/>
              <w:bottom w:val="nil"/>
              <w:right w:val="nil"/>
            </w:tcBorders>
          </w:tcPr>
          <w:p>
            <w:pPr>
              <w:pStyle w:val="TableParagraph"/>
              <w:spacing w:line="274" w:lineRule="exact"/>
              <w:ind w:right="778"/>
              <w:jc w:val="right"/>
              <w:rPr>
                <w:sz w:val="24"/>
              </w:rPr>
            </w:pPr>
            <w:r>
              <w:rPr>
                <w:sz w:val="24"/>
              </w:rPr>
              <w:t>30</w:t>
            </w:r>
          </w:p>
        </w:tc>
        <w:tc>
          <w:tcPr>
            <w:tcW w:w="1904" w:type="dxa"/>
            <w:tcBorders>
              <w:left w:val="nil"/>
              <w:bottom w:val="nil"/>
              <w:right w:val="nil"/>
            </w:tcBorders>
          </w:tcPr>
          <w:p>
            <w:pPr>
              <w:pStyle w:val="TableParagraph"/>
              <w:spacing w:line="274" w:lineRule="exact"/>
              <w:ind w:left="818" w:right="778"/>
              <w:rPr>
                <w:sz w:val="24"/>
              </w:rPr>
            </w:pPr>
            <w:r>
              <w:rPr>
                <w:sz w:val="24"/>
              </w:rPr>
              <w:t>31</w:t>
            </w:r>
          </w:p>
        </w:tc>
        <w:tc>
          <w:tcPr>
            <w:tcW w:w="1281" w:type="dxa"/>
            <w:tcBorders>
              <w:left w:val="nil"/>
              <w:bottom w:val="nil"/>
              <w:right w:val="nil"/>
            </w:tcBorders>
          </w:tcPr>
          <w:p>
            <w:pPr>
              <w:pStyle w:val="TableParagraph"/>
              <w:spacing w:line="274" w:lineRule="exact"/>
              <w:ind w:left="404" w:right="90"/>
              <w:jc w:val="left"/>
              <w:rPr>
                <w:sz w:val="24"/>
              </w:rPr>
            </w:pPr>
            <w:r>
              <w:rPr>
                <w:sz w:val="24"/>
              </w:rPr>
              <w:t>0.92</w:t>
            </w:r>
          </w:p>
        </w:tc>
        <w:tc>
          <w:tcPr>
            <w:tcW w:w="1404" w:type="dxa"/>
            <w:tcBorders>
              <w:left w:val="nil"/>
              <w:bottom w:val="nil"/>
              <w:right w:val="nil"/>
            </w:tcBorders>
          </w:tcPr>
          <w:p>
            <w:pPr>
              <w:pStyle w:val="TableParagraph"/>
              <w:spacing w:line="274" w:lineRule="exact"/>
              <w:ind w:left="481" w:right="481"/>
              <w:rPr>
                <w:sz w:val="24"/>
              </w:rPr>
            </w:pPr>
            <w:r>
              <w:rPr>
                <w:sz w:val="24"/>
              </w:rPr>
              <w:t>650</w:t>
            </w:r>
          </w:p>
        </w:tc>
      </w:tr>
      <w:tr>
        <w:trPr>
          <w:trHeight w:val="770" w:hRule="exact"/>
        </w:trPr>
        <w:tc>
          <w:tcPr>
            <w:tcW w:w="2585" w:type="dxa"/>
            <w:tcBorders>
              <w:top w:val="nil"/>
              <w:left w:val="nil"/>
              <w:bottom w:val="nil"/>
              <w:right w:val="nil"/>
            </w:tcBorders>
          </w:tcPr>
          <w:p>
            <w:pPr>
              <w:pStyle w:val="TableParagraph"/>
              <w:spacing w:before="57"/>
              <w:ind w:left="108"/>
              <w:jc w:val="left"/>
              <w:rPr>
                <w:sz w:val="20"/>
              </w:rPr>
            </w:pPr>
            <w:r>
              <w:rPr>
                <w:sz w:val="24"/>
              </w:rPr>
              <w:t>SBR</w:t>
            </w:r>
            <w:r>
              <w:rPr>
                <w:sz w:val="20"/>
              </w:rPr>
              <w:t>(Styrene-Butadiene-</w:t>
            </w:r>
          </w:p>
          <w:p>
            <w:pPr>
              <w:pStyle w:val="TableParagraph"/>
              <w:spacing w:before="136"/>
              <w:ind w:left="662"/>
              <w:jc w:val="left"/>
              <w:rPr>
                <w:sz w:val="20"/>
              </w:rPr>
            </w:pPr>
            <w:r>
              <w:rPr>
                <w:sz w:val="20"/>
              </w:rPr>
              <w:t>-Rubber)</w:t>
            </w:r>
          </w:p>
        </w:tc>
        <w:tc>
          <w:tcPr>
            <w:tcW w:w="1882" w:type="dxa"/>
            <w:tcBorders>
              <w:top w:val="nil"/>
              <w:left w:val="nil"/>
              <w:bottom w:val="nil"/>
              <w:right w:val="nil"/>
            </w:tcBorders>
          </w:tcPr>
          <w:p>
            <w:pPr>
              <w:pStyle w:val="TableParagraph"/>
              <w:spacing w:before="57"/>
              <w:ind w:right="778"/>
              <w:jc w:val="right"/>
              <w:rPr>
                <w:sz w:val="24"/>
              </w:rPr>
            </w:pPr>
            <w:r>
              <w:rPr>
                <w:sz w:val="24"/>
              </w:rPr>
              <w:t>40</w:t>
            </w:r>
          </w:p>
        </w:tc>
        <w:tc>
          <w:tcPr>
            <w:tcW w:w="1904" w:type="dxa"/>
            <w:tcBorders>
              <w:top w:val="nil"/>
              <w:left w:val="nil"/>
              <w:bottom w:val="nil"/>
              <w:right w:val="nil"/>
            </w:tcBorders>
          </w:tcPr>
          <w:p>
            <w:pPr>
              <w:pStyle w:val="TableParagraph"/>
              <w:spacing w:before="57"/>
              <w:ind w:left="818" w:right="778"/>
              <w:rPr>
                <w:sz w:val="24"/>
              </w:rPr>
            </w:pPr>
            <w:r>
              <w:rPr>
                <w:sz w:val="24"/>
              </w:rPr>
              <w:t>24</w:t>
            </w:r>
          </w:p>
        </w:tc>
        <w:tc>
          <w:tcPr>
            <w:tcW w:w="1281" w:type="dxa"/>
            <w:tcBorders>
              <w:top w:val="nil"/>
              <w:left w:val="nil"/>
              <w:bottom w:val="nil"/>
              <w:right w:val="nil"/>
            </w:tcBorders>
          </w:tcPr>
          <w:p>
            <w:pPr>
              <w:pStyle w:val="TableParagraph"/>
              <w:spacing w:before="57"/>
              <w:ind w:left="404" w:right="90"/>
              <w:jc w:val="left"/>
              <w:rPr>
                <w:sz w:val="24"/>
              </w:rPr>
            </w:pPr>
            <w:r>
              <w:rPr>
                <w:sz w:val="24"/>
              </w:rPr>
              <w:t>0.94</w:t>
            </w:r>
          </w:p>
        </w:tc>
        <w:tc>
          <w:tcPr>
            <w:tcW w:w="1404" w:type="dxa"/>
            <w:tcBorders>
              <w:top w:val="nil"/>
              <w:left w:val="nil"/>
              <w:bottom w:val="nil"/>
              <w:right w:val="nil"/>
            </w:tcBorders>
          </w:tcPr>
          <w:p>
            <w:pPr>
              <w:pStyle w:val="TableParagraph"/>
              <w:spacing w:before="57"/>
              <w:ind w:left="481" w:right="481"/>
              <w:rPr>
                <w:sz w:val="24"/>
              </w:rPr>
            </w:pPr>
            <w:r>
              <w:rPr>
                <w:sz w:val="24"/>
              </w:rPr>
              <w:t>600</w:t>
            </w:r>
          </w:p>
        </w:tc>
      </w:tr>
      <w:tr>
        <w:trPr>
          <w:trHeight w:val="403" w:hRule="exact"/>
        </w:trPr>
        <w:tc>
          <w:tcPr>
            <w:tcW w:w="2585" w:type="dxa"/>
            <w:tcBorders>
              <w:top w:val="nil"/>
              <w:left w:val="nil"/>
              <w:bottom w:val="nil"/>
              <w:right w:val="nil"/>
            </w:tcBorders>
          </w:tcPr>
          <w:p>
            <w:pPr>
              <w:pStyle w:val="TableParagraph"/>
              <w:spacing w:before="45"/>
              <w:ind w:left="108"/>
              <w:jc w:val="left"/>
              <w:rPr>
                <w:sz w:val="20"/>
              </w:rPr>
            </w:pPr>
            <w:r>
              <w:rPr>
                <w:sz w:val="24"/>
              </w:rPr>
              <w:t>BR</w:t>
            </w:r>
            <w:r>
              <w:rPr>
                <w:sz w:val="20"/>
              </w:rPr>
              <w:t>(Butadiene Rubber)</w:t>
            </w:r>
          </w:p>
        </w:tc>
        <w:tc>
          <w:tcPr>
            <w:tcW w:w="1882" w:type="dxa"/>
            <w:tcBorders>
              <w:top w:val="nil"/>
              <w:left w:val="nil"/>
              <w:bottom w:val="nil"/>
              <w:right w:val="nil"/>
            </w:tcBorders>
          </w:tcPr>
          <w:p>
            <w:pPr>
              <w:pStyle w:val="TableParagraph"/>
              <w:spacing w:before="45"/>
              <w:ind w:right="778"/>
              <w:jc w:val="right"/>
              <w:rPr>
                <w:sz w:val="24"/>
              </w:rPr>
            </w:pPr>
            <w:r>
              <w:rPr>
                <w:sz w:val="24"/>
              </w:rPr>
              <w:t>20</w:t>
            </w:r>
          </w:p>
        </w:tc>
        <w:tc>
          <w:tcPr>
            <w:tcW w:w="1904" w:type="dxa"/>
            <w:tcBorders>
              <w:top w:val="nil"/>
              <w:left w:val="nil"/>
              <w:bottom w:val="nil"/>
              <w:right w:val="nil"/>
            </w:tcBorders>
          </w:tcPr>
          <w:p>
            <w:pPr>
              <w:pStyle w:val="TableParagraph"/>
              <w:spacing w:before="45"/>
              <w:ind w:left="818" w:right="778"/>
              <w:rPr>
                <w:sz w:val="24"/>
              </w:rPr>
            </w:pPr>
            <w:r>
              <w:rPr>
                <w:sz w:val="24"/>
              </w:rPr>
              <w:t>20</w:t>
            </w:r>
          </w:p>
        </w:tc>
        <w:tc>
          <w:tcPr>
            <w:tcW w:w="1281" w:type="dxa"/>
            <w:tcBorders>
              <w:top w:val="nil"/>
              <w:left w:val="nil"/>
              <w:bottom w:val="nil"/>
              <w:right w:val="nil"/>
            </w:tcBorders>
          </w:tcPr>
          <w:p>
            <w:pPr>
              <w:pStyle w:val="TableParagraph"/>
              <w:spacing w:before="45"/>
              <w:ind w:left="404" w:right="90"/>
              <w:jc w:val="left"/>
              <w:rPr>
                <w:sz w:val="24"/>
              </w:rPr>
            </w:pPr>
            <w:r>
              <w:rPr>
                <w:sz w:val="24"/>
              </w:rPr>
              <w:t>0.91</w:t>
            </w:r>
          </w:p>
        </w:tc>
        <w:tc>
          <w:tcPr>
            <w:tcW w:w="1404" w:type="dxa"/>
            <w:tcBorders>
              <w:top w:val="nil"/>
              <w:left w:val="nil"/>
              <w:bottom w:val="nil"/>
              <w:right w:val="nil"/>
            </w:tcBorders>
          </w:tcPr>
          <w:p>
            <w:pPr>
              <w:pStyle w:val="TableParagraph"/>
              <w:spacing w:before="45"/>
              <w:ind w:left="481" w:right="481"/>
              <w:rPr>
                <w:sz w:val="24"/>
              </w:rPr>
            </w:pPr>
            <w:r>
              <w:rPr>
                <w:sz w:val="24"/>
              </w:rPr>
              <w:t>650</w:t>
            </w:r>
          </w:p>
        </w:tc>
      </w:tr>
      <w:tr>
        <w:trPr>
          <w:trHeight w:val="476" w:hRule="exact"/>
        </w:trPr>
        <w:tc>
          <w:tcPr>
            <w:tcW w:w="2585" w:type="dxa"/>
            <w:tcBorders>
              <w:top w:val="nil"/>
              <w:left w:val="nil"/>
              <w:right w:val="nil"/>
            </w:tcBorders>
          </w:tcPr>
          <w:p>
            <w:pPr>
              <w:pStyle w:val="TableParagraph"/>
              <w:spacing w:before="57"/>
              <w:ind w:left="108"/>
              <w:jc w:val="left"/>
              <w:rPr>
                <w:sz w:val="20"/>
              </w:rPr>
            </w:pPr>
            <w:r>
              <w:rPr>
                <w:sz w:val="24"/>
              </w:rPr>
              <w:t>IIR</w:t>
            </w:r>
            <w:r>
              <w:rPr>
                <w:sz w:val="20"/>
              </w:rPr>
              <w:t>(Butyl Rubber)</w:t>
            </w:r>
          </w:p>
        </w:tc>
        <w:tc>
          <w:tcPr>
            <w:tcW w:w="1882" w:type="dxa"/>
            <w:tcBorders>
              <w:top w:val="nil"/>
              <w:left w:val="nil"/>
              <w:right w:val="nil"/>
            </w:tcBorders>
          </w:tcPr>
          <w:p>
            <w:pPr>
              <w:pStyle w:val="TableParagraph"/>
              <w:spacing w:before="57"/>
              <w:ind w:right="778"/>
              <w:jc w:val="right"/>
              <w:rPr>
                <w:sz w:val="24"/>
              </w:rPr>
            </w:pPr>
            <w:r>
              <w:rPr>
                <w:sz w:val="24"/>
              </w:rPr>
              <w:t>10</w:t>
            </w:r>
          </w:p>
        </w:tc>
        <w:tc>
          <w:tcPr>
            <w:tcW w:w="1904" w:type="dxa"/>
            <w:tcBorders>
              <w:top w:val="nil"/>
              <w:left w:val="nil"/>
              <w:right w:val="nil"/>
            </w:tcBorders>
          </w:tcPr>
          <w:p>
            <w:pPr>
              <w:pStyle w:val="TableParagraph"/>
              <w:spacing w:before="57"/>
              <w:ind w:left="818" w:right="778"/>
              <w:rPr>
                <w:sz w:val="24"/>
              </w:rPr>
            </w:pPr>
            <w:r>
              <w:rPr>
                <w:sz w:val="24"/>
              </w:rPr>
              <w:t>20</w:t>
            </w:r>
          </w:p>
        </w:tc>
        <w:tc>
          <w:tcPr>
            <w:tcW w:w="1281" w:type="dxa"/>
            <w:tcBorders>
              <w:top w:val="nil"/>
              <w:left w:val="nil"/>
              <w:right w:val="nil"/>
            </w:tcBorders>
          </w:tcPr>
          <w:p>
            <w:pPr>
              <w:pStyle w:val="TableParagraph"/>
              <w:spacing w:before="57"/>
              <w:ind w:left="404" w:right="90"/>
              <w:jc w:val="left"/>
              <w:rPr>
                <w:sz w:val="24"/>
              </w:rPr>
            </w:pPr>
            <w:r>
              <w:rPr>
                <w:sz w:val="24"/>
              </w:rPr>
              <w:t>0.92</w:t>
            </w:r>
          </w:p>
        </w:tc>
        <w:tc>
          <w:tcPr>
            <w:tcW w:w="1404" w:type="dxa"/>
            <w:tcBorders>
              <w:top w:val="nil"/>
              <w:left w:val="nil"/>
              <w:right w:val="nil"/>
            </w:tcBorders>
          </w:tcPr>
          <w:p>
            <w:pPr>
              <w:pStyle w:val="TableParagraph"/>
              <w:spacing w:before="57"/>
              <w:ind w:left="481" w:right="481"/>
              <w:rPr>
                <w:sz w:val="24"/>
              </w:rPr>
            </w:pPr>
            <w:r>
              <w:rPr>
                <w:sz w:val="24"/>
              </w:rPr>
              <w:t>850</w:t>
            </w:r>
          </w:p>
        </w:tc>
      </w:tr>
    </w:tbl>
    <w:p>
      <w:pPr>
        <w:spacing w:after="0"/>
        <w:rPr>
          <w:sz w:val="24"/>
        </w:rPr>
        <w:sectPr>
          <w:pgSz w:w="12240" w:h="15840"/>
          <w:pgMar w:header="0" w:footer="975" w:top="1360" w:bottom="1220" w:left="1480" w:right="1480"/>
        </w:sectPr>
      </w:pPr>
    </w:p>
    <w:p>
      <w:pPr>
        <w:pStyle w:val="BodyText"/>
        <w:rPr>
          <w:sz w:val="20"/>
        </w:rPr>
      </w:pPr>
    </w:p>
    <w:p>
      <w:pPr>
        <w:pStyle w:val="BodyText"/>
        <w:rPr>
          <w:sz w:val="20"/>
        </w:rPr>
      </w:pPr>
    </w:p>
    <w:p>
      <w:pPr>
        <w:pStyle w:val="BodyText"/>
        <w:spacing w:before="6"/>
        <w:rPr>
          <w:sz w:val="18"/>
        </w:rPr>
      </w:pPr>
    </w:p>
    <w:p>
      <w:pPr>
        <w:pStyle w:val="Heading2"/>
        <w:numPr>
          <w:ilvl w:val="1"/>
          <w:numId w:val="6"/>
        </w:numPr>
        <w:tabs>
          <w:tab w:pos="505" w:val="left" w:leader="none"/>
        </w:tabs>
        <w:spacing w:line="240" w:lineRule="auto" w:before="69" w:after="0"/>
        <w:ind w:left="504" w:right="0" w:hanging="402"/>
        <w:jc w:val="both"/>
      </w:pPr>
      <w:r>
        <w:rPr/>
        <w:t>Elaboración de Concreto Polimérico con fibras recicladas de</w:t>
      </w:r>
      <w:r>
        <w:rPr>
          <w:spacing w:val="-17"/>
        </w:rPr>
        <w:t> </w:t>
      </w:r>
      <w:r>
        <w:rPr/>
        <w:t>llanta</w:t>
      </w:r>
    </w:p>
    <w:p>
      <w:pPr>
        <w:pStyle w:val="BodyText"/>
        <w:rPr>
          <w:b/>
        </w:rPr>
      </w:pPr>
    </w:p>
    <w:p>
      <w:pPr>
        <w:pStyle w:val="BodyText"/>
        <w:rPr>
          <w:b/>
        </w:rPr>
      </w:pPr>
    </w:p>
    <w:p>
      <w:pPr>
        <w:pStyle w:val="BodyText"/>
        <w:ind w:left="102"/>
        <w:jc w:val="both"/>
      </w:pPr>
      <w:r>
        <w:rPr/>
        <w:t>Se elaboraron cuatro tipos de concretos poliméricos:</w:t>
      </w:r>
    </w:p>
    <w:p>
      <w:pPr>
        <w:pStyle w:val="ListParagraph"/>
        <w:numPr>
          <w:ilvl w:val="0"/>
          <w:numId w:val="7"/>
        </w:numPr>
        <w:tabs>
          <w:tab w:pos="822" w:val="left" w:leader="none"/>
        </w:tabs>
        <w:spacing w:line="240" w:lineRule="auto" w:before="139" w:after="0"/>
        <w:ind w:left="822" w:right="0" w:hanging="360"/>
        <w:jc w:val="left"/>
        <w:rPr>
          <w:sz w:val="24"/>
        </w:rPr>
      </w:pPr>
      <w:r>
        <w:rPr>
          <w:sz w:val="24"/>
        </w:rPr>
        <w:t>control (sin</w:t>
      </w:r>
      <w:r>
        <w:rPr>
          <w:spacing w:val="-6"/>
          <w:sz w:val="24"/>
        </w:rPr>
        <w:t> </w:t>
      </w:r>
      <w:r>
        <w:rPr>
          <w:sz w:val="24"/>
        </w:rPr>
        <w:t>fibras)</w:t>
      </w:r>
    </w:p>
    <w:p>
      <w:pPr>
        <w:pStyle w:val="ListParagraph"/>
        <w:numPr>
          <w:ilvl w:val="0"/>
          <w:numId w:val="7"/>
        </w:numPr>
        <w:tabs>
          <w:tab w:pos="822" w:val="left" w:leader="none"/>
        </w:tabs>
        <w:spacing w:line="360" w:lineRule="auto" w:before="137" w:after="0"/>
        <w:ind w:left="822" w:right="124" w:hanging="360"/>
        <w:jc w:val="left"/>
        <w:rPr>
          <w:sz w:val="24"/>
        </w:rPr>
      </w:pPr>
      <w:r>
        <w:rPr>
          <w:sz w:val="24"/>
        </w:rPr>
        <w:t>con fibras sin irradiar a diferentes concentraciones (0.3, 0.6, 0.9 y 1.2% en volumen)</w:t>
      </w:r>
    </w:p>
    <w:p>
      <w:pPr>
        <w:pStyle w:val="ListParagraph"/>
        <w:numPr>
          <w:ilvl w:val="0"/>
          <w:numId w:val="7"/>
        </w:numPr>
        <w:tabs>
          <w:tab w:pos="822" w:val="left" w:leader="none"/>
        </w:tabs>
        <w:spacing w:line="240" w:lineRule="auto" w:before="2" w:after="0"/>
        <w:ind w:left="822" w:right="0" w:hanging="360"/>
        <w:jc w:val="left"/>
        <w:rPr>
          <w:sz w:val="24"/>
        </w:rPr>
      </w:pPr>
      <w:r>
        <w:rPr>
          <w:sz w:val="24"/>
        </w:rPr>
        <w:t>con fibras irradiadas a 50 y 100 kGy a diferentes concentraciones (0.3, </w:t>
      </w:r>
      <w:r>
        <w:rPr>
          <w:spacing w:val="32"/>
          <w:sz w:val="24"/>
        </w:rPr>
        <w:t> </w:t>
      </w:r>
      <w:r>
        <w:rPr>
          <w:sz w:val="24"/>
        </w:rPr>
        <w:t>0.6,</w:t>
      </w:r>
    </w:p>
    <w:p>
      <w:pPr>
        <w:pStyle w:val="BodyText"/>
        <w:spacing w:before="140"/>
        <w:ind w:left="821"/>
      </w:pPr>
      <w:r>
        <w:rPr/>
        <w:t>0.9 y 1.2% en volumen)</w:t>
      </w:r>
    </w:p>
    <w:p>
      <w:pPr>
        <w:pStyle w:val="ListParagraph"/>
        <w:numPr>
          <w:ilvl w:val="0"/>
          <w:numId w:val="7"/>
        </w:numPr>
        <w:tabs>
          <w:tab w:pos="822" w:val="left" w:leader="none"/>
        </w:tabs>
        <w:spacing w:line="360" w:lineRule="auto" w:before="137" w:after="0"/>
        <w:ind w:left="822" w:right="123" w:hanging="360"/>
        <w:jc w:val="left"/>
        <w:rPr>
          <w:sz w:val="24"/>
        </w:rPr>
      </w:pPr>
      <w:r>
        <w:rPr>
          <w:sz w:val="24"/>
        </w:rPr>
        <w:t>con fibras sin irradiar a diferentes concentraciones (0.3, 0.6, 0.9 y 1.2% en volumen)e irradiado directamente a 50 y 100</w:t>
      </w:r>
      <w:r>
        <w:rPr>
          <w:spacing w:val="-14"/>
          <w:sz w:val="24"/>
        </w:rPr>
        <w:t> </w:t>
      </w:r>
      <w:r>
        <w:rPr>
          <w:spacing w:val="-5"/>
          <w:sz w:val="24"/>
        </w:rPr>
        <w:t>kGy.</w:t>
      </w:r>
    </w:p>
    <w:p>
      <w:pPr>
        <w:pStyle w:val="BodyText"/>
      </w:pPr>
    </w:p>
    <w:p>
      <w:pPr>
        <w:pStyle w:val="BodyText"/>
        <w:spacing w:before="142"/>
        <w:ind w:left="102"/>
        <w:jc w:val="both"/>
      </w:pPr>
      <w:r>
        <w:rPr/>
        <w:t>A los concretos se les denominaron como Tipo I, II, III y IV, respectivamente:</w:t>
      </w:r>
    </w:p>
    <w:p>
      <w:pPr>
        <w:pStyle w:val="BodyText"/>
      </w:pPr>
    </w:p>
    <w:p>
      <w:pPr>
        <w:pStyle w:val="BodyText"/>
      </w:pPr>
    </w:p>
    <w:p>
      <w:pPr>
        <w:pStyle w:val="BodyText"/>
        <w:spacing w:line="360" w:lineRule="auto"/>
        <w:ind w:left="102" w:right="117"/>
        <w:jc w:val="both"/>
      </w:pPr>
      <w:r>
        <w:rPr/>
        <w:t>El concreto polimérico control (Tipo I), fue elaborado con un 30% en volumen de resina poliéster y un 70% de arena sílice. Ferreira y col. (2000) y determinaron  que la formulación del CP se optimiza con estos valores. Para los concretos poliméricos tipo II, III y </w:t>
      </w:r>
      <w:r>
        <w:rPr>
          <w:spacing w:val="-7"/>
        </w:rPr>
        <w:t>IV, </w:t>
      </w:r>
      <w:r>
        <w:rPr/>
        <w:t>la concentración de fibras sustituyó parte de la concentración de la arena, como se muestra en la </w:t>
      </w:r>
      <w:r>
        <w:rPr>
          <w:spacing w:val="-6"/>
        </w:rPr>
        <w:t>Tabla</w:t>
      </w:r>
      <w:r>
        <w:rPr>
          <w:spacing w:val="-16"/>
        </w:rPr>
        <w:t> </w:t>
      </w:r>
      <w:r>
        <w:rPr/>
        <w:t>8.</w:t>
      </w:r>
    </w:p>
    <w:p>
      <w:pPr>
        <w:pStyle w:val="BodyText"/>
      </w:pPr>
    </w:p>
    <w:p>
      <w:pPr>
        <w:spacing w:before="139"/>
        <w:ind w:left="1177" w:right="0" w:firstLine="0"/>
        <w:jc w:val="left"/>
        <w:rPr>
          <w:sz w:val="22"/>
        </w:rPr>
      </w:pPr>
      <w:bookmarkStart w:name="_bookmark24" w:id="37"/>
      <w:bookmarkEnd w:id="37"/>
      <w:r>
        <w:rPr/>
      </w:r>
      <w:r>
        <w:rPr>
          <w:b/>
          <w:sz w:val="22"/>
        </w:rPr>
        <w:t>Tabla 8.</w:t>
      </w:r>
      <w:r>
        <w:rPr>
          <w:sz w:val="22"/>
        </w:rPr>
        <w:t>Composición porcentual en volumen del concreto polimérico</w:t>
      </w:r>
    </w:p>
    <w:p>
      <w:pPr>
        <w:pStyle w:val="BodyText"/>
        <w:spacing w:before="7"/>
        <w:rPr>
          <w:sz w:val="17"/>
        </w:rPr>
      </w:pPr>
    </w:p>
    <w:tbl>
      <w:tblPr>
        <w:tblW w:w="0" w:type="auto"/>
        <w:jc w:val="left"/>
        <w:tblInd w:w="27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2"/>
        <w:gridCol w:w="896"/>
        <w:gridCol w:w="1039"/>
        <w:gridCol w:w="837"/>
      </w:tblGrid>
      <w:tr>
        <w:trPr>
          <w:trHeight w:val="838" w:hRule="exact"/>
        </w:trPr>
        <w:tc>
          <w:tcPr>
            <w:tcW w:w="722" w:type="dxa"/>
            <w:tcBorders>
              <w:left w:val="nil"/>
              <w:right w:val="nil"/>
            </w:tcBorders>
          </w:tcPr>
          <w:p>
            <w:pPr>
              <w:pStyle w:val="TableParagraph"/>
              <w:spacing w:before="207"/>
              <w:ind w:left="87" w:right="87"/>
              <w:rPr>
                <w:b/>
                <w:sz w:val="24"/>
              </w:rPr>
            </w:pPr>
            <w:r>
              <w:rPr>
                <w:b/>
                <w:sz w:val="24"/>
              </w:rPr>
              <w:t>Lote</w:t>
            </w:r>
          </w:p>
        </w:tc>
        <w:tc>
          <w:tcPr>
            <w:tcW w:w="896" w:type="dxa"/>
            <w:tcBorders>
              <w:left w:val="nil"/>
              <w:right w:val="nil"/>
            </w:tcBorders>
          </w:tcPr>
          <w:p>
            <w:pPr>
              <w:pStyle w:val="TableParagraph"/>
              <w:spacing w:line="360" w:lineRule="auto"/>
              <w:ind w:left="262" w:right="88" w:hanging="154"/>
              <w:jc w:val="left"/>
              <w:rPr>
                <w:b/>
                <w:sz w:val="24"/>
              </w:rPr>
            </w:pPr>
            <w:r>
              <w:rPr>
                <w:b/>
                <w:sz w:val="24"/>
              </w:rPr>
              <w:t>Arena (%)</w:t>
            </w:r>
          </w:p>
        </w:tc>
        <w:tc>
          <w:tcPr>
            <w:tcW w:w="1039" w:type="dxa"/>
            <w:tcBorders>
              <w:left w:val="nil"/>
              <w:right w:val="nil"/>
            </w:tcBorders>
          </w:tcPr>
          <w:p>
            <w:pPr>
              <w:pStyle w:val="TableParagraph"/>
              <w:spacing w:line="360" w:lineRule="auto"/>
              <w:ind w:left="109" w:right="123"/>
              <w:jc w:val="left"/>
              <w:rPr>
                <w:b/>
                <w:sz w:val="24"/>
              </w:rPr>
            </w:pPr>
            <w:r>
              <w:rPr>
                <w:b/>
                <w:sz w:val="24"/>
              </w:rPr>
              <w:t>Resina (%)</w:t>
            </w:r>
          </w:p>
        </w:tc>
        <w:tc>
          <w:tcPr>
            <w:tcW w:w="837" w:type="dxa"/>
            <w:tcBorders>
              <w:left w:val="nil"/>
              <w:right w:val="nil"/>
            </w:tcBorders>
          </w:tcPr>
          <w:p>
            <w:pPr>
              <w:pStyle w:val="TableParagraph"/>
              <w:spacing w:line="360" w:lineRule="auto"/>
              <w:ind w:left="213" w:right="89" w:hanging="72"/>
              <w:jc w:val="left"/>
              <w:rPr>
                <w:b/>
                <w:sz w:val="24"/>
              </w:rPr>
            </w:pPr>
            <w:r>
              <w:rPr>
                <w:b/>
                <w:sz w:val="24"/>
              </w:rPr>
              <w:t>Fibra (%)</w:t>
            </w:r>
          </w:p>
        </w:tc>
      </w:tr>
      <w:tr>
        <w:trPr>
          <w:trHeight w:val="363" w:hRule="exact"/>
        </w:trPr>
        <w:tc>
          <w:tcPr>
            <w:tcW w:w="722" w:type="dxa"/>
            <w:tcBorders>
              <w:left w:val="nil"/>
              <w:bottom w:val="nil"/>
              <w:right w:val="nil"/>
            </w:tcBorders>
          </w:tcPr>
          <w:p>
            <w:pPr>
              <w:pStyle w:val="TableParagraph"/>
              <w:rPr>
                <w:sz w:val="24"/>
              </w:rPr>
            </w:pPr>
            <w:r>
              <w:rPr>
                <w:w w:val="99"/>
                <w:sz w:val="24"/>
              </w:rPr>
              <w:t>1</w:t>
            </w:r>
          </w:p>
        </w:tc>
        <w:tc>
          <w:tcPr>
            <w:tcW w:w="896" w:type="dxa"/>
            <w:tcBorders>
              <w:left w:val="nil"/>
              <w:bottom w:val="nil"/>
              <w:right w:val="nil"/>
            </w:tcBorders>
          </w:tcPr>
          <w:p>
            <w:pPr>
              <w:pStyle w:val="TableParagraph"/>
              <w:ind w:left="214" w:right="88"/>
              <w:jc w:val="left"/>
              <w:rPr>
                <w:sz w:val="24"/>
              </w:rPr>
            </w:pPr>
            <w:r>
              <w:rPr>
                <w:sz w:val="24"/>
              </w:rPr>
              <w:t>70.0</w:t>
            </w:r>
          </w:p>
        </w:tc>
        <w:tc>
          <w:tcPr>
            <w:tcW w:w="1039" w:type="dxa"/>
            <w:tcBorders>
              <w:left w:val="nil"/>
              <w:bottom w:val="nil"/>
              <w:right w:val="nil"/>
            </w:tcBorders>
          </w:tcPr>
          <w:p>
            <w:pPr>
              <w:pStyle w:val="TableParagraph"/>
              <w:ind w:left="351" w:right="381"/>
              <w:rPr>
                <w:sz w:val="24"/>
              </w:rPr>
            </w:pPr>
            <w:r>
              <w:rPr>
                <w:sz w:val="24"/>
              </w:rPr>
              <w:t>30</w:t>
            </w:r>
          </w:p>
        </w:tc>
        <w:tc>
          <w:tcPr>
            <w:tcW w:w="837" w:type="dxa"/>
            <w:tcBorders>
              <w:left w:val="nil"/>
              <w:bottom w:val="nil"/>
              <w:right w:val="nil"/>
            </w:tcBorders>
          </w:tcPr>
          <w:p>
            <w:pPr>
              <w:pStyle w:val="TableParagraph"/>
              <w:ind w:right="35"/>
              <w:rPr>
                <w:sz w:val="24"/>
              </w:rPr>
            </w:pPr>
            <w:r>
              <w:rPr>
                <w:w w:val="99"/>
                <w:sz w:val="24"/>
              </w:rPr>
              <w:t>0</w:t>
            </w:r>
          </w:p>
        </w:tc>
      </w:tr>
      <w:tr>
        <w:trPr>
          <w:trHeight w:val="414" w:hRule="exact"/>
        </w:trPr>
        <w:tc>
          <w:tcPr>
            <w:tcW w:w="722" w:type="dxa"/>
            <w:tcBorders>
              <w:top w:val="nil"/>
              <w:left w:val="nil"/>
              <w:bottom w:val="nil"/>
              <w:right w:val="nil"/>
            </w:tcBorders>
          </w:tcPr>
          <w:p>
            <w:pPr>
              <w:pStyle w:val="TableParagraph"/>
              <w:spacing w:before="56"/>
              <w:rPr>
                <w:sz w:val="24"/>
              </w:rPr>
            </w:pPr>
            <w:r>
              <w:rPr>
                <w:w w:val="99"/>
                <w:sz w:val="24"/>
              </w:rPr>
              <w:t>2</w:t>
            </w:r>
          </w:p>
        </w:tc>
        <w:tc>
          <w:tcPr>
            <w:tcW w:w="896" w:type="dxa"/>
            <w:tcBorders>
              <w:top w:val="nil"/>
              <w:left w:val="nil"/>
              <w:bottom w:val="nil"/>
              <w:right w:val="nil"/>
            </w:tcBorders>
          </w:tcPr>
          <w:p>
            <w:pPr>
              <w:pStyle w:val="TableParagraph"/>
              <w:spacing w:before="56"/>
              <w:ind w:left="214" w:right="88"/>
              <w:jc w:val="left"/>
              <w:rPr>
                <w:sz w:val="24"/>
              </w:rPr>
            </w:pPr>
            <w:r>
              <w:rPr>
                <w:sz w:val="24"/>
              </w:rPr>
              <w:t>69.7</w:t>
            </w:r>
          </w:p>
        </w:tc>
        <w:tc>
          <w:tcPr>
            <w:tcW w:w="1039" w:type="dxa"/>
            <w:tcBorders>
              <w:top w:val="nil"/>
              <w:left w:val="nil"/>
              <w:bottom w:val="nil"/>
              <w:right w:val="nil"/>
            </w:tcBorders>
          </w:tcPr>
          <w:p>
            <w:pPr>
              <w:pStyle w:val="TableParagraph"/>
              <w:spacing w:before="56"/>
              <w:ind w:left="351" w:right="381"/>
              <w:rPr>
                <w:sz w:val="24"/>
              </w:rPr>
            </w:pPr>
            <w:r>
              <w:rPr>
                <w:sz w:val="24"/>
              </w:rPr>
              <w:t>30</w:t>
            </w:r>
          </w:p>
        </w:tc>
        <w:tc>
          <w:tcPr>
            <w:tcW w:w="837" w:type="dxa"/>
            <w:tcBorders>
              <w:top w:val="nil"/>
              <w:left w:val="nil"/>
              <w:bottom w:val="nil"/>
              <w:right w:val="nil"/>
            </w:tcBorders>
          </w:tcPr>
          <w:p>
            <w:pPr>
              <w:pStyle w:val="TableParagraph"/>
              <w:spacing w:before="56"/>
              <w:ind w:left="214" w:right="249"/>
              <w:rPr>
                <w:sz w:val="24"/>
              </w:rPr>
            </w:pPr>
            <w:r>
              <w:rPr>
                <w:sz w:val="24"/>
              </w:rPr>
              <w:t>0.3</w:t>
            </w:r>
          </w:p>
        </w:tc>
      </w:tr>
      <w:tr>
        <w:trPr>
          <w:trHeight w:val="414" w:hRule="exact"/>
        </w:trPr>
        <w:tc>
          <w:tcPr>
            <w:tcW w:w="722" w:type="dxa"/>
            <w:tcBorders>
              <w:top w:val="nil"/>
              <w:left w:val="nil"/>
              <w:bottom w:val="nil"/>
              <w:right w:val="nil"/>
            </w:tcBorders>
          </w:tcPr>
          <w:p>
            <w:pPr>
              <w:pStyle w:val="TableParagraph"/>
              <w:spacing w:before="57"/>
              <w:rPr>
                <w:sz w:val="24"/>
              </w:rPr>
            </w:pPr>
            <w:r>
              <w:rPr>
                <w:w w:val="99"/>
                <w:sz w:val="24"/>
              </w:rPr>
              <w:t>3</w:t>
            </w:r>
          </w:p>
        </w:tc>
        <w:tc>
          <w:tcPr>
            <w:tcW w:w="896" w:type="dxa"/>
            <w:tcBorders>
              <w:top w:val="nil"/>
              <w:left w:val="nil"/>
              <w:bottom w:val="nil"/>
              <w:right w:val="nil"/>
            </w:tcBorders>
          </w:tcPr>
          <w:p>
            <w:pPr>
              <w:pStyle w:val="TableParagraph"/>
              <w:spacing w:before="57"/>
              <w:ind w:left="214" w:right="88"/>
              <w:jc w:val="left"/>
              <w:rPr>
                <w:sz w:val="24"/>
              </w:rPr>
            </w:pPr>
            <w:r>
              <w:rPr>
                <w:sz w:val="24"/>
              </w:rPr>
              <w:t>69.4</w:t>
            </w:r>
          </w:p>
        </w:tc>
        <w:tc>
          <w:tcPr>
            <w:tcW w:w="1039" w:type="dxa"/>
            <w:tcBorders>
              <w:top w:val="nil"/>
              <w:left w:val="nil"/>
              <w:bottom w:val="nil"/>
              <w:right w:val="nil"/>
            </w:tcBorders>
          </w:tcPr>
          <w:p>
            <w:pPr>
              <w:pStyle w:val="TableParagraph"/>
              <w:spacing w:before="57"/>
              <w:ind w:left="351" w:right="381"/>
              <w:rPr>
                <w:sz w:val="24"/>
              </w:rPr>
            </w:pPr>
            <w:r>
              <w:rPr>
                <w:sz w:val="24"/>
              </w:rPr>
              <w:t>30</w:t>
            </w:r>
          </w:p>
        </w:tc>
        <w:tc>
          <w:tcPr>
            <w:tcW w:w="837" w:type="dxa"/>
            <w:tcBorders>
              <w:top w:val="nil"/>
              <w:left w:val="nil"/>
              <w:bottom w:val="nil"/>
              <w:right w:val="nil"/>
            </w:tcBorders>
          </w:tcPr>
          <w:p>
            <w:pPr>
              <w:pStyle w:val="TableParagraph"/>
              <w:spacing w:before="57"/>
              <w:ind w:left="214" w:right="249"/>
              <w:rPr>
                <w:sz w:val="24"/>
              </w:rPr>
            </w:pPr>
            <w:r>
              <w:rPr>
                <w:sz w:val="24"/>
              </w:rPr>
              <w:t>0.6</w:t>
            </w:r>
          </w:p>
        </w:tc>
      </w:tr>
      <w:tr>
        <w:trPr>
          <w:trHeight w:val="414" w:hRule="exact"/>
        </w:trPr>
        <w:tc>
          <w:tcPr>
            <w:tcW w:w="722" w:type="dxa"/>
            <w:tcBorders>
              <w:top w:val="nil"/>
              <w:left w:val="nil"/>
              <w:bottom w:val="nil"/>
              <w:right w:val="nil"/>
            </w:tcBorders>
          </w:tcPr>
          <w:p>
            <w:pPr>
              <w:pStyle w:val="TableParagraph"/>
              <w:spacing w:before="55"/>
              <w:rPr>
                <w:sz w:val="24"/>
              </w:rPr>
            </w:pPr>
            <w:r>
              <w:rPr>
                <w:w w:val="99"/>
                <w:sz w:val="24"/>
              </w:rPr>
              <w:t>4</w:t>
            </w:r>
          </w:p>
        </w:tc>
        <w:tc>
          <w:tcPr>
            <w:tcW w:w="896" w:type="dxa"/>
            <w:tcBorders>
              <w:top w:val="nil"/>
              <w:left w:val="nil"/>
              <w:bottom w:val="nil"/>
              <w:right w:val="nil"/>
            </w:tcBorders>
          </w:tcPr>
          <w:p>
            <w:pPr>
              <w:pStyle w:val="TableParagraph"/>
              <w:spacing w:before="55"/>
              <w:ind w:left="214" w:right="88"/>
              <w:jc w:val="left"/>
              <w:rPr>
                <w:sz w:val="24"/>
              </w:rPr>
            </w:pPr>
            <w:r>
              <w:rPr>
                <w:sz w:val="24"/>
              </w:rPr>
              <w:t>69.1</w:t>
            </w:r>
          </w:p>
        </w:tc>
        <w:tc>
          <w:tcPr>
            <w:tcW w:w="1039" w:type="dxa"/>
            <w:tcBorders>
              <w:top w:val="nil"/>
              <w:left w:val="nil"/>
              <w:bottom w:val="nil"/>
              <w:right w:val="nil"/>
            </w:tcBorders>
          </w:tcPr>
          <w:p>
            <w:pPr>
              <w:pStyle w:val="TableParagraph"/>
              <w:spacing w:before="55"/>
              <w:ind w:left="351" w:right="381"/>
              <w:rPr>
                <w:sz w:val="24"/>
              </w:rPr>
            </w:pPr>
            <w:r>
              <w:rPr>
                <w:sz w:val="24"/>
              </w:rPr>
              <w:t>30</w:t>
            </w:r>
          </w:p>
        </w:tc>
        <w:tc>
          <w:tcPr>
            <w:tcW w:w="837" w:type="dxa"/>
            <w:tcBorders>
              <w:top w:val="nil"/>
              <w:left w:val="nil"/>
              <w:bottom w:val="nil"/>
              <w:right w:val="nil"/>
            </w:tcBorders>
          </w:tcPr>
          <w:p>
            <w:pPr>
              <w:pStyle w:val="TableParagraph"/>
              <w:spacing w:before="55"/>
              <w:ind w:left="214" w:right="249"/>
              <w:rPr>
                <w:sz w:val="24"/>
              </w:rPr>
            </w:pPr>
            <w:r>
              <w:rPr>
                <w:sz w:val="24"/>
              </w:rPr>
              <w:t>0.9</w:t>
            </w:r>
          </w:p>
        </w:tc>
      </w:tr>
      <w:tr>
        <w:trPr>
          <w:trHeight w:val="476" w:hRule="exact"/>
        </w:trPr>
        <w:tc>
          <w:tcPr>
            <w:tcW w:w="722" w:type="dxa"/>
            <w:tcBorders>
              <w:top w:val="nil"/>
              <w:left w:val="nil"/>
              <w:right w:val="nil"/>
            </w:tcBorders>
          </w:tcPr>
          <w:p>
            <w:pPr>
              <w:pStyle w:val="TableParagraph"/>
              <w:spacing w:before="57"/>
              <w:rPr>
                <w:sz w:val="24"/>
              </w:rPr>
            </w:pPr>
            <w:r>
              <w:rPr>
                <w:w w:val="99"/>
                <w:sz w:val="24"/>
              </w:rPr>
              <w:t>5</w:t>
            </w:r>
          </w:p>
        </w:tc>
        <w:tc>
          <w:tcPr>
            <w:tcW w:w="896" w:type="dxa"/>
            <w:tcBorders>
              <w:top w:val="nil"/>
              <w:left w:val="nil"/>
              <w:right w:val="nil"/>
            </w:tcBorders>
          </w:tcPr>
          <w:p>
            <w:pPr>
              <w:pStyle w:val="TableParagraph"/>
              <w:spacing w:before="57"/>
              <w:ind w:left="214" w:right="88"/>
              <w:jc w:val="left"/>
              <w:rPr>
                <w:sz w:val="24"/>
              </w:rPr>
            </w:pPr>
            <w:r>
              <w:rPr>
                <w:sz w:val="24"/>
              </w:rPr>
              <w:t>68.8</w:t>
            </w:r>
          </w:p>
        </w:tc>
        <w:tc>
          <w:tcPr>
            <w:tcW w:w="1039" w:type="dxa"/>
            <w:tcBorders>
              <w:top w:val="nil"/>
              <w:left w:val="nil"/>
              <w:right w:val="nil"/>
            </w:tcBorders>
          </w:tcPr>
          <w:p>
            <w:pPr>
              <w:pStyle w:val="TableParagraph"/>
              <w:spacing w:before="57"/>
              <w:ind w:left="351" w:right="381"/>
              <w:rPr>
                <w:sz w:val="24"/>
              </w:rPr>
            </w:pPr>
            <w:r>
              <w:rPr>
                <w:sz w:val="24"/>
              </w:rPr>
              <w:t>30</w:t>
            </w:r>
          </w:p>
        </w:tc>
        <w:tc>
          <w:tcPr>
            <w:tcW w:w="837" w:type="dxa"/>
            <w:tcBorders>
              <w:top w:val="nil"/>
              <w:left w:val="nil"/>
              <w:right w:val="nil"/>
            </w:tcBorders>
          </w:tcPr>
          <w:p>
            <w:pPr>
              <w:pStyle w:val="TableParagraph"/>
              <w:spacing w:before="57"/>
              <w:ind w:left="214" w:right="249"/>
              <w:rPr>
                <w:sz w:val="24"/>
              </w:rPr>
            </w:pPr>
            <w:r>
              <w:rPr>
                <w:sz w:val="24"/>
              </w:rPr>
              <w:t>1.2</w:t>
            </w:r>
          </w:p>
        </w:tc>
      </w:tr>
    </w:tbl>
    <w:p>
      <w:pPr>
        <w:pStyle w:val="BodyText"/>
        <w:spacing w:before="10"/>
        <w:rPr>
          <w:sz w:val="29"/>
        </w:rPr>
      </w:pPr>
    </w:p>
    <w:p>
      <w:pPr>
        <w:pStyle w:val="BodyText"/>
        <w:spacing w:before="69"/>
        <w:ind w:left="102"/>
      </w:pPr>
      <w:r>
        <w:rPr/>
        <w:t>Para cada uno de los cinco lotes se fabricaron 6 probetas de ensayo, en moldes</w:t>
      </w:r>
    </w:p>
    <w:p>
      <w:pPr>
        <w:spacing w:after="0"/>
        <w:sectPr>
          <w:pgSz w:w="12240" w:h="15840"/>
          <w:pgMar w:header="0" w:footer="975" w:top="1500" w:bottom="1220" w:left="1600" w:right="1580"/>
        </w:sectPr>
      </w:pPr>
    </w:p>
    <w:p>
      <w:pPr>
        <w:pStyle w:val="BodyText"/>
        <w:spacing w:line="360" w:lineRule="auto" w:before="54"/>
        <w:ind w:left="102" w:right="117"/>
        <w:jc w:val="both"/>
      </w:pPr>
      <w:r>
        <w:rPr/>
        <w:t>estándar de dimensiones de 4x4x16 cm. La cantidad de material empleado se calculó con porcentajes en volumen para las 6 probetas. Los cálculos se mencionan a continuación:</w:t>
      </w:r>
    </w:p>
    <w:p>
      <w:pPr>
        <w:pStyle w:val="BodyText"/>
      </w:pPr>
    </w:p>
    <w:p>
      <w:pPr>
        <w:pStyle w:val="BodyText"/>
        <w:spacing w:before="142"/>
        <w:ind w:left="102"/>
        <w:jc w:val="both"/>
      </w:pPr>
      <w:r>
        <w:rPr/>
        <w:t>Volumen (Base de cálculo):</w:t>
      </w:r>
    </w:p>
    <w:p>
      <w:pPr>
        <w:pStyle w:val="BodyText"/>
        <w:spacing w:before="117"/>
        <w:ind w:left="2110"/>
        <w:rPr>
          <w:rFonts w:ascii="Cambria Math" w:hAnsi="Cambria Math" w:eastAsia="Cambria Math"/>
          <w:sz w:val="17"/>
        </w:rPr>
      </w:pPr>
      <w:r>
        <w:rPr>
          <w:rFonts w:ascii="Cambria Math" w:hAnsi="Cambria Math" w:eastAsia="Cambria Math"/>
          <w:w w:val="85"/>
          <w:position w:val="1"/>
        </w:rPr>
        <w:t>(</w:t>
      </w:r>
      <w:r>
        <w:rPr>
          <w:rFonts w:ascii="Cambria Math" w:hAnsi="Cambria Math" w:eastAsia="Cambria Math"/>
          <w:w w:val="85"/>
        </w:rPr>
        <w:t>4�𝑚 ∗ 4�𝑚 ∗ 16�𝑚</w:t>
      </w:r>
      <w:r>
        <w:rPr>
          <w:rFonts w:ascii="Cambria Math" w:hAnsi="Cambria Math" w:eastAsia="Cambria Math"/>
          <w:w w:val="85"/>
          <w:position w:val="1"/>
        </w:rPr>
        <w:t>) </w:t>
      </w:r>
      <w:r>
        <w:rPr>
          <w:rFonts w:ascii="Cambria Math" w:hAnsi="Cambria Math" w:eastAsia="Cambria Math"/>
          <w:w w:val="85"/>
        </w:rPr>
        <w:t>∗ 6 ����𝑒���  =  1536   �𝑚</w:t>
      </w:r>
      <w:r>
        <w:rPr>
          <w:rFonts w:ascii="Cambria Math" w:hAnsi="Cambria Math" w:eastAsia="Cambria Math"/>
          <w:w w:val="85"/>
          <w:position w:val="9"/>
          <w:sz w:val="17"/>
        </w:rPr>
        <w:t>3</w:t>
      </w:r>
    </w:p>
    <w:p>
      <w:pPr>
        <w:pStyle w:val="BodyText"/>
        <w:rPr>
          <w:rFonts w:ascii="Cambria Math"/>
          <w:sz w:val="26"/>
        </w:rPr>
      </w:pPr>
    </w:p>
    <w:p>
      <w:pPr>
        <w:pStyle w:val="BodyText"/>
        <w:spacing w:before="3"/>
        <w:rPr>
          <w:rFonts w:ascii="Cambria Math"/>
          <w:sz w:val="21"/>
        </w:rPr>
      </w:pPr>
    </w:p>
    <w:p>
      <w:pPr>
        <w:pStyle w:val="ListParagraph"/>
        <w:numPr>
          <w:ilvl w:val="0"/>
          <w:numId w:val="8"/>
        </w:numPr>
        <w:tabs>
          <w:tab w:pos="821" w:val="left" w:leader="none"/>
          <w:tab w:pos="822" w:val="left" w:leader="none"/>
        </w:tabs>
        <w:spacing w:line="350" w:lineRule="auto" w:before="1" w:after="0"/>
        <w:ind w:left="822" w:right="118" w:hanging="360"/>
        <w:jc w:val="left"/>
        <w:rPr>
          <w:sz w:val="24"/>
        </w:rPr>
      </w:pPr>
      <w:r>
        <w:rPr>
          <w:sz w:val="24"/>
        </w:rPr>
        <w:t>Resina poliéster: Con una densidad de 1.1 g/cm</w:t>
      </w:r>
      <w:r>
        <w:rPr>
          <w:position w:val="8"/>
          <w:sz w:val="16"/>
        </w:rPr>
        <w:t>3 </w:t>
      </w:r>
      <w:r>
        <w:rPr>
          <w:sz w:val="24"/>
        </w:rPr>
        <w:t>y una concentración del 30% en volumen, la cantidad</w:t>
      </w:r>
      <w:r>
        <w:rPr>
          <w:spacing w:val="-8"/>
          <w:sz w:val="24"/>
        </w:rPr>
        <w:t> </w:t>
      </w:r>
      <w:r>
        <w:rPr>
          <w:sz w:val="24"/>
        </w:rPr>
        <w:t>es:</w:t>
      </w:r>
    </w:p>
    <w:p>
      <w:pPr>
        <w:spacing w:after="0" w:line="350" w:lineRule="auto"/>
        <w:jc w:val="left"/>
        <w:rPr>
          <w:sz w:val="24"/>
        </w:rPr>
        <w:sectPr>
          <w:pgSz w:w="12240" w:h="15840"/>
          <w:pgMar w:header="0" w:footer="975" w:top="1360" w:bottom="1220" w:left="1600" w:right="1580"/>
        </w:sectPr>
      </w:pPr>
    </w:p>
    <w:p>
      <w:pPr>
        <w:pStyle w:val="BodyText"/>
        <w:spacing w:line="338" w:lineRule="exact"/>
        <w:ind w:left="2905"/>
        <w:rPr>
          <w:rFonts w:ascii="Cambria Math" w:hAnsi="Cambria Math" w:eastAsia="Cambria Math"/>
        </w:rPr>
      </w:pPr>
      <w:r>
        <w:rPr/>
        <w:pict>
          <v:line style="position:absolute;mso-position-horizontal-relative:page;mso-position-vertical-relative:paragraph;z-index:-52600" from="331.510010pt,13.940117pt" to="352.75001pt,13.940117pt" stroked="true" strokeweight=".84003pt" strokecolor="#000000">
            <w10:wrap type="none"/>
          </v:line>
        </w:pict>
      </w:r>
      <w:r>
        <w:rPr>
          <w:rFonts w:ascii="Cambria Math" w:hAnsi="Cambria Math" w:eastAsia="Cambria Math"/>
        </w:rPr>
        <w:t>1536 �𝑚</w:t>
      </w:r>
      <w:r>
        <w:rPr>
          <w:rFonts w:ascii="Cambria Math" w:hAnsi="Cambria Math" w:eastAsia="Cambria Math"/>
          <w:position w:val="9"/>
          <w:sz w:val="17"/>
        </w:rPr>
        <w:t>3 </w:t>
      </w:r>
      <w:r>
        <w:rPr>
          <w:rFonts w:ascii="Cambria Math" w:hAnsi="Cambria Math" w:eastAsia="Cambria Math"/>
        </w:rPr>
        <w:t>∗ 0.3 ∗ 1.1 </w:t>
      </w:r>
      <w:r>
        <w:rPr>
          <w:rFonts w:ascii="Cambria Math" w:hAnsi="Cambria Math" w:eastAsia="Cambria Math"/>
          <w:position w:val="18"/>
        </w:rPr>
        <w:t>𝑔</w:t>
      </w:r>
    </w:p>
    <w:p>
      <w:pPr>
        <w:spacing w:line="223" w:lineRule="exact" w:before="0"/>
        <w:ind w:left="0" w:right="0" w:firstLine="0"/>
        <w:jc w:val="right"/>
        <w:rPr>
          <w:rFonts w:ascii="Cambria Math" w:eastAsia="Cambria Math"/>
          <w:sz w:val="17"/>
        </w:rPr>
      </w:pPr>
      <w:r>
        <w:rPr>
          <w:rFonts w:ascii="Cambria Math" w:eastAsia="Cambria Math"/>
          <w:spacing w:val="-56"/>
          <w:w w:val="90"/>
          <w:sz w:val="24"/>
        </w:rPr>
        <w:t>�𝑚</w:t>
      </w:r>
      <w:r>
        <w:rPr>
          <w:rFonts w:ascii="Cambria Math" w:eastAsia="Cambria Math"/>
          <w:spacing w:val="-56"/>
          <w:w w:val="90"/>
          <w:position w:val="7"/>
          <w:sz w:val="17"/>
        </w:rPr>
        <w:t>3</w:t>
      </w:r>
    </w:p>
    <w:p>
      <w:pPr>
        <w:pStyle w:val="BodyText"/>
        <w:spacing w:before="119"/>
        <w:ind w:left="34"/>
        <w:rPr>
          <w:rFonts w:ascii="Cambria Math" w:eastAsia="Cambria Math"/>
        </w:rPr>
      </w:pPr>
      <w:r>
        <w:rPr/>
        <w:br w:type="column"/>
      </w:r>
      <w:r>
        <w:rPr>
          <w:rFonts w:ascii="Cambria Math" w:eastAsia="Cambria Math"/>
        </w:rPr>
        <w:t>= 506.9𝑔</w:t>
      </w:r>
    </w:p>
    <w:p>
      <w:pPr>
        <w:spacing w:after="0"/>
        <w:rPr>
          <w:rFonts w:ascii="Cambria Math" w:eastAsia="Cambria Math"/>
        </w:rPr>
        <w:sectPr>
          <w:type w:val="continuous"/>
          <w:pgSz w:w="12240" w:h="15840"/>
          <w:pgMar w:top="1280" w:bottom="280" w:left="1600" w:right="1580"/>
          <w:cols w:num="2" w:equalWidth="0">
            <w:col w:w="5446" w:space="40"/>
            <w:col w:w="3574"/>
          </w:cols>
        </w:sectPr>
      </w:pPr>
    </w:p>
    <w:p>
      <w:pPr>
        <w:pStyle w:val="BodyText"/>
        <w:rPr>
          <w:rFonts w:ascii="Cambria Math"/>
          <w:sz w:val="20"/>
        </w:rPr>
      </w:pPr>
    </w:p>
    <w:p>
      <w:pPr>
        <w:pStyle w:val="BodyText"/>
        <w:spacing w:before="2"/>
        <w:rPr>
          <w:rFonts w:ascii="Cambria Math"/>
          <w:sz w:val="17"/>
        </w:rPr>
      </w:pPr>
    </w:p>
    <w:p>
      <w:pPr>
        <w:pStyle w:val="ListParagraph"/>
        <w:numPr>
          <w:ilvl w:val="0"/>
          <w:numId w:val="8"/>
        </w:numPr>
        <w:tabs>
          <w:tab w:pos="822" w:val="left" w:leader="none"/>
        </w:tabs>
        <w:spacing w:line="357" w:lineRule="auto" w:before="69" w:after="0"/>
        <w:ind w:left="822" w:right="118" w:hanging="360"/>
        <w:jc w:val="both"/>
        <w:rPr>
          <w:sz w:val="24"/>
        </w:rPr>
      </w:pPr>
      <w:r>
        <w:rPr>
          <w:sz w:val="24"/>
        </w:rPr>
        <w:t>Arena sílice: Con una densidad de 2.6 g/cm</w:t>
      </w:r>
      <w:r>
        <w:rPr>
          <w:position w:val="8"/>
          <w:sz w:val="16"/>
        </w:rPr>
        <w:t>3</w:t>
      </w:r>
      <w:r>
        <w:rPr>
          <w:sz w:val="24"/>
        </w:rPr>
        <w:t>y diferentes concentraciones (68.8% a 70.0%) los cantidades se muestran en la </w:t>
      </w:r>
      <w:r>
        <w:rPr>
          <w:spacing w:val="-6"/>
          <w:sz w:val="24"/>
        </w:rPr>
        <w:t>Tabla </w:t>
      </w:r>
      <w:r>
        <w:rPr>
          <w:sz w:val="24"/>
        </w:rPr>
        <w:t>9. Como ejemplo de cálculo se muestra la cantidad de arena para concreto con 70%  de arena.</w:t>
      </w:r>
    </w:p>
    <w:p>
      <w:pPr>
        <w:pStyle w:val="BodyText"/>
        <w:spacing w:before="6"/>
      </w:pPr>
    </w:p>
    <w:p>
      <w:pPr>
        <w:spacing w:after="0"/>
        <w:sectPr>
          <w:type w:val="continuous"/>
          <w:pgSz w:w="12240" w:h="15840"/>
          <w:pgMar w:top="1280" w:bottom="280" w:left="1600" w:right="1580"/>
        </w:sectPr>
      </w:pPr>
    </w:p>
    <w:p>
      <w:pPr>
        <w:pStyle w:val="BodyText"/>
        <w:spacing w:line="399" w:lineRule="exact" w:before="61"/>
        <w:ind w:left="3018"/>
        <w:rPr>
          <w:rFonts w:ascii="Cambria Math" w:hAnsi="Cambria Math" w:eastAsia="Cambria Math"/>
        </w:rPr>
      </w:pPr>
      <w:r>
        <w:rPr/>
        <w:pict>
          <v:line style="position:absolute;mso-position-horizontal-relative:page;mso-position-vertical-relative:paragraph;z-index:-52576" from="337.149994pt,20.032352pt" to="358.389994pt,20.032352pt" stroked="true" strokeweight=".84pt" strokecolor="#000000">
            <w10:wrap type="none"/>
          </v:line>
        </w:pict>
      </w:r>
      <w:r>
        <w:rPr>
          <w:rFonts w:ascii="Cambria Math" w:hAnsi="Cambria Math" w:eastAsia="Cambria Math"/>
        </w:rPr>
        <w:t>1536 �𝑚</w:t>
      </w:r>
      <w:r>
        <w:rPr>
          <w:rFonts w:ascii="Cambria Math" w:hAnsi="Cambria Math" w:eastAsia="Cambria Math"/>
          <w:position w:val="9"/>
          <w:sz w:val="17"/>
        </w:rPr>
        <w:t>3 </w:t>
      </w:r>
      <w:r>
        <w:rPr>
          <w:rFonts w:ascii="Cambria Math" w:hAnsi="Cambria Math" w:eastAsia="Cambria Math"/>
        </w:rPr>
        <w:t>∗ 0.7 ∗ 2.6 </w:t>
      </w:r>
      <w:r>
        <w:rPr>
          <w:rFonts w:ascii="Cambria Math" w:hAnsi="Cambria Math" w:eastAsia="Cambria Math"/>
          <w:position w:val="18"/>
        </w:rPr>
        <w:t>𝑔</w:t>
      </w:r>
    </w:p>
    <w:p>
      <w:pPr>
        <w:spacing w:line="223" w:lineRule="exact" w:before="0"/>
        <w:ind w:left="0" w:right="0" w:firstLine="0"/>
        <w:jc w:val="right"/>
        <w:rPr>
          <w:rFonts w:ascii="Cambria Math" w:eastAsia="Cambria Math"/>
          <w:sz w:val="17"/>
        </w:rPr>
      </w:pPr>
      <w:r>
        <w:rPr>
          <w:rFonts w:ascii="Cambria Math" w:eastAsia="Cambria Math"/>
          <w:spacing w:val="-56"/>
          <w:w w:val="90"/>
          <w:sz w:val="24"/>
        </w:rPr>
        <w:t>�𝑚</w:t>
      </w:r>
      <w:r>
        <w:rPr>
          <w:rFonts w:ascii="Cambria Math" w:eastAsia="Cambria Math"/>
          <w:spacing w:val="-56"/>
          <w:w w:val="90"/>
          <w:position w:val="7"/>
          <w:sz w:val="17"/>
        </w:rPr>
        <w:t>3</w:t>
      </w:r>
    </w:p>
    <w:p>
      <w:pPr>
        <w:pStyle w:val="BodyText"/>
        <w:spacing w:before="7"/>
        <w:rPr>
          <w:rFonts w:ascii="Cambria Math"/>
          <w:sz w:val="20"/>
        </w:rPr>
      </w:pPr>
      <w:r>
        <w:rPr/>
        <w:br w:type="column"/>
      </w:r>
      <w:r>
        <w:rPr>
          <w:rFonts w:ascii="Cambria Math"/>
          <w:sz w:val="20"/>
        </w:rPr>
      </w:r>
    </w:p>
    <w:p>
      <w:pPr>
        <w:pStyle w:val="BodyText"/>
        <w:ind w:left="36"/>
        <w:rPr>
          <w:rFonts w:ascii="Cambria Math" w:eastAsia="Cambria Math"/>
        </w:rPr>
      </w:pPr>
      <w:r>
        <w:rPr>
          <w:rFonts w:ascii="Cambria Math" w:eastAsia="Cambria Math"/>
        </w:rPr>
        <w:t>= 2795.5𝑔</w:t>
      </w:r>
    </w:p>
    <w:p>
      <w:pPr>
        <w:spacing w:after="0"/>
        <w:rPr>
          <w:rFonts w:ascii="Cambria Math" w:eastAsia="Cambria Math"/>
        </w:rPr>
        <w:sectPr>
          <w:type w:val="continuous"/>
          <w:pgSz w:w="12240" w:h="15840"/>
          <w:pgMar w:top="1280" w:bottom="280" w:left="1600" w:right="1580"/>
          <w:cols w:num="2" w:equalWidth="0">
            <w:col w:w="5559" w:space="40"/>
            <w:col w:w="3461"/>
          </w:cols>
        </w:sectPr>
      </w:pPr>
    </w:p>
    <w:p>
      <w:pPr>
        <w:pStyle w:val="BodyText"/>
        <w:rPr>
          <w:rFonts w:ascii="Cambria Math"/>
          <w:sz w:val="20"/>
        </w:rPr>
      </w:pPr>
    </w:p>
    <w:p>
      <w:pPr>
        <w:pStyle w:val="BodyText"/>
        <w:spacing w:before="4"/>
        <w:rPr>
          <w:rFonts w:ascii="Cambria Math"/>
          <w:sz w:val="16"/>
        </w:rPr>
      </w:pPr>
    </w:p>
    <w:p>
      <w:pPr>
        <w:spacing w:before="72"/>
        <w:ind w:left="1959" w:right="0" w:firstLine="0"/>
        <w:jc w:val="left"/>
        <w:rPr>
          <w:sz w:val="22"/>
        </w:rPr>
      </w:pPr>
      <w:bookmarkStart w:name="_bookmark25" w:id="38"/>
      <w:bookmarkEnd w:id="38"/>
      <w:r>
        <w:rPr/>
      </w:r>
      <w:r>
        <w:rPr>
          <w:b/>
          <w:sz w:val="22"/>
        </w:rPr>
        <w:t>Tabla 9.</w:t>
      </w:r>
      <w:r>
        <w:rPr>
          <w:sz w:val="22"/>
        </w:rPr>
        <w:t>Cantidad de arena en el concreto polimérico</w:t>
      </w:r>
    </w:p>
    <w:p>
      <w:pPr>
        <w:pStyle w:val="BodyText"/>
        <w:spacing w:before="9" w:after="1"/>
        <w:rPr>
          <w:sz w:val="17"/>
        </w:rPr>
      </w:pPr>
    </w:p>
    <w:tbl>
      <w:tblPr>
        <w:tblW w:w="0" w:type="auto"/>
        <w:jc w:val="left"/>
        <w:tblInd w:w="32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2"/>
        <w:gridCol w:w="896"/>
        <w:gridCol w:w="955"/>
      </w:tblGrid>
      <w:tr>
        <w:trPr>
          <w:trHeight w:val="838" w:hRule="exact"/>
        </w:trPr>
        <w:tc>
          <w:tcPr>
            <w:tcW w:w="722" w:type="dxa"/>
            <w:tcBorders>
              <w:left w:val="nil"/>
              <w:right w:val="nil"/>
            </w:tcBorders>
          </w:tcPr>
          <w:p>
            <w:pPr>
              <w:pStyle w:val="TableParagraph"/>
              <w:spacing w:before="207"/>
              <w:ind w:left="87" w:right="87"/>
              <w:rPr>
                <w:b/>
                <w:sz w:val="24"/>
              </w:rPr>
            </w:pPr>
            <w:r>
              <w:rPr>
                <w:b/>
                <w:sz w:val="24"/>
              </w:rPr>
              <w:t>Lote</w:t>
            </w:r>
          </w:p>
        </w:tc>
        <w:tc>
          <w:tcPr>
            <w:tcW w:w="896" w:type="dxa"/>
            <w:tcBorders>
              <w:left w:val="nil"/>
              <w:right w:val="nil"/>
            </w:tcBorders>
          </w:tcPr>
          <w:p>
            <w:pPr>
              <w:pStyle w:val="TableParagraph"/>
              <w:spacing w:line="360" w:lineRule="auto"/>
              <w:ind w:left="262" w:hanging="154"/>
              <w:jc w:val="left"/>
              <w:rPr>
                <w:b/>
                <w:sz w:val="24"/>
              </w:rPr>
            </w:pPr>
            <w:r>
              <w:rPr>
                <w:b/>
                <w:sz w:val="24"/>
              </w:rPr>
              <w:t>Arena (%)</w:t>
            </w:r>
          </w:p>
        </w:tc>
        <w:tc>
          <w:tcPr>
            <w:tcW w:w="955" w:type="dxa"/>
            <w:tcBorders>
              <w:left w:val="nil"/>
              <w:right w:val="nil"/>
            </w:tcBorders>
          </w:tcPr>
          <w:p>
            <w:pPr>
              <w:pStyle w:val="TableParagraph"/>
              <w:spacing w:line="360" w:lineRule="auto"/>
              <w:ind w:left="323" w:right="145" w:hanging="214"/>
              <w:jc w:val="left"/>
              <w:rPr>
                <w:b/>
                <w:sz w:val="24"/>
              </w:rPr>
            </w:pPr>
            <w:r>
              <w:rPr>
                <w:b/>
                <w:sz w:val="24"/>
              </w:rPr>
              <w:t>Arena (g)</w:t>
            </w:r>
          </w:p>
        </w:tc>
      </w:tr>
      <w:tr>
        <w:trPr>
          <w:trHeight w:val="361" w:hRule="exact"/>
        </w:trPr>
        <w:tc>
          <w:tcPr>
            <w:tcW w:w="722" w:type="dxa"/>
            <w:tcBorders>
              <w:left w:val="nil"/>
              <w:bottom w:val="nil"/>
              <w:right w:val="nil"/>
            </w:tcBorders>
          </w:tcPr>
          <w:p>
            <w:pPr>
              <w:pStyle w:val="TableParagraph"/>
              <w:spacing w:line="274" w:lineRule="exact"/>
              <w:rPr>
                <w:sz w:val="24"/>
              </w:rPr>
            </w:pPr>
            <w:r>
              <w:rPr>
                <w:w w:val="99"/>
                <w:sz w:val="24"/>
              </w:rPr>
              <w:t>1</w:t>
            </w:r>
          </w:p>
        </w:tc>
        <w:tc>
          <w:tcPr>
            <w:tcW w:w="896" w:type="dxa"/>
            <w:tcBorders>
              <w:left w:val="nil"/>
              <w:bottom w:val="nil"/>
              <w:right w:val="nil"/>
            </w:tcBorders>
          </w:tcPr>
          <w:p>
            <w:pPr>
              <w:pStyle w:val="TableParagraph"/>
              <w:spacing w:line="274" w:lineRule="exact"/>
              <w:ind w:left="194" w:right="193"/>
              <w:rPr>
                <w:sz w:val="24"/>
              </w:rPr>
            </w:pPr>
            <w:r>
              <w:rPr>
                <w:sz w:val="24"/>
              </w:rPr>
              <w:t>70.0</w:t>
            </w:r>
          </w:p>
        </w:tc>
        <w:tc>
          <w:tcPr>
            <w:tcW w:w="955" w:type="dxa"/>
            <w:tcBorders>
              <w:left w:val="nil"/>
              <w:bottom w:val="nil"/>
              <w:right w:val="nil"/>
            </w:tcBorders>
          </w:tcPr>
          <w:p>
            <w:pPr>
              <w:pStyle w:val="TableParagraph"/>
              <w:spacing w:line="274" w:lineRule="exact"/>
              <w:ind w:left="109"/>
              <w:jc w:val="left"/>
              <w:rPr>
                <w:sz w:val="24"/>
              </w:rPr>
            </w:pPr>
            <w:r>
              <w:rPr>
                <w:sz w:val="24"/>
              </w:rPr>
              <w:t>2795.5</w:t>
            </w:r>
          </w:p>
        </w:tc>
      </w:tr>
      <w:tr>
        <w:trPr>
          <w:trHeight w:val="414" w:hRule="exact"/>
        </w:trPr>
        <w:tc>
          <w:tcPr>
            <w:tcW w:w="722" w:type="dxa"/>
            <w:tcBorders>
              <w:top w:val="nil"/>
              <w:left w:val="nil"/>
              <w:bottom w:val="nil"/>
              <w:right w:val="nil"/>
            </w:tcBorders>
          </w:tcPr>
          <w:p>
            <w:pPr>
              <w:pStyle w:val="TableParagraph"/>
              <w:spacing w:before="57"/>
              <w:rPr>
                <w:sz w:val="24"/>
              </w:rPr>
            </w:pPr>
            <w:r>
              <w:rPr>
                <w:w w:val="99"/>
                <w:sz w:val="24"/>
              </w:rPr>
              <w:t>2</w:t>
            </w:r>
          </w:p>
        </w:tc>
        <w:tc>
          <w:tcPr>
            <w:tcW w:w="896" w:type="dxa"/>
            <w:tcBorders>
              <w:top w:val="nil"/>
              <w:left w:val="nil"/>
              <w:bottom w:val="nil"/>
              <w:right w:val="nil"/>
            </w:tcBorders>
          </w:tcPr>
          <w:p>
            <w:pPr>
              <w:pStyle w:val="TableParagraph"/>
              <w:spacing w:before="57"/>
              <w:ind w:left="194" w:right="194"/>
              <w:rPr>
                <w:sz w:val="24"/>
              </w:rPr>
            </w:pPr>
            <w:r>
              <w:rPr>
                <w:sz w:val="24"/>
              </w:rPr>
              <w:t>69.7</w:t>
            </w:r>
          </w:p>
        </w:tc>
        <w:tc>
          <w:tcPr>
            <w:tcW w:w="955" w:type="dxa"/>
            <w:tcBorders>
              <w:top w:val="nil"/>
              <w:left w:val="nil"/>
              <w:bottom w:val="nil"/>
              <w:right w:val="nil"/>
            </w:tcBorders>
          </w:tcPr>
          <w:p>
            <w:pPr>
              <w:pStyle w:val="TableParagraph"/>
              <w:spacing w:before="57"/>
              <w:ind w:left="109"/>
              <w:jc w:val="left"/>
              <w:rPr>
                <w:sz w:val="24"/>
              </w:rPr>
            </w:pPr>
            <w:r>
              <w:rPr>
                <w:sz w:val="24"/>
              </w:rPr>
              <w:t>2783.5</w:t>
            </w:r>
          </w:p>
        </w:tc>
      </w:tr>
      <w:tr>
        <w:trPr>
          <w:trHeight w:val="414" w:hRule="exact"/>
        </w:trPr>
        <w:tc>
          <w:tcPr>
            <w:tcW w:w="722" w:type="dxa"/>
            <w:tcBorders>
              <w:top w:val="nil"/>
              <w:left w:val="nil"/>
              <w:bottom w:val="nil"/>
              <w:right w:val="nil"/>
            </w:tcBorders>
          </w:tcPr>
          <w:p>
            <w:pPr>
              <w:pStyle w:val="TableParagraph"/>
              <w:spacing w:before="55"/>
              <w:rPr>
                <w:sz w:val="24"/>
              </w:rPr>
            </w:pPr>
            <w:r>
              <w:rPr>
                <w:w w:val="99"/>
                <w:sz w:val="24"/>
              </w:rPr>
              <w:t>3</w:t>
            </w:r>
          </w:p>
        </w:tc>
        <w:tc>
          <w:tcPr>
            <w:tcW w:w="896" w:type="dxa"/>
            <w:tcBorders>
              <w:top w:val="nil"/>
              <w:left w:val="nil"/>
              <w:bottom w:val="nil"/>
              <w:right w:val="nil"/>
            </w:tcBorders>
          </w:tcPr>
          <w:p>
            <w:pPr>
              <w:pStyle w:val="TableParagraph"/>
              <w:spacing w:before="55"/>
              <w:ind w:left="194" w:right="194"/>
              <w:rPr>
                <w:sz w:val="24"/>
              </w:rPr>
            </w:pPr>
            <w:r>
              <w:rPr>
                <w:sz w:val="24"/>
              </w:rPr>
              <w:t>69.4</w:t>
            </w:r>
          </w:p>
        </w:tc>
        <w:tc>
          <w:tcPr>
            <w:tcW w:w="955" w:type="dxa"/>
            <w:tcBorders>
              <w:top w:val="nil"/>
              <w:left w:val="nil"/>
              <w:bottom w:val="nil"/>
              <w:right w:val="nil"/>
            </w:tcBorders>
          </w:tcPr>
          <w:p>
            <w:pPr>
              <w:pStyle w:val="TableParagraph"/>
              <w:spacing w:before="55"/>
              <w:ind w:left="109"/>
              <w:jc w:val="left"/>
              <w:rPr>
                <w:sz w:val="24"/>
              </w:rPr>
            </w:pPr>
            <w:r>
              <w:rPr>
                <w:sz w:val="24"/>
              </w:rPr>
              <w:t>2771.6</w:t>
            </w:r>
          </w:p>
        </w:tc>
      </w:tr>
      <w:tr>
        <w:trPr>
          <w:trHeight w:val="414" w:hRule="exact"/>
        </w:trPr>
        <w:tc>
          <w:tcPr>
            <w:tcW w:w="722" w:type="dxa"/>
            <w:tcBorders>
              <w:top w:val="nil"/>
              <w:left w:val="nil"/>
              <w:bottom w:val="nil"/>
              <w:right w:val="nil"/>
            </w:tcBorders>
          </w:tcPr>
          <w:p>
            <w:pPr>
              <w:pStyle w:val="TableParagraph"/>
              <w:spacing w:before="57"/>
              <w:rPr>
                <w:sz w:val="24"/>
              </w:rPr>
            </w:pPr>
            <w:r>
              <w:rPr>
                <w:w w:val="99"/>
                <w:sz w:val="24"/>
              </w:rPr>
              <w:t>4</w:t>
            </w:r>
          </w:p>
        </w:tc>
        <w:tc>
          <w:tcPr>
            <w:tcW w:w="896" w:type="dxa"/>
            <w:tcBorders>
              <w:top w:val="nil"/>
              <w:left w:val="nil"/>
              <w:bottom w:val="nil"/>
              <w:right w:val="nil"/>
            </w:tcBorders>
          </w:tcPr>
          <w:p>
            <w:pPr>
              <w:pStyle w:val="TableParagraph"/>
              <w:spacing w:before="57"/>
              <w:ind w:left="194" w:right="194"/>
              <w:rPr>
                <w:sz w:val="24"/>
              </w:rPr>
            </w:pPr>
            <w:r>
              <w:rPr>
                <w:sz w:val="24"/>
              </w:rPr>
              <w:t>69.1</w:t>
            </w:r>
          </w:p>
        </w:tc>
        <w:tc>
          <w:tcPr>
            <w:tcW w:w="955" w:type="dxa"/>
            <w:tcBorders>
              <w:top w:val="nil"/>
              <w:left w:val="nil"/>
              <w:bottom w:val="nil"/>
              <w:right w:val="nil"/>
            </w:tcBorders>
          </w:tcPr>
          <w:p>
            <w:pPr>
              <w:pStyle w:val="TableParagraph"/>
              <w:spacing w:before="57"/>
              <w:ind w:left="109"/>
              <w:jc w:val="left"/>
              <w:rPr>
                <w:sz w:val="24"/>
              </w:rPr>
            </w:pPr>
            <w:r>
              <w:rPr>
                <w:sz w:val="24"/>
              </w:rPr>
              <w:t>2759.6</w:t>
            </w:r>
          </w:p>
        </w:tc>
      </w:tr>
      <w:tr>
        <w:trPr>
          <w:trHeight w:val="478" w:hRule="exact"/>
        </w:trPr>
        <w:tc>
          <w:tcPr>
            <w:tcW w:w="722" w:type="dxa"/>
            <w:tcBorders>
              <w:top w:val="nil"/>
              <w:left w:val="nil"/>
              <w:right w:val="nil"/>
            </w:tcBorders>
          </w:tcPr>
          <w:p>
            <w:pPr>
              <w:pStyle w:val="TableParagraph"/>
              <w:spacing w:before="55"/>
              <w:rPr>
                <w:sz w:val="24"/>
              </w:rPr>
            </w:pPr>
            <w:r>
              <w:rPr>
                <w:w w:val="99"/>
                <w:sz w:val="24"/>
              </w:rPr>
              <w:t>5</w:t>
            </w:r>
          </w:p>
        </w:tc>
        <w:tc>
          <w:tcPr>
            <w:tcW w:w="896" w:type="dxa"/>
            <w:tcBorders>
              <w:top w:val="nil"/>
              <w:left w:val="nil"/>
              <w:right w:val="nil"/>
            </w:tcBorders>
          </w:tcPr>
          <w:p>
            <w:pPr>
              <w:pStyle w:val="TableParagraph"/>
              <w:spacing w:before="55"/>
              <w:ind w:left="194" w:right="194"/>
              <w:rPr>
                <w:sz w:val="24"/>
              </w:rPr>
            </w:pPr>
            <w:r>
              <w:rPr>
                <w:sz w:val="24"/>
              </w:rPr>
              <w:t>68.8</w:t>
            </w:r>
          </w:p>
        </w:tc>
        <w:tc>
          <w:tcPr>
            <w:tcW w:w="955" w:type="dxa"/>
            <w:tcBorders>
              <w:top w:val="nil"/>
              <w:left w:val="nil"/>
              <w:right w:val="nil"/>
            </w:tcBorders>
          </w:tcPr>
          <w:p>
            <w:pPr>
              <w:pStyle w:val="TableParagraph"/>
              <w:spacing w:before="55"/>
              <w:ind w:left="109"/>
              <w:jc w:val="left"/>
              <w:rPr>
                <w:sz w:val="24"/>
              </w:rPr>
            </w:pPr>
            <w:r>
              <w:rPr>
                <w:sz w:val="24"/>
              </w:rPr>
              <w:t>2747.6</w:t>
            </w:r>
          </w:p>
        </w:tc>
      </w:tr>
    </w:tbl>
    <w:p>
      <w:pPr>
        <w:pStyle w:val="BodyText"/>
        <w:rPr>
          <w:sz w:val="20"/>
        </w:rPr>
      </w:pPr>
    </w:p>
    <w:p>
      <w:pPr>
        <w:pStyle w:val="ListParagraph"/>
        <w:numPr>
          <w:ilvl w:val="0"/>
          <w:numId w:val="8"/>
        </w:numPr>
        <w:tabs>
          <w:tab w:pos="821" w:val="left" w:leader="none"/>
          <w:tab w:pos="822" w:val="left" w:leader="none"/>
          <w:tab w:pos="1599" w:val="left" w:leader="none"/>
          <w:tab w:pos="2858" w:val="left" w:leader="none"/>
          <w:tab w:pos="3527" w:val="left" w:leader="none"/>
          <w:tab w:pos="4159" w:val="left" w:leader="none"/>
          <w:tab w:pos="5363" w:val="left" w:leader="none"/>
          <w:tab w:pos="5859" w:val="left" w:leader="none"/>
          <w:tab w:pos="6691" w:val="left" w:leader="none"/>
          <w:tab w:pos="7538" w:val="left" w:leader="none"/>
          <w:tab w:pos="7889" w:val="left" w:leader="none"/>
        </w:tabs>
        <w:spacing w:line="350" w:lineRule="auto" w:before="184" w:after="0"/>
        <w:ind w:left="822" w:right="115" w:hanging="360"/>
        <w:jc w:val="left"/>
        <w:rPr>
          <w:sz w:val="24"/>
        </w:rPr>
      </w:pPr>
      <w:r>
        <w:rPr>
          <w:sz w:val="24"/>
        </w:rPr>
        <w:t>Fibra</w:t>
        <w:tab/>
        <w:t>reciclada:</w:t>
        <w:tab/>
        <w:t>Con</w:t>
        <w:tab/>
        <w:t>una</w:t>
        <w:tab/>
        <w:t>densidad</w:t>
        <w:tab/>
        <w:t>de</w:t>
        <w:tab/>
        <w:t>0.926</w:t>
        <w:tab/>
        <w:t>g/cm</w:t>
      </w:r>
      <w:r>
        <w:rPr>
          <w:position w:val="8"/>
          <w:sz w:val="16"/>
        </w:rPr>
        <w:t>3</w:t>
        <w:tab/>
      </w:r>
      <w:r>
        <w:rPr>
          <w:sz w:val="24"/>
        </w:rPr>
        <w:t>y</w:t>
        <w:tab/>
      </w:r>
      <w:r>
        <w:rPr>
          <w:w w:val="95"/>
          <w:sz w:val="24"/>
        </w:rPr>
        <w:t>diferentes </w:t>
      </w:r>
      <w:r>
        <w:rPr>
          <w:sz w:val="24"/>
        </w:rPr>
        <w:t>concentraciones (de 0.3% 1.2%) los cantidades se muestran en la </w:t>
      </w:r>
      <w:r>
        <w:rPr>
          <w:spacing w:val="-6"/>
          <w:sz w:val="24"/>
        </w:rPr>
        <w:t>Tabla</w:t>
      </w:r>
      <w:r>
        <w:rPr>
          <w:spacing w:val="17"/>
          <w:sz w:val="24"/>
        </w:rPr>
        <w:t> </w:t>
      </w:r>
      <w:r>
        <w:rPr>
          <w:sz w:val="24"/>
        </w:rPr>
        <w:t>10.</w:t>
      </w:r>
    </w:p>
    <w:p>
      <w:pPr>
        <w:spacing w:after="0" w:line="350" w:lineRule="auto"/>
        <w:jc w:val="left"/>
        <w:rPr>
          <w:sz w:val="24"/>
        </w:rPr>
        <w:sectPr>
          <w:type w:val="continuous"/>
          <w:pgSz w:w="12240" w:h="15840"/>
          <w:pgMar w:top="1280" w:bottom="280" w:left="1600" w:right="1580"/>
        </w:sectPr>
      </w:pPr>
    </w:p>
    <w:p>
      <w:pPr>
        <w:pStyle w:val="BodyText"/>
        <w:spacing w:before="54"/>
        <w:ind w:left="821"/>
      </w:pPr>
      <w:r>
        <w:rPr/>
        <w:t>Como  ejemplo  de  cálculo  se  muestra  la  cantidad  de  fibra  reciclada en</w:t>
      </w:r>
    </w:p>
    <w:p>
      <w:pPr>
        <w:pStyle w:val="BodyText"/>
        <w:spacing w:before="139"/>
        <w:ind w:left="821"/>
      </w:pPr>
      <w:r>
        <w:rPr/>
        <w:t>gramos para 0.3%:</w:t>
      </w:r>
    </w:p>
    <w:p>
      <w:pPr>
        <w:spacing w:after="0"/>
        <w:sectPr>
          <w:pgSz w:w="12240" w:h="15840"/>
          <w:pgMar w:header="0" w:footer="975" w:top="1360" w:bottom="1220" w:left="1600" w:right="1580"/>
        </w:sectPr>
      </w:pPr>
    </w:p>
    <w:p>
      <w:pPr>
        <w:pStyle w:val="BodyText"/>
        <w:spacing w:line="399" w:lineRule="exact" w:before="59"/>
        <w:ind w:left="2555"/>
        <w:rPr>
          <w:rFonts w:ascii="Cambria Math" w:hAnsi="Cambria Math" w:eastAsia="Cambria Math"/>
        </w:rPr>
      </w:pPr>
      <w:r>
        <w:rPr/>
        <w:pict>
          <v:line style="position:absolute;mso-position-horizontal-relative:page;mso-position-vertical-relative:paragraph;z-index:-52552" from="333.910004pt,19.932371pt" to="355.150004pt,19.932371pt" stroked="true" strokeweight=".84pt" strokecolor="#000000">
            <w10:wrap type="none"/>
          </v:line>
        </w:pict>
      </w:r>
      <w:r>
        <w:rPr>
          <w:rFonts w:ascii="Cambria Math" w:hAnsi="Cambria Math" w:eastAsia="Cambria Math"/>
        </w:rPr>
        <w:t>1536 �𝑚</w:t>
      </w:r>
      <w:r>
        <w:rPr>
          <w:rFonts w:ascii="Cambria Math" w:hAnsi="Cambria Math" w:eastAsia="Cambria Math"/>
          <w:position w:val="9"/>
          <w:sz w:val="17"/>
        </w:rPr>
        <w:t>3 </w:t>
      </w:r>
      <w:r>
        <w:rPr>
          <w:rFonts w:ascii="Cambria Math" w:hAnsi="Cambria Math" w:eastAsia="Cambria Math"/>
        </w:rPr>
        <w:t>∗ 0.003 ∗ .926 </w:t>
      </w:r>
      <w:r>
        <w:rPr>
          <w:rFonts w:ascii="Cambria Math" w:hAnsi="Cambria Math" w:eastAsia="Cambria Math"/>
          <w:position w:val="18"/>
        </w:rPr>
        <w:t>𝑔</w:t>
      </w:r>
    </w:p>
    <w:p>
      <w:pPr>
        <w:spacing w:line="223" w:lineRule="exact" w:before="0"/>
        <w:ind w:left="0" w:right="0" w:firstLine="0"/>
        <w:jc w:val="right"/>
        <w:rPr>
          <w:rFonts w:ascii="Cambria Math" w:eastAsia="Cambria Math"/>
          <w:sz w:val="17"/>
        </w:rPr>
      </w:pPr>
      <w:r>
        <w:rPr>
          <w:rFonts w:ascii="Cambria Math" w:eastAsia="Cambria Math"/>
          <w:spacing w:val="-56"/>
          <w:w w:val="90"/>
          <w:sz w:val="24"/>
        </w:rPr>
        <w:t>�𝑚</w:t>
      </w:r>
      <w:r>
        <w:rPr>
          <w:rFonts w:ascii="Cambria Math" w:eastAsia="Cambria Math"/>
          <w:spacing w:val="-56"/>
          <w:w w:val="90"/>
          <w:position w:val="7"/>
          <w:sz w:val="17"/>
        </w:rPr>
        <w:t>3</w:t>
      </w:r>
    </w:p>
    <w:p>
      <w:pPr>
        <w:pStyle w:val="BodyText"/>
        <w:spacing w:before="5"/>
        <w:rPr>
          <w:rFonts w:ascii="Cambria Math"/>
          <w:sz w:val="20"/>
        </w:rPr>
      </w:pPr>
      <w:r>
        <w:rPr/>
        <w:br w:type="column"/>
      </w:r>
      <w:r>
        <w:rPr>
          <w:rFonts w:ascii="Cambria Math"/>
          <w:sz w:val="20"/>
        </w:rPr>
      </w:r>
    </w:p>
    <w:p>
      <w:pPr>
        <w:pStyle w:val="BodyText"/>
        <w:ind w:left="34"/>
        <w:rPr>
          <w:rFonts w:ascii="Cambria Math" w:eastAsia="Cambria Math"/>
        </w:rPr>
      </w:pPr>
      <w:r>
        <w:rPr>
          <w:rFonts w:ascii="Cambria Math" w:eastAsia="Cambria Math"/>
        </w:rPr>
        <w:t>= 4.27𝑔</w:t>
      </w:r>
    </w:p>
    <w:p>
      <w:pPr>
        <w:spacing w:after="0"/>
        <w:rPr>
          <w:rFonts w:ascii="Cambria Math" w:eastAsia="Cambria Math"/>
        </w:rPr>
        <w:sectPr>
          <w:type w:val="continuous"/>
          <w:pgSz w:w="12240" w:h="15840"/>
          <w:pgMar w:top="1280" w:bottom="280" w:left="1600" w:right="1580"/>
          <w:cols w:num="2" w:equalWidth="0">
            <w:col w:w="5494" w:space="40"/>
            <w:col w:w="3526"/>
          </w:cols>
        </w:sectPr>
      </w:pPr>
    </w:p>
    <w:p>
      <w:pPr>
        <w:pStyle w:val="BodyText"/>
        <w:rPr>
          <w:rFonts w:ascii="Cambria Math"/>
          <w:sz w:val="20"/>
        </w:rPr>
      </w:pPr>
    </w:p>
    <w:p>
      <w:pPr>
        <w:pStyle w:val="BodyText"/>
        <w:spacing w:before="10"/>
        <w:rPr>
          <w:rFonts w:ascii="Cambria Math"/>
          <w:sz w:val="19"/>
        </w:rPr>
      </w:pPr>
    </w:p>
    <w:p>
      <w:pPr>
        <w:spacing w:before="0"/>
        <w:ind w:left="1086" w:right="0" w:firstLine="0"/>
        <w:jc w:val="left"/>
        <w:rPr>
          <w:sz w:val="22"/>
        </w:rPr>
      </w:pPr>
      <w:bookmarkStart w:name="_bookmark26" w:id="39"/>
      <w:bookmarkEnd w:id="39"/>
      <w:r>
        <w:rPr/>
      </w:r>
      <w:r>
        <w:rPr>
          <w:b/>
          <w:sz w:val="22"/>
        </w:rPr>
        <w:t>Tabla 10</w:t>
      </w:r>
      <w:r>
        <w:rPr>
          <w:sz w:val="22"/>
        </w:rPr>
        <w:t>. Composición porcentual en volumen del concreto polimérico</w:t>
      </w:r>
    </w:p>
    <w:p>
      <w:pPr>
        <w:pStyle w:val="BodyText"/>
        <w:spacing w:before="7"/>
        <w:rPr>
          <w:sz w:val="17"/>
        </w:rPr>
      </w:pPr>
    </w:p>
    <w:tbl>
      <w:tblPr>
        <w:tblW w:w="0" w:type="auto"/>
        <w:jc w:val="left"/>
        <w:tblInd w:w="33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2"/>
        <w:gridCol w:w="803"/>
        <w:gridCol w:w="818"/>
      </w:tblGrid>
      <w:tr>
        <w:trPr>
          <w:trHeight w:val="840" w:hRule="exact"/>
        </w:trPr>
        <w:tc>
          <w:tcPr>
            <w:tcW w:w="722" w:type="dxa"/>
            <w:tcBorders>
              <w:left w:val="nil"/>
              <w:right w:val="nil"/>
            </w:tcBorders>
          </w:tcPr>
          <w:p>
            <w:pPr>
              <w:pStyle w:val="TableParagraph"/>
              <w:spacing w:before="207"/>
              <w:ind w:left="87" w:right="87"/>
              <w:rPr>
                <w:b/>
                <w:sz w:val="24"/>
              </w:rPr>
            </w:pPr>
            <w:r>
              <w:rPr>
                <w:b/>
                <w:sz w:val="24"/>
              </w:rPr>
              <w:t>Lote</w:t>
            </w:r>
          </w:p>
        </w:tc>
        <w:tc>
          <w:tcPr>
            <w:tcW w:w="803" w:type="dxa"/>
            <w:tcBorders>
              <w:left w:val="nil"/>
              <w:right w:val="nil"/>
            </w:tcBorders>
          </w:tcPr>
          <w:p>
            <w:pPr>
              <w:pStyle w:val="TableParagraph"/>
              <w:spacing w:line="360" w:lineRule="auto"/>
              <w:ind w:left="214" w:right="88" w:hanging="106"/>
              <w:jc w:val="left"/>
              <w:rPr>
                <w:b/>
                <w:sz w:val="24"/>
              </w:rPr>
            </w:pPr>
            <w:r>
              <w:rPr>
                <w:b/>
                <w:sz w:val="24"/>
              </w:rPr>
              <w:t>Fibra (%)</w:t>
            </w:r>
          </w:p>
        </w:tc>
        <w:tc>
          <w:tcPr>
            <w:tcW w:w="818" w:type="dxa"/>
            <w:tcBorders>
              <w:left w:val="nil"/>
              <w:right w:val="nil"/>
            </w:tcBorders>
          </w:tcPr>
          <w:p>
            <w:pPr>
              <w:pStyle w:val="TableParagraph"/>
              <w:spacing w:line="360" w:lineRule="auto"/>
              <w:ind w:left="253" w:right="105" w:hanging="147"/>
              <w:jc w:val="left"/>
              <w:rPr>
                <w:b/>
                <w:sz w:val="24"/>
              </w:rPr>
            </w:pPr>
            <w:r>
              <w:rPr>
                <w:b/>
                <w:sz w:val="24"/>
              </w:rPr>
              <w:t>Fibra (g)</w:t>
            </w:r>
          </w:p>
        </w:tc>
      </w:tr>
      <w:tr>
        <w:trPr>
          <w:trHeight w:val="360" w:hRule="exact"/>
        </w:trPr>
        <w:tc>
          <w:tcPr>
            <w:tcW w:w="722" w:type="dxa"/>
            <w:tcBorders>
              <w:left w:val="nil"/>
              <w:bottom w:val="nil"/>
              <w:right w:val="nil"/>
            </w:tcBorders>
          </w:tcPr>
          <w:p>
            <w:pPr>
              <w:pStyle w:val="TableParagraph"/>
              <w:spacing w:line="274" w:lineRule="exact"/>
              <w:rPr>
                <w:sz w:val="24"/>
              </w:rPr>
            </w:pPr>
            <w:r>
              <w:rPr>
                <w:w w:val="99"/>
                <w:sz w:val="24"/>
              </w:rPr>
              <w:t>1</w:t>
            </w:r>
          </w:p>
        </w:tc>
        <w:tc>
          <w:tcPr>
            <w:tcW w:w="803" w:type="dxa"/>
            <w:tcBorders>
              <w:left w:val="nil"/>
              <w:bottom w:val="nil"/>
              <w:right w:val="nil"/>
            </w:tcBorders>
          </w:tcPr>
          <w:p>
            <w:pPr>
              <w:pStyle w:val="TableParagraph"/>
              <w:spacing w:line="274" w:lineRule="exact"/>
              <w:ind w:left="215" w:right="212"/>
              <w:rPr>
                <w:sz w:val="24"/>
              </w:rPr>
            </w:pPr>
            <w:r>
              <w:rPr>
                <w:sz w:val="24"/>
              </w:rPr>
              <w:t>0.0</w:t>
            </w:r>
          </w:p>
        </w:tc>
        <w:tc>
          <w:tcPr>
            <w:tcW w:w="818" w:type="dxa"/>
            <w:tcBorders>
              <w:left w:val="nil"/>
              <w:bottom w:val="nil"/>
              <w:right w:val="nil"/>
            </w:tcBorders>
          </w:tcPr>
          <w:p>
            <w:pPr>
              <w:pStyle w:val="TableParagraph"/>
              <w:spacing w:line="274" w:lineRule="exact"/>
              <w:ind w:right="174"/>
              <w:jc w:val="right"/>
              <w:rPr>
                <w:sz w:val="24"/>
              </w:rPr>
            </w:pPr>
            <w:r>
              <w:rPr>
                <w:sz w:val="24"/>
              </w:rPr>
              <w:t>0.00</w:t>
            </w:r>
          </w:p>
        </w:tc>
      </w:tr>
      <w:tr>
        <w:trPr>
          <w:trHeight w:val="414" w:hRule="exact"/>
        </w:trPr>
        <w:tc>
          <w:tcPr>
            <w:tcW w:w="722" w:type="dxa"/>
            <w:tcBorders>
              <w:top w:val="nil"/>
              <w:left w:val="nil"/>
              <w:bottom w:val="nil"/>
              <w:right w:val="nil"/>
            </w:tcBorders>
          </w:tcPr>
          <w:p>
            <w:pPr>
              <w:pStyle w:val="TableParagraph"/>
              <w:spacing w:before="56"/>
              <w:rPr>
                <w:sz w:val="24"/>
              </w:rPr>
            </w:pPr>
            <w:r>
              <w:rPr>
                <w:w w:val="99"/>
                <w:sz w:val="24"/>
              </w:rPr>
              <w:t>2</w:t>
            </w:r>
          </w:p>
        </w:tc>
        <w:tc>
          <w:tcPr>
            <w:tcW w:w="803" w:type="dxa"/>
            <w:tcBorders>
              <w:top w:val="nil"/>
              <w:left w:val="nil"/>
              <w:bottom w:val="nil"/>
              <w:right w:val="nil"/>
            </w:tcBorders>
          </w:tcPr>
          <w:p>
            <w:pPr>
              <w:pStyle w:val="TableParagraph"/>
              <w:spacing w:before="56"/>
              <w:ind w:left="215" w:right="213"/>
              <w:rPr>
                <w:sz w:val="24"/>
              </w:rPr>
            </w:pPr>
            <w:r>
              <w:rPr>
                <w:sz w:val="24"/>
              </w:rPr>
              <w:t>0.3</w:t>
            </w:r>
          </w:p>
        </w:tc>
        <w:tc>
          <w:tcPr>
            <w:tcW w:w="818" w:type="dxa"/>
            <w:tcBorders>
              <w:top w:val="nil"/>
              <w:left w:val="nil"/>
              <w:bottom w:val="nil"/>
              <w:right w:val="nil"/>
            </w:tcBorders>
          </w:tcPr>
          <w:p>
            <w:pPr>
              <w:pStyle w:val="TableParagraph"/>
              <w:spacing w:before="56"/>
              <w:ind w:right="174"/>
              <w:jc w:val="right"/>
              <w:rPr>
                <w:sz w:val="24"/>
              </w:rPr>
            </w:pPr>
            <w:r>
              <w:rPr>
                <w:sz w:val="24"/>
              </w:rPr>
              <w:t>4.27</w:t>
            </w:r>
          </w:p>
        </w:tc>
      </w:tr>
      <w:tr>
        <w:trPr>
          <w:trHeight w:val="414" w:hRule="exact"/>
        </w:trPr>
        <w:tc>
          <w:tcPr>
            <w:tcW w:w="722" w:type="dxa"/>
            <w:tcBorders>
              <w:top w:val="nil"/>
              <w:left w:val="nil"/>
              <w:bottom w:val="nil"/>
              <w:right w:val="nil"/>
            </w:tcBorders>
          </w:tcPr>
          <w:p>
            <w:pPr>
              <w:pStyle w:val="TableParagraph"/>
              <w:spacing w:before="57"/>
              <w:rPr>
                <w:sz w:val="24"/>
              </w:rPr>
            </w:pPr>
            <w:r>
              <w:rPr>
                <w:w w:val="99"/>
                <w:sz w:val="24"/>
              </w:rPr>
              <w:t>3</w:t>
            </w:r>
          </w:p>
        </w:tc>
        <w:tc>
          <w:tcPr>
            <w:tcW w:w="803" w:type="dxa"/>
            <w:tcBorders>
              <w:top w:val="nil"/>
              <w:left w:val="nil"/>
              <w:bottom w:val="nil"/>
              <w:right w:val="nil"/>
            </w:tcBorders>
          </w:tcPr>
          <w:p>
            <w:pPr>
              <w:pStyle w:val="TableParagraph"/>
              <w:spacing w:before="57"/>
              <w:ind w:left="215" w:right="213"/>
              <w:rPr>
                <w:sz w:val="24"/>
              </w:rPr>
            </w:pPr>
            <w:r>
              <w:rPr>
                <w:sz w:val="24"/>
              </w:rPr>
              <w:t>0.6</w:t>
            </w:r>
          </w:p>
        </w:tc>
        <w:tc>
          <w:tcPr>
            <w:tcW w:w="818" w:type="dxa"/>
            <w:tcBorders>
              <w:top w:val="nil"/>
              <w:left w:val="nil"/>
              <w:bottom w:val="nil"/>
              <w:right w:val="nil"/>
            </w:tcBorders>
          </w:tcPr>
          <w:p>
            <w:pPr>
              <w:pStyle w:val="TableParagraph"/>
              <w:spacing w:before="57"/>
              <w:ind w:right="140"/>
              <w:jc w:val="right"/>
              <w:rPr>
                <w:sz w:val="24"/>
              </w:rPr>
            </w:pPr>
            <w:r>
              <w:rPr>
                <w:sz w:val="24"/>
              </w:rPr>
              <w:t>8.53</w:t>
            </w:r>
          </w:p>
        </w:tc>
      </w:tr>
      <w:tr>
        <w:trPr>
          <w:trHeight w:val="414" w:hRule="exact"/>
        </w:trPr>
        <w:tc>
          <w:tcPr>
            <w:tcW w:w="722" w:type="dxa"/>
            <w:tcBorders>
              <w:top w:val="nil"/>
              <w:left w:val="nil"/>
              <w:bottom w:val="nil"/>
              <w:right w:val="nil"/>
            </w:tcBorders>
          </w:tcPr>
          <w:p>
            <w:pPr>
              <w:pStyle w:val="TableParagraph"/>
              <w:spacing w:before="55"/>
              <w:rPr>
                <w:sz w:val="24"/>
              </w:rPr>
            </w:pPr>
            <w:r>
              <w:rPr>
                <w:w w:val="99"/>
                <w:sz w:val="24"/>
              </w:rPr>
              <w:t>4</w:t>
            </w:r>
          </w:p>
        </w:tc>
        <w:tc>
          <w:tcPr>
            <w:tcW w:w="803" w:type="dxa"/>
            <w:tcBorders>
              <w:top w:val="nil"/>
              <w:left w:val="nil"/>
              <w:bottom w:val="nil"/>
              <w:right w:val="nil"/>
            </w:tcBorders>
          </w:tcPr>
          <w:p>
            <w:pPr>
              <w:pStyle w:val="TableParagraph"/>
              <w:spacing w:before="55"/>
              <w:ind w:left="215" w:right="213"/>
              <w:rPr>
                <w:sz w:val="24"/>
              </w:rPr>
            </w:pPr>
            <w:r>
              <w:rPr>
                <w:sz w:val="24"/>
              </w:rPr>
              <w:t>0.9</w:t>
            </w:r>
          </w:p>
        </w:tc>
        <w:tc>
          <w:tcPr>
            <w:tcW w:w="818" w:type="dxa"/>
            <w:tcBorders>
              <w:top w:val="nil"/>
              <w:left w:val="nil"/>
              <w:bottom w:val="nil"/>
              <w:right w:val="nil"/>
            </w:tcBorders>
          </w:tcPr>
          <w:p>
            <w:pPr>
              <w:pStyle w:val="TableParagraph"/>
              <w:spacing w:before="55"/>
              <w:ind w:right="107"/>
              <w:jc w:val="right"/>
              <w:rPr>
                <w:sz w:val="24"/>
              </w:rPr>
            </w:pPr>
            <w:r>
              <w:rPr>
                <w:sz w:val="24"/>
              </w:rPr>
              <w:t>12.80</w:t>
            </w:r>
          </w:p>
        </w:tc>
      </w:tr>
      <w:tr>
        <w:trPr>
          <w:trHeight w:val="476" w:hRule="exact"/>
        </w:trPr>
        <w:tc>
          <w:tcPr>
            <w:tcW w:w="722" w:type="dxa"/>
            <w:tcBorders>
              <w:top w:val="nil"/>
              <w:left w:val="nil"/>
              <w:right w:val="nil"/>
            </w:tcBorders>
          </w:tcPr>
          <w:p>
            <w:pPr>
              <w:pStyle w:val="TableParagraph"/>
              <w:spacing w:before="57"/>
              <w:rPr>
                <w:sz w:val="24"/>
              </w:rPr>
            </w:pPr>
            <w:r>
              <w:rPr>
                <w:w w:val="99"/>
                <w:sz w:val="24"/>
              </w:rPr>
              <w:t>5</w:t>
            </w:r>
          </w:p>
        </w:tc>
        <w:tc>
          <w:tcPr>
            <w:tcW w:w="803" w:type="dxa"/>
            <w:tcBorders>
              <w:top w:val="nil"/>
              <w:left w:val="nil"/>
              <w:right w:val="nil"/>
            </w:tcBorders>
          </w:tcPr>
          <w:p>
            <w:pPr>
              <w:pStyle w:val="TableParagraph"/>
              <w:spacing w:before="57"/>
              <w:ind w:left="215" w:right="213"/>
              <w:rPr>
                <w:sz w:val="24"/>
              </w:rPr>
            </w:pPr>
            <w:r>
              <w:rPr>
                <w:sz w:val="24"/>
              </w:rPr>
              <w:t>1.2</w:t>
            </w:r>
          </w:p>
        </w:tc>
        <w:tc>
          <w:tcPr>
            <w:tcW w:w="818" w:type="dxa"/>
            <w:tcBorders>
              <w:top w:val="nil"/>
              <w:left w:val="nil"/>
              <w:right w:val="nil"/>
            </w:tcBorders>
          </w:tcPr>
          <w:p>
            <w:pPr>
              <w:pStyle w:val="TableParagraph"/>
              <w:spacing w:before="57"/>
              <w:ind w:right="107"/>
              <w:jc w:val="right"/>
              <w:rPr>
                <w:sz w:val="24"/>
              </w:rPr>
            </w:pPr>
            <w:r>
              <w:rPr>
                <w:sz w:val="24"/>
              </w:rPr>
              <w:t>17.07</w:t>
            </w:r>
          </w:p>
        </w:tc>
      </w:tr>
    </w:tbl>
    <w:p>
      <w:pPr>
        <w:pStyle w:val="BodyText"/>
        <w:spacing w:before="10"/>
        <w:rPr>
          <w:sz w:val="29"/>
        </w:rPr>
      </w:pPr>
    </w:p>
    <w:p>
      <w:pPr>
        <w:pStyle w:val="BodyText"/>
        <w:spacing w:line="360" w:lineRule="auto" w:before="70"/>
        <w:ind w:left="102"/>
      </w:pPr>
      <w:r>
        <w:rPr/>
        <w:t>En la Tabla 11 se resumen las cantidades en gramos de cada material utilizado en la fabricación de los lotes elaborados.</w:t>
      </w:r>
    </w:p>
    <w:p>
      <w:pPr>
        <w:pStyle w:val="BodyText"/>
      </w:pPr>
    </w:p>
    <w:p>
      <w:pPr>
        <w:spacing w:before="139"/>
        <w:ind w:left="1280" w:right="0" w:firstLine="0"/>
        <w:jc w:val="left"/>
        <w:rPr>
          <w:sz w:val="22"/>
        </w:rPr>
      </w:pPr>
      <w:bookmarkStart w:name="_bookmark27" w:id="40"/>
      <w:bookmarkEnd w:id="40"/>
      <w:r>
        <w:rPr/>
      </w:r>
      <w:r>
        <w:rPr>
          <w:b/>
          <w:sz w:val="22"/>
        </w:rPr>
        <w:t>Tabla 11</w:t>
      </w:r>
      <w:r>
        <w:rPr>
          <w:sz w:val="22"/>
        </w:rPr>
        <w:t>. Composición en peso (gramos), del concreto polimérico.</w:t>
      </w:r>
    </w:p>
    <w:p>
      <w:pPr>
        <w:pStyle w:val="BodyText"/>
        <w:spacing w:before="9" w:after="1"/>
        <w:rPr>
          <w:sz w:val="17"/>
        </w:rPr>
      </w:pPr>
    </w:p>
    <w:tbl>
      <w:tblPr>
        <w:tblW w:w="0" w:type="auto"/>
        <w:jc w:val="left"/>
        <w:tblInd w:w="27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2"/>
        <w:gridCol w:w="951"/>
        <w:gridCol w:w="1004"/>
        <w:gridCol w:w="818"/>
      </w:tblGrid>
      <w:tr>
        <w:trPr>
          <w:trHeight w:val="425" w:hRule="exact"/>
        </w:trPr>
        <w:tc>
          <w:tcPr>
            <w:tcW w:w="722" w:type="dxa"/>
            <w:tcBorders>
              <w:left w:val="nil"/>
              <w:right w:val="nil"/>
            </w:tcBorders>
          </w:tcPr>
          <w:p>
            <w:pPr>
              <w:pStyle w:val="TableParagraph"/>
              <w:spacing w:line="274" w:lineRule="exact"/>
              <w:ind w:left="87" w:right="87"/>
              <w:rPr>
                <w:b/>
                <w:sz w:val="24"/>
              </w:rPr>
            </w:pPr>
            <w:r>
              <w:rPr>
                <w:b/>
                <w:sz w:val="24"/>
              </w:rPr>
              <w:t>Lote</w:t>
            </w:r>
          </w:p>
        </w:tc>
        <w:tc>
          <w:tcPr>
            <w:tcW w:w="951" w:type="dxa"/>
            <w:tcBorders>
              <w:left w:val="nil"/>
              <w:right w:val="nil"/>
            </w:tcBorders>
          </w:tcPr>
          <w:p>
            <w:pPr>
              <w:pStyle w:val="TableParagraph"/>
              <w:spacing w:line="274" w:lineRule="exact"/>
              <w:ind w:left="134"/>
              <w:jc w:val="left"/>
              <w:rPr>
                <w:b/>
                <w:sz w:val="24"/>
              </w:rPr>
            </w:pPr>
            <w:r>
              <w:rPr>
                <w:b/>
                <w:sz w:val="24"/>
              </w:rPr>
              <w:t>Arena</w:t>
            </w:r>
          </w:p>
        </w:tc>
        <w:tc>
          <w:tcPr>
            <w:tcW w:w="1004" w:type="dxa"/>
            <w:tcBorders>
              <w:left w:val="nil"/>
              <w:right w:val="nil"/>
            </w:tcBorders>
          </w:tcPr>
          <w:p>
            <w:pPr>
              <w:pStyle w:val="TableParagraph"/>
              <w:spacing w:line="274" w:lineRule="exact"/>
              <w:ind w:left="88" w:right="88"/>
              <w:rPr>
                <w:b/>
                <w:sz w:val="24"/>
              </w:rPr>
            </w:pPr>
            <w:r>
              <w:rPr>
                <w:b/>
                <w:sz w:val="24"/>
              </w:rPr>
              <w:t>Resina</w:t>
            </w:r>
          </w:p>
        </w:tc>
        <w:tc>
          <w:tcPr>
            <w:tcW w:w="818" w:type="dxa"/>
            <w:tcBorders>
              <w:left w:val="nil"/>
              <w:right w:val="nil"/>
            </w:tcBorders>
          </w:tcPr>
          <w:p>
            <w:pPr>
              <w:pStyle w:val="TableParagraph"/>
              <w:spacing w:line="274" w:lineRule="exact"/>
              <w:ind w:right="116"/>
              <w:jc w:val="right"/>
              <w:rPr>
                <w:b/>
                <w:sz w:val="24"/>
              </w:rPr>
            </w:pPr>
            <w:r>
              <w:rPr>
                <w:b/>
                <w:sz w:val="24"/>
              </w:rPr>
              <w:t>Fibra</w:t>
            </w:r>
          </w:p>
        </w:tc>
      </w:tr>
      <w:tr>
        <w:trPr>
          <w:trHeight w:val="360" w:hRule="exact"/>
        </w:trPr>
        <w:tc>
          <w:tcPr>
            <w:tcW w:w="722" w:type="dxa"/>
            <w:tcBorders>
              <w:left w:val="nil"/>
              <w:bottom w:val="nil"/>
              <w:right w:val="nil"/>
            </w:tcBorders>
          </w:tcPr>
          <w:p>
            <w:pPr>
              <w:pStyle w:val="TableParagraph"/>
              <w:spacing w:line="274" w:lineRule="exact"/>
              <w:rPr>
                <w:sz w:val="24"/>
              </w:rPr>
            </w:pPr>
            <w:r>
              <w:rPr>
                <w:w w:val="99"/>
                <w:sz w:val="24"/>
              </w:rPr>
              <w:t>1</w:t>
            </w:r>
          </w:p>
        </w:tc>
        <w:tc>
          <w:tcPr>
            <w:tcW w:w="951" w:type="dxa"/>
            <w:tcBorders>
              <w:left w:val="nil"/>
              <w:bottom w:val="nil"/>
              <w:right w:val="nil"/>
            </w:tcBorders>
          </w:tcPr>
          <w:p>
            <w:pPr>
              <w:pStyle w:val="TableParagraph"/>
              <w:spacing w:line="274" w:lineRule="exact"/>
              <w:ind w:left="108"/>
              <w:jc w:val="left"/>
              <w:rPr>
                <w:sz w:val="24"/>
              </w:rPr>
            </w:pPr>
            <w:r>
              <w:rPr>
                <w:sz w:val="24"/>
              </w:rPr>
              <w:t>2795.5</w:t>
            </w:r>
          </w:p>
        </w:tc>
        <w:tc>
          <w:tcPr>
            <w:tcW w:w="1004" w:type="dxa"/>
            <w:tcBorders>
              <w:left w:val="nil"/>
              <w:bottom w:val="nil"/>
              <w:right w:val="nil"/>
            </w:tcBorders>
          </w:tcPr>
          <w:p>
            <w:pPr>
              <w:pStyle w:val="TableParagraph"/>
              <w:spacing w:line="274" w:lineRule="exact"/>
              <w:ind w:left="88" w:right="88"/>
              <w:rPr>
                <w:sz w:val="24"/>
              </w:rPr>
            </w:pPr>
            <w:r>
              <w:rPr>
                <w:sz w:val="24"/>
              </w:rPr>
              <w:t>506.9</w:t>
            </w:r>
          </w:p>
        </w:tc>
        <w:tc>
          <w:tcPr>
            <w:tcW w:w="818" w:type="dxa"/>
            <w:tcBorders>
              <w:left w:val="nil"/>
              <w:bottom w:val="nil"/>
              <w:right w:val="nil"/>
            </w:tcBorders>
          </w:tcPr>
          <w:p>
            <w:pPr>
              <w:pStyle w:val="TableParagraph"/>
              <w:spacing w:line="274" w:lineRule="exact"/>
              <w:ind w:right="1"/>
              <w:rPr>
                <w:sz w:val="24"/>
              </w:rPr>
            </w:pPr>
            <w:r>
              <w:rPr>
                <w:w w:val="99"/>
                <w:sz w:val="24"/>
              </w:rPr>
              <w:t>0</w:t>
            </w:r>
          </w:p>
        </w:tc>
      </w:tr>
      <w:tr>
        <w:trPr>
          <w:trHeight w:val="414" w:hRule="exact"/>
        </w:trPr>
        <w:tc>
          <w:tcPr>
            <w:tcW w:w="722" w:type="dxa"/>
            <w:tcBorders>
              <w:top w:val="nil"/>
              <w:left w:val="nil"/>
              <w:bottom w:val="nil"/>
              <w:right w:val="nil"/>
            </w:tcBorders>
          </w:tcPr>
          <w:p>
            <w:pPr>
              <w:pStyle w:val="TableParagraph"/>
              <w:spacing w:before="55"/>
              <w:rPr>
                <w:sz w:val="24"/>
              </w:rPr>
            </w:pPr>
            <w:r>
              <w:rPr>
                <w:w w:val="99"/>
                <w:sz w:val="24"/>
              </w:rPr>
              <w:t>2</w:t>
            </w:r>
          </w:p>
        </w:tc>
        <w:tc>
          <w:tcPr>
            <w:tcW w:w="951" w:type="dxa"/>
            <w:tcBorders>
              <w:top w:val="nil"/>
              <w:left w:val="nil"/>
              <w:bottom w:val="nil"/>
              <w:right w:val="nil"/>
            </w:tcBorders>
          </w:tcPr>
          <w:p>
            <w:pPr>
              <w:pStyle w:val="TableParagraph"/>
              <w:spacing w:before="55"/>
              <w:ind w:left="108"/>
              <w:jc w:val="left"/>
              <w:rPr>
                <w:sz w:val="24"/>
              </w:rPr>
            </w:pPr>
            <w:r>
              <w:rPr>
                <w:sz w:val="24"/>
              </w:rPr>
              <w:t>2783.5</w:t>
            </w:r>
          </w:p>
        </w:tc>
        <w:tc>
          <w:tcPr>
            <w:tcW w:w="1004" w:type="dxa"/>
            <w:tcBorders>
              <w:top w:val="nil"/>
              <w:left w:val="nil"/>
              <w:bottom w:val="nil"/>
              <w:right w:val="nil"/>
            </w:tcBorders>
          </w:tcPr>
          <w:p>
            <w:pPr>
              <w:pStyle w:val="TableParagraph"/>
              <w:spacing w:before="55"/>
              <w:ind w:left="88" w:right="88"/>
              <w:rPr>
                <w:sz w:val="24"/>
              </w:rPr>
            </w:pPr>
            <w:r>
              <w:rPr>
                <w:sz w:val="24"/>
              </w:rPr>
              <w:t>506.9</w:t>
            </w:r>
          </w:p>
        </w:tc>
        <w:tc>
          <w:tcPr>
            <w:tcW w:w="818" w:type="dxa"/>
            <w:tcBorders>
              <w:top w:val="nil"/>
              <w:left w:val="nil"/>
              <w:bottom w:val="nil"/>
              <w:right w:val="nil"/>
            </w:tcBorders>
          </w:tcPr>
          <w:p>
            <w:pPr>
              <w:pStyle w:val="TableParagraph"/>
              <w:spacing w:before="55"/>
              <w:ind w:right="174"/>
              <w:jc w:val="right"/>
              <w:rPr>
                <w:sz w:val="24"/>
              </w:rPr>
            </w:pPr>
            <w:r>
              <w:rPr>
                <w:sz w:val="24"/>
              </w:rPr>
              <w:t>4.27</w:t>
            </w:r>
          </w:p>
        </w:tc>
      </w:tr>
      <w:tr>
        <w:trPr>
          <w:trHeight w:val="414" w:hRule="exact"/>
        </w:trPr>
        <w:tc>
          <w:tcPr>
            <w:tcW w:w="722" w:type="dxa"/>
            <w:tcBorders>
              <w:top w:val="nil"/>
              <w:left w:val="nil"/>
              <w:bottom w:val="nil"/>
              <w:right w:val="nil"/>
            </w:tcBorders>
          </w:tcPr>
          <w:p>
            <w:pPr>
              <w:pStyle w:val="TableParagraph"/>
              <w:spacing w:before="57"/>
              <w:rPr>
                <w:sz w:val="24"/>
              </w:rPr>
            </w:pPr>
            <w:r>
              <w:rPr>
                <w:w w:val="99"/>
                <w:sz w:val="24"/>
              </w:rPr>
              <w:t>3</w:t>
            </w:r>
          </w:p>
        </w:tc>
        <w:tc>
          <w:tcPr>
            <w:tcW w:w="951" w:type="dxa"/>
            <w:tcBorders>
              <w:top w:val="nil"/>
              <w:left w:val="nil"/>
              <w:bottom w:val="nil"/>
              <w:right w:val="nil"/>
            </w:tcBorders>
          </w:tcPr>
          <w:p>
            <w:pPr>
              <w:pStyle w:val="TableParagraph"/>
              <w:spacing w:before="57"/>
              <w:ind w:left="108"/>
              <w:jc w:val="left"/>
              <w:rPr>
                <w:sz w:val="24"/>
              </w:rPr>
            </w:pPr>
            <w:r>
              <w:rPr>
                <w:sz w:val="24"/>
              </w:rPr>
              <w:t>2771.6</w:t>
            </w:r>
          </w:p>
        </w:tc>
        <w:tc>
          <w:tcPr>
            <w:tcW w:w="1004" w:type="dxa"/>
            <w:tcBorders>
              <w:top w:val="nil"/>
              <w:left w:val="nil"/>
              <w:bottom w:val="nil"/>
              <w:right w:val="nil"/>
            </w:tcBorders>
          </w:tcPr>
          <w:p>
            <w:pPr>
              <w:pStyle w:val="TableParagraph"/>
              <w:spacing w:before="57"/>
              <w:ind w:left="88" w:right="88"/>
              <w:rPr>
                <w:sz w:val="24"/>
              </w:rPr>
            </w:pPr>
            <w:r>
              <w:rPr>
                <w:sz w:val="24"/>
              </w:rPr>
              <w:t>506.9</w:t>
            </w:r>
          </w:p>
        </w:tc>
        <w:tc>
          <w:tcPr>
            <w:tcW w:w="818" w:type="dxa"/>
            <w:tcBorders>
              <w:top w:val="nil"/>
              <w:left w:val="nil"/>
              <w:bottom w:val="nil"/>
              <w:right w:val="nil"/>
            </w:tcBorders>
          </w:tcPr>
          <w:p>
            <w:pPr>
              <w:pStyle w:val="TableParagraph"/>
              <w:spacing w:before="57"/>
              <w:ind w:right="174"/>
              <w:jc w:val="right"/>
              <w:rPr>
                <w:sz w:val="24"/>
              </w:rPr>
            </w:pPr>
            <w:r>
              <w:rPr>
                <w:sz w:val="24"/>
              </w:rPr>
              <w:t>8.53</w:t>
            </w:r>
          </w:p>
        </w:tc>
      </w:tr>
      <w:tr>
        <w:trPr>
          <w:trHeight w:val="414" w:hRule="exact"/>
        </w:trPr>
        <w:tc>
          <w:tcPr>
            <w:tcW w:w="722" w:type="dxa"/>
            <w:tcBorders>
              <w:top w:val="nil"/>
              <w:left w:val="nil"/>
              <w:bottom w:val="nil"/>
              <w:right w:val="nil"/>
            </w:tcBorders>
          </w:tcPr>
          <w:p>
            <w:pPr>
              <w:pStyle w:val="TableParagraph"/>
              <w:spacing w:before="55"/>
              <w:rPr>
                <w:sz w:val="24"/>
              </w:rPr>
            </w:pPr>
            <w:r>
              <w:rPr>
                <w:w w:val="99"/>
                <w:sz w:val="24"/>
              </w:rPr>
              <w:t>4</w:t>
            </w:r>
          </w:p>
        </w:tc>
        <w:tc>
          <w:tcPr>
            <w:tcW w:w="951" w:type="dxa"/>
            <w:tcBorders>
              <w:top w:val="nil"/>
              <w:left w:val="nil"/>
              <w:bottom w:val="nil"/>
              <w:right w:val="nil"/>
            </w:tcBorders>
          </w:tcPr>
          <w:p>
            <w:pPr>
              <w:pStyle w:val="TableParagraph"/>
              <w:spacing w:before="55"/>
              <w:ind w:left="108"/>
              <w:jc w:val="left"/>
              <w:rPr>
                <w:sz w:val="24"/>
              </w:rPr>
            </w:pPr>
            <w:r>
              <w:rPr>
                <w:sz w:val="24"/>
              </w:rPr>
              <w:t>2759.6</w:t>
            </w:r>
          </w:p>
        </w:tc>
        <w:tc>
          <w:tcPr>
            <w:tcW w:w="1004" w:type="dxa"/>
            <w:tcBorders>
              <w:top w:val="nil"/>
              <w:left w:val="nil"/>
              <w:bottom w:val="nil"/>
              <w:right w:val="nil"/>
            </w:tcBorders>
          </w:tcPr>
          <w:p>
            <w:pPr>
              <w:pStyle w:val="TableParagraph"/>
              <w:spacing w:before="55"/>
              <w:ind w:left="88" w:right="88"/>
              <w:rPr>
                <w:sz w:val="24"/>
              </w:rPr>
            </w:pPr>
            <w:r>
              <w:rPr>
                <w:sz w:val="24"/>
              </w:rPr>
              <w:t>506.9</w:t>
            </w:r>
          </w:p>
        </w:tc>
        <w:tc>
          <w:tcPr>
            <w:tcW w:w="818" w:type="dxa"/>
            <w:tcBorders>
              <w:top w:val="nil"/>
              <w:left w:val="nil"/>
              <w:bottom w:val="nil"/>
              <w:right w:val="nil"/>
            </w:tcBorders>
          </w:tcPr>
          <w:p>
            <w:pPr>
              <w:pStyle w:val="TableParagraph"/>
              <w:spacing w:before="55"/>
              <w:ind w:right="106"/>
              <w:jc w:val="right"/>
              <w:rPr>
                <w:sz w:val="24"/>
              </w:rPr>
            </w:pPr>
            <w:r>
              <w:rPr>
                <w:sz w:val="24"/>
              </w:rPr>
              <w:t>12.80</w:t>
            </w:r>
          </w:p>
        </w:tc>
      </w:tr>
      <w:tr>
        <w:trPr>
          <w:trHeight w:val="476" w:hRule="exact"/>
        </w:trPr>
        <w:tc>
          <w:tcPr>
            <w:tcW w:w="722" w:type="dxa"/>
            <w:tcBorders>
              <w:top w:val="nil"/>
              <w:left w:val="nil"/>
              <w:right w:val="nil"/>
            </w:tcBorders>
          </w:tcPr>
          <w:p>
            <w:pPr>
              <w:pStyle w:val="TableParagraph"/>
              <w:spacing w:before="57"/>
              <w:rPr>
                <w:sz w:val="24"/>
              </w:rPr>
            </w:pPr>
            <w:r>
              <w:rPr>
                <w:w w:val="99"/>
                <w:sz w:val="24"/>
              </w:rPr>
              <w:t>5</w:t>
            </w:r>
          </w:p>
        </w:tc>
        <w:tc>
          <w:tcPr>
            <w:tcW w:w="951" w:type="dxa"/>
            <w:tcBorders>
              <w:top w:val="nil"/>
              <w:left w:val="nil"/>
              <w:right w:val="nil"/>
            </w:tcBorders>
          </w:tcPr>
          <w:p>
            <w:pPr>
              <w:pStyle w:val="TableParagraph"/>
              <w:spacing w:before="57"/>
              <w:ind w:left="108"/>
              <w:jc w:val="left"/>
              <w:rPr>
                <w:sz w:val="24"/>
              </w:rPr>
            </w:pPr>
            <w:r>
              <w:rPr>
                <w:sz w:val="24"/>
              </w:rPr>
              <w:t>2747.6</w:t>
            </w:r>
          </w:p>
        </w:tc>
        <w:tc>
          <w:tcPr>
            <w:tcW w:w="1004" w:type="dxa"/>
            <w:tcBorders>
              <w:top w:val="nil"/>
              <w:left w:val="nil"/>
              <w:right w:val="nil"/>
            </w:tcBorders>
          </w:tcPr>
          <w:p>
            <w:pPr>
              <w:pStyle w:val="TableParagraph"/>
              <w:spacing w:before="57"/>
              <w:ind w:left="88" w:right="88"/>
              <w:rPr>
                <w:sz w:val="24"/>
              </w:rPr>
            </w:pPr>
            <w:r>
              <w:rPr>
                <w:sz w:val="24"/>
              </w:rPr>
              <w:t>506.9</w:t>
            </w:r>
          </w:p>
        </w:tc>
        <w:tc>
          <w:tcPr>
            <w:tcW w:w="818" w:type="dxa"/>
            <w:tcBorders>
              <w:top w:val="nil"/>
              <w:left w:val="nil"/>
              <w:right w:val="nil"/>
            </w:tcBorders>
          </w:tcPr>
          <w:p>
            <w:pPr>
              <w:pStyle w:val="TableParagraph"/>
              <w:spacing w:before="57"/>
              <w:ind w:right="107"/>
              <w:jc w:val="right"/>
              <w:rPr>
                <w:sz w:val="24"/>
              </w:rPr>
            </w:pPr>
            <w:r>
              <w:rPr>
                <w:sz w:val="24"/>
              </w:rPr>
              <w:t>17.07</w:t>
            </w:r>
          </w:p>
        </w:tc>
      </w:tr>
    </w:tbl>
    <w:p>
      <w:pPr>
        <w:pStyle w:val="BodyText"/>
        <w:rPr>
          <w:sz w:val="20"/>
        </w:rPr>
      </w:pPr>
    </w:p>
    <w:p>
      <w:pPr>
        <w:pStyle w:val="BodyText"/>
        <w:rPr>
          <w:sz w:val="20"/>
        </w:rPr>
      </w:pPr>
    </w:p>
    <w:p>
      <w:pPr>
        <w:pStyle w:val="BodyText"/>
        <w:spacing w:before="11"/>
        <w:rPr>
          <w:sz w:val="19"/>
        </w:rPr>
      </w:pPr>
    </w:p>
    <w:p>
      <w:pPr>
        <w:pStyle w:val="Heading2"/>
        <w:numPr>
          <w:ilvl w:val="1"/>
          <w:numId w:val="9"/>
        </w:numPr>
        <w:tabs>
          <w:tab w:pos="505" w:val="left" w:leader="none"/>
        </w:tabs>
        <w:spacing w:line="240" w:lineRule="auto" w:before="0" w:after="0"/>
        <w:ind w:left="504" w:right="0" w:hanging="402"/>
        <w:jc w:val="left"/>
      </w:pPr>
      <w:bookmarkStart w:name="_bookmark28" w:id="41"/>
      <w:bookmarkEnd w:id="41"/>
      <w:r>
        <w:rPr>
          <w:b w:val="0"/>
        </w:rPr>
      </w:r>
      <w:bookmarkStart w:name="_bookmark28" w:id="42"/>
      <w:bookmarkEnd w:id="42"/>
      <w:r>
        <w:rPr/>
        <w:t>P</w:t>
      </w:r>
      <w:r>
        <w:rPr/>
        <w:t>rocedimiento</w:t>
      </w:r>
      <w:r>
        <w:rPr>
          <w:spacing w:val="-7"/>
        </w:rPr>
        <w:t> </w:t>
      </w:r>
      <w:r>
        <w:rPr/>
        <w:t>Experimental</w:t>
      </w:r>
    </w:p>
    <w:p>
      <w:pPr>
        <w:pStyle w:val="BodyText"/>
        <w:tabs>
          <w:tab w:pos="629" w:val="left" w:leader="none"/>
          <w:tab w:pos="1048" w:val="left" w:leader="none"/>
          <w:tab w:pos="2243" w:val="left" w:leader="none"/>
          <w:tab w:pos="3475" w:val="left" w:leader="none"/>
          <w:tab w:pos="3973" w:val="left" w:leader="none"/>
          <w:tab w:pos="5045" w:val="left" w:leader="none"/>
          <w:tab w:pos="5532" w:val="left" w:leader="none"/>
          <w:tab w:pos="6767" w:val="left" w:leader="none"/>
          <w:tab w:pos="7304" w:val="left" w:leader="none"/>
        </w:tabs>
        <w:spacing w:line="360" w:lineRule="auto" w:before="137"/>
        <w:ind w:left="102" w:right="125"/>
      </w:pPr>
      <w:r>
        <w:rPr/>
        <w:t>En</w:t>
        <w:tab/>
        <w:t>el</w:t>
        <w:tab/>
        <w:t>siguiente</w:t>
        <w:tab/>
        <w:t>diagrama</w:t>
        <w:tab/>
        <w:t>de</w:t>
        <w:tab/>
        <w:t>bloques</w:t>
        <w:tab/>
        <w:t>se</w:t>
        <w:tab/>
        <w:t>muestran</w:t>
        <w:tab/>
        <w:t>los</w:t>
        <w:tab/>
        <w:t>procedimientos experimentales llevados a</w:t>
      </w:r>
      <w:r>
        <w:rPr>
          <w:spacing w:val="-13"/>
        </w:rPr>
        <w:t> </w:t>
      </w:r>
      <w:r>
        <w:rPr/>
        <w:t>cabo:</w:t>
      </w:r>
    </w:p>
    <w:p>
      <w:pPr>
        <w:spacing w:after="0" w:line="360" w:lineRule="auto"/>
        <w:sectPr>
          <w:type w:val="continuous"/>
          <w:pgSz w:w="12240" w:h="15840"/>
          <w:pgMar w:top="1280" w:bottom="280" w:left="1600" w:right="1580"/>
        </w:sectPr>
      </w:pPr>
    </w:p>
    <w:p>
      <w:pPr>
        <w:pStyle w:val="BodyText"/>
        <w:rPr>
          <w:sz w:val="20"/>
        </w:rPr>
      </w:pPr>
      <w:r>
        <w:rPr/>
        <w:drawing>
          <wp:anchor distT="0" distB="0" distL="0" distR="0" allowOverlap="1" layoutInCell="1" locked="0" behindDoc="1" simplePos="0" relativeHeight="268383191">
            <wp:simplePos x="0" y="0"/>
            <wp:positionH relativeFrom="page">
              <wp:posOffset>2771775</wp:posOffset>
            </wp:positionH>
            <wp:positionV relativeFrom="page">
              <wp:posOffset>1501775</wp:posOffset>
            </wp:positionV>
            <wp:extent cx="205739" cy="114300"/>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10" cstate="print"/>
                    <a:stretch>
                      <a:fillRect/>
                    </a:stretch>
                  </pic:blipFill>
                  <pic:spPr>
                    <a:xfrm>
                      <a:off x="0" y="0"/>
                      <a:ext cx="205739" cy="114300"/>
                    </a:xfrm>
                    <a:prstGeom prst="rect">
                      <a:avLst/>
                    </a:prstGeom>
                  </pic:spPr>
                </pic:pic>
              </a:graphicData>
            </a:graphic>
          </wp:anchor>
        </w:drawing>
      </w:r>
      <w:r>
        <w:rPr/>
        <w:drawing>
          <wp:anchor distT="0" distB="0" distL="0" distR="0" allowOverlap="1" layoutInCell="1" locked="0" behindDoc="1" simplePos="0" relativeHeight="268383215">
            <wp:simplePos x="0" y="0"/>
            <wp:positionH relativeFrom="page">
              <wp:posOffset>4742179</wp:posOffset>
            </wp:positionH>
            <wp:positionV relativeFrom="page">
              <wp:posOffset>1463675</wp:posOffset>
            </wp:positionV>
            <wp:extent cx="205740" cy="114300"/>
            <wp:effectExtent l="0" t="0" r="0" b="0"/>
            <wp:wrapNone/>
            <wp:docPr id="11" name="image5.png" descr=""/>
            <wp:cNvGraphicFramePr>
              <a:graphicFrameLocks noChangeAspect="1"/>
            </wp:cNvGraphicFramePr>
            <a:graphic>
              <a:graphicData uri="http://schemas.openxmlformats.org/drawingml/2006/picture">
                <pic:pic>
                  <pic:nvPicPr>
                    <pic:cNvPr id="12" name="image5.png"/>
                    <pic:cNvPicPr/>
                  </pic:nvPicPr>
                  <pic:blipFill>
                    <a:blip r:embed="rId10" cstate="print"/>
                    <a:stretch>
                      <a:fillRect/>
                    </a:stretch>
                  </pic:blipFill>
                  <pic:spPr>
                    <a:xfrm>
                      <a:off x="0" y="0"/>
                      <a:ext cx="205740" cy="114300"/>
                    </a:xfrm>
                    <a:prstGeom prst="rect">
                      <a:avLst/>
                    </a:prstGeom>
                  </pic:spPr>
                </pic:pic>
              </a:graphicData>
            </a:graphic>
          </wp:anchor>
        </w:drawing>
      </w:r>
    </w:p>
    <w:p>
      <w:pPr>
        <w:pStyle w:val="BodyText"/>
        <w:spacing w:before="10"/>
        <w:rPr>
          <w:sz w:val="10"/>
        </w:rPr>
      </w:pPr>
    </w:p>
    <w:p>
      <w:pPr>
        <w:spacing w:line="240" w:lineRule="auto"/>
        <w:ind w:left="113" w:right="0" w:firstLine="0"/>
        <w:rPr>
          <w:sz w:val="20"/>
        </w:rPr>
      </w:pPr>
      <w:r>
        <w:rPr>
          <w:sz w:val="20"/>
        </w:rPr>
        <w:pict>
          <v:group style="width:279.650pt;height:218.05pt;mso-position-horizontal-relative:char;mso-position-vertical-relative:line" coordorigin="0,0" coordsize="5593,4361">
            <v:shape style="position:absolute;left:20;top:20;width:2468;height:1234" coordorigin="20,20" coordsize="2468,1234" path="m20,144l30,96,57,57,96,30,144,20,2364,20,2412,30,2452,57,2478,96,2488,144,2488,1131,2478,1179,2452,1218,2412,1244,2364,1254,144,1254,96,1244,57,1218,30,1179,20,1131,20,144xe" filled="false" stroked="true" strokeweight="2.04pt" strokecolor="#000000">
              <v:path arrowok="t"/>
            </v:shape>
            <v:shape style="position:absolute;left:268;top:1254;width:247;height:926" coordorigin="268,1254" coordsize="247,926" path="m268,1254l268,2180,515,2180e" filled="false" stroked="true" strokeweight="2.04pt" strokecolor="#000000">
              <v:path arrowok="t"/>
            </v:shape>
            <v:shape style="position:absolute;left:513;top:1564;width:1976;height:1234" coordorigin="513,1564" coordsize="1976,1234" path="m2364,1564l636,1564,588,1573,549,1600,522,1639,513,1687,513,2674,522,2722,549,2761,588,2788,636,2797,2364,2797,2412,2788,2452,2761,2478,2722,2488,2674,2488,1687,2478,1639,2452,1600,2412,1573,2364,1564xe" filled="true" fillcolor="#cacaca" stroked="false">
              <v:path arrowok="t"/>
              <v:fill opacity="59110f" type="solid"/>
            </v:shape>
            <v:shape style="position:absolute;left:513;top:1564;width:1976;height:1234" coordorigin="513,1564" coordsize="1976,1234" path="m513,1687l522,1639,549,1600,588,1573,636,1564,2364,1564,2412,1573,2452,1600,2478,1639,2488,1687,2488,2674,2478,2722,2452,2761,2412,2788,2364,2797,636,2797,588,2788,549,2761,522,2722,513,2674,513,1687xe" filled="false" stroked="true" strokeweight="2.04pt" strokecolor="#000000">
              <v:path arrowok="t"/>
            </v:shape>
            <v:shape style="position:absolute;left:268;top:1254;width:247;height:2468" coordorigin="268,1254" coordsize="247,2468" path="m268,1254l268,3722,515,3722e" filled="false" stroked="true" strokeweight="2.04pt" strokecolor="#000000">
              <v:path arrowok="t"/>
            </v:shape>
            <v:shape style="position:absolute;left:513;top:3107;width:1976;height:1234" coordorigin="513,3107" coordsize="1976,1234" path="m2364,3107l636,3107,588,3117,549,3143,522,3182,513,3230,513,4217,522,4265,549,4304,588,4331,636,4341,2364,4341,2412,4331,2452,4304,2478,4265,2488,4217,2488,3230,2478,3182,2452,3143,2412,3117,2364,3107xe" filled="true" fillcolor="#cacaca" stroked="false">
              <v:path arrowok="t"/>
              <v:fill opacity="59110f" type="solid"/>
            </v:shape>
            <v:shape style="position:absolute;left:513;top:3107;width:1976;height:1234" coordorigin="513,3107" coordsize="1976,1234" path="m513,3230l522,3182,549,3143,588,3117,636,3107,2364,3107,2412,3117,2452,3143,2478,3182,2488,3230,2488,4217,2478,4265,2452,4304,2412,4331,2364,4341,636,4341,588,4331,549,4304,522,4265,513,4217,513,3230xe" filled="false" stroked="true" strokeweight="2.04pt" strokecolor="#000000">
              <v:path arrowok="t"/>
            </v:shape>
            <v:shape style="position:absolute;left:3105;top:20;width:2468;height:1234" coordorigin="3105,20" coordsize="2468,1234" path="m3105,144l3114,96,3141,57,3180,30,3228,20,5448,20,5496,30,5536,57,5562,96,5572,144,5572,1131,5562,1179,5536,1218,5496,1244,5448,1254,3228,1254,3180,1244,3141,1218,3114,1179,3105,1131,3105,144xe" filled="false" stroked="true" strokeweight="2.04pt" strokecolor="#000000">
              <v:path arrowok="t"/>
            </v:shape>
            <v:shape style="position:absolute;left:3352;top:1254;width:247;height:926" coordorigin="3352,1254" coordsize="247,926" path="m3352,1254l3352,2180,3599,2180e" filled="false" stroked="true" strokeweight="2.04pt" strokecolor="#000000">
              <v:path arrowok="t"/>
            </v:shape>
            <v:shape style="position:absolute;left:3599;top:1564;width:1973;height:1234" coordorigin="3599,1564" coordsize="1973,1234" path="m5448,1564l3722,1564,3674,1573,3635,1600,3609,1639,3599,1687,3599,2674,3609,2722,3635,2761,3674,2788,3722,2797,5448,2797,5496,2788,5536,2761,5562,2722,5572,2674,5572,1687,5562,1639,5536,1600,5496,1573,5448,1564xe" filled="true" fillcolor="#cacaca" stroked="false">
              <v:path arrowok="t"/>
              <v:fill opacity="59110f" type="solid"/>
            </v:shape>
            <v:shape style="position:absolute;left:3599;top:1564;width:1973;height:1234" coordorigin="3599,1564" coordsize="1973,1234" path="m3599,1687l3609,1639,3635,1600,3674,1573,3722,1564,5448,1564,5496,1573,5536,1600,5562,1639,5572,1687,5572,2674,5562,2722,5536,2761,5496,2788,5448,2797,3722,2797,3674,2788,3635,2761,3609,2722,3599,2674,3599,1687xe" filled="false" stroked="true" strokeweight="2.04pt" strokecolor="#000000">
              <v:path arrowok="t"/>
            </v:shape>
            <v:shape style="position:absolute;left:3352;top:1254;width:247;height:2468" coordorigin="3352,1254" coordsize="247,2468" path="m3352,1254l3352,3722,3599,3722e" filled="false" stroked="true" strokeweight="2.04pt" strokecolor="#000000">
              <v:path arrowok="t"/>
            </v:shape>
            <v:shape style="position:absolute;left:3599;top:3107;width:1973;height:1234" coordorigin="3599,3107" coordsize="1973,1234" path="m5448,3107l3722,3107,3674,3117,3635,3143,3609,3182,3599,3230,3599,4217,3609,4265,3635,4304,3674,4331,3722,4341,5448,4341,5496,4331,5536,4304,5562,4265,5572,4217,5572,3230,5562,3182,5536,3143,5496,3117,5448,3107xe" filled="true" fillcolor="#cacaca" stroked="false">
              <v:path arrowok="t"/>
              <v:fill opacity="59110f" type="solid"/>
            </v:shape>
            <v:shape style="position:absolute;left:3599;top:3107;width:1973;height:1234" coordorigin="3599,3107" coordsize="1973,1234" path="m3599,3230l3609,3182,3635,3143,3674,3117,3722,3107,5448,3107,5496,3117,5536,3143,5562,3182,5572,3230,5572,4217,5562,4265,5536,4304,5496,4331,5448,4341,3722,4341,3674,4331,3635,4304,3609,4265,3599,4217,3599,3230xe" filled="false" stroked="true" strokeweight="2.04pt" strokecolor="#000000">
              <v:path arrowok="t"/>
            </v:shape>
            <v:shape style="position:absolute;left:2546;top:3788;width:976;height:180" coordorigin="2546,3788" coordsize="976,180" path="m2726,3788l2546,3878,2726,3968,2726,3908,2696,3908,2696,3848,2726,3848,2726,3788xm3342,3788l3342,3968,3462,3908,3372,3908,3372,3848,3462,3848,3342,3788xm2726,3848l2696,3848,2696,3908,2726,3908,2726,3848xm3342,3848l2726,3848,2726,3908,3342,3908,3342,3848xm3462,3848l3372,3848,3372,3908,3462,3908,3522,3878,3462,3848xe" filled="true" fillcolor="#5a5a5a" stroked="false">
              <v:path arrowok="t"/>
              <v:fill type="solid"/>
            </v:shape>
            <v:shape style="position:absolute;left:255;top:137;width:1995;height:1023" type="#_x0000_t202" filled="false" stroked="false">
              <v:textbox inset="0,0,0,0">
                <w:txbxContent>
                  <w:p>
                    <w:pPr>
                      <w:spacing w:line="305" w:lineRule="exact" w:before="0"/>
                      <w:ind w:left="0" w:right="0" w:firstLine="0"/>
                      <w:jc w:val="center"/>
                      <w:rPr>
                        <w:rFonts w:ascii="Calibri" w:hAnsi="Calibri"/>
                        <w:sz w:val="32"/>
                      </w:rPr>
                    </w:pPr>
                    <w:r>
                      <w:rPr>
                        <w:rFonts w:ascii="Calibri" w:hAnsi="Calibri"/>
                        <w:sz w:val="32"/>
                      </w:rPr>
                      <w:t>Elaboración</w:t>
                    </w:r>
                    <w:r>
                      <w:rPr>
                        <w:rFonts w:ascii="Calibri" w:hAnsi="Calibri"/>
                        <w:spacing w:val="-17"/>
                        <w:sz w:val="32"/>
                      </w:rPr>
                      <w:t> </w:t>
                    </w:r>
                    <w:r>
                      <w:rPr>
                        <w:rFonts w:ascii="Calibri" w:hAnsi="Calibri"/>
                        <w:sz w:val="32"/>
                      </w:rPr>
                      <w:t>del</w:t>
                    </w:r>
                  </w:p>
                  <w:p>
                    <w:pPr>
                      <w:spacing w:line="352" w:lineRule="exact" w:before="3"/>
                      <w:ind w:left="307" w:right="302" w:firstLine="1"/>
                      <w:jc w:val="center"/>
                      <w:rPr>
                        <w:rFonts w:ascii="Calibri" w:hAnsi="Calibri"/>
                        <w:sz w:val="32"/>
                      </w:rPr>
                    </w:pPr>
                    <w:r>
                      <w:rPr>
                        <w:rFonts w:ascii="Calibri" w:hAnsi="Calibri"/>
                        <w:spacing w:val="-3"/>
                        <w:sz w:val="32"/>
                      </w:rPr>
                      <w:t>concreto </w:t>
                    </w:r>
                    <w:r>
                      <w:rPr>
                        <w:rFonts w:ascii="Calibri" w:hAnsi="Calibri"/>
                        <w:spacing w:val="-1"/>
                        <w:sz w:val="32"/>
                      </w:rPr>
                      <w:t>polimérico</w:t>
                    </w:r>
                  </w:p>
                </w:txbxContent>
              </v:textbox>
              <w10:wrap type="none"/>
            </v:shape>
            <v:shape style="position:absolute;left:3220;top:313;width:2233;height:670" type="#_x0000_t202" filled="false" stroked="false">
              <v:textbox inset="0,0,0,0">
                <w:txbxContent>
                  <w:p>
                    <w:pPr>
                      <w:spacing w:line="305" w:lineRule="exact" w:before="0"/>
                      <w:ind w:left="84" w:right="85" w:firstLine="0"/>
                      <w:jc w:val="center"/>
                      <w:rPr>
                        <w:rFonts w:ascii="Calibri" w:hAnsi="Calibri"/>
                        <w:sz w:val="32"/>
                      </w:rPr>
                    </w:pPr>
                    <w:r>
                      <w:rPr>
                        <w:rFonts w:ascii="Calibri" w:hAnsi="Calibri"/>
                        <w:sz w:val="32"/>
                      </w:rPr>
                      <w:t>Aplicación de</w:t>
                    </w:r>
                    <w:r>
                      <w:rPr>
                        <w:rFonts w:ascii="Calibri" w:hAnsi="Calibri"/>
                        <w:spacing w:val="-11"/>
                        <w:sz w:val="32"/>
                      </w:rPr>
                      <w:t> </w:t>
                    </w:r>
                    <w:r>
                      <w:rPr>
                        <w:rFonts w:ascii="Calibri" w:hAnsi="Calibri"/>
                        <w:sz w:val="32"/>
                      </w:rPr>
                      <w:t>la</w:t>
                    </w:r>
                  </w:p>
                  <w:p>
                    <w:pPr>
                      <w:spacing w:line="364" w:lineRule="exact" w:before="0"/>
                      <w:ind w:left="-1" w:right="0" w:firstLine="0"/>
                      <w:jc w:val="center"/>
                      <w:rPr>
                        <w:rFonts w:ascii="Calibri" w:hAnsi="Calibri"/>
                        <w:sz w:val="32"/>
                      </w:rPr>
                    </w:pPr>
                    <w:r>
                      <w:rPr>
                        <w:rFonts w:ascii="Calibri" w:hAnsi="Calibri"/>
                        <w:sz w:val="32"/>
                      </w:rPr>
                      <w:t>radiación</w:t>
                    </w:r>
                    <w:r>
                      <w:rPr>
                        <w:rFonts w:ascii="Calibri" w:hAnsi="Calibri"/>
                        <w:spacing w:val="-18"/>
                        <w:sz w:val="32"/>
                      </w:rPr>
                      <w:t> </w:t>
                    </w:r>
                    <w:r>
                      <w:rPr>
                        <w:rFonts w:ascii="Calibri" w:hAnsi="Calibri"/>
                        <w:sz w:val="32"/>
                      </w:rPr>
                      <w:t>gamma</w:t>
                    </w:r>
                  </w:p>
                </w:txbxContent>
              </v:textbox>
              <w10:wrap type="none"/>
            </v:shape>
            <v:shape style="position:absolute;left:777;top:2068;width:1447;height:240" type="#_x0000_t202" filled="false" stroked="false">
              <v:textbox inset="0,0,0,0">
                <w:txbxContent>
                  <w:p>
                    <w:pPr>
                      <w:spacing w:line="240" w:lineRule="exact" w:before="0"/>
                      <w:ind w:left="0" w:right="-17" w:firstLine="0"/>
                      <w:jc w:val="left"/>
                      <w:rPr>
                        <w:rFonts w:ascii="Calibri"/>
                        <w:sz w:val="24"/>
                      </w:rPr>
                    </w:pPr>
                    <w:r>
                      <w:rPr>
                        <w:rFonts w:ascii="Calibri"/>
                        <w:sz w:val="24"/>
                      </w:rPr>
                      <w:t>Resina +</w:t>
                    </w:r>
                    <w:r>
                      <w:rPr>
                        <w:rFonts w:ascii="Calibri"/>
                        <w:spacing w:val="-7"/>
                        <w:sz w:val="24"/>
                      </w:rPr>
                      <w:t> </w:t>
                    </w:r>
                    <w:r>
                      <w:rPr>
                        <w:rFonts w:ascii="Calibri"/>
                        <w:sz w:val="24"/>
                      </w:rPr>
                      <w:t>Arena</w:t>
                    </w:r>
                  </w:p>
                </w:txbxContent>
              </v:textbox>
              <w10:wrap type="none"/>
            </v:shape>
            <v:shape style="position:absolute;left:3752;top:1804;width:1668;height:769" type="#_x0000_t202" filled="false" stroked="false">
              <v:textbox inset="0,0,0,0">
                <w:txbxContent>
                  <w:p>
                    <w:pPr>
                      <w:spacing w:line="230" w:lineRule="exact" w:before="0"/>
                      <w:ind w:left="0" w:right="3" w:firstLine="0"/>
                      <w:jc w:val="center"/>
                      <w:rPr>
                        <w:rFonts w:ascii="Calibri"/>
                        <w:sz w:val="24"/>
                      </w:rPr>
                    </w:pPr>
                    <w:r>
                      <w:rPr>
                        <w:rFonts w:ascii="Calibri"/>
                        <w:sz w:val="24"/>
                      </w:rPr>
                      <w:t>Concreto</w:t>
                    </w:r>
                  </w:p>
                  <w:p>
                    <w:pPr>
                      <w:spacing w:line="264" w:lineRule="exact" w:before="0"/>
                      <w:ind w:left="0" w:right="0" w:firstLine="0"/>
                      <w:jc w:val="center"/>
                      <w:rPr>
                        <w:rFonts w:ascii="Calibri" w:hAnsi="Calibri"/>
                        <w:sz w:val="24"/>
                      </w:rPr>
                    </w:pPr>
                    <w:r>
                      <w:rPr>
                        <w:rFonts w:ascii="Calibri" w:hAnsi="Calibri"/>
                        <w:sz w:val="24"/>
                      </w:rPr>
                      <w:t>polimérico a 50</w:t>
                    </w:r>
                    <w:r>
                      <w:rPr>
                        <w:rFonts w:ascii="Calibri" w:hAnsi="Calibri"/>
                        <w:spacing w:val="-11"/>
                        <w:sz w:val="24"/>
                      </w:rPr>
                      <w:t> </w:t>
                    </w:r>
                    <w:r>
                      <w:rPr>
                        <w:rFonts w:ascii="Calibri" w:hAnsi="Calibri"/>
                        <w:sz w:val="24"/>
                      </w:rPr>
                      <w:t>y</w:t>
                    </w:r>
                  </w:p>
                  <w:p>
                    <w:pPr>
                      <w:spacing w:line="274" w:lineRule="exact" w:before="0"/>
                      <w:ind w:left="371" w:right="369" w:firstLine="0"/>
                      <w:jc w:val="center"/>
                      <w:rPr>
                        <w:rFonts w:ascii="Calibri"/>
                        <w:sz w:val="24"/>
                      </w:rPr>
                    </w:pPr>
                    <w:r>
                      <w:rPr>
                        <w:rFonts w:ascii="Calibri"/>
                        <w:sz w:val="24"/>
                      </w:rPr>
                      <w:t>100 kGy</w:t>
                    </w:r>
                  </w:p>
                </w:txbxContent>
              </v:textbox>
              <w10:wrap type="none"/>
            </v:shape>
            <v:shape style="position:absolute;left:803;top:3346;width:1391;height:769" type="#_x0000_t202" filled="false" stroked="false">
              <v:textbox inset="0,0,0,0">
                <w:txbxContent>
                  <w:p>
                    <w:pPr>
                      <w:spacing w:line="230" w:lineRule="exact" w:before="0"/>
                      <w:ind w:left="149" w:right="150" w:firstLine="0"/>
                      <w:jc w:val="center"/>
                      <w:rPr>
                        <w:rFonts w:ascii="Calibri"/>
                        <w:sz w:val="24"/>
                      </w:rPr>
                    </w:pPr>
                    <w:r>
                      <w:rPr>
                        <w:rFonts w:ascii="Calibri"/>
                        <w:sz w:val="24"/>
                      </w:rPr>
                      <w:t>Fibras</w:t>
                    </w:r>
                    <w:r>
                      <w:rPr>
                        <w:rFonts w:ascii="Calibri"/>
                        <w:spacing w:val="-15"/>
                        <w:sz w:val="24"/>
                      </w:rPr>
                      <w:t> </w:t>
                    </w:r>
                    <w:r>
                      <w:rPr>
                        <w:rFonts w:ascii="Calibri"/>
                        <w:sz w:val="24"/>
                      </w:rPr>
                      <w:t>(con</w:t>
                    </w:r>
                  </w:p>
                  <w:p>
                    <w:pPr>
                      <w:spacing w:line="264" w:lineRule="exact" w:before="0"/>
                      <w:ind w:left="-1" w:right="0" w:firstLine="0"/>
                      <w:jc w:val="center"/>
                      <w:rPr>
                        <w:rFonts w:ascii="Calibri" w:hAnsi="Calibri"/>
                        <w:sz w:val="24"/>
                      </w:rPr>
                    </w:pPr>
                    <w:r>
                      <w:rPr>
                        <w:rFonts w:ascii="Calibri" w:hAnsi="Calibri"/>
                        <w:sz w:val="24"/>
                      </w:rPr>
                      <w:t>radiación y</w:t>
                    </w:r>
                    <w:r>
                      <w:rPr>
                        <w:rFonts w:ascii="Calibri" w:hAnsi="Calibri"/>
                        <w:spacing w:val="-11"/>
                        <w:sz w:val="24"/>
                      </w:rPr>
                      <w:t> </w:t>
                    </w:r>
                    <w:r>
                      <w:rPr>
                        <w:rFonts w:ascii="Calibri" w:hAnsi="Calibri"/>
                        <w:sz w:val="24"/>
                      </w:rPr>
                      <w:t>sin</w:t>
                    </w:r>
                  </w:p>
                  <w:p>
                    <w:pPr>
                      <w:spacing w:line="274" w:lineRule="exact" w:before="0"/>
                      <w:ind w:left="149" w:right="147" w:firstLine="0"/>
                      <w:jc w:val="center"/>
                      <w:rPr>
                        <w:rFonts w:ascii="Calibri" w:hAnsi="Calibri"/>
                        <w:sz w:val="24"/>
                      </w:rPr>
                    </w:pPr>
                    <w:r>
                      <w:rPr>
                        <w:rFonts w:ascii="Calibri" w:hAnsi="Calibri"/>
                        <w:sz w:val="24"/>
                      </w:rPr>
                      <w:t>radiación)</w:t>
                    </w:r>
                  </w:p>
                </w:txbxContent>
              </v:textbox>
              <w10:wrap type="none"/>
            </v:shape>
            <v:shape style="position:absolute;left:3771;top:3478;width:1628;height:504" type="#_x0000_t202" filled="false" stroked="false">
              <v:textbox inset="0,0,0,0">
                <w:txbxContent>
                  <w:p>
                    <w:pPr>
                      <w:spacing w:line="230" w:lineRule="exact" w:before="0"/>
                      <w:ind w:left="-1" w:right="0" w:firstLine="0"/>
                      <w:jc w:val="center"/>
                      <w:rPr>
                        <w:rFonts w:ascii="Calibri"/>
                        <w:sz w:val="24"/>
                      </w:rPr>
                    </w:pPr>
                    <w:r>
                      <w:rPr>
                        <w:rFonts w:ascii="Calibri"/>
                        <w:sz w:val="24"/>
                      </w:rPr>
                      <w:t>Fibras a 50 y</w:t>
                    </w:r>
                    <w:r>
                      <w:rPr>
                        <w:rFonts w:ascii="Calibri"/>
                        <w:spacing w:val="-11"/>
                        <w:sz w:val="24"/>
                      </w:rPr>
                      <w:t> </w:t>
                    </w:r>
                    <w:r>
                      <w:rPr>
                        <w:rFonts w:ascii="Calibri"/>
                        <w:sz w:val="24"/>
                      </w:rPr>
                      <w:t>100</w:t>
                    </w:r>
                  </w:p>
                  <w:p>
                    <w:pPr>
                      <w:spacing w:line="274" w:lineRule="exact" w:before="0"/>
                      <w:ind w:left="1" w:right="0" w:firstLine="0"/>
                      <w:jc w:val="center"/>
                      <w:rPr>
                        <w:rFonts w:ascii="Calibri"/>
                        <w:sz w:val="24"/>
                      </w:rPr>
                    </w:pPr>
                    <w:r>
                      <w:rPr>
                        <w:rFonts w:ascii="Calibri"/>
                        <w:sz w:val="24"/>
                      </w:rPr>
                      <w:t>kGy</w:t>
                    </w:r>
                  </w:p>
                </w:txbxContent>
              </v:textbox>
              <w10:wrap type="none"/>
            </v:shape>
          </v:group>
        </w:pict>
      </w:r>
      <w:r>
        <w:rPr>
          <w:sz w:val="20"/>
        </w:rPr>
      </w:r>
      <w:r>
        <w:rPr>
          <w:rFonts w:ascii="Times New Roman"/>
          <w:spacing w:val="130"/>
          <w:sz w:val="20"/>
        </w:rPr>
        <w:t> </w:t>
      </w:r>
      <w:r>
        <w:rPr>
          <w:spacing w:val="130"/>
          <w:sz w:val="20"/>
        </w:rPr>
        <w:pict>
          <v:group style="width:146.25pt;height:218.05pt;mso-position-horizontal-relative:char;mso-position-vertical-relative:line" coordorigin="0,0" coordsize="2925,4361">
            <v:shape style="position:absolute;left:434;top:20;width:2470;height:1234" coordorigin="434,20" coordsize="2470,1234" path="m434,144l444,96,470,57,509,30,557,20,2780,20,2828,30,2867,57,2894,96,2904,144,2904,1131,2894,1179,2867,1218,2828,1244,2780,1254,557,1254,509,1244,470,1218,444,1179,434,1131,434,144xe" filled="false" stroked="true" strokeweight="2.04pt" strokecolor="#000000">
              <v:path arrowok="t"/>
            </v:shape>
            <v:shape style="position:absolute;left:681;top:1254;width:247;height:926" coordorigin="681,1254" coordsize="247,926" path="m681,1254l681,2180,928,2180e" filled="false" stroked="true" strokeweight="2.04pt" strokecolor="#000000">
              <v:path arrowok="t"/>
            </v:shape>
            <v:shape style="position:absolute;left:928;top:1564;width:1976;height:1234" coordorigin="928,1564" coordsize="1976,1234" path="m2780,1564l1052,1564,1004,1573,965,1600,938,1639,928,1687,928,2674,938,2722,965,2761,1004,2788,1052,2797,2780,2797,2828,2788,2867,2761,2894,2722,2904,2674,2904,1687,2894,1639,2867,1600,2828,1573,2780,1564xe" filled="true" fillcolor="#cacaca" stroked="false">
              <v:path arrowok="t"/>
              <v:fill opacity="59110f" type="solid"/>
            </v:shape>
            <v:shape style="position:absolute;left:928;top:1564;width:1976;height:1234" coordorigin="928,1564" coordsize="1976,1234" path="m928,1687l938,1639,965,1600,1004,1573,1052,1564,2780,1564,2828,1573,2867,1600,2894,1639,2904,1687,2904,2674,2894,2722,2867,2761,2828,2788,2780,2797,1052,2797,1004,2788,965,2761,938,2722,928,2674,928,1687xe" filled="false" stroked="true" strokeweight="2.04pt" strokecolor="#000000">
              <v:path arrowok="t"/>
            </v:shape>
            <v:shape style="position:absolute;left:681;top:1254;width:247;height:2468" coordorigin="681,1254" coordsize="247,2468" path="m681,1254l681,3722,928,3722e" filled="false" stroked="true" strokeweight="2.04pt" strokecolor="#000000">
              <v:path arrowok="t"/>
            </v:shape>
            <v:shape style="position:absolute;left:928;top:3107;width:1976;height:1234" coordorigin="928,3107" coordsize="1976,1234" path="m2780,3107l1052,3107,1004,3117,965,3143,938,3182,928,3230,928,4217,938,4265,965,4304,1004,4331,1052,4341,2780,4341,2828,4331,2867,4304,2894,4265,2904,4217,2904,3230,2894,3182,2867,3143,2828,3117,2780,3107xe" filled="true" fillcolor="#cacaca" stroked="false">
              <v:path arrowok="t"/>
              <v:fill opacity="59110f" type="solid"/>
            </v:shape>
            <v:shape style="position:absolute;left:928;top:3107;width:1976;height:1234" coordorigin="928,3107" coordsize="1976,1234" path="m928,3230l938,3182,965,3143,1004,3117,1052,3107,2780,3107,2828,3117,2867,3143,2894,3182,2904,3230,2904,4217,2894,4265,2867,4304,2828,4331,2780,4341,1052,4341,1004,4331,965,4304,938,4265,928,4217,928,3230xe" filled="false" stroked="true" strokeweight="2.04pt" strokecolor="#000000">
              <v:path arrowok="t"/>
            </v:shape>
            <v:shape style="position:absolute;left:71;top:1973;width:363;height:180" type="#_x0000_t75" stroked="false">
              <v:imagedata r:id="rId11" o:title=""/>
            </v:shape>
            <v:shape style="position:absolute;left:0;top:3525;width:363;height:180" type="#_x0000_t75" stroked="false">
              <v:imagedata r:id="rId12" o:title=""/>
            </v:shape>
            <v:shape style="position:absolute;left:676;top:488;width:1984;height:320" type="#_x0000_t202" filled="false" stroked="false">
              <v:textbox inset="0,0,0,0">
                <w:txbxContent>
                  <w:p>
                    <w:pPr>
                      <w:spacing w:line="319" w:lineRule="exact" w:before="0"/>
                      <w:ind w:left="0" w:right="0" w:firstLine="0"/>
                      <w:jc w:val="left"/>
                      <w:rPr>
                        <w:rFonts w:ascii="Calibri" w:hAnsi="Calibri"/>
                        <w:sz w:val="32"/>
                      </w:rPr>
                    </w:pPr>
                    <w:r>
                      <w:rPr>
                        <w:rFonts w:ascii="Calibri" w:hAnsi="Calibri"/>
                        <w:w w:val="95"/>
                        <w:sz w:val="32"/>
                      </w:rPr>
                      <w:t>Caracterización</w:t>
                    </w:r>
                  </w:p>
                </w:txbxContent>
              </v:textbox>
              <w10:wrap type="none"/>
            </v:shape>
            <v:shape style="position:absolute;left:1179;top:1672;width:1474;height:1032" type="#_x0000_t202" filled="false" stroked="false">
              <v:textbox inset="0,0,0,0">
                <w:txbxContent>
                  <w:p>
                    <w:pPr>
                      <w:spacing w:line="230" w:lineRule="exact" w:before="0"/>
                      <w:ind w:left="-1" w:right="0" w:firstLine="0"/>
                      <w:jc w:val="center"/>
                      <w:rPr>
                        <w:rFonts w:ascii="Calibri"/>
                        <w:sz w:val="24"/>
                      </w:rPr>
                    </w:pPr>
                    <w:r>
                      <w:rPr>
                        <w:rFonts w:ascii="Calibri"/>
                        <w:sz w:val="24"/>
                      </w:rPr>
                      <w:t>Resistencia a</w:t>
                    </w:r>
                    <w:r>
                      <w:rPr>
                        <w:rFonts w:ascii="Calibri"/>
                        <w:spacing w:val="-15"/>
                        <w:sz w:val="24"/>
                      </w:rPr>
                      <w:t> </w:t>
                    </w:r>
                    <w:r>
                      <w:rPr>
                        <w:rFonts w:ascii="Calibri"/>
                        <w:sz w:val="24"/>
                      </w:rPr>
                      <w:t>la</w:t>
                    </w:r>
                  </w:p>
                  <w:p>
                    <w:pPr>
                      <w:spacing w:line="264" w:lineRule="exact" w:before="3"/>
                      <w:ind w:left="23" w:right="19" w:hanging="3"/>
                      <w:jc w:val="center"/>
                      <w:rPr>
                        <w:rFonts w:ascii="Calibri" w:hAnsi="Calibri"/>
                        <w:sz w:val="24"/>
                      </w:rPr>
                    </w:pPr>
                    <w:r>
                      <w:rPr>
                        <w:rFonts w:ascii="Calibri" w:hAnsi="Calibri"/>
                        <w:sz w:val="24"/>
                      </w:rPr>
                      <w:t>compresión y resistencia a</w:t>
                    </w:r>
                    <w:r>
                      <w:rPr>
                        <w:rFonts w:ascii="Calibri" w:hAnsi="Calibri"/>
                        <w:spacing w:val="-14"/>
                        <w:sz w:val="24"/>
                      </w:rPr>
                      <w:t> </w:t>
                    </w:r>
                    <w:r>
                      <w:rPr>
                        <w:rFonts w:ascii="Calibri" w:hAnsi="Calibri"/>
                        <w:sz w:val="24"/>
                      </w:rPr>
                      <w:t>la flexión</w:t>
                    </w:r>
                  </w:p>
                </w:txbxContent>
              </v:textbox>
              <w10:wrap type="none"/>
            </v:shape>
            <v:shape style="position:absolute;left:1124;top:3610;width:1585;height:240" type="#_x0000_t202" filled="false" stroked="false">
              <v:textbox inset="0,0,0,0">
                <w:txbxContent>
                  <w:p>
                    <w:pPr>
                      <w:spacing w:line="240" w:lineRule="exact" w:before="0"/>
                      <w:ind w:left="0" w:right="-20" w:firstLine="0"/>
                      <w:jc w:val="left"/>
                      <w:rPr>
                        <w:rFonts w:ascii="Calibri"/>
                        <w:sz w:val="24"/>
                      </w:rPr>
                    </w:pPr>
                    <w:r>
                      <w:rPr>
                        <w:rFonts w:ascii="Calibri"/>
                        <w:sz w:val="24"/>
                      </w:rPr>
                      <w:t>SEM, FTIR y XRD</w:t>
                    </w:r>
                  </w:p>
                </w:txbxContent>
              </v:textbox>
              <w10:wrap type="none"/>
            </v:shape>
          </v:group>
        </w:pict>
      </w:r>
      <w:r>
        <w:rPr>
          <w:spacing w:val="130"/>
          <w:sz w:val="20"/>
        </w:rPr>
      </w:r>
    </w:p>
    <w:p>
      <w:pPr>
        <w:pStyle w:val="BodyText"/>
        <w:rPr>
          <w:sz w:val="20"/>
        </w:rPr>
      </w:pPr>
    </w:p>
    <w:p>
      <w:pPr>
        <w:pStyle w:val="BodyText"/>
        <w:spacing w:before="6"/>
        <w:rPr>
          <w:sz w:val="21"/>
        </w:rPr>
      </w:pPr>
    </w:p>
    <w:p>
      <w:pPr>
        <w:spacing w:before="73"/>
        <w:ind w:left="1424" w:right="0" w:firstLine="0"/>
        <w:jc w:val="left"/>
        <w:rPr>
          <w:sz w:val="22"/>
        </w:rPr>
      </w:pPr>
      <w:bookmarkStart w:name="_bookmark29" w:id="43"/>
      <w:bookmarkEnd w:id="43"/>
      <w:r>
        <w:rPr/>
      </w:r>
      <w:r>
        <w:rPr>
          <w:b/>
          <w:sz w:val="22"/>
        </w:rPr>
        <w:t>Figura 2</w:t>
      </w:r>
      <w:r>
        <w:rPr>
          <w:sz w:val="22"/>
        </w:rPr>
        <w:t>.Diagrama de bloques del procedimiento experimental.</w:t>
      </w:r>
    </w:p>
    <w:p>
      <w:pPr>
        <w:pStyle w:val="BodyText"/>
        <w:rPr>
          <w:sz w:val="22"/>
        </w:rPr>
      </w:pPr>
    </w:p>
    <w:p>
      <w:pPr>
        <w:pStyle w:val="BodyText"/>
        <w:spacing w:before="6"/>
        <w:rPr>
          <w:sz w:val="31"/>
        </w:rPr>
      </w:pPr>
    </w:p>
    <w:p>
      <w:pPr>
        <w:pStyle w:val="BodyText"/>
        <w:spacing w:before="1"/>
        <w:ind w:left="102"/>
        <w:jc w:val="both"/>
      </w:pPr>
      <w:r>
        <w:rPr/>
        <w:t>A continuación se detallan los bloques del diagrama.</w:t>
      </w:r>
    </w:p>
    <w:p>
      <w:pPr>
        <w:pStyle w:val="BodyText"/>
      </w:pPr>
    </w:p>
    <w:p>
      <w:pPr>
        <w:pStyle w:val="BodyText"/>
      </w:pPr>
    </w:p>
    <w:p>
      <w:pPr>
        <w:pStyle w:val="Heading2"/>
        <w:numPr>
          <w:ilvl w:val="2"/>
          <w:numId w:val="9"/>
        </w:numPr>
        <w:tabs>
          <w:tab w:pos="704" w:val="left" w:leader="none"/>
        </w:tabs>
        <w:spacing w:line="240" w:lineRule="auto" w:before="0" w:after="0"/>
        <w:ind w:left="102" w:right="0" w:firstLine="0"/>
        <w:jc w:val="both"/>
      </w:pPr>
      <w:bookmarkStart w:name="_bookmark30" w:id="44"/>
      <w:bookmarkEnd w:id="44"/>
      <w:r>
        <w:rPr>
          <w:b w:val="0"/>
        </w:rPr>
      </w:r>
      <w:bookmarkStart w:name="_bookmark30" w:id="45"/>
      <w:bookmarkEnd w:id="45"/>
      <w:r>
        <w:rPr/>
        <w:t>E</w:t>
      </w:r>
      <w:r>
        <w:rPr/>
        <w:t>laboración del concreto</w:t>
      </w:r>
      <w:r>
        <w:rPr>
          <w:spacing w:val="-9"/>
        </w:rPr>
        <w:t> </w:t>
      </w:r>
      <w:r>
        <w:rPr/>
        <w:t>polimérico</w:t>
      </w:r>
    </w:p>
    <w:p>
      <w:pPr>
        <w:pStyle w:val="BodyText"/>
        <w:rPr>
          <w:b/>
        </w:rPr>
      </w:pPr>
    </w:p>
    <w:p>
      <w:pPr>
        <w:pStyle w:val="BodyText"/>
        <w:rPr>
          <w:b/>
        </w:rPr>
      </w:pPr>
    </w:p>
    <w:p>
      <w:pPr>
        <w:pStyle w:val="BodyText"/>
        <w:spacing w:line="360" w:lineRule="auto"/>
        <w:ind w:left="102" w:right="116"/>
        <w:jc w:val="both"/>
      </w:pPr>
      <w:r>
        <w:rPr/>
        <w:t>Para la elaboración de las probetas de concreto polimérico primero se secó la arena y las fibras en un horno a 60°C durante tres horas para eliminar la humedad; después se pesaron la arena, la resina y las fibras recicladas. Enseguida se mezclaron la arena y las fibras recicladas hasta obtener una distribución homogénea de las fibras, con el fin de evitar que estas se aglomeren.</w:t>
      </w:r>
    </w:p>
    <w:p>
      <w:pPr>
        <w:pStyle w:val="BodyText"/>
      </w:pPr>
    </w:p>
    <w:p>
      <w:pPr>
        <w:pStyle w:val="BodyText"/>
        <w:spacing w:line="360" w:lineRule="auto" w:before="142"/>
        <w:ind w:left="102" w:right="116"/>
        <w:jc w:val="both"/>
      </w:pPr>
      <w:r>
        <w:rPr/>
        <w:t>A la arena con fibras se agrego la resina poliéster y posteriormente el acelerador (octoato de cobre) y el catalizador (peróxido de metiletilcetona, MEKP); hasta obtener una pasta homogénea; finalmente esta mezcla se vertió en moldes y se compactó progresivamente. El tiempo y la temperatura de curado de las probetas fue de 24 horas y 25°C, respectivamente.</w:t>
      </w:r>
    </w:p>
    <w:p>
      <w:pPr>
        <w:spacing w:after="0" w:line="360" w:lineRule="auto"/>
        <w:jc w:val="both"/>
        <w:sectPr>
          <w:pgSz w:w="12240" w:h="15840"/>
          <w:pgMar w:header="0" w:footer="975" w:top="1500" w:bottom="1220" w:left="1600" w:right="1580"/>
        </w:sectPr>
      </w:pPr>
    </w:p>
    <w:p>
      <w:pPr>
        <w:pStyle w:val="BodyText"/>
        <w:spacing w:before="7"/>
        <w:rPr>
          <w:sz w:val="22"/>
        </w:rPr>
      </w:pPr>
    </w:p>
    <w:p>
      <w:pPr>
        <w:pStyle w:val="ListParagraph"/>
        <w:numPr>
          <w:ilvl w:val="2"/>
          <w:numId w:val="9"/>
        </w:numPr>
        <w:tabs>
          <w:tab w:pos="704" w:val="left" w:leader="none"/>
        </w:tabs>
        <w:spacing w:line="360" w:lineRule="auto" w:before="69" w:after="0"/>
        <w:ind w:left="102" w:right="115" w:firstLine="0"/>
        <w:jc w:val="left"/>
        <w:rPr>
          <w:sz w:val="24"/>
        </w:rPr>
      </w:pPr>
      <w:bookmarkStart w:name="_bookmark31" w:id="46"/>
      <w:bookmarkEnd w:id="46"/>
      <w:r>
        <w:rPr/>
      </w:r>
      <w:bookmarkStart w:name="_bookmark31" w:id="47"/>
      <w:bookmarkEnd w:id="47"/>
      <w:r>
        <w:rPr>
          <w:b/>
          <w:sz w:val="24"/>
        </w:rPr>
        <w:t>Ra</w:t>
      </w:r>
      <w:r>
        <w:rPr>
          <w:b/>
          <w:sz w:val="24"/>
        </w:rPr>
        <w:t>diación Gamma de los concretos polimérico y las fibras recicladas </w:t>
      </w:r>
      <w:r>
        <w:rPr>
          <w:spacing w:val="-6"/>
          <w:sz w:val="24"/>
        </w:rPr>
        <w:t>Tanto </w:t>
      </w:r>
      <w:r>
        <w:rPr>
          <w:sz w:val="24"/>
        </w:rPr>
        <w:t>las fibras recicladas como los concretos elaborados con y sin fibras recicladas fueron sometidos a radiación gamma. La irradiación se llevó a cabo en el I</w:t>
      </w:r>
      <w:r>
        <w:rPr>
          <w:color w:val="221F1F"/>
          <w:sz w:val="24"/>
        </w:rPr>
        <w:t>nstituto Nacional de Investigaciones Nucleares (ININ), en un </w:t>
      </w:r>
      <w:r>
        <w:rPr>
          <w:sz w:val="24"/>
        </w:rPr>
        <w:t>irradiador  industrial JS-6500; con una fuente de geometría plana rectangular formada por lápices de cobalto 60</w:t>
      </w:r>
      <w:r>
        <w:rPr>
          <w:spacing w:val="-7"/>
          <w:sz w:val="24"/>
        </w:rPr>
        <w:t> </w:t>
      </w:r>
      <w:r>
        <w:rPr>
          <w:sz w:val="24"/>
        </w:rPr>
        <w:t>(</w:t>
      </w:r>
      <w:r>
        <w:rPr>
          <w:position w:val="8"/>
          <w:sz w:val="16"/>
        </w:rPr>
        <w:t>60</w:t>
      </w:r>
      <w:r>
        <w:rPr>
          <w:sz w:val="24"/>
        </w:rPr>
        <w:t>Co).</w:t>
      </w:r>
    </w:p>
    <w:p>
      <w:pPr>
        <w:pStyle w:val="BodyText"/>
        <w:rPr>
          <w:sz w:val="26"/>
        </w:rPr>
      </w:pPr>
    </w:p>
    <w:p>
      <w:pPr>
        <w:pStyle w:val="BodyText"/>
        <w:rPr>
          <w:sz w:val="26"/>
        </w:rPr>
      </w:pPr>
    </w:p>
    <w:p>
      <w:pPr>
        <w:pStyle w:val="Heading2"/>
        <w:numPr>
          <w:ilvl w:val="1"/>
          <w:numId w:val="10"/>
        </w:numPr>
        <w:tabs>
          <w:tab w:pos="572" w:val="left" w:leader="none"/>
        </w:tabs>
        <w:spacing w:line="240" w:lineRule="auto" w:before="232" w:after="0"/>
        <w:ind w:left="572" w:right="0" w:hanging="470"/>
        <w:jc w:val="both"/>
      </w:pPr>
      <w:bookmarkStart w:name="_bookmark32" w:id="48"/>
      <w:bookmarkEnd w:id="48"/>
      <w:r>
        <w:rPr>
          <w:b w:val="0"/>
        </w:rPr>
      </w:r>
      <w:bookmarkStart w:name="_bookmark32" w:id="49"/>
      <w:bookmarkEnd w:id="49"/>
      <w:r>
        <w:rPr/>
        <w:t>C</w:t>
      </w:r>
      <w:r>
        <w:rPr/>
        <w:t>aracterización del concreto polimérico y las fibras</w:t>
      </w:r>
      <w:r>
        <w:rPr>
          <w:spacing w:val="-28"/>
        </w:rPr>
        <w:t> </w:t>
      </w:r>
      <w:r>
        <w:rPr/>
        <w:t>recicladas</w:t>
      </w:r>
    </w:p>
    <w:p>
      <w:pPr>
        <w:pStyle w:val="BodyText"/>
        <w:spacing w:before="10"/>
        <w:rPr>
          <w:b/>
          <w:sz w:val="35"/>
        </w:rPr>
      </w:pPr>
    </w:p>
    <w:p>
      <w:pPr>
        <w:pStyle w:val="Heading2"/>
        <w:numPr>
          <w:ilvl w:val="2"/>
          <w:numId w:val="10"/>
        </w:numPr>
        <w:tabs>
          <w:tab w:pos="704" w:val="left" w:leader="none"/>
        </w:tabs>
        <w:spacing w:line="240" w:lineRule="auto" w:before="0" w:after="0"/>
        <w:ind w:left="703" w:right="0" w:hanging="601"/>
        <w:jc w:val="both"/>
      </w:pPr>
      <w:bookmarkStart w:name="_bookmark33" w:id="50"/>
      <w:bookmarkEnd w:id="50"/>
      <w:r>
        <w:rPr>
          <w:b w:val="0"/>
        </w:rPr>
      </w:r>
      <w:bookmarkStart w:name="_bookmark33" w:id="51"/>
      <w:bookmarkEnd w:id="51"/>
      <w:r>
        <w:rPr/>
        <w:t>Micro</w:t>
      </w:r>
      <w:r>
        <w:rPr/>
        <w:t>scopía Electrónica de Barrido</w:t>
      </w:r>
      <w:r>
        <w:rPr>
          <w:spacing w:val="-10"/>
        </w:rPr>
        <w:t> </w:t>
      </w:r>
      <w:r>
        <w:rPr/>
        <w:t>(SEM)</w:t>
      </w:r>
    </w:p>
    <w:p>
      <w:pPr>
        <w:pStyle w:val="BodyText"/>
        <w:spacing w:line="360" w:lineRule="auto" w:before="139"/>
        <w:ind w:left="102" w:right="116"/>
        <w:jc w:val="both"/>
      </w:pPr>
      <w:r>
        <w:rPr/>
        <w:t>Las fibras recicladas de llanta fueron observadas en el modo de electrones retrodispersos en un microscopio electrónico de barrido marca JEOL-JSM–5900  </w:t>
      </w:r>
      <w:r>
        <w:rPr>
          <w:spacing w:val="-8"/>
        </w:rPr>
        <w:t>LV </w:t>
      </w:r>
      <w:r>
        <w:rPr/>
        <w:t>localizado en el Centro Conjunto de Investigación en Química Sustentable UAEM-UNAM (CCIQS) de la Universidad Autónoma del Estado de</w:t>
      </w:r>
      <w:r>
        <w:rPr>
          <w:spacing w:val="-33"/>
        </w:rPr>
        <w:t> </w:t>
      </w:r>
      <w:r>
        <w:rPr/>
        <w:t>México.</w:t>
      </w:r>
    </w:p>
    <w:p>
      <w:pPr>
        <w:pStyle w:val="BodyText"/>
      </w:pPr>
    </w:p>
    <w:p>
      <w:pPr>
        <w:pStyle w:val="Heading2"/>
        <w:numPr>
          <w:ilvl w:val="2"/>
          <w:numId w:val="10"/>
        </w:numPr>
        <w:tabs>
          <w:tab w:pos="705" w:val="left" w:leader="none"/>
        </w:tabs>
        <w:spacing w:line="240" w:lineRule="auto" w:before="142" w:after="0"/>
        <w:ind w:left="704" w:right="0" w:hanging="602"/>
        <w:jc w:val="both"/>
      </w:pPr>
      <w:bookmarkStart w:name="_bookmark34" w:id="52"/>
      <w:bookmarkEnd w:id="52"/>
      <w:r>
        <w:rPr>
          <w:b w:val="0"/>
        </w:rPr>
      </w:r>
      <w:bookmarkStart w:name="_bookmark34" w:id="53"/>
      <w:bookmarkEnd w:id="53"/>
      <w:r>
        <w:rPr/>
        <w:t>E</w:t>
      </w:r>
      <w:r>
        <w:rPr/>
        <w:t>spectroscopía Infrarroja</w:t>
      </w:r>
      <w:r>
        <w:rPr>
          <w:spacing w:val="-11"/>
        </w:rPr>
        <w:t> </w:t>
      </w:r>
      <w:r>
        <w:rPr/>
        <w:t>(FTIR)</w:t>
      </w:r>
    </w:p>
    <w:p>
      <w:pPr>
        <w:pStyle w:val="BodyText"/>
        <w:spacing w:line="360" w:lineRule="auto" w:before="139"/>
        <w:ind w:left="102" w:right="113"/>
        <w:jc w:val="both"/>
        <w:rPr>
          <w:b/>
        </w:rPr>
      </w:pPr>
      <w:r>
        <w:rPr/>
        <w:t>El espectro infrarrojo de las fibras recicladas fue obtenido con un espectrofotómetro por Transformada de Fourier marca Nicolet, modelo Avatar 360 en un rango espectral de 4500 a 550 cm</w:t>
      </w:r>
      <w:r>
        <w:rPr>
          <w:position w:val="8"/>
          <w:sz w:val="16"/>
        </w:rPr>
        <w:t>-1</w:t>
      </w:r>
      <w:r>
        <w:rPr/>
        <w:t>. El equipo utilizado está localizado en el Laboratorio de Investigación y Desarrollo de Materiales Avanzados (LIDMA) de la Facultad de Química Campus Rosedal de la</w:t>
      </w:r>
      <w:r>
        <w:rPr>
          <w:spacing w:val="-14"/>
        </w:rPr>
        <w:t> </w:t>
      </w:r>
      <w:r>
        <w:rPr/>
        <w:t>UAEM</w:t>
      </w:r>
      <w:r>
        <w:rPr>
          <w:b/>
        </w:rPr>
        <w:t>.</w:t>
      </w:r>
    </w:p>
    <w:p>
      <w:pPr>
        <w:pStyle w:val="BodyText"/>
        <w:rPr>
          <w:b/>
        </w:rPr>
      </w:pPr>
    </w:p>
    <w:p>
      <w:pPr>
        <w:pStyle w:val="Heading2"/>
        <w:numPr>
          <w:ilvl w:val="2"/>
          <w:numId w:val="10"/>
        </w:numPr>
        <w:tabs>
          <w:tab w:pos="704" w:val="left" w:leader="none"/>
        </w:tabs>
        <w:spacing w:line="240" w:lineRule="auto" w:before="142" w:after="0"/>
        <w:ind w:left="703" w:right="0" w:hanging="601"/>
        <w:jc w:val="both"/>
      </w:pPr>
      <w:bookmarkStart w:name="_bookmark35" w:id="54"/>
      <w:bookmarkEnd w:id="54"/>
      <w:r>
        <w:rPr>
          <w:b w:val="0"/>
        </w:rPr>
      </w:r>
      <w:bookmarkStart w:name="_bookmark35" w:id="55"/>
      <w:bookmarkEnd w:id="55"/>
      <w:r>
        <w:rPr/>
        <w:t>Difra</w:t>
      </w:r>
      <w:r>
        <w:rPr/>
        <w:t>cción de rayos X</w:t>
      </w:r>
      <w:r>
        <w:rPr>
          <w:spacing w:val="-9"/>
        </w:rPr>
        <w:t> </w:t>
      </w:r>
      <w:r>
        <w:rPr/>
        <w:t>(XRD)</w:t>
      </w:r>
    </w:p>
    <w:p>
      <w:pPr>
        <w:pStyle w:val="BodyText"/>
        <w:spacing w:line="360" w:lineRule="auto" w:before="137"/>
        <w:ind w:left="102" w:right="115"/>
        <w:jc w:val="both"/>
      </w:pPr>
      <w:r>
        <w:rPr/>
        <w:t>El patrón de difracción de rayos X de las fibras irradiadas y sin irradiar se obtuvo en un difractómetro marca Bruker D8 Advance localizado en el Centro Conjunto de Investigación en Química Sustentable (CCIQS) de la Universidad Autónoma del Estado de México. La potencia de tubo utilizada fue de 35 </w:t>
      </w:r>
      <w:r>
        <w:rPr>
          <w:spacing w:val="-7"/>
        </w:rPr>
        <w:t>kV, </w:t>
      </w:r>
      <w:r>
        <w:rPr/>
        <w:t>ventana de 10-55°,  y velocidad de</w:t>
      </w:r>
      <w:r>
        <w:rPr>
          <w:spacing w:val="-8"/>
        </w:rPr>
        <w:t> </w:t>
      </w:r>
      <w:r>
        <w:rPr/>
        <w:t>0.5°/min.</w:t>
      </w:r>
    </w:p>
    <w:p>
      <w:pPr>
        <w:spacing w:after="0" w:line="360" w:lineRule="auto"/>
        <w:jc w:val="both"/>
        <w:sectPr>
          <w:pgSz w:w="12240" w:h="15840"/>
          <w:pgMar w:header="0" w:footer="975" w:top="1500" w:bottom="1220" w:left="1600" w:right="1580"/>
        </w:sectPr>
      </w:pPr>
    </w:p>
    <w:p>
      <w:pPr>
        <w:pStyle w:val="Heading2"/>
        <w:numPr>
          <w:ilvl w:val="2"/>
          <w:numId w:val="10"/>
        </w:numPr>
        <w:tabs>
          <w:tab w:pos="704" w:val="left" w:leader="none"/>
        </w:tabs>
        <w:spacing w:line="240" w:lineRule="auto" w:before="54" w:after="0"/>
        <w:ind w:left="703" w:right="0" w:hanging="601"/>
        <w:jc w:val="both"/>
      </w:pPr>
      <w:bookmarkStart w:name="_bookmark36" w:id="56"/>
      <w:bookmarkEnd w:id="56"/>
      <w:r>
        <w:rPr>
          <w:b w:val="0"/>
        </w:rPr>
      </w:r>
      <w:bookmarkStart w:name="_bookmark36" w:id="57"/>
      <w:bookmarkEnd w:id="57"/>
      <w:r>
        <w:rPr/>
        <w:t>Prue</w:t>
      </w:r>
      <w:r>
        <w:rPr/>
        <w:t>ba mecánica de resistencia a la</w:t>
      </w:r>
      <w:r>
        <w:rPr>
          <w:spacing w:val="-17"/>
        </w:rPr>
        <w:t> </w:t>
      </w:r>
      <w:r>
        <w:rPr/>
        <w:t>flexión</w:t>
      </w:r>
    </w:p>
    <w:p>
      <w:pPr>
        <w:pStyle w:val="BodyText"/>
        <w:spacing w:line="360" w:lineRule="auto" w:before="139"/>
        <w:ind w:left="102" w:right="115"/>
        <w:jc w:val="both"/>
      </w:pPr>
      <w:r>
        <w:rPr/>
        <w:t>El equipo empleado para la prueba de flexión fue una Maquina Universal de Pruebas marca Controls</w:t>
      </w:r>
      <w:r>
        <w:rPr>
          <w:position w:val="8"/>
          <w:sz w:val="16"/>
        </w:rPr>
        <w:t>MR </w:t>
      </w:r>
      <w:r>
        <w:rPr/>
        <w:t>localizada en el Laboratorio de Investigación y Desarrollo de Materiales Avanzados (LIDMA) de la Facultad de Química Campus Rosedal de la UAEM. Se llevaron a cabo ensayos de flexión de tres puntos con una distancia entre apoyos de 10 cm. Para un mejor desempeño, las probetas fueron lijadas y sometidas a una carga progresiva hasta su fractura. En la Tabla 12 se resumen las condiciones del ensayo de flexión.</w:t>
      </w:r>
    </w:p>
    <w:p>
      <w:pPr>
        <w:pStyle w:val="BodyText"/>
      </w:pPr>
    </w:p>
    <w:p>
      <w:pPr>
        <w:spacing w:before="139"/>
        <w:ind w:left="2358" w:right="0" w:firstLine="0"/>
        <w:jc w:val="left"/>
        <w:rPr>
          <w:sz w:val="22"/>
        </w:rPr>
      </w:pPr>
      <w:bookmarkStart w:name="_bookmark37" w:id="58"/>
      <w:bookmarkEnd w:id="58"/>
      <w:r>
        <w:rPr/>
      </w:r>
      <w:r>
        <w:rPr>
          <w:b/>
          <w:sz w:val="22"/>
        </w:rPr>
        <w:t>Tabla 12</w:t>
      </w:r>
      <w:r>
        <w:rPr>
          <w:sz w:val="22"/>
        </w:rPr>
        <w:t>. Condiciones del ensayo de flexión</w:t>
      </w:r>
    </w:p>
    <w:p>
      <w:pPr>
        <w:pStyle w:val="BodyText"/>
        <w:spacing w:before="9" w:after="1"/>
        <w:rPr>
          <w:sz w:val="17"/>
        </w:rPr>
      </w:pPr>
    </w:p>
    <w:tbl>
      <w:tblPr>
        <w:tblW w:w="0" w:type="auto"/>
        <w:jc w:val="left"/>
        <w:tblInd w:w="2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17"/>
        <w:gridCol w:w="1072"/>
      </w:tblGrid>
      <w:tr>
        <w:trPr>
          <w:trHeight w:val="422" w:hRule="exact"/>
        </w:trPr>
        <w:tc>
          <w:tcPr>
            <w:tcW w:w="3617" w:type="dxa"/>
            <w:tcBorders>
              <w:left w:val="nil"/>
              <w:right w:val="nil"/>
            </w:tcBorders>
          </w:tcPr>
          <w:p>
            <w:pPr>
              <w:pStyle w:val="TableParagraph"/>
              <w:spacing w:line="274" w:lineRule="exact"/>
              <w:ind w:left="1087"/>
              <w:jc w:val="left"/>
              <w:rPr>
                <w:b/>
                <w:sz w:val="24"/>
              </w:rPr>
            </w:pPr>
            <w:r>
              <w:rPr>
                <w:b/>
                <w:sz w:val="24"/>
              </w:rPr>
              <w:t>Condiciones</w:t>
            </w:r>
          </w:p>
        </w:tc>
        <w:tc>
          <w:tcPr>
            <w:tcW w:w="1072" w:type="dxa"/>
            <w:tcBorders>
              <w:left w:val="nil"/>
              <w:right w:val="nil"/>
            </w:tcBorders>
          </w:tcPr>
          <w:p>
            <w:pPr>
              <w:pStyle w:val="TableParagraph"/>
              <w:spacing w:line="274" w:lineRule="exact"/>
              <w:ind w:left="83" w:right="81"/>
              <w:rPr>
                <w:b/>
                <w:sz w:val="24"/>
              </w:rPr>
            </w:pPr>
            <w:r>
              <w:rPr>
                <w:b/>
                <w:sz w:val="24"/>
              </w:rPr>
              <w:t>Valores</w:t>
            </w:r>
          </w:p>
        </w:tc>
      </w:tr>
      <w:tr>
        <w:trPr>
          <w:trHeight w:val="361" w:hRule="exact"/>
        </w:trPr>
        <w:tc>
          <w:tcPr>
            <w:tcW w:w="3617" w:type="dxa"/>
            <w:tcBorders>
              <w:left w:val="nil"/>
              <w:bottom w:val="nil"/>
              <w:right w:val="nil"/>
            </w:tcBorders>
          </w:tcPr>
          <w:p>
            <w:pPr>
              <w:pStyle w:val="TableParagraph"/>
              <w:spacing w:line="274" w:lineRule="exact"/>
              <w:ind w:left="106"/>
              <w:jc w:val="left"/>
              <w:rPr>
                <w:sz w:val="24"/>
              </w:rPr>
            </w:pPr>
            <w:r>
              <w:rPr>
                <w:sz w:val="24"/>
              </w:rPr>
              <w:t>Velocidad, mm/min</w:t>
            </w:r>
          </w:p>
        </w:tc>
        <w:tc>
          <w:tcPr>
            <w:tcW w:w="1072" w:type="dxa"/>
            <w:tcBorders>
              <w:left w:val="nil"/>
              <w:bottom w:val="nil"/>
              <w:right w:val="nil"/>
            </w:tcBorders>
          </w:tcPr>
          <w:p>
            <w:pPr>
              <w:pStyle w:val="TableParagraph"/>
              <w:spacing w:line="274" w:lineRule="exact"/>
              <w:rPr>
                <w:sz w:val="24"/>
              </w:rPr>
            </w:pPr>
            <w:r>
              <w:rPr>
                <w:w w:val="99"/>
                <w:sz w:val="24"/>
              </w:rPr>
              <w:t>1</w:t>
            </w:r>
          </w:p>
        </w:tc>
      </w:tr>
      <w:tr>
        <w:trPr>
          <w:trHeight w:val="414" w:hRule="exact"/>
        </w:trPr>
        <w:tc>
          <w:tcPr>
            <w:tcW w:w="3617" w:type="dxa"/>
            <w:tcBorders>
              <w:top w:val="nil"/>
              <w:left w:val="nil"/>
              <w:bottom w:val="nil"/>
              <w:right w:val="nil"/>
            </w:tcBorders>
          </w:tcPr>
          <w:p>
            <w:pPr>
              <w:pStyle w:val="TableParagraph"/>
              <w:spacing w:before="57"/>
              <w:ind w:left="106"/>
              <w:jc w:val="left"/>
              <w:rPr>
                <w:sz w:val="24"/>
              </w:rPr>
            </w:pPr>
            <w:r>
              <w:rPr>
                <w:sz w:val="24"/>
              </w:rPr>
              <w:t>Límite superior de fuerza, ton</w:t>
            </w:r>
          </w:p>
        </w:tc>
        <w:tc>
          <w:tcPr>
            <w:tcW w:w="1072" w:type="dxa"/>
            <w:tcBorders>
              <w:top w:val="nil"/>
              <w:left w:val="nil"/>
              <w:bottom w:val="nil"/>
              <w:right w:val="nil"/>
            </w:tcBorders>
          </w:tcPr>
          <w:p>
            <w:pPr>
              <w:pStyle w:val="TableParagraph"/>
              <w:spacing w:before="57"/>
              <w:ind w:left="82" w:right="81"/>
              <w:rPr>
                <w:sz w:val="24"/>
              </w:rPr>
            </w:pPr>
            <w:r>
              <w:rPr>
                <w:sz w:val="24"/>
              </w:rPr>
              <w:t>10</w:t>
            </w:r>
          </w:p>
        </w:tc>
      </w:tr>
      <w:tr>
        <w:trPr>
          <w:trHeight w:val="478" w:hRule="exact"/>
        </w:trPr>
        <w:tc>
          <w:tcPr>
            <w:tcW w:w="3617" w:type="dxa"/>
            <w:tcBorders>
              <w:top w:val="nil"/>
              <w:left w:val="nil"/>
              <w:right w:val="nil"/>
            </w:tcBorders>
          </w:tcPr>
          <w:p>
            <w:pPr>
              <w:pStyle w:val="TableParagraph"/>
              <w:spacing w:before="55"/>
              <w:ind w:left="106"/>
              <w:jc w:val="left"/>
              <w:rPr>
                <w:sz w:val="24"/>
              </w:rPr>
            </w:pPr>
            <w:r>
              <w:rPr>
                <w:sz w:val="24"/>
              </w:rPr>
              <w:t>Límite superior de posición, mm</w:t>
            </w:r>
          </w:p>
        </w:tc>
        <w:tc>
          <w:tcPr>
            <w:tcW w:w="1072" w:type="dxa"/>
            <w:tcBorders>
              <w:top w:val="nil"/>
              <w:left w:val="nil"/>
              <w:right w:val="nil"/>
            </w:tcBorders>
          </w:tcPr>
          <w:p>
            <w:pPr>
              <w:pStyle w:val="TableParagraph"/>
              <w:spacing w:before="55"/>
              <w:ind w:left="82" w:right="81"/>
              <w:rPr>
                <w:sz w:val="24"/>
              </w:rPr>
            </w:pPr>
            <w:r>
              <w:rPr>
                <w:sz w:val="24"/>
              </w:rPr>
              <w:t>20</w:t>
            </w:r>
          </w:p>
        </w:tc>
      </w:tr>
    </w:tbl>
    <w:p>
      <w:pPr>
        <w:pStyle w:val="BodyText"/>
        <w:rPr>
          <w:sz w:val="20"/>
        </w:rPr>
      </w:pPr>
    </w:p>
    <w:p>
      <w:pPr>
        <w:pStyle w:val="BodyText"/>
        <w:rPr>
          <w:sz w:val="20"/>
        </w:rPr>
      </w:pPr>
    </w:p>
    <w:p>
      <w:pPr>
        <w:pStyle w:val="BodyText"/>
        <w:spacing w:before="8"/>
        <w:rPr>
          <w:sz w:val="19"/>
        </w:rPr>
      </w:pPr>
    </w:p>
    <w:p>
      <w:pPr>
        <w:pStyle w:val="Heading2"/>
        <w:numPr>
          <w:ilvl w:val="2"/>
          <w:numId w:val="10"/>
        </w:numPr>
        <w:tabs>
          <w:tab w:pos="704" w:val="left" w:leader="none"/>
        </w:tabs>
        <w:spacing w:line="240" w:lineRule="auto" w:before="0" w:after="0"/>
        <w:ind w:left="703" w:right="0" w:hanging="601"/>
        <w:jc w:val="both"/>
      </w:pPr>
      <w:bookmarkStart w:name="_bookmark38" w:id="59"/>
      <w:bookmarkEnd w:id="59"/>
      <w:r>
        <w:rPr>
          <w:b w:val="0"/>
        </w:rPr>
      </w:r>
      <w:bookmarkStart w:name="_bookmark38" w:id="60"/>
      <w:bookmarkEnd w:id="60"/>
      <w:r>
        <w:rPr/>
        <w:t>Prue</w:t>
      </w:r>
      <w:r>
        <w:rPr/>
        <w:t>ba mecánica de resistencia a la</w:t>
      </w:r>
      <w:r>
        <w:rPr>
          <w:spacing w:val="-17"/>
        </w:rPr>
        <w:t> </w:t>
      </w:r>
      <w:r>
        <w:rPr/>
        <w:t>compresión</w:t>
      </w:r>
    </w:p>
    <w:p>
      <w:pPr>
        <w:pStyle w:val="BodyText"/>
        <w:spacing w:line="357" w:lineRule="auto" w:before="139"/>
        <w:ind w:left="102" w:right="114"/>
        <w:jc w:val="both"/>
      </w:pPr>
      <w:r>
        <w:rPr/>
        <w:t>De igual manera que en el ensayo de flexión, la prueba de resistencia a la compresión fue realizada en una Maquina Universal de Pruebas  marca Controls</w:t>
      </w:r>
      <w:r>
        <w:rPr>
          <w:position w:val="8"/>
          <w:sz w:val="16"/>
        </w:rPr>
        <w:t>MR</w:t>
      </w:r>
      <w:r>
        <w:rPr/>
        <w:t>. Se utilizaron las condiciones de ensayo de acuerdo con la Norma </w:t>
      </w:r>
      <w:r>
        <w:rPr>
          <w:spacing w:val="3"/>
        </w:rPr>
        <w:t>EN- </w:t>
      </w:r>
      <w:r>
        <w:rPr/>
        <w:t>196-1 que se muestran en la </w:t>
      </w:r>
      <w:r>
        <w:rPr>
          <w:spacing w:val="-6"/>
        </w:rPr>
        <w:t>Tabla</w:t>
      </w:r>
      <w:r>
        <w:rPr>
          <w:spacing w:val="-15"/>
        </w:rPr>
        <w:t> </w:t>
      </w:r>
      <w:r>
        <w:rPr/>
        <w:t>13.</w:t>
      </w:r>
    </w:p>
    <w:p>
      <w:pPr>
        <w:pStyle w:val="BodyText"/>
      </w:pPr>
    </w:p>
    <w:p>
      <w:pPr>
        <w:spacing w:before="142"/>
        <w:ind w:left="2106" w:right="0" w:firstLine="0"/>
        <w:jc w:val="left"/>
        <w:rPr>
          <w:sz w:val="22"/>
        </w:rPr>
      </w:pPr>
      <w:bookmarkStart w:name="_bookmark39" w:id="61"/>
      <w:bookmarkEnd w:id="61"/>
      <w:r>
        <w:rPr/>
      </w:r>
      <w:r>
        <w:rPr>
          <w:b/>
          <w:sz w:val="22"/>
        </w:rPr>
        <w:t>Tabla 13</w:t>
      </w:r>
      <w:r>
        <w:rPr>
          <w:sz w:val="22"/>
        </w:rPr>
        <w:t>. Condiciones del ensayo de compresión</w:t>
      </w:r>
    </w:p>
    <w:p>
      <w:pPr>
        <w:pStyle w:val="BodyText"/>
        <w:spacing w:before="9" w:after="1"/>
        <w:rPr>
          <w:sz w:val="17"/>
        </w:rPr>
      </w:pPr>
    </w:p>
    <w:tbl>
      <w:tblPr>
        <w:tblW w:w="0" w:type="auto"/>
        <w:jc w:val="left"/>
        <w:tblInd w:w="19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99"/>
        <w:gridCol w:w="1379"/>
      </w:tblGrid>
      <w:tr>
        <w:trPr>
          <w:trHeight w:val="425" w:hRule="exact"/>
        </w:trPr>
        <w:tc>
          <w:tcPr>
            <w:tcW w:w="3799" w:type="dxa"/>
            <w:tcBorders>
              <w:left w:val="nil"/>
              <w:right w:val="nil"/>
            </w:tcBorders>
          </w:tcPr>
          <w:p>
            <w:pPr>
              <w:pStyle w:val="TableParagraph"/>
              <w:spacing w:line="274" w:lineRule="exact"/>
              <w:ind w:left="1207"/>
              <w:jc w:val="left"/>
              <w:rPr>
                <w:b/>
                <w:sz w:val="24"/>
              </w:rPr>
            </w:pPr>
            <w:r>
              <w:rPr>
                <w:b/>
                <w:sz w:val="24"/>
              </w:rPr>
              <w:t>Condiciones</w:t>
            </w:r>
          </w:p>
        </w:tc>
        <w:tc>
          <w:tcPr>
            <w:tcW w:w="1379" w:type="dxa"/>
            <w:tcBorders>
              <w:left w:val="nil"/>
              <w:right w:val="nil"/>
            </w:tcBorders>
          </w:tcPr>
          <w:p>
            <w:pPr>
              <w:pStyle w:val="TableParagraph"/>
              <w:spacing w:line="274" w:lineRule="exact"/>
              <w:ind w:left="263" w:right="208"/>
              <w:rPr>
                <w:b/>
                <w:sz w:val="24"/>
              </w:rPr>
            </w:pPr>
            <w:r>
              <w:rPr>
                <w:b/>
                <w:sz w:val="24"/>
              </w:rPr>
              <w:t>Valores</w:t>
            </w:r>
          </w:p>
        </w:tc>
      </w:tr>
      <w:tr>
        <w:trPr>
          <w:trHeight w:val="360" w:hRule="exact"/>
        </w:trPr>
        <w:tc>
          <w:tcPr>
            <w:tcW w:w="3799" w:type="dxa"/>
            <w:tcBorders>
              <w:left w:val="nil"/>
              <w:bottom w:val="nil"/>
              <w:right w:val="nil"/>
            </w:tcBorders>
          </w:tcPr>
          <w:p>
            <w:pPr>
              <w:pStyle w:val="TableParagraph"/>
              <w:spacing w:line="274" w:lineRule="exact"/>
              <w:ind w:left="108"/>
              <w:jc w:val="left"/>
              <w:rPr>
                <w:sz w:val="24"/>
              </w:rPr>
            </w:pPr>
            <w:r>
              <w:rPr>
                <w:sz w:val="24"/>
              </w:rPr>
              <w:t>Velocidad, mm/min</w:t>
            </w:r>
          </w:p>
        </w:tc>
        <w:tc>
          <w:tcPr>
            <w:tcW w:w="1379" w:type="dxa"/>
            <w:tcBorders>
              <w:left w:val="nil"/>
              <w:bottom w:val="nil"/>
              <w:right w:val="nil"/>
            </w:tcBorders>
          </w:tcPr>
          <w:p>
            <w:pPr>
              <w:pStyle w:val="TableParagraph"/>
              <w:spacing w:line="274" w:lineRule="exact"/>
              <w:ind w:left="260" w:right="208"/>
              <w:rPr>
                <w:sz w:val="24"/>
              </w:rPr>
            </w:pPr>
            <w:r>
              <w:rPr>
                <w:sz w:val="24"/>
              </w:rPr>
              <w:t>1.25</w:t>
            </w:r>
          </w:p>
        </w:tc>
      </w:tr>
      <w:tr>
        <w:trPr>
          <w:trHeight w:val="414" w:hRule="exact"/>
        </w:trPr>
        <w:tc>
          <w:tcPr>
            <w:tcW w:w="3799" w:type="dxa"/>
            <w:tcBorders>
              <w:top w:val="nil"/>
              <w:left w:val="nil"/>
              <w:bottom w:val="nil"/>
              <w:right w:val="nil"/>
            </w:tcBorders>
          </w:tcPr>
          <w:p>
            <w:pPr>
              <w:pStyle w:val="TableParagraph"/>
              <w:spacing w:before="56"/>
              <w:ind w:left="108"/>
              <w:jc w:val="left"/>
              <w:rPr>
                <w:sz w:val="24"/>
              </w:rPr>
            </w:pPr>
            <w:r>
              <w:rPr>
                <w:sz w:val="24"/>
              </w:rPr>
              <w:t>Límite superior de fuerza, ton</w:t>
            </w:r>
          </w:p>
        </w:tc>
        <w:tc>
          <w:tcPr>
            <w:tcW w:w="1379" w:type="dxa"/>
            <w:tcBorders>
              <w:top w:val="nil"/>
              <w:left w:val="nil"/>
              <w:bottom w:val="nil"/>
              <w:right w:val="nil"/>
            </w:tcBorders>
          </w:tcPr>
          <w:p>
            <w:pPr>
              <w:pStyle w:val="TableParagraph"/>
              <w:spacing w:before="56"/>
              <w:ind w:left="261" w:right="208"/>
              <w:rPr>
                <w:sz w:val="24"/>
              </w:rPr>
            </w:pPr>
            <w:r>
              <w:rPr>
                <w:sz w:val="24"/>
              </w:rPr>
              <w:t>25.0</w:t>
            </w:r>
          </w:p>
        </w:tc>
      </w:tr>
      <w:tr>
        <w:trPr>
          <w:trHeight w:val="479" w:hRule="exact"/>
        </w:trPr>
        <w:tc>
          <w:tcPr>
            <w:tcW w:w="3799" w:type="dxa"/>
            <w:tcBorders>
              <w:top w:val="nil"/>
              <w:left w:val="nil"/>
              <w:right w:val="nil"/>
            </w:tcBorders>
          </w:tcPr>
          <w:p>
            <w:pPr>
              <w:pStyle w:val="TableParagraph"/>
              <w:spacing w:before="57"/>
              <w:ind w:left="108"/>
              <w:jc w:val="left"/>
              <w:rPr>
                <w:sz w:val="24"/>
              </w:rPr>
            </w:pPr>
            <w:r>
              <w:rPr>
                <w:sz w:val="24"/>
              </w:rPr>
              <w:t>Límite superior de posición, mm</w:t>
            </w:r>
          </w:p>
        </w:tc>
        <w:tc>
          <w:tcPr>
            <w:tcW w:w="1379" w:type="dxa"/>
            <w:tcBorders>
              <w:top w:val="nil"/>
              <w:left w:val="nil"/>
              <w:right w:val="nil"/>
            </w:tcBorders>
          </w:tcPr>
          <w:p>
            <w:pPr>
              <w:pStyle w:val="TableParagraph"/>
              <w:spacing w:before="57"/>
              <w:ind w:left="261" w:right="208"/>
              <w:rPr>
                <w:sz w:val="24"/>
              </w:rPr>
            </w:pPr>
            <w:r>
              <w:rPr>
                <w:sz w:val="24"/>
              </w:rPr>
              <w:t>20.0</w:t>
            </w:r>
          </w:p>
        </w:tc>
      </w:tr>
    </w:tbl>
    <w:p>
      <w:pPr>
        <w:spacing w:after="0"/>
        <w:rPr>
          <w:sz w:val="24"/>
        </w:rPr>
        <w:sectPr>
          <w:pgSz w:w="12240" w:h="15840"/>
          <w:pgMar w:header="0" w:footer="975" w:top="1360" w:bottom="1220" w:left="1600" w:right="1580"/>
        </w:sectPr>
      </w:pPr>
    </w:p>
    <w:p>
      <w:pPr>
        <w:pStyle w:val="BodyText"/>
        <w:rPr>
          <w:sz w:val="20"/>
        </w:rPr>
      </w:pPr>
    </w:p>
    <w:p>
      <w:pPr>
        <w:pStyle w:val="BodyText"/>
        <w:rPr>
          <w:sz w:val="20"/>
        </w:rPr>
      </w:pPr>
    </w:p>
    <w:p>
      <w:pPr>
        <w:spacing w:before="207"/>
        <w:ind w:left="102" w:right="0" w:firstLine="0"/>
        <w:jc w:val="both"/>
        <w:rPr>
          <w:sz w:val="40"/>
        </w:rPr>
      </w:pPr>
      <w:bookmarkStart w:name="_bookmark40" w:id="62"/>
      <w:bookmarkEnd w:id="62"/>
      <w:r>
        <w:rPr/>
      </w:r>
      <w:r>
        <w:rPr>
          <w:sz w:val="40"/>
        </w:rPr>
        <w:t>CAPÍTULO 3: ANÁLISIS DE RESULTADOS</w:t>
      </w:r>
    </w:p>
    <w:p>
      <w:pPr>
        <w:pStyle w:val="BodyText"/>
        <w:spacing w:before="5"/>
        <w:rPr>
          <w:sz w:val="36"/>
        </w:rPr>
      </w:pPr>
    </w:p>
    <w:p>
      <w:pPr>
        <w:pStyle w:val="Heading2"/>
        <w:numPr>
          <w:ilvl w:val="1"/>
          <w:numId w:val="11"/>
        </w:numPr>
        <w:tabs>
          <w:tab w:pos="506" w:val="left" w:leader="none"/>
        </w:tabs>
        <w:spacing w:line="240" w:lineRule="auto" w:before="0" w:after="0"/>
        <w:ind w:left="505" w:right="0" w:hanging="403"/>
        <w:jc w:val="both"/>
      </w:pPr>
      <w:bookmarkStart w:name="_bookmark41" w:id="63"/>
      <w:bookmarkEnd w:id="63"/>
      <w:r>
        <w:rPr>
          <w:b w:val="0"/>
        </w:rPr>
      </w:r>
      <w:bookmarkStart w:name="_bookmark41" w:id="64"/>
      <w:bookmarkEnd w:id="64"/>
      <w:r>
        <w:rPr/>
        <w:t>P</w:t>
      </w:r>
      <w:r>
        <w:rPr/>
        <w:t>ropiedades mecánicas del concreto</w:t>
      </w:r>
      <w:r>
        <w:rPr>
          <w:spacing w:val="-13"/>
        </w:rPr>
        <w:t> </w:t>
      </w:r>
      <w:r>
        <w:rPr/>
        <w:t>polimérico</w:t>
      </w:r>
    </w:p>
    <w:p>
      <w:pPr>
        <w:pStyle w:val="BodyText"/>
        <w:rPr>
          <w:b/>
        </w:rPr>
      </w:pPr>
    </w:p>
    <w:p>
      <w:pPr>
        <w:pStyle w:val="BodyText"/>
        <w:rPr>
          <w:b/>
        </w:rPr>
      </w:pPr>
    </w:p>
    <w:p>
      <w:pPr>
        <w:pStyle w:val="BodyText"/>
        <w:spacing w:line="360" w:lineRule="auto"/>
        <w:ind w:left="102" w:right="115"/>
        <w:jc w:val="both"/>
      </w:pPr>
      <w:r>
        <w:rPr/>
        <w:t>A continuación se analizan los resultados de las pruebas mecánicas realizadas a los cuatro tipos de concretos poliméricos elaborados: a) control (sin fibras); b) con fibras; c) con fibras irradiadas, y d) con fibras e irradiado directamente. A los cuales se les ha nombrado como </w:t>
      </w:r>
      <w:r>
        <w:rPr>
          <w:spacing w:val="-3"/>
        </w:rPr>
        <w:t>Tipo </w:t>
      </w:r>
      <w:r>
        <w:rPr/>
        <w:t>I, II, III y </w:t>
      </w:r>
      <w:r>
        <w:rPr>
          <w:spacing w:val="-7"/>
        </w:rPr>
        <w:t>IV,</w:t>
      </w:r>
      <w:r>
        <w:rPr>
          <w:spacing w:val="-21"/>
        </w:rPr>
        <w:t> </w:t>
      </w:r>
      <w:r>
        <w:rPr/>
        <w:t>respectivamente.</w:t>
      </w:r>
    </w:p>
    <w:p>
      <w:pPr>
        <w:pStyle w:val="ListParagraph"/>
        <w:numPr>
          <w:ilvl w:val="2"/>
          <w:numId w:val="11"/>
        </w:numPr>
        <w:tabs>
          <w:tab w:pos="705" w:val="left" w:leader="none"/>
        </w:tabs>
        <w:spacing w:line="240" w:lineRule="auto" w:before="202" w:after="0"/>
        <w:ind w:left="704" w:right="0" w:hanging="602"/>
        <w:jc w:val="both"/>
        <w:rPr>
          <w:b/>
          <w:i/>
          <w:sz w:val="24"/>
        </w:rPr>
      </w:pPr>
      <w:bookmarkStart w:name="_bookmark42" w:id="65"/>
      <w:bookmarkEnd w:id="65"/>
      <w:r>
        <w:rPr/>
      </w:r>
      <w:bookmarkStart w:name="_bookmark42" w:id="66"/>
      <w:bookmarkEnd w:id="66"/>
      <w:r>
        <w:rPr>
          <w:b/>
          <w:i/>
          <w:sz w:val="24"/>
        </w:rPr>
        <w:t>Re</w:t>
      </w:r>
      <w:r>
        <w:rPr>
          <w:b/>
          <w:i/>
          <w:sz w:val="24"/>
        </w:rPr>
        <w:t>sistencia a la</w:t>
      </w:r>
      <w:r>
        <w:rPr>
          <w:b/>
          <w:i/>
          <w:spacing w:val="-6"/>
          <w:sz w:val="24"/>
        </w:rPr>
        <w:t> </w:t>
      </w:r>
      <w:r>
        <w:rPr>
          <w:b/>
          <w:i/>
          <w:sz w:val="24"/>
        </w:rPr>
        <w:t>compresión</w:t>
      </w:r>
    </w:p>
    <w:p>
      <w:pPr>
        <w:pStyle w:val="BodyText"/>
        <w:rPr>
          <w:b/>
          <w:i/>
        </w:rPr>
      </w:pPr>
    </w:p>
    <w:p>
      <w:pPr>
        <w:pStyle w:val="BodyText"/>
        <w:spacing w:before="2"/>
        <w:rPr>
          <w:b/>
          <w:i/>
        </w:rPr>
      </w:pPr>
    </w:p>
    <w:p>
      <w:pPr>
        <w:pStyle w:val="BodyText"/>
        <w:spacing w:line="360" w:lineRule="auto"/>
        <w:ind w:left="102" w:right="115"/>
        <w:jc w:val="both"/>
      </w:pPr>
      <w:r>
        <w:rPr/>
        <w:t>En la Figura 3 se observan los resultados de las pruebas de resistencia a la compresión de los diferentes tipos de concreto polimérico, en función de los dos parámetros de estudio: la cantidad de fibra incorporada y la dosis de radiación.</w:t>
      </w:r>
    </w:p>
    <w:p>
      <w:pPr>
        <w:spacing w:after="0" w:line="360" w:lineRule="auto"/>
        <w:jc w:val="both"/>
        <w:sectPr>
          <w:pgSz w:w="12240" w:h="15840"/>
          <w:pgMar w:header="0" w:footer="975" w:top="1500" w:bottom="1220" w:left="1600" w:right="1580"/>
        </w:sectPr>
      </w:pPr>
    </w:p>
    <w:p>
      <w:pPr>
        <w:pStyle w:val="BodyText"/>
        <w:ind w:left="130" w:right="-3"/>
        <w:rPr>
          <w:sz w:val="20"/>
        </w:rPr>
      </w:pPr>
      <w:r>
        <w:rPr>
          <w:sz w:val="20"/>
        </w:rPr>
        <w:drawing>
          <wp:inline distT="0" distB="0" distL="0" distR="0">
            <wp:extent cx="5659484" cy="4350258"/>
            <wp:effectExtent l="0" t="0" r="0" b="0"/>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13" cstate="print"/>
                    <a:stretch>
                      <a:fillRect/>
                    </a:stretch>
                  </pic:blipFill>
                  <pic:spPr>
                    <a:xfrm>
                      <a:off x="0" y="0"/>
                      <a:ext cx="5659484" cy="4350258"/>
                    </a:xfrm>
                    <a:prstGeom prst="rect">
                      <a:avLst/>
                    </a:prstGeom>
                  </pic:spPr>
                </pic:pic>
              </a:graphicData>
            </a:graphic>
          </wp:inline>
        </w:drawing>
      </w:r>
      <w:r>
        <w:rPr>
          <w:sz w:val="20"/>
        </w:rPr>
      </w:r>
    </w:p>
    <w:p>
      <w:pPr>
        <w:pStyle w:val="BodyText"/>
        <w:spacing w:before="2"/>
        <w:rPr>
          <w:sz w:val="6"/>
        </w:rPr>
      </w:pPr>
    </w:p>
    <w:p>
      <w:pPr>
        <w:pStyle w:val="BodyText"/>
        <w:spacing w:before="69"/>
        <w:ind w:left="2091" w:right="514"/>
      </w:pPr>
      <w:bookmarkStart w:name="_bookmark43" w:id="67"/>
      <w:bookmarkEnd w:id="67"/>
      <w:r>
        <w:rPr/>
      </w:r>
      <w:r>
        <w:rPr>
          <w:b/>
        </w:rPr>
        <w:t>Figura 3</w:t>
      </w:r>
      <w:r>
        <w:rPr/>
        <w:t>. Resistencia a la compresión del CP</w:t>
      </w:r>
    </w:p>
    <w:p>
      <w:pPr>
        <w:pStyle w:val="BodyText"/>
      </w:pPr>
    </w:p>
    <w:p>
      <w:pPr>
        <w:pStyle w:val="BodyText"/>
        <w:spacing w:before="2"/>
        <w:rPr>
          <w:sz w:val="29"/>
        </w:rPr>
      </w:pPr>
    </w:p>
    <w:p>
      <w:pPr>
        <w:pStyle w:val="BodyText"/>
        <w:spacing w:line="360" w:lineRule="auto"/>
        <w:ind w:left="102" w:right="134"/>
        <w:jc w:val="both"/>
      </w:pPr>
      <w:r>
        <w:rPr/>
        <w:t>Se puede observar que cada tipo de concreto se comporta de manera diferente. Para los </w:t>
      </w:r>
      <w:r>
        <w:rPr>
          <w:b/>
          <w:i/>
        </w:rPr>
        <w:t>concretos control </w:t>
      </w:r>
      <w:r>
        <w:rPr/>
        <w:t>(Tipo I) se presenta un fenómeno interesante, su valor inicial de 30.1MPa, se incrementa un 25% cuando es irradiado a 50 </w:t>
      </w:r>
      <w:r>
        <w:rPr>
          <w:spacing w:val="-5"/>
        </w:rPr>
        <w:t>kGy, </w:t>
      </w:r>
      <w:r>
        <w:rPr/>
        <w:t>pero al aplicar una dosis mayor (100 kGy) la resistencia disminuye; esto se debe a que la resina primero experimenta entrecruzamiento de las cadenas poliméricas, y por lo tanto se vuelve un material más rígido; posteriormente algunas cadenas se  rompen haciendo que la resina sea más dúctil y por lo tanto disminuya la resistencia a la</w:t>
      </w:r>
      <w:r>
        <w:rPr>
          <w:spacing w:val="-4"/>
        </w:rPr>
        <w:t> </w:t>
      </w:r>
      <w:r>
        <w:rPr/>
        <w:t>compresión.</w:t>
      </w:r>
    </w:p>
    <w:p>
      <w:pPr>
        <w:pStyle w:val="BodyText"/>
      </w:pPr>
    </w:p>
    <w:p>
      <w:pPr>
        <w:pStyle w:val="BodyText"/>
        <w:spacing w:line="360" w:lineRule="auto" w:before="142"/>
        <w:ind w:left="102" w:right="135"/>
        <w:jc w:val="both"/>
      </w:pPr>
      <w:r>
        <w:rPr/>
        <w:t>Para los </w:t>
      </w:r>
      <w:r>
        <w:rPr>
          <w:b/>
          <w:i/>
        </w:rPr>
        <w:t>concretos con fibras </w:t>
      </w:r>
      <w:r>
        <w:rPr/>
        <w:t>(Tipo II) se observa que la resistencia a la compresión depende de la cantidad de fibra añadida. Se observan dos etapas bien definidas;   en   la   primera   la   resistencia   a   la   compresión   disminuye    para</w:t>
      </w:r>
    </w:p>
    <w:p>
      <w:pPr>
        <w:spacing w:after="0" w:line="360" w:lineRule="auto"/>
        <w:jc w:val="both"/>
        <w:sectPr>
          <w:pgSz w:w="12240" w:h="15840"/>
          <w:pgMar w:header="0" w:footer="975" w:top="1420" w:bottom="1220" w:left="1600" w:right="1560"/>
        </w:sectPr>
      </w:pPr>
    </w:p>
    <w:p>
      <w:pPr>
        <w:pStyle w:val="BodyText"/>
        <w:spacing w:line="360" w:lineRule="auto" w:before="54"/>
        <w:ind w:left="102" w:right="115"/>
        <w:jc w:val="both"/>
      </w:pPr>
      <w:r>
        <w:rPr/>
        <w:t>concentraciones de fibra de 0.3 a 0.6%, y posteriormente en una segunda etapa, se va incrementando progresivamente. La disminución en la resistencia se debe a la poca adherencia entre la resina y estas concentraciones de fibras añadidas; sin embargo al incrementarse la cantidad de fibra (1.0% y 1.2%), se generan mayores puntos de contacto con la resina, los cuales promueven mayor adherencia y por ende mayor resistencia. El máximo valor para los CP tipo II se obtuvo al añadir 1.2% de fibra; este valor fue 42.5MPa,que es 41% mayor que el de concreto control (Tipo I).</w:t>
      </w:r>
    </w:p>
    <w:p>
      <w:pPr>
        <w:pStyle w:val="BodyText"/>
      </w:pPr>
    </w:p>
    <w:p>
      <w:pPr>
        <w:pStyle w:val="BodyText"/>
        <w:spacing w:line="360" w:lineRule="auto" w:before="142"/>
        <w:ind w:left="102" w:right="114"/>
        <w:jc w:val="both"/>
      </w:pPr>
      <w:r>
        <w:rPr/>
        <w:t>Para los </w:t>
      </w:r>
      <w:r>
        <w:rPr>
          <w:b/>
          <w:i/>
        </w:rPr>
        <w:t>concretos con fibras irradiadas </w:t>
      </w:r>
      <w:r>
        <w:rPr/>
        <w:t>(Tipo III), al tomar en cuenta la cantidad de fibra añadida, estos disminuyen su resistencia para 0.6% de fibras, pero luego la aumentan para un mayor contenido de fibras. En términos de la dosis de radiación aplicada, los valores de los concretos irradiados a 100 kGy son mayores a los irradiados a 50 kGy; esto se debe a que la fibras presenta mayor deterioro a mayor energía ionizante, primordialmente sobre la superficie, lo que permite mayor adherencia con la resina poliéster, y en consecuencia mayor resistencia. La máxima resistencia, 38 MPa, se obtuvo con 1.2% de fibras irradiadas a 100 KGy; resistencia que es 26% mayor que el valor del concreto control.</w:t>
      </w:r>
    </w:p>
    <w:p>
      <w:pPr>
        <w:pStyle w:val="BodyText"/>
      </w:pPr>
    </w:p>
    <w:p>
      <w:pPr>
        <w:pStyle w:val="BodyText"/>
        <w:spacing w:line="360" w:lineRule="auto" w:before="142"/>
        <w:ind w:left="102" w:right="116"/>
        <w:jc w:val="both"/>
      </w:pPr>
      <w:r>
        <w:rPr/>
        <w:t>Al comparar los valores de los concretos </w:t>
      </w:r>
      <w:r>
        <w:rPr>
          <w:spacing w:val="-3"/>
        </w:rPr>
        <w:t>Tipo </w:t>
      </w:r>
      <w:r>
        <w:rPr/>
        <w:t>II con los </w:t>
      </w:r>
      <w:r>
        <w:rPr>
          <w:spacing w:val="-3"/>
        </w:rPr>
        <w:t>Tipo </w:t>
      </w:r>
      <w:r>
        <w:rPr/>
        <w:t>III, se observa que con solo añadir 1.2% de fibras sin irradiar o irradiadas, se pueden tener valores mayores a los del concreto control; también se observa que los valores para los concretos con fibras irradiadas a 100 kGy son mayores a los de concretos con fibras sin irradiar. Es </w:t>
      </w:r>
      <w:r>
        <w:rPr>
          <w:spacing w:val="-3"/>
        </w:rPr>
        <w:t>decir, </w:t>
      </w:r>
      <w:r>
        <w:rPr/>
        <w:t>la radiación provoca que las fibras mejoren la resistencia a la</w:t>
      </w:r>
      <w:r>
        <w:rPr>
          <w:spacing w:val="-6"/>
        </w:rPr>
        <w:t> </w:t>
      </w:r>
      <w:r>
        <w:rPr/>
        <w:t>compresión.</w:t>
      </w:r>
    </w:p>
    <w:p>
      <w:pPr>
        <w:pStyle w:val="BodyText"/>
      </w:pPr>
    </w:p>
    <w:p>
      <w:pPr>
        <w:pStyle w:val="BodyText"/>
        <w:spacing w:line="360" w:lineRule="auto" w:before="142"/>
        <w:ind w:left="102" w:right="115"/>
        <w:jc w:val="both"/>
      </w:pPr>
      <w:r>
        <w:rPr/>
        <w:t>Para los </w:t>
      </w:r>
      <w:r>
        <w:rPr>
          <w:b/>
          <w:i/>
        </w:rPr>
        <w:t>concretos con fibras e irradiados directamente </w:t>
      </w:r>
      <w:r>
        <w:rPr/>
        <w:t>(Tipo IV), se observan valores mínimos a 0.6% de fibra; pero a mayores cantidades de fibras estos valores aumentan. Tomando en cuenta la dosis de radiación, se observan los mayores valores cuando irradian a 100 kGy; sin embargo, los valores son menores que los concretos en los que solo se añaden fibras irradiadas. Esto se debe a  que</w:t>
      </w:r>
    </w:p>
    <w:p>
      <w:pPr>
        <w:spacing w:after="0" w:line="360" w:lineRule="auto"/>
        <w:jc w:val="both"/>
        <w:sectPr>
          <w:pgSz w:w="12240" w:h="15840"/>
          <w:pgMar w:header="0" w:footer="975" w:top="1360" w:bottom="1220" w:left="1600" w:right="1580"/>
        </w:sectPr>
      </w:pPr>
    </w:p>
    <w:p>
      <w:pPr>
        <w:pStyle w:val="BodyText"/>
        <w:spacing w:line="360" w:lineRule="auto" w:before="54"/>
        <w:ind w:left="102" w:right="118"/>
        <w:jc w:val="both"/>
      </w:pPr>
      <w:r>
        <w:rPr/>
        <w:t>en conjunto tanto la resina poliéster como las fibras sufren cambios al ser irradiadas, presentándose ambos fenómenos a la vez: entrecruzamiento y rompimiento de cadenas entre ambos polímeros, haciendo que el concreto sea más resistente.</w:t>
      </w:r>
    </w:p>
    <w:p>
      <w:pPr>
        <w:pStyle w:val="BodyText"/>
      </w:pPr>
    </w:p>
    <w:p>
      <w:pPr>
        <w:pStyle w:val="BodyText"/>
        <w:spacing w:line="360" w:lineRule="auto" w:before="142"/>
        <w:ind w:left="102" w:right="115"/>
        <w:jc w:val="both"/>
      </w:pPr>
      <w:r>
        <w:rPr/>
        <w:t>Cabe mencionar que en la literatura existen algunas investigaciones sobre el efecto de la adición de reciclados de llanta en el concreto hidráulico, cuyos resultados señalan pérdidas de resistencia a la compresión de hasta el 85%, dependiendo del tamaño y el contenido de elastómero Sin embargo, se  han podido lograr mayor ductilidad y resistencia al impacto </w:t>
      </w:r>
      <w:r>
        <w:rPr>
          <w:spacing w:val="-4"/>
        </w:rPr>
        <w:t>(Yousff, </w:t>
      </w:r>
      <w:r>
        <w:rPr/>
        <w:t>2012). Cabe mencionar que la ductilidad, el coeficiente de amortiguamiento, y la disipación de energía, son los parámetros más importantes en el estudio de estructuras resistentes a los terremotos (Osama Youssf,</w:t>
      </w:r>
      <w:r>
        <w:rPr>
          <w:spacing w:val="-13"/>
        </w:rPr>
        <w:t> </w:t>
      </w:r>
      <w:r>
        <w:rPr/>
        <w:t>2014)</w:t>
      </w:r>
    </w:p>
    <w:p>
      <w:pPr>
        <w:pStyle w:val="BodyText"/>
      </w:pPr>
    </w:p>
    <w:p>
      <w:pPr>
        <w:pStyle w:val="BodyText"/>
        <w:spacing w:before="7"/>
        <w:rPr>
          <w:sz w:val="29"/>
        </w:rPr>
      </w:pPr>
    </w:p>
    <w:p>
      <w:pPr>
        <w:pStyle w:val="Heading2"/>
        <w:numPr>
          <w:ilvl w:val="2"/>
          <w:numId w:val="11"/>
        </w:numPr>
        <w:tabs>
          <w:tab w:pos="705" w:val="left" w:leader="none"/>
        </w:tabs>
        <w:spacing w:line="240" w:lineRule="auto" w:before="0" w:after="0"/>
        <w:ind w:left="704" w:right="0" w:hanging="602"/>
        <w:jc w:val="both"/>
      </w:pPr>
      <w:bookmarkStart w:name="_bookmark44" w:id="68"/>
      <w:bookmarkEnd w:id="68"/>
      <w:r>
        <w:rPr>
          <w:b w:val="0"/>
        </w:rPr>
      </w:r>
      <w:bookmarkStart w:name="_bookmark44" w:id="69"/>
      <w:bookmarkEnd w:id="69"/>
      <w:r>
        <w:rPr/>
        <w:t>Re</w:t>
      </w:r>
      <w:r>
        <w:rPr/>
        <w:t>sistencia a la</w:t>
      </w:r>
      <w:r>
        <w:rPr>
          <w:spacing w:val="-3"/>
        </w:rPr>
        <w:t> </w:t>
      </w:r>
      <w:r>
        <w:rPr/>
        <w:t>Flexión</w:t>
      </w:r>
    </w:p>
    <w:p>
      <w:pPr>
        <w:pStyle w:val="BodyText"/>
        <w:rPr>
          <w:b/>
        </w:rPr>
      </w:pPr>
    </w:p>
    <w:p>
      <w:pPr>
        <w:pStyle w:val="BodyText"/>
        <w:spacing w:line="360" w:lineRule="auto" w:before="139"/>
        <w:ind w:left="102" w:right="115"/>
        <w:jc w:val="both"/>
      </w:pPr>
      <w:r>
        <w:rPr/>
        <w:t>En la Figura 4 se presentan los resultados de la resistencia a la flexión de los diferentes tipos de concreto polimérico elaborados. Estos presentan algunos comportamientos similares a los de la resistencia a la compresión.</w:t>
      </w:r>
    </w:p>
    <w:p>
      <w:pPr>
        <w:pStyle w:val="BodyText"/>
      </w:pPr>
    </w:p>
    <w:p>
      <w:pPr>
        <w:pStyle w:val="BodyText"/>
        <w:spacing w:line="360" w:lineRule="auto" w:before="142"/>
        <w:ind w:left="102" w:right="115"/>
        <w:jc w:val="both"/>
      </w:pPr>
      <w:r>
        <w:rPr/>
        <w:t>El </w:t>
      </w:r>
      <w:r>
        <w:rPr>
          <w:b/>
          <w:i/>
        </w:rPr>
        <w:t>concreto control </w:t>
      </w:r>
      <w:r>
        <w:rPr/>
        <w:t>(Tipo I), presenta una resistencia a la flexión de 10.8 MPa, la cual disminuye conforme se incrementa la dosis de radiación, en 11% y 22% para dosis de 50 y 100 kGy, respectivamente. Este comportamiento puede ser atribuido al entrecruzamiento de cadenas poliméricas y reticulación que sufre la matriz durante la irradiación.</w:t>
      </w:r>
    </w:p>
    <w:p>
      <w:pPr>
        <w:spacing w:after="0" w:line="360" w:lineRule="auto"/>
        <w:jc w:val="both"/>
        <w:sectPr>
          <w:pgSz w:w="12240" w:h="15840"/>
          <w:pgMar w:header="0" w:footer="975" w:top="1360" w:bottom="1220" w:left="1600" w:right="1580"/>
        </w:sectPr>
      </w:pPr>
    </w:p>
    <w:p>
      <w:pPr>
        <w:pStyle w:val="BodyText"/>
        <w:ind w:left="130" w:right="-3"/>
        <w:rPr>
          <w:sz w:val="20"/>
        </w:rPr>
      </w:pPr>
      <w:r>
        <w:rPr>
          <w:sz w:val="20"/>
        </w:rPr>
        <w:drawing>
          <wp:inline distT="0" distB="0" distL="0" distR="0">
            <wp:extent cx="5659484" cy="4350258"/>
            <wp:effectExtent l="0" t="0" r="0" b="0"/>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14" cstate="print"/>
                    <a:stretch>
                      <a:fillRect/>
                    </a:stretch>
                  </pic:blipFill>
                  <pic:spPr>
                    <a:xfrm>
                      <a:off x="0" y="0"/>
                      <a:ext cx="5659484" cy="4350258"/>
                    </a:xfrm>
                    <a:prstGeom prst="rect">
                      <a:avLst/>
                    </a:prstGeom>
                  </pic:spPr>
                </pic:pic>
              </a:graphicData>
            </a:graphic>
          </wp:inline>
        </w:drawing>
      </w:r>
      <w:r>
        <w:rPr>
          <w:sz w:val="20"/>
        </w:rPr>
      </w:r>
    </w:p>
    <w:p>
      <w:pPr>
        <w:pStyle w:val="BodyText"/>
        <w:spacing w:before="78"/>
        <w:ind w:left="1458" w:right="514"/>
      </w:pPr>
      <w:bookmarkStart w:name="_bookmark45" w:id="70"/>
      <w:bookmarkEnd w:id="70"/>
      <w:r>
        <w:rPr/>
      </w:r>
      <w:r>
        <w:rPr>
          <w:b/>
        </w:rPr>
        <w:t>Figura 4. </w:t>
      </w:r>
      <w:r>
        <w:rPr/>
        <w:t>Resistencia a la flexión del concreto polimérico.</w:t>
      </w:r>
    </w:p>
    <w:p>
      <w:pPr>
        <w:pStyle w:val="BodyText"/>
      </w:pPr>
    </w:p>
    <w:p>
      <w:pPr>
        <w:pStyle w:val="BodyText"/>
        <w:spacing w:before="4"/>
        <w:rPr>
          <w:sz w:val="29"/>
        </w:rPr>
      </w:pPr>
    </w:p>
    <w:p>
      <w:pPr>
        <w:pStyle w:val="BodyText"/>
        <w:spacing w:line="360" w:lineRule="auto" w:before="1"/>
        <w:ind w:left="102" w:right="136"/>
        <w:jc w:val="both"/>
      </w:pPr>
      <w:r>
        <w:rPr/>
        <w:t>En el caso de los </w:t>
      </w:r>
      <w:r>
        <w:rPr>
          <w:b/>
          <w:i/>
        </w:rPr>
        <w:t>concreto con fibras </w:t>
      </w:r>
      <w:r>
        <w:rPr>
          <w:spacing w:val="-3"/>
        </w:rPr>
        <w:t>(Tipo </w:t>
      </w:r>
      <w:r>
        <w:rPr/>
        <w:t>II), la resistencia a la flexión presenta dos etapas bien definidas, en la primera los valores disminuyen para el concreto con 0.6%de fibras añadidas, mientras que en la segunda los valores se incrementan para mayores contenidos de fibras, 0.9% y 1.2%. El efecto de la disminución en la resistencia a la flexión (a 0.6% de fibra añadida), es el mismo que ocurre con la resistencia a la compresión; esto es debido a la débil interacción que existe entre la resina poliéster y las fibras .Añadiendo 1.2% de fibras es  posible obtener un mejoramiento del 37%, respecto al concreto</w:t>
      </w:r>
      <w:r>
        <w:rPr>
          <w:spacing w:val="-21"/>
        </w:rPr>
        <w:t> </w:t>
      </w:r>
      <w:r>
        <w:rPr/>
        <w:t>control.</w:t>
      </w:r>
    </w:p>
    <w:p>
      <w:pPr>
        <w:pStyle w:val="BodyText"/>
      </w:pPr>
    </w:p>
    <w:p>
      <w:pPr>
        <w:pStyle w:val="BodyText"/>
        <w:spacing w:line="360" w:lineRule="auto" w:before="142"/>
        <w:ind w:left="102" w:right="137"/>
        <w:jc w:val="both"/>
      </w:pPr>
      <w:r>
        <w:rPr/>
        <w:t>Los </w:t>
      </w:r>
      <w:r>
        <w:rPr>
          <w:b/>
          <w:i/>
        </w:rPr>
        <w:t>concretos con fibras irradiadas </w:t>
      </w:r>
      <w:r>
        <w:rPr>
          <w:spacing w:val="-3"/>
        </w:rPr>
        <w:t>(Tipo </w:t>
      </w:r>
      <w:r>
        <w:rPr/>
        <w:t>III) presentan el mismo comportamiento en los valores: disminuyen para fibra añadida del 6% y después aumentan para contenidos mayores de las mismas. Tienen  mayores valores   </w:t>
      </w:r>
      <w:r>
        <w:rPr>
          <w:spacing w:val="51"/>
        </w:rPr>
        <w:t> </w:t>
      </w:r>
      <w:r>
        <w:rPr/>
        <w:t>los</w:t>
      </w:r>
    </w:p>
    <w:p>
      <w:pPr>
        <w:spacing w:after="0" w:line="360" w:lineRule="auto"/>
        <w:jc w:val="both"/>
        <w:sectPr>
          <w:pgSz w:w="12240" w:h="15840"/>
          <w:pgMar w:header="0" w:footer="975" w:top="1420" w:bottom="1220" w:left="1600" w:right="1560"/>
        </w:sectPr>
      </w:pPr>
    </w:p>
    <w:p>
      <w:pPr>
        <w:pStyle w:val="BodyText"/>
        <w:spacing w:line="360" w:lineRule="auto" w:before="54"/>
        <w:ind w:left="102" w:right="116"/>
        <w:jc w:val="both"/>
      </w:pPr>
      <w:r>
        <w:rPr/>
        <w:t>concretos con fibras irradiadas a 100 kGy, con un máximo incremento del 48% respecto del concreto control. Particularmente, las fibras irradiadas a 100 KGy presentan mayor deterioro y en consecuencia mayor adherencia con la matriz de resina poliéster.</w:t>
      </w:r>
    </w:p>
    <w:p>
      <w:pPr>
        <w:pStyle w:val="BodyText"/>
      </w:pPr>
    </w:p>
    <w:p>
      <w:pPr>
        <w:pStyle w:val="BodyText"/>
        <w:spacing w:line="360" w:lineRule="auto" w:before="142"/>
        <w:ind w:left="102" w:right="112"/>
        <w:jc w:val="both"/>
      </w:pPr>
      <w:r>
        <w:rPr/>
        <w:t>Los </w:t>
      </w:r>
      <w:r>
        <w:rPr>
          <w:b/>
          <w:i/>
        </w:rPr>
        <w:t>concretos con fibras e irradiados directamente </w:t>
      </w:r>
      <w:r>
        <w:rPr>
          <w:spacing w:val="-3"/>
        </w:rPr>
        <w:t>(Tipo </w:t>
      </w:r>
      <w:r>
        <w:rPr/>
        <w:t>IV), presentan dos comportamientos interesantes: a) los valores son menores a los del concreto control, y b) conforme aumenta la dosis de radiación disminuyen los valores. A este respecto mayor dosis de radiación causa mayor entrecruzamiento de  cadenas poliméricas y por lo tanto mayor rigidez del concreto, que al ser sometido a flexión presenta valores menores de</w:t>
      </w:r>
      <w:r>
        <w:rPr>
          <w:spacing w:val="-16"/>
        </w:rPr>
        <w:t> </w:t>
      </w:r>
      <w:r>
        <w:rPr/>
        <w:t>resistencia.</w:t>
      </w:r>
    </w:p>
    <w:p>
      <w:pPr>
        <w:pStyle w:val="BodyText"/>
      </w:pPr>
    </w:p>
    <w:p>
      <w:pPr>
        <w:pStyle w:val="BodyText"/>
      </w:pPr>
    </w:p>
    <w:p>
      <w:pPr>
        <w:pStyle w:val="BodyText"/>
      </w:pPr>
    </w:p>
    <w:p>
      <w:pPr>
        <w:pStyle w:val="Heading2"/>
        <w:numPr>
          <w:ilvl w:val="2"/>
          <w:numId w:val="11"/>
        </w:numPr>
        <w:tabs>
          <w:tab w:pos="705" w:val="left" w:leader="none"/>
        </w:tabs>
        <w:spacing w:line="240" w:lineRule="auto" w:before="204" w:after="0"/>
        <w:ind w:left="704" w:right="0" w:hanging="602"/>
        <w:jc w:val="both"/>
      </w:pPr>
      <w:bookmarkStart w:name="_bookmark46" w:id="71"/>
      <w:bookmarkEnd w:id="71"/>
      <w:r>
        <w:rPr>
          <w:b w:val="0"/>
        </w:rPr>
      </w:r>
      <w:bookmarkStart w:name="_bookmark46" w:id="72"/>
      <w:bookmarkEnd w:id="72"/>
      <w:r>
        <w:rPr/>
        <w:t>M</w:t>
      </w:r>
      <w:r>
        <w:rPr/>
        <w:t>ódulo de</w:t>
      </w:r>
      <w:r>
        <w:rPr>
          <w:spacing w:val="-4"/>
        </w:rPr>
        <w:t> Young</w:t>
      </w:r>
    </w:p>
    <w:p>
      <w:pPr>
        <w:pStyle w:val="BodyText"/>
        <w:rPr>
          <w:b/>
        </w:rPr>
      </w:pPr>
    </w:p>
    <w:p>
      <w:pPr>
        <w:pStyle w:val="BodyText"/>
        <w:spacing w:line="360" w:lineRule="auto"/>
        <w:ind w:left="102" w:right="121"/>
        <w:jc w:val="both"/>
      </w:pPr>
      <w:r>
        <w:rPr/>
        <w:t>En la Figura 5 se presentan los valores del módulo de elasticidad de los diferentes tipos de concreto polimérico, en función de la cantidad de fibra añadida y de la dosis de radiación aplicada.</w:t>
      </w:r>
    </w:p>
    <w:p>
      <w:pPr>
        <w:pStyle w:val="BodyText"/>
      </w:pPr>
    </w:p>
    <w:p>
      <w:pPr>
        <w:pStyle w:val="BodyText"/>
        <w:spacing w:line="360" w:lineRule="auto" w:before="142"/>
        <w:ind w:left="102" w:right="116"/>
        <w:jc w:val="both"/>
      </w:pPr>
      <w:r>
        <w:rPr/>
        <w:t>Para el </w:t>
      </w:r>
      <w:r>
        <w:rPr>
          <w:b/>
          <w:i/>
        </w:rPr>
        <w:t>concreto control </w:t>
      </w:r>
      <w:r>
        <w:rPr/>
        <w:t>(Tipo I), el módulo de Young disminuye conforme se incrementa la dosis de radiación, reduciendo su valor hasta en un 44%. Esta disminución se debe al rompimiento de cadenas poliméricas provocado por la radiación; haciendo del concreto un material más dúctil.</w:t>
      </w:r>
    </w:p>
    <w:p>
      <w:pPr>
        <w:pStyle w:val="BodyText"/>
      </w:pPr>
    </w:p>
    <w:p>
      <w:pPr>
        <w:pStyle w:val="BodyText"/>
        <w:spacing w:line="360" w:lineRule="auto" w:before="142"/>
        <w:ind w:left="102" w:right="113"/>
        <w:jc w:val="both"/>
      </w:pPr>
      <w:r>
        <w:rPr/>
        <w:t>Para los </w:t>
      </w:r>
      <w:r>
        <w:rPr>
          <w:b/>
          <w:i/>
        </w:rPr>
        <w:t>concretos con fibras </w:t>
      </w:r>
      <w:r>
        <w:rPr/>
        <w:t>(Tipo II) se observa que el módulo de </w:t>
      </w:r>
      <w:r>
        <w:rPr>
          <w:spacing w:val="-5"/>
        </w:rPr>
        <w:t>Young </w:t>
      </w:r>
      <w:r>
        <w:rPr/>
        <w:t>disminuye cuando se añade 0.6% de fibras; este tipo de disminución también ocurre en la resistencia a la compresión para este contenido de fibra. Para concentraciones mayores de fibras los valores del módulo de elasticidad aumentan. El valor máximo obtenido es 22% mayor que el del concreto control. Cabe mencionar que con el simple hecho de añadir fibras, se genera un material más duro, es decir de mayor módulo de</w:t>
      </w:r>
      <w:r>
        <w:rPr>
          <w:spacing w:val="-15"/>
        </w:rPr>
        <w:t> </w:t>
      </w:r>
      <w:r>
        <w:rPr/>
        <w:t>elasticidad.</w:t>
      </w:r>
    </w:p>
    <w:p>
      <w:pPr>
        <w:spacing w:after="0" w:line="360" w:lineRule="auto"/>
        <w:jc w:val="both"/>
        <w:sectPr>
          <w:pgSz w:w="12240" w:h="15840"/>
          <w:pgMar w:header="0" w:footer="975" w:top="1360" w:bottom="1220" w:left="1600" w:right="1580"/>
        </w:sectPr>
      </w:pPr>
    </w:p>
    <w:p>
      <w:pPr>
        <w:pStyle w:val="BodyText"/>
        <w:rPr>
          <w:sz w:val="20"/>
        </w:rPr>
      </w:pPr>
    </w:p>
    <w:p>
      <w:pPr>
        <w:pStyle w:val="BodyText"/>
        <w:rPr>
          <w:sz w:val="20"/>
        </w:rPr>
      </w:pPr>
    </w:p>
    <w:p>
      <w:pPr>
        <w:pStyle w:val="BodyText"/>
        <w:spacing w:before="8"/>
      </w:pPr>
    </w:p>
    <w:p>
      <w:pPr>
        <w:pStyle w:val="BodyText"/>
        <w:ind w:left="130"/>
        <w:rPr>
          <w:sz w:val="20"/>
        </w:rPr>
      </w:pPr>
      <w:r>
        <w:rPr>
          <w:sz w:val="20"/>
        </w:rPr>
        <w:drawing>
          <wp:inline distT="0" distB="0" distL="0" distR="0">
            <wp:extent cx="5530859" cy="4251388"/>
            <wp:effectExtent l="0" t="0" r="0" b="0"/>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15" cstate="print"/>
                    <a:stretch>
                      <a:fillRect/>
                    </a:stretch>
                  </pic:blipFill>
                  <pic:spPr>
                    <a:xfrm>
                      <a:off x="0" y="0"/>
                      <a:ext cx="5530859" cy="4251388"/>
                    </a:xfrm>
                    <a:prstGeom prst="rect">
                      <a:avLst/>
                    </a:prstGeom>
                  </pic:spPr>
                </pic:pic>
              </a:graphicData>
            </a:graphic>
          </wp:inline>
        </w:drawing>
      </w:r>
      <w:r>
        <w:rPr>
          <w:sz w:val="20"/>
        </w:rPr>
      </w:r>
    </w:p>
    <w:p>
      <w:pPr>
        <w:pStyle w:val="BodyText"/>
        <w:spacing w:before="98"/>
        <w:ind w:left="1791" w:right="514"/>
      </w:pPr>
      <w:bookmarkStart w:name="_bookmark47" w:id="73"/>
      <w:bookmarkEnd w:id="73"/>
      <w:r>
        <w:rPr/>
      </w:r>
      <w:r>
        <w:rPr>
          <w:b/>
        </w:rPr>
        <w:t>Figura 5 </w:t>
      </w:r>
      <w:r>
        <w:rPr/>
        <w:t>Módulo de Young del concreto polimérico.</w:t>
      </w:r>
    </w:p>
    <w:p>
      <w:pPr>
        <w:pStyle w:val="BodyText"/>
      </w:pPr>
    </w:p>
    <w:p>
      <w:pPr>
        <w:pStyle w:val="BodyText"/>
        <w:spacing w:before="4"/>
        <w:rPr>
          <w:sz w:val="29"/>
        </w:rPr>
      </w:pPr>
    </w:p>
    <w:p>
      <w:pPr>
        <w:pStyle w:val="BodyText"/>
        <w:spacing w:line="360" w:lineRule="auto" w:before="1"/>
        <w:ind w:left="102" w:right="135"/>
        <w:jc w:val="both"/>
      </w:pPr>
      <w:r>
        <w:rPr/>
        <w:t>Los </w:t>
      </w:r>
      <w:r>
        <w:rPr>
          <w:b/>
          <w:i/>
        </w:rPr>
        <w:t>concretos con fibras irradiadas </w:t>
      </w:r>
      <w:r>
        <w:rPr/>
        <w:t>(Tipo III) presentan el comportamiento visto anteriormente, es decir el módulo de elasticidad disminuye con 0.6% de fibras, pero aumenta para concentraciones mayores de fibra. Respecto a la dosis de radiación, los valores son mayores para una dosis de 100 kGy. Se puede observar solo un valor mayor que el de concreto control, con solo un 10% de mejoramiento; correspondiente al concreto con 1.2% de fibras irradiadas a 100 kGy.</w:t>
      </w:r>
    </w:p>
    <w:p>
      <w:pPr>
        <w:pStyle w:val="BodyText"/>
      </w:pPr>
    </w:p>
    <w:p>
      <w:pPr>
        <w:pStyle w:val="BodyText"/>
        <w:spacing w:line="360" w:lineRule="auto" w:before="142"/>
        <w:ind w:left="102" w:right="135"/>
        <w:jc w:val="both"/>
      </w:pPr>
      <w:r>
        <w:rPr/>
        <w:t>Cabe mencionar que las fibras de llanta tienen un razón de Poisson de 0.5, y cuando se añaden en poca cantidad hacen del concreto un material más dúctil.  Sin embargo, cuando las fibras son modificadas por radiación gamma, actuan como</w:t>
      </w:r>
      <w:r>
        <w:rPr>
          <w:spacing w:val="49"/>
        </w:rPr>
        <w:t> </w:t>
      </w:r>
      <w:r>
        <w:rPr/>
        <w:t>refuerzos,</w:t>
      </w:r>
      <w:r>
        <w:rPr>
          <w:spacing w:val="48"/>
        </w:rPr>
        <w:t> </w:t>
      </w:r>
      <w:r>
        <w:rPr/>
        <w:t>mejorando</w:t>
      </w:r>
      <w:r>
        <w:rPr>
          <w:spacing w:val="49"/>
        </w:rPr>
        <w:t> </w:t>
      </w:r>
      <w:r>
        <w:rPr/>
        <w:t>la</w:t>
      </w:r>
      <w:r>
        <w:rPr>
          <w:spacing w:val="48"/>
        </w:rPr>
        <w:t> </w:t>
      </w:r>
      <w:r>
        <w:rPr/>
        <w:t>interacción</w:t>
      </w:r>
      <w:r>
        <w:rPr>
          <w:spacing w:val="49"/>
        </w:rPr>
        <w:t> </w:t>
      </w:r>
      <w:r>
        <w:rPr/>
        <w:t>superficial</w:t>
      </w:r>
      <w:r>
        <w:rPr>
          <w:spacing w:val="50"/>
        </w:rPr>
        <w:t> </w:t>
      </w:r>
      <w:r>
        <w:rPr/>
        <w:t>con</w:t>
      </w:r>
      <w:r>
        <w:rPr>
          <w:spacing w:val="48"/>
        </w:rPr>
        <w:t> </w:t>
      </w:r>
      <w:r>
        <w:rPr/>
        <w:t>la</w:t>
      </w:r>
      <w:r>
        <w:rPr>
          <w:spacing w:val="46"/>
        </w:rPr>
        <w:t> </w:t>
      </w:r>
      <w:r>
        <w:rPr/>
        <w:t>matrix</w:t>
      </w:r>
      <w:r>
        <w:rPr>
          <w:spacing w:val="45"/>
        </w:rPr>
        <w:t> </w:t>
      </w:r>
      <w:r>
        <w:rPr/>
        <w:t>polimérica</w:t>
      </w:r>
      <w:r>
        <w:rPr>
          <w:spacing w:val="48"/>
        </w:rPr>
        <w:t> </w:t>
      </w:r>
      <w:r>
        <w:rPr/>
        <w:t>y</w:t>
      </w:r>
    </w:p>
    <w:p>
      <w:pPr>
        <w:spacing w:after="0" w:line="360" w:lineRule="auto"/>
        <w:jc w:val="both"/>
        <w:sectPr>
          <w:pgSz w:w="12240" w:h="15840"/>
          <w:pgMar w:header="0" w:footer="975" w:top="1500" w:bottom="1220" w:left="1600" w:right="1560"/>
        </w:sectPr>
      </w:pPr>
    </w:p>
    <w:p>
      <w:pPr>
        <w:pStyle w:val="BodyText"/>
        <w:spacing w:line="362" w:lineRule="auto" w:before="54"/>
        <w:ind w:left="102" w:right="117"/>
        <w:jc w:val="both"/>
      </w:pPr>
      <w:r>
        <w:rPr/>
        <w:t>absorbiendo los esfuerzos aplicados externamente; haciendo del concreto un material más rígido.</w:t>
      </w:r>
    </w:p>
    <w:p>
      <w:pPr>
        <w:pStyle w:val="BodyText"/>
      </w:pPr>
    </w:p>
    <w:p>
      <w:pPr>
        <w:pStyle w:val="BodyText"/>
        <w:spacing w:line="360" w:lineRule="auto" w:before="139"/>
        <w:ind w:left="102" w:right="116"/>
        <w:jc w:val="both"/>
      </w:pPr>
      <w:r>
        <w:rPr/>
        <w:t>Los valores de los </w:t>
      </w:r>
      <w:r>
        <w:rPr>
          <w:b/>
          <w:i/>
        </w:rPr>
        <w:t>concretos con fibras e irradiados directamente </w:t>
      </w:r>
      <w:r>
        <w:rPr/>
        <w:t>(Tipo IV) son los más bajos de todos los concretos elaborados. Los menores valores se presentan con 100 kGy de radiación y son 71% menor respecto al  concreto control. Tales disminuciones corroboran el incremento en la ductibilidad generada por la radiación gamma; propiedad que es aprovechada como un componente estructural para materiales sometidos a esfuerzos muy grandes. En general, ésta se debe a la mejor interacción refuerzo-matriz. La dosis de radiación es suficiente para la unión entre las fibras y los espacios intersticiales.</w:t>
      </w:r>
    </w:p>
    <w:p>
      <w:pPr>
        <w:pStyle w:val="BodyText"/>
      </w:pPr>
    </w:p>
    <w:p>
      <w:pPr>
        <w:pStyle w:val="BodyText"/>
      </w:pPr>
    </w:p>
    <w:p>
      <w:pPr>
        <w:pStyle w:val="BodyText"/>
      </w:pPr>
    </w:p>
    <w:p>
      <w:pPr>
        <w:pStyle w:val="Heading2"/>
        <w:numPr>
          <w:ilvl w:val="2"/>
          <w:numId w:val="11"/>
        </w:numPr>
        <w:tabs>
          <w:tab w:pos="705" w:val="left" w:leader="none"/>
        </w:tabs>
        <w:spacing w:line="240" w:lineRule="auto" w:before="204" w:after="0"/>
        <w:ind w:left="704" w:right="0" w:hanging="602"/>
        <w:jc w:val="both"/>
      </w:pPr>
      <w:bookmarkStart w:name="_bookmark48" w:id="74"/>
      <w:bookmarkEnd w:id="74"/>
      <w:r>
        <w:rPr>
          <w:b w:val="0"/>
        </w:rPr>
      </w:r>
      <w:bookmarkStart w:name="_bookmark48" w:id="75"/>
      <w:bookmarkEnd w:id="75"/>
      <w:r>
        <w:rPr/>
        <w:t>Deforma</w:t>
      </w:r>
      <w:r>
        <w:rPr/>
        <w:t>ción en el punto de cedencia en</w:t>
      </w:r>
      <w:r>
        <w:rPr>
          <w:spacing w:val="-8"/>
        </w:rPr>
        <w:t> </w:t>
      </w:r>
      <w:r>
        <w:rPr/>
        <w:t>compresión</w:t>
      </w:r>
    </w:p>
    <w:p>
      <w:pPr>
        <w:pStyle w:val="BodyText"/>
        <w:rPr>
          <w:b/>
        </w:rPr>
      </w:pPr>
    </w:p>
    <w:p>
      <w:pPr>
        <w:pStyle w:val="BodyText"/>
        <w:spacing w:line="360" w:lineRule="auto" w:before="139"/>
        <w:ind w:left="102" w:right="125"/>
        <w:jc w:val="both"/>
      </w:pPr>
      <w:r>
        <w:rPr/>
        <w:t>La Figura 6 presenta la deformación en el punto de cedencia en compresión para los cuatro tipos de concreto elaborados.</w:t>
      </w:r>
    </w:p>
    <w:p>
      <w:pPr>
        <w:pStyle w:val="BodyText"/>
      </w:pPr>
    </w:p>
    <w:p>
      <w:pPr>
        <w:pStyle w:val="BodyText"/>
        <w:spacing w:line="360" w:lineRule="auto" w:before="142"/>
        <w:ind w:left="102" w:right="119"/>
        <w:jc w:val="both"/>
      </w:pPr>
      <w:r>
        <w:rPr/>
        <w:t>La deformación para el </w:t>
      </w:r>
      <w:r>
        <w:rPr>
          <w:b/>
          <w:i/>
        </w:rPr>
        <w:t>concreto control </w:t>
      </w:r>
      <w:r>
        <w:rPr/>
        <w:t>(Tipo I) es de 0.022 mm/mm; misma que aumenta cuando es irradiado, llegando a ser hasta50% mayor, cuando se aplican 50 kGy de radiación. Este comportamiento se atribuye al aumento de la ductilidad del material debido a la radiación.</w:t>
      </w:r>
    </w:p>
    <w:p>
      <w:pPr>
        <w:pStyle w:val="BodyText"/>
      </w:pPr>
    </w:p>
    <w:p>
      <w:pPr>
        <w:pStyle w:val="BodyText"/>
        <w:spacing w:line="360" w:lineRule="auto" w:before="142"/>
        <w:ind w:left="102" w:right="116"/>
        <w:jc w:val="both"/>
      </w:pPr>
      <w:r>
        <w:rPr/>
        <w:t>La deformación para </w:t>
      </w:r>
      <w:r>
        <w:rPr>
          <w:b/>
          <w:i/>
        </w:rPr>
        <w:t>concretos con fibras </w:t>
      </w:r>
      <w:r>
        <w:rPr/>
        <w:t>(Tipo II) presenta dos etapas, en la primera la deformación se incrementa para concretos con 0.9% de fibras, y en la segunda etapa disminuye para una concentración de 1.2% de fibras. La mayor deformación es 25% mayor a la del concreto control. El efecto de la fibra en la propiedad de deformación es evidente; esto se debe al incremento de la ductilidad del composito.</w:t>
      </w:r>
    </w:p>
    <w:p>
      <w:pPr>
        <w:spacing w:after="0" w:line="360" w:lineRule="auto"/>
        <w:jc w:val="both"/>
        <w:sectPr>
          <w:pgSz w:w="12240" w:h="15840"/>
          <w:pgMar w:header="0" w:footer="975" w:top="1360" w:bottom="1220" w:left="1600" w:right="1580"/>
        </w:sectPr>
      </w:pPr>
    </w:p>
    <w:p>
      <w:pPr>
        <w:pStyle w:val="BodyText"/>
        <w:ind w:left="130" w:right="-3"/>
        <w:rPr>
          <w:sz w:val="20"/>
        </w:rPr>
      </w:pPr>
      <w:r>
        <w:rPr>
          <w:sz w:val="20"/>
        </w:rPr>
        <w:drawing>
          <wp:inline distT="0" distB="0" distL="0" distR="0">
            <wp:extent cx="5659484" cy="4350258"/>
            <wp:effectExtent l="0" t="0" r="0" b="0"/>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16" cstate="print"/>
                    <a:stretch>
                      <a:fillRect/>
                    </a:stretch>
                  </pic:blipFill>
                  <pic:spPr>
                    <a:xfrm>
                      <a:off x="0" y="0"/>
                      <a:ext cx="5659484" cy="4350258"/>
                    </a:xfrm>
                    <a:prstGeom prst="rect">
                      <a:avLst/>
                    </a:prstGeom>
                  </pic:spPr>
                </pic:pic>
              </a:graphicData>
            </a:graphic>
          </wp:inline>
        </w:drawing>
      </w:r>
      <w:r>
        <w:rPr>
          <w:sz w:val="20"/>
        </w:rPr>
      </w:r>
    </w:p>
    <w:p>
      <w:pPr>
        <w:pStyle w:val="BodyText"/>
        <w:spacing w:before="5"/>
        <w:rPr>
          <w:sz w:val="12"/>
        </w:rPr>
      </w:pPr>
    </w:p>
    <w:p>
      <w:pPr>
        <w:pStyle w:val="BodyText"/>
        <w:spacing w:line="242" w:lineRule="auto" w:before="69"/>
        <w:ind w:left="3940" w:right="514" w:hanging="3452"/>
      </w:pPr>
      <w:bookmarkStart w:name="_bookmark49" w:id="76"/>
      <w:bookmarkEnd w:id="76"/>
      <w:r>
        <w:rPr/>
      </w:r>
      <w:r>
        <w:rPr>
          <w:b/>
        </w:rPr>
        <w:t>Figura 6. </w:t>
      </w:r>
      <w:r>
        <w:rPr/>
        <w:t>Deformación en el punto de cedencia en compresión del concreto polimérico.</w:t>
      </w:r>
    </w:p>
    <w:p>
      <w:pPr>
        <w:pStyle w:val="BodyText"/>
      </w:pPr>
    </w:p>
    <w:p>
      <w:pPr>
        <w:pStyle w:val="BodyText"/>
        <w:spacing w:before="2"/>
        <w:rPr>
          <w:sz w:val="29"/>
        </w:rPr>
      </w:pPr>
    </w:p>
    <w:p>
      <w:pPr>
        <w:pStyle w:val="BodyText"/>
        <w:spacing w:line="360" w:lineRule="auto"/>
        <w:ind w:left="102" w:right="136"/>
        <w:jc w:val="both"/>
      </w:pPr>
      <w:r>
        <w:rPr/>
        <w:t>Para los </w:t>
      </w:r>
      <w:r>
        <w:rPr>
          <w:b/>
          <w:i/>
        </w:rPr>
        <w:t>concretos con fibras irradiadas </w:t>
      </w:r>
      <w:r>
        <w:rPr/>
        <w:t>(Tipo III) observamos dos comportamientos: a) tomando en consideración la concentración de fibras, la deformación se incrementa para 0.6% de fibras y después disminuye para concentraciones mayores; b) respecto a la dosis de irradiación sobre las fibras, se observan mayores valores con fibras irradiadas a 50 kGy, valores que llegan a ser hasta 50% mayores que el del concreto control. Esto significa que a 100 kGy la fibra sufre entrecruzamiento y a 50 kGy degradación.</w:t>
      </w:r>
    </w:p>
    <w:p>
      <w:pPr>
        <w:pStyle w:val="BodyText"/>
      </w:pPr>
    </w:p>
    <w:p>
      <w:pPr>
        <w:spacing w:line="360" w:lineRule="auto" w:before="142"/>
        <w:ind w:left="102" w:right="135" w:firstLine="0"/>
        <w:jc w:val="both"/>
        <w:rPr>
          <w:sz w:val="24"/>
        </w:rPr>
      </w:pPr>
      <w:r>
        <w:rPr>
          <w:sz w:val="24"/>
        </w:rPr>
        <w:t>Los </w:t>
      </w:r>
      <w:r>
        <w:rPr>
          <w:b/>
          <w:i/>
          <w:sz w:val="24"/>
        </w:rPr>
        <w:t>concretos con fibras e irradiados directamente </w:t>
      </w:r>
      <w:r>
        <w:rPr>
          <w:sz w:val="24"/>
        </w:rPr>
        <w:t>(Tipo IV) tuvieron las mayores deformaciones, llegando a ser hasta 86% mayores que las del concreto control. La mayor deformación se obuvo con concreto irradiado a 50 kGy y 1.2%</w:t>
      </w:r>
    </w:p>
    <w:p>
      <w:pPr>
        <w:spacing w:after="0" w:line="360" w:lineRule="auto"/>
        <w:jc w:val="both"/>
        <w:rPr>
          <w:sz w:val="24"/>
        </w:rPr>
        <w:sectPr>
          <w:pgSz w:w="12240" w:h="15840"/>
          <w:pgMar w:header="0" w:footer="975" w:top="1420" w:bottom="1220" w:left="1600" w:right="1560"/>
        </w:sectPr>
      </w:pPr>
    </w:p>
    <w:p>
      <w:pPr>
        <w:pStyle w:val="BodyText"/>
        <w:spacing w:line="360" w:lineRule="auto" w:before="54"/>
        <w:ind w:left="102" w:right="120"/>
        <w:jc w:val="both"/>
      </w:pPr>
      <w:r>
        <w:rPr/>
        <w:t>de fibra añadida. Cabe mencionar que a pesar de que este tipo de concreto presentó resistencias a la compresión y flexión más bajas que las del concreto control, presenta las deformaciones mas altas.</w:t>
      </w:r>
    </w:p>
    <w:p>
      <w:pPr>
        <w:pStyle w:val="BodyText"/>
      </w:pPr>
    </w:p>
    <w:p>
      <w:pPr>
        <w:pStyle w:val="BodyText"/>
      </w:pPr>
    </w:p>
    <w:p>
      <w:pPr>
        <w:pStyle w:val="BodyText"/>
      </w:pPr>
    </w:p>
    <w:p>
      <w:pPr>
        <w:pStyle w:val="Heading2"/>
        <w:numPr>
          <w:ilvl w:val="2"/>
          <w:numId w:val="11"/>
        </w:numPr>
        <w:tabs>
          <w:tab w:pos="705" w:val="left" w:leader="none"/>
        </w:tabs>
        <w:spacing w:line="240" w:lineRule="auto" w:before="204" w:after="0"/>
        <w:ind w:left="704" w:right="0" w:hanging="602"/>
        <w:jc w:val="both"/>
      </w:pPr>
      <w:bookmarkStart w:name="_bookmark50" w:id="77"/>
      <w:bookmarkEnd w:id="77"/>
      <w:r>
        <w:rPr>
          <w:b w:val="0"/>
        </w:rPr>
      </w:r>
      <w:bookmarkStart w:name="_bookmark50" w:id="78"/>
      <w:bookmarkEnd w:id="78"/>
      <w:r>
        <w:rPr/>
        <w:t>Deforma</w:t>
      </w:r>
      <w:r>
        <w:rPr/>
        <w:t>ción en el punto de cedencia en</w:t>
      </w:r>
      <w:r>
        <w:rPr>
          <w:spacing w:val="-10"/>
        </w:rPr>
        <w:t> </w:t>
      </w:r>
      <w:r>
        <w:rPr/>
        <w:t>flexión</w:t>
      </w:r>
    </w:p>
    <w:p>
      <w:pPr>
        <w:pStyle w:val="BodyText"/>
        <w:rPr>
          <w:b/>
        </w:rPr>
      </w:pPr>
    </w:p>
    <w:p>
      <w:pPr>
        <w:pStyle w:val="BodyText"/>
        <w:spacing w:line="360" w:lineRule="auto" w:before="139"/>
        <w:ind w:left="102" w:right="127"/>
        <w:jc w:val="both"/>
      </w:pPr>
      <w:r>
        <w:rPr/>
        <w:t>La deformación en el punto de cedencia en el ensayo de flexión tiene un comportamiento diferente al mostrado en el ensayo de compresión.</w:t>
      </w:r>
    </w:p>
    <w:p>
      <w:pPr>
        <w:pStyle w:val="BodyText"/>
      </w:pPr>
    </w:p>
    <w:p>
      <w:pPr>
        <w:pStyle w:val="BodyText"/>
        <w:spacing w:line="360" w:lineRule="auto" w:before="142"/>
        <w:ind w:left="102" w:right="114"/>
        <w:jc w:val="both"/>
      </w:pPr>
      <w:r>
        <w:rPr/>
        <w:t>La deformación del </w:t>
      </w:r>
      <w:r>
        <w:rPr>
          <w:b/>
          <w:i/>
        </w:rPr>
        <w:t>concreto control </w:t>
      </w:r>
      <w:r>
        <w:rPr>
          <w:spacing w:val="-3"/>
        </w:rPr>
        <w:t>(Tipo </w:t>
      </w:r>
      <w:r>
        <w:rPr/>
        <w:t>I) es de 0.54 mm/mm, la cual va disminuyendo cuando se incrementa la dosis, siendo de hasta un 31% para una dosis aplicada de 100 kGy (Figura 7). Los </w:t>
      </w:r>
      <w:r>
        <w:rPr>
          <w:b/>
          <w:i/>
        </w:rPr>
        <w:t>concretos con fibras </w:t>
      </w:r>
      <w:r>
        <w:rPr>
          <w:spacing w:val="-3"/>
        </w:rPr>
        <w:t>(Tipo </w:t>
      </w:r>
      <w:r>
        <w:rPr/>
        <w:t>II)  presentan mayores valores de deformación que la del concreto control; siendo hasta 20% </w:t>
      </w:r>
      <w:r>
        <w:rPr>
          <w:spacing w:val="-4"/>
        </w:rPr>
        <w:t>mayor, </w:t>
      </w:r>
      <w:r>
        <w:rPr/>
        <w:t>esto para concreto con 0.9% de</w:t>
      </w:r>
      <w:r>
        <w:rPr>
          <w:spacing w:val="-5"/>
        </w:rPr>
        <w:t> </w:t>
      </w:r>
      <w:r>
        <w:rPr/>
        <w:t>fibras.</w:t>
      </w:r>
    </w:p>
    <w:p>
      <w:pPr>
        <w:pStyle w:val="BodyText"/>
      </w:pPr>
    </w:p>
    <w:p>
      <w:pPr>
        <w:pStyle w:val="BodyText"/>
        <w:spacing w:line="360" w:lineRule="auto" w:before="142"/>
        <w:ind w:left="102" w:right="116"/>
        <w:jc w:val="both"/>
      </w:pPr>
      <w:r>
        <w:rPr/>
        <w:t>En el caso de </w:t>
      </w:r>
      <w:r>
        <w:rPr>
          <w:b/>
          <w:i/>
        </w:rPr>
        <w:t>concretos con fibras irradiadas </w:t>
      </w:r>
      <w:r>
        <w:rPr/>
        <w:t>(Tipo III) los valores son aún mayores que los del concreto control; llegando a ser 29% mayores, esto para concreto con 0.6% de fibras irradiadas a 50 kGy. Los esfuerzos son absorbidos en mayor medida a causa del deterioro superficial de las fibras. Esto atribuye a la mejor transferencia de cargas entre la matriz y el refuerzo (fibras).</w:t>
      </w:r>
    </w:p>
    <w:p>
      <w:pPr>
        <w:spacing w:after="0" w:line="360" w:lineRule="auto"/>
        <w:jc w:val="both"/>
        <w:sectPr>
          <w:pgSz w:w="12240" w:h="15840"/>
          <w:pgMar w:header="0" w:footer="975" w:top="1360" w:bottom="1220" w:left="1600" w:right="1580"/>
        </w:sectPr>
      </w:pPr>
    </w:p>
    <w:p>
      <w:pPr>
        <w:pStyle w:val="BodyText"/>
        <w:ind w:left="130"/>
        <w:rPr>
          <w:sz w:val="20"/>
        </w:rPr>
      </w:pPr>
      <w:r>
        <w:rPr>
          <w:sz w:val="20"/>
        </w:rPr>
        <w:drawing>
          <wp:inline distT="0" distB="0" distL="0" distR="0">
            <wp:extent cx="5530859" cy="4251388"/>
            <wp:effectExtent l="0" t="0" r="0" b="0"/>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17" cstate="print"/>
                    <a:stretch>
                      <a:fillRect/>
                    </a:stretch>
                  </pic:blipFill>
                  <pic:spPr>
                    <a:xfrm>
                      <a:off x="0" y="0"/>
                      <a:ext cx="5530859" cy="4251388"/>
                    </a:xfrm>
                    <a:prstGeom prst="rect">
                      <a:avLst/>
                    </a:prstGeom>
                  </pic:spPr>
                </pic:pic>
              </a:graphicData>
            </a:graphic>
          </wp:inline>
        </w:drawing>
      </w:r>
      <w:r>
        <w:rPr>
          <w:sz w:val="20"/>
        </w:rPr>
      </w:r>
    </w:p>
    <w:p>
      <w:pPr>
        <w:pStyle w:val="BodyText"/>
        <w:spacing w:before="94"/>
        <w:ind w:left="102" w:firstLine="48"/>
        <w:jc w:val="both"/>
      </w:pPr>
      <w:bookmarkStart w:name="_bookmark51" w:id="79"/>
      <w:bookmarkEnd w:id="79"/>
      <w:r>
        <w:rPr/>
      </w:r>
      <w:r>
        <w:rPr>
          <w:b/>
        </w:rPr>
        <w:t>Figura 7</w:t>
      </w:r>
      <w:r>
        <w:rPr/>
        <w:t>. Deformación en el punto de cedencia en flexión del concreto polimérico.</w:t>
      </w:r>
    </w:p>
    <w:p>
      <w:pPr>
        <w:pStyle w:val="BodyText"/>
      </w:pPr>
    </w:p>
    <w:p>
      <w:pPr>
        <w:pStyle w:val="BodyText"/>
        <w:spacing w:before="4"/>
        <w:rPr>
          <w:sz w:val="29"/>
        </w:rPr>
      </w:pPr>
    </w:p>
    <w:p>
      <w:pPr>
        <w:pStyle w:val="BodyText"/>
        <w:spacing w:line="360" w:lineRule="auto" w:before="1"/>
        <w:ind w:left="102" w:right="136"/>
        <w:jc w:val="both"/>
      </w:pPr>
      <w:r>
        <w:rPr/>
        <w:t>Los </w:t>
      </w:r>
      <w:r>
        <w:rPr>
          <w:b/>
          <w:i/>
        </w:rPr>
        <w:t>concretos con fibras e irradiados directamente </w:t>
      </w:r>
      <w:r>
        <w:rPr>
          <w:spacing w:val="-3"/>
        </w:rPr>
        <w:t>(Tipo </w:t>
      </w:r>
      <w:r>
        <w:rPr/>
        <w:t>IV) presentan comportamientos diferentes respecto a la concentración de las fibras y a las dosis de radiación. Los valores son menores que los del concreto control para: a) concentraciones de 0.3% y 0.6% de fibras, y b) para dosis de radiación de 100 </w:t>
      </w:r>
      <w:r>
        <w:rPr>
          <w:spacing w:val="-5"/>
        </w:rPr>
        <w:t>kGy. </w:t>
      </w:r>
      <w:r>
        <w:rPr/>
        <w:t>Mientras que son mayores para dosis de radiación de 50 </w:t>
      </w:r>
      <w:r>
        <w:rPr>
          <w:spacing w:val="-6"/>
        </w:rPr>
        <w:t>kGy. </w:t>
      </w:r>
      <w:r>
        <w:rPr/>
        <w:t>La  degradación que sufre la fibra a esta dosis incrementa la</w:t>
      </w:r>
      <w:r>
        <w:rPr>
          <w:spacing w:val="-21"/>
        </w:rPr>
        <w:t> </w:t>
      </w:r>
      <w:r>
        <w:rPr/>
        <w:t>deformación.</w:t>
      </w:r>
    </w:p>
    <w:p>
      <w:pPr>
        <w:pStyle w:val="BodyText"/>
      </w:pPr>
    </w:p>
    <w:p>
      <w:pPr>
        <w:pStyle w:val="BodyText"/>
      </w:pPr>
    </w:p>
    <w:p>
      <w:pPr>
        <w:pStyle w:val="BodyText"/>
        <w:spacing w:before="5"/>
      </w:pPr>
    </w:p>
    <w:p>
      <w:pPr>
        <w:pStyle w:val="Heading2"/>
        <w:numPr>
          <w:ilvl w:val="1"/>
          <w:numId w:val="12"/>
        </w:numPr>
        <w:tabs>
          <w:tab w:pos="506" w:val="left" w:leader="none"/>
        </w:tabs>
        <w:spacing w:line="240" w:lineRule="auto" w:before="1" w:after="0"/>
        <w:ind w:left="505" w:right="0" w:hanging="403"/>
        <w:jc w:val="both"/>
      </w:pPr>
      <w:bookmarkStart w:name="_bookmark52" w:id="80"/>
      <w:bookmarkEnd w:id="80"/>
      <w:r>
        <w:rPr>
          <w:b w:val="0"/>
        </w:rPr>
      </w:r>
      <w:bookmarkStart w:name="_bookmark52" w:id="81"/>
      <w:bookmarkEnd w:id="81"/>
      <w:r>
        <w:rPr/>
        <w:t>S</w:t>
      </w:r>
      <w:r>
        <w:rPr/>
        <w:t>uperficies de las fibras sin irradiar e</w:t>
      </w:r>
      <w:r>
        <w:rPr>
          <w:spacing w:val="-18"/>
        </w:rPr>
        <w:t> </w:t>
      </w:r>
      <w:r>
        <w:rPr/>
        <w:t>irradiadas</w:t>
      </w:r>
    </w:p>
    <w:p>
      <w:pPr>
        <w:pStyle w:val="BodyText"/>
        <w:rPr>
          <w:b/>
        </w:rPr>
      </w:pPr>
    </w:p>
    <w:p>
      <w:pPr>
        <w:pStyle w:val="BodyText"/>
        <w:rPr>
          <w:b/>
        </w:rPr>
      </w:pPr>
    </w:p>
    <w:p>
      <w:pPr>
        <w:pStyle w:val="BodyText"/>
        <w:spacing w:line="360" w:lineRule="auto"/>
        <w:ind w:left="102" w:right="136"/>
        <w:jc w:val="both"/>
      </w:pPr>
      <w:r>
        <w:rPr/>
        <w:t>En las secciones 3.2 a 3.4, se analizan los efectos causados por la radiación gamma en las fibras de llantas; y la relación de estas con los resultados de las propiedades  mecánicas  analizados  previamente.  Cabe  mencionar  que  en   </w:t>
      </w:r>
      <w:r>
        <w:rPr>
          <w:spacing w:val="57"/>
        </w:rPr>
        <w:t> </w:t>
      </w:r>
      <w:r>
        <w:rPr/>
        <w:t>el</w:t>
      </w:r>
    </w:p>
    <w:p>
      <w:pPr>
        <w:spacing w:after="0" w:line="360" w:lineRule="auto"/>
        <w:jc w:val="both"/>
        <w:sectPr>
          <w:pgSz w:w="12240" w:h="15840"/>
          <w:pgMar w:header="0" w:footer="975" w:top="1420" w:bottom="1220" w:left="1600" w:right="1560"/>
        </w:sectPr>
      </w:pPr>
    </w:p>
    <w:p>
      <w:pPr>
        <w:pStyle w:val="BodyText"/>
        <w:spacing w:line="360" w:lineRule="auto" w:before="54"/>
        <w:ind w:left="102" w:right="415"/>
        <w:jc w:val="both"/>
      </w:pPr>
      <w:r>
        <w:rPr/>
        <w:t>concreto hidráulico reforzado con partículas elastoméricas de llantas recicladas, las propiedades mecánicas dependen tanto del contenido como del tamaño de las partículas</w:t>
      </w:r>
      <w:r>
        <w:rPr>
          <w:spacing w:val="-6"/>
        </w:rPr>
        <w:t> </w:t>
      </w:r>
      <w:r>
        <w:rPr/>
        <w:t>utilizadas.</w:t>
      </w:r>
    </w:p>
    <w:p>
      <w:pPr>
        <w:pStyle w:val="BodyText"/>
      </w:pPr>
    </w:p>
    <w:p>
      <w:pPr>
        <w:pStyle w:val="BodyText"/>
        <w:spacing w:line="360" w:lineRule="auto" w:before="142"/>
        <w:ind w:left="102" w:right="417"/>
        <w:jc w:val="both"/>
      </w:pPr>
      <w:r>
        <w:rPr/>
        <w:t>De acuerdo con la literatura, los refuerzos obtenidos a partir de llantas automotrices que se utilizan en concreto a base de cemento se clasifican de acuerdo con sus dimensiones, éstos son: elastómero granulado (75 µm - 4.75 mm), cribado (0.15 – 10 mm), y rasgado (150 – 300 mm) (Siddique 2004).</w:t>
      </w:r>
    </w:p>
    <w:p>
      <w:pPr>
        <w:pStyle w:val="BodyText"/>
      </w:pPr>
    </w:p>
    <w:p>
      <w:pPr>
        <w:pStyle w:val="BodyText"/>
        <w:spacing w:line="360" w:lineRule="auto" w:before="142"/>
        <w:ind w:left="102" w:right="416"/>
        <w:jc w:val="both"/>
      </w:pPr>
      <w:r>
        <w:rPr/>
        <w:drawing>
          <wp:anchor distT="0" distB="0" distL="0" distR="0" allowOverlap="1" layoutInCell="1" locked="0" behindDoc="1" simplePos="0" relativeHeight="268383263">
            <wp:simplePos x="0" y="0"/>
            <wp:positionH relativeFrom="page">
              <wp:posOffset>4096511</wp:posOffset>
            </wp:positionH>
            <wp:positionV relativeFrom="paragraph">
              <wp:posOffset>2076524</wp:posOffset>
            </wp:positionV>
            <wp:extent cx="2799588" cy="2343912"/>
            <wp:effectExtent l="0" t="0" r="0" b="0"/>
            <wp:wrapNone/>
            <wp:docPr id="23" name="image13.jpeg" descr=""/>
            <wp:cNvGraphicFramePr>
              <a:graphicFrameLocks noChangeAspect="1"/>
            </wp:cNvGraphicFramePr>
            <a:graphic>
              <a:graphicData uri="http://schemas.openxmlformats.org/drawingml/2006/picture">
                <pic:pic>
                  <pic:nvPicPr>
                    <pic:cNvPr id="24" name="image13.jpeg"/>
                    <pic:cNvPicPr/>
                  </pic:nvPicPr>
                  <pic:blipFill>
                    <a:blip r:embed="rId18" cstate="print"/>
                    <a:stretch>
                      <a:fillRect/>
                    </a:stretch>
                  </pic:blipFill>
                  <pic:spPr>
                    <a:xfrm>
                      <a:off x="0" y="0"/>
                      <a:ext cx="2799588" cy="2343912"/>
                    </a:xfrm>
                    <a:prstGeom prst="rect">
                      <a:avLst/>
                    </a:prstGeom>
                  </pic:spPr>
                </pic:pic>
              </a:graphicData>
            </a:graphic>
          </wp:anchor>
        </w:drawing>
      </w:r>
      <w:r>
        <w:rPr/>
        <w:t>En la figura 8 se muestra la distribución de tamaños de las fibras recicladas de llanta. Se midió la longitud de un total de 18 fibras y el diámetro de 30 fibras a través de imágenes de SEM, las longitudes tuvieron valores entre 0.4 mm y 3.4 mm; mientras que los diámetro entre 13 µm y 33 µm; es decir se tuvieron fibras de </w:t>
      </w:r>
      <w:r>
        <w:rPr>
          <w:i/>
        </w:rPr>
        <w:t>tipo granulado</w:t>
      </w:r>
      <w:r>
        <w:rPr/>
        <w:t>.</w:t>
      </w:r>
    </w:p>
    <w:p>
      <w:pPr>
        <w:pStyle w:val="BodyText"/>
        <w:spacing w:before="10"/>
        <w:rPr>
          <w:sz w:val="9"/>
        </w:rPr>
      </w:pPr>
      <w:r>
        <w:rPr/>
        <w:drawing>
          <wp:anchor distT="0" distB="0" distL="0" distR="0" allowOverlap="1" layoutInCell="1" locked="0" behindDoc="0" simplePos="0" relativeHeight="1480">
            <wp:simplePos x="0" y="0"/>
            <wp:positionH relativeFrom="page">
              <wp:posOffset>1143000</wp:posOffset>
            </wp:positionH>
            <wp:positionV relativeFrom="paragraph">
              <wp:posOffset>96823</wp:posOffset>
            </wp:positionV>
            <wp:extent cx="2822287" cy="2834259"/>
            <wp:effectExtent l="0" t="0" r="0" b="0"/>
            <wp:wrapTopAndBottom/>
            <wp:docPr id="25" name="image14.jpeg" descr=""/>
            <wp:cNvGraphicFramePr>
              <a:graphicFrameLocks noChangeAspect="1"/>
            </wp:cNvGraphicFramePr>
            <a:graphic>
              <a:graphicData uri="http://schemas.openxmlformats.org/drawingml/2006/picture">
                <pic:pic>
                  <pic:nvPicPr>
                    <pic:cNvPr id="26" name="image14.jpeg"/>
                    <pic:cNvPicPr/>
                  </pic:nvPicPr>
                  <pic:blipFill>
                    <a:blip r:embed="rId19" cstate="print"/>
                    <a:stretch>
                      <a:fillRect/>
                    </a:stretch>
                  </pic:blipFill>
                  <pic:spPr>
                    <a:xfrm>
                      <a:off x="0" y="0"/>
                      <a:ext cx="2822287" cy="2834259"/>
                    </a:xfrm>
                    <a:prstGeom prst="rect">
                      <a:avLst/>
                    </a:prstGeom>
                  </pic:spPr>
                </pic:pic>
              </a:graphicData>
            </a:graphic>
          </wp:anchor>
        </w:drawing>
      </w:r>
    </w:p>
    <w:p>
      <w:pPr>
        <w:pStyle w:val="ListParagraph"/>
        <w:numPr>
          <w:ilvl w:val="2"/>
          <w:numId w:val="12"/>
        </w:numPr>
        <w:tabs>
          <w:tab w:pos="6477" w:val="left" w:leader="none"/>
          <w:tab w:pos="6478" w:val="left" w:leader="none"/>
        </w:tabs>
        <w:spacing w:line="240" w:lineRule="auto" w:before="53" w:after="0"/>
        <w:ind w:left="6477" w:right="0" w:hanging="4964"/>
        <w:jc w:val="left"/>
        <w:rPr>
          <w:sz w:val="22"/>
        </w:rPr>
      </w:pPr>
      <w:r>
        <w:rPr>
          <w:sz w:val="22"/>
        </w:rPr>
        <w:t>(b)</w:t>
      </w:r>
    </w:p>
    <w:p>
      <w:pPr>
        <w:pStyle w:val="BodyText"/>
        <w:rPr>
          <w:sz w:val="22"/>
        </w:rPr>
      </w:pPr>
    </w:p>
    <w:p>
      <w:pPr>
        <w:pStyle w:val="BodyText"/>
        <w:spacing w:before="1"/>
        <w:ind w:left="399" w:right="717"/>
        <w:jc w:val="center"/>
      </w:pPr>
      <w:bookmarkStart w:name="_bookmark53" w:id="82"/>
      <w:bookmarkEnd w:id="82"/>
      <w:r>
        <w:rPr/>
      </w:r>
      <w:r>
        <w:rPr>
          <w:b/>
        </w:rPr>
        <w:t>Figura 8</w:t>
      </w:r>
      <w:r>
        <w:rPr/>
        <w:t>. Distribución de tamaños de fibra reciclada: a) longitud, b) diámetro.</w:t>
      </w:r>
    </w:p>
    <w:p>
      <w:pPr>
        <w:pStyle w:val="BodyText"/>
      </w:pPr>
    </w:p>
    <w:p>
      <w:pPr>
        <w:pStyle w:val="BodyText"/>
      </w:pPr>
    </w:p>
    <w:p>
      <w:pPr>
        <w:pStyle w:val="BodyText"/>
        <w:spacing w:before="5"/>
        <w:rPr>
          <w:sz w:val="29"/>
        </w:rPr>
      </w:pPr>
    </w:p>
    <w:p>
      <w:pPr>
        <w:pStyle w:val="BodyText"/>
        <w:spacing w:line="360" w:lineRule="auto"/>
        <w:ind w:left="102" w:right="415"/>
        <w:jc w:val="both"/>
      </w:pPr>
      <w:r>
        <w:rPr/>
        <w:t>Mientras que en la Figura 9 se muestran las fibras de llanta sin irradiar utilizadas; se pueden apreciar zonas con superficies homogéneas y zonas con cierto grado</w:t>
      </w:r>
    </w:p>
    <w:p>
      <w:pPr>
        <w:spacing w:after="0" w:line="360" w:lineRule="auto"/>
        <w:jc w:val="both"/>
        <w:sectPr>
          <w:pgSz w:w="12240" w:h="15840"/>
          <w:pgMar w:header="0" w:footer="975" w:top="1360" w:bottom="1220" w:left="1600" w:right="1280"/>
        </w:sectPr>
      </w:pPr>
    </w:p>
    <w:p>
      <w:pPr>
        <w:pStyle w:val="BodyText"/>
        <w:spacing w:before="54"/>
        <w:ind w:left="2358" w:hanging="1956"/>
      </w:pPr>
      <w:r>
        <w:rPr/>
        <w:t>de rugosidad, así como algunas partículas de formas irregulares.</w:t>
      </w:r>
    </w:p>
    <w:p>
      <w:pPr>
        <w:pStyle w:val="BodyText"/>
        <w:rPr>
          <w:sz w:val="20"/>
        </w:rPr>
      </w:pPr>
    </w:p>
    <w:p>
      <w:pPr>
        <w:pStyle w:val="BodyText"/>
        <w:rPr>
          <w:sz w:val="20"/>
        </w:rPr>
      </w:pPr>
    </w:p>
    <w:p>
      <w:pPr>
        <w:pStyle w:val="BodyText"/>
        <w:rPr>
          <w:sz w:val="20"/>
        </w:rPr>
      </w:pPr>
    </w:p>
    <w:p>
      <w:pPr>
        <w:pStyle w:val="BodyText"/>
        <w:spacing w:before="5"/>
        <w:rPr>
          <w:sz w:val="10"/>
        </w:rPr>
      </w:pPr>
      <w:r>
        <w:rPr/>
        <w:pict>
          <v:group style="position:absolute;margin-left:70.559998pt;margin-top:7.959939pt;width:459.6pt;height:159.75pt;mso-position-horizontal-relative:page;mso-position-vertical-relative:paragraph;z-index:1528;mso-wrap-distance-left:0;mso-wrap-distance-right:0" coordorigin="1411,159" coordsize="9192,3195">
            <v:shape style="position:absolute;left:4500;top:159;width:3014;height:3194" type="#_x0000_t75" stroked="false">
              <v:imagedata r:id="rId20" o:title=""/>
            </v:shape>
            <v:shape style="position:absolute;left:1411;top:159;width:3024;height:3194" type="#_x0000_t75" stroked="false">
              <v:imagedata r:id="rId21" o:title=""/>
            </v:shape>
            <v:shape style="position:absolute;left:7574;top:159;width:3029;height:3194" type="#_x0000_t75" stroked="false">
              <v:imagedata r:id="rId22" o:title=""/>
            </v:shape>
            <w10:wrap type="topAndBottom"/>
          </v:group>
        </w:pict>
      </w:r>
    </w:p>
    <w:p>
      <w:pPr>
        <w:pStyle w:val="BodyText"/>
      </w:pPr>
    </w:p>
    <w:p>
      <w:pPr>
        <w:pStyle w:val="BodyText"/>
      </w:pPr>
    </w:p>
    <w:p>
      <w:pPr>
        <w:pStyle w:val="BodyText"/>
        <w:rPr>
          <w:sz w:val="28"/>
        </w:rPr>
      </w:pPr>
    </w:p>
    <w:p>
      <w:pPr>
        <w:pStyle w:val="BodyText"/>
        <w:spacing w:before="1"/>
        <w:ind w:left="505" w:right="288"/>
        <w:jc w:val="center"/>
      </w:pPr>
      <w:bookmarkStart w:name="_bookmark54" w:id="83"/>
      <w:bookmarkEnd w:id="83"/>
      <w:r>
        <w:rPr/>
      </w:r>
      <w:r>
        <w:rPr/>
        <w:t>Figura 9. Imagen SEM de las fibras de llantas.</w:t>
      </w:r>
    </w:p>
    <w:p>
      <w:pPr>
        <w:pStyle w:val="BodyText"/>
        <w:spacing w:line="360" w:lineRule="auto" w:before="201"/>
        <w:ind w:left="402" w:right="176"/>
        <w:jc w:val="both"/>
      </w:pPr>
      <w:r>
        <w:rPr/>
        <w:pict>
          <v:group style="position:absolute;margin-left:101.279999pt;margin-top:157.575851pt;width:421.45pt;height:181.6pt;mso-position-horizontal-relative:page;mso-position-vertical-relative:paragraph;z-index:1600;mso-wrap-distance-left:0;mso-wrap-distance-right:0" coordorigin="2026,3152" coordsize="8429,3632">
            <v:shape style="position:absolute;left:2026;top:3154;width:4229;height:3629" type="#_x0000_t75" stroked="false">
              <v:imagedata r:id="rId23" o:title=""/>
            </v:shape>
            <v:shape style="position:absolute;left:6286;top:3152;width:4169;height:3631" type="#_x0000_t75" stroked="false">
              <v:imagedata r:id="rId24" o:title=""/>
            </v:shape>
            <v:shape style="position:absolute;left:2073;top:3254;width:402;height:240" type="#_x0000_t202" filled="false" stroked="false">
              <v:textbox inset="0,0,0,0">
                <w:txbxContent>
                  <w:p>
                    <w:pPr>
                      <w:spacing w:line="240" w:lineRule="exact" w:before="0"/>
                      <w:ind w:left="0" w:right="0" w:firstLine="0"/>
                      <w:jc w:val="left"/>
                      <w:rPr>
                        <w:sz w:val="24"/>
                      </w:rPr>
                    </w:pPr>
                    <w:r>
                      <w:rPr>
                        <w:w w:val="100"/>
                        <w:sz w:val="24"/>
                        <w:shd w:fill="FFFFFF" w:color="auto" w:val="clear"/>
                      </w:rPr>
                      <w:t> </w:t>
                    </w:r>
                    <w:r>
                      <w:rPr>
                        <w:sz w:val="24"/>
                        <w:shd w:fill="FFFFFF" w:color="auto" w:val="clear"/>
                      </w:rPr>
                      <w:t> a) </w:t>
                    </w:r>
                  </w:p>
                </w:txbxContent>
              </v:textbox>
              <w10:wrap type="none"/>
            </v:shape>
            <v:shape style="position:absolute;left:6391;top:3254;width:419;height:240" type="#_x0000_t202" filled="false" stroked="false">
              <v:textbox inset="0,0,0,0">
                <w:txbxContent>
                  <w:p>
                    <w:pPr>
                      <w:spacing w:line="240" w:lineRule="exact" w:before="0"/>
                      <w:ind w:left="0" w:right="0" w:firstLine="0"/>
                      <w:jc w:val="left"/>
                      <w:rPr>
                        <w:sz w:val="24"/>
                      </w:rPr>
                    </w:pPr>
                    <w:r>
                      <w:rPr>
                        <w:w w:val="100"/>
                        <w:sz w:val="24"/>
                        <w:shd w:fill="FFFFFF" w:color="auto" w:val="clear"/>
                      </w:rPr>
                      <w:t> </w:t>
                    </w:r>
                    <w:r>
                      <w:rPr>
                        <w:sz w:val="24"/>
                        <w:shd w:fill="FFFFFF" w:color="auto" w:val="clear"/>
                      </w:rPr>
                      <w:t> b) </w:t>
                    </w:r>
                  </w:p>
                </w:txbxContent>
              </v:textbox>
              <w10:wrap type="none"/>
            </v:shape>
            <w10:wrap type="topAndBottom"/>
          </v:group>
        </w:pict>
      </w:r>
      <w:r>
        <w:rPr/>
        <w:t>Los efectos de la radiación gamma sobre las fibras de llanta se pueden observar en la Figura 10. Las fibras irradiadas a 50 KGy presentan deterioro sobre sus superficies. Al incrementar la dosis, a 100 </w:t>
      </w:r>
      <w:r>
        <w:rPr>
          <w:spacing w:val="-6"/>
        </w:rPr>
        <w:t>KGy, </w:t>
      </w:r>
      <w:r>
        <w:rPr/>
        <w:t>es más prominente el deterioro, se observan superficies más rugosas, además de un mayor número de partículas dispersas (Figura 10b). Esto evidencia un mayor grado de degradación, es decir  se tiene mayor rompimiento de cadenas poliméricas del elastómero de llanta cuando es irradiada a una dosis de 100</w:t>
      </w:r>
      <w:r>
        <w:rPr>
          <w:spacing w:val="-15"/>
        </w:rPr>
        <w:t> </w:t>
      </w:r>
      <w:r>
        <w:rPr>
          <w:spacing w:val="-5"/>
        </w:rPr>
        <w:t>KGy.</w:t>
      </w:r>
    </w:p>
    <w:p>
      <w:pPr>
        <w:pStyle w:val="BodyText"/>
        <w:spacing w:line="242" w:lineRule="auto" w:before="9"/>
        <w:ind w:left="505" w:right="293"/>
        <w:jc w:val="center"/>
      </w:pPr>
      <w:bookmarkStart w:name="_bookmark55" w:id="84"/>
      <w:bookmarkEnd w:id="84"/>
      <w:r>
        <w:rPr/>
      </w:r>
      <w:r>
        <w:rPr>
          <w:b/>
        </w:rPr>
        <w:t>Figura 10</w:t>
      </w:r>
      <w:r>
        <w:rPr/>
        <w:t>. Imágenes SEM de las fibras de llantas irradiadas: a) 50 kGy, y b) 100 kGy.</w:t>
      </w:r>
    </w:p>
    <w:p>
      <w:pPr>
        <w:spacing w:after="0" w:line="242" w:lineRule="auto"/>
        <w:jc w:val="center"/>
        <w:sectPr>
          <w:pgSz w:w="12240" w:h="15840"/>
          <w:pgMar w:header="0" w:footer="975" w:top="1360" w:bottom="1220" w:left="1300" w:right="1520"/>
        </w:sectPr>
      </w:pPr>
    </w:p>
    <w:p>
      <w:pPr>
        <w:pStyle w:val="BodyText"/>
        <w:spacing w:before="7"/>
        <w:rPr>
          <w:sz w:val="22"/>
        </w:rPr>
      </w:pPr>
    </w:p>
    <w:p>
      <w:pPr>
        <w:pStyle w:val="BodyText"/>
        <w:spacing w:line="360" w:lineRule="auto" w:before="69"/>
        <w:ind w:left="102" w:right="115"/>
        <w:jc w:val="both"/>
      </w:pPr>
      <w:r>
        <w:rPr/>
        <w:t>Las imágenes SEM reafirman los resultados obtenidos en las pruebas mecánicas. Para el caso de concretos con fibras irradiadas a 100 KGy se obtuvieron mayores resistencias en flexión y compresión; en este caso las fibras presentan superficies con mayor degradación, lo cual contribuye al incremento de estas propiedades. Para el caso de concretos con fibras irradiadas a 50 KGy se encontraron las mayores deformaciones; este tipo de fibras irradiadas presenta menor  degradación superficial, lo que permite que el concreto tenga mayor</w:t>
      </w:r>
      <w:r>
        <w:rPr>
          <w:spacing w:val="-25"/>
        </w:rPr>
        <w:t> </w:t>
      </w:r>
      <w:r>
        <w:rPr/>
        <w:t>deformación.</w:t>
      </w:r>
    </w:p>
    <w:p>
      <w:pPr>
        <w:pStyle w:val="BodyText"/>
      </w:pPr>
    </w:p>
    <w:p>
      <w:pPr>
        <w:pStyle w:val="BodyText"/>
        <w:spacing w:line="360" w:lineRule="auto" w:before="142"/>
        <w:ind w:left="102" w:right="116"/>
        <w:jc w:val="both"/>
      </w:pPr>
      <w:r>
        <w:rPr/>
        <w:t>Los polímeros susceptibles a la degradación como el elastómero natural o el butilo presentan una “competencia” entre el rompimiento y entrecruzamiento de cadenas cuando son sometidos a radiación (Zaharescu T. y col. 1998). Como se ha mencionado, las fibras con mayor degradación superficial poseen mayor grado de “anclaje” que las superficies más lisas o uniformes; esto permite mayor grado de adherencia entre la fibra y la superficie polimérica, indispensable para la mejora de las propiedades mecánicas del concreto. Más aún, cuando se añade mayor cantidad de fibra de cierto tamaño en los concretos, se pueden llenar los poros de la matriz polimérica, logrando una mejor interacción elastómero -polímero.</w:t>
      </w:r>
    </w:p>
    <w:p>
      <w:pPr>
        <w:pStyle w:val="BodyText"/>
      </w:pPr>
    </w:p>
    <w:p>
      <w:pPr>
        <w:pStyle w:val="BodyText"/>
        <w:spacing w:line="360" w:lineRule="auto" w:before="142"/>
        <w:ind w:left="102" w:right="116"/>
        <w:jc w:val="both"/>
      </w:pPr>
      <w:r>
        <w:rPr/>
        <w:t>La degradación en elastómeros ha sido observada por investigadores; en mezclas irradiadas de elastómero reciclado de llanta, elastómero de nitrilo y glicidil metacrilato (RRP/NBR/GMA) a diferentes dosis de radiación; se encontró deterioro y la presencia de espacios vacíos sobre las superficies a dosis de 100  kGy (Hassan et. al., 2013)</w:t>
      </w:r>
    </w:p>
    <w:p>
      <w:pPr>
        <w:spacing w:after="0" w:line="360" w:lineRule="auto"/>
        <w:jc w:val="both"/>
        <w:sectPr>
          <w:pgSz w:w="12240" w:h="15840"/>
          <w:pgMar w:header="0" w:footer="975" w:top="1500" w:bottom="1220" w:left="1600" w:right="1580"/>
        </w:sectPr>
      </w:pPr>
    </w:p>
    <w:p>
      <w:pPr>
        <w:pStyle w:val="Heading2"/>
        <w:numPr>
          <w:ilvl w:val="1"/>
          <w:numId w:val="12"/>
        </w:numPr>
        <w:tabs>
          <w:tab w:pos="506" w:val="left" w:leader="none"/>
        </w:tabs>
        <w:spacing w:line="240" w:lineRule="auto" w:before="54" w:after="0"/>
        <w:ind w:left="505" w:right="0" w:hanging="403"/>
        <w:jc w:val="both"/>
      </w:pPr>
      <w:bookmarkStart w:name="_bookmark56" w:id="85"/>
      <w:bookmarkEnd w:id="85"/>
      <w:r>
        <w:rPr>
          <w:b w:val="0"/>
        </w:rPr>
      </w:r>
      <w:bookmarkStart w:name="_bookmark56" w:id="86"/>
      <w:bookmarkEnd w:id="86"/>
      <w:r>
        <w:rPr/>
        <w:t>E</w:t>
      </w:r>
      <w:r>
        <w:rPr/>
        <w:t>spectrocopía Infrarroja de las fibras sin irradiar e</w:t>
      </w:r>
      <w:r>
        <w:rPr>
          <w:spacing w:val="-17"/>
        </w:rPr>
        <w:t> </w:t>
      </w:r>
      <w:r>
        <w:rPr/>
        <w:t>irradiadas</w:t>
      </w:r>
    </w:p>
    <w:p>
      <w:pPr>
        <w:pStyle w:val="BodyText"/>
        <w:rPr>
          <w:b/>
        </w:rPr>
      </w:pPr>
    </w:p>
    <w:p>
      <w:pPr>
        <w:pStyle w:val="BodyText"/>
        <w:rPr>
          <w:b/>
        </w:rPr>
      </w:pPr>
    </w:p>
    <w:p>
      <w:pPr>
        <w:pStyle w:val="BodyText"/>
        <w:spacing w:line="360" w:lineRule="auto"/>
        <w:ind w:left="102" w:right="118"/>
        <w:jc w:val="both"/>
      </w:pPr>
      <w:r>
        <w:rPr/>
        <w:t>Los efectos provocados por la radiación gamma en los elastómeros de llanta reciclada, fueron analizados mediante espectroscopía infrarroja.</w:t>
      </w:r>
    </w:p>
    <w:p>
      <w:pPr>
        <w:pStyle w:val="BodyText"/>
        <w:spacing w:before="2"/>
        <w:ind w:left="102"/>
        <w:jc w:val="both"/>
      </w:pPr>
      <w:r>
        <w:rPr>
          <w:w w:val="100"/>
        </w:rPr>
        <w:t>.</w:t>
      </w:r>
    </w:p>
    <w:p>
      <w:pPr>
        <w:pStyle w:val="BodyText"/>
        <w:spacing w:line="355" w:lineRule="auto" w:before="139"/>
        <w:ind w:left="102" w:right="117"/>
        <w:jc w:val="both"/>
      </w:pPr>
      <w:r>
        <w:rPr/>
        <w:t>Para el análisis de las bandas de infrarrojo de las fibras, el espectro fue dividido en dos regiones: 1) de 3500 a 2000 cm</w:t>
      </w:r>
      <w:r>
        <w:rPr>
          <w:position w:val="8"/>
          <w:sz w:val="16"/>
        </w:rPr>
        <w:t>-1</w:t>
      </w:r>
      <w:r>
        <w:rPr/>
        <w:t>, y 2) de 2000 a 800 cm</w:t>
      </w:r>
      <w:r>
        <w:rPr>
          <w:position w:val="8"/>
          <w:sz w:val="16"/>
        </w:rPr>
        <w:t>-1</w:t>
      </w:r>
      <w:r>
        <w:rPr/>
        <w:t>.</w:t>
      </w:r>
    </w:p>
    <w:p>
      <w:pPr>
        <w:pStyle w:val="BodyText"/>
        <w:spacing w:before="5"/>
        <w:rPr>
          <w:sz w:val="36"/>
        </w:rPr>
      </w:pPr>
    </w:p>
    <w:p>
      <w:pPr>
        <w:pStyle w:val="BodyText"/>
        <w:spacing w:line="360" w:lineRule="auto"/>
        <w:ind w:left="102" w:right="125"/>
        <w:jc w:val="both"/>
      </w:pPr>
      <w:r>
        <w:rPr/>
        <w:t>Cabe recordar que las llantas están compuestas principalmente por 3 tipos de elastómeros: Isopreno (NR), estireno butadieno (SBR) y estiireno butadieno estireno (SBS) por sus siglas en ingles (Figura 1).</w:t>
      </w:r>
    </w:p>
    <w:p>
      <w:pPr>
        <w:pStyle w:val="BodyText"/>
      </w:pPr>
    </w:p>
    <w:p>
      <w:pPr>
        <w:pStyle w:val="BodyText"/>
        <w:spacing w:line="360" w:lineRule="auto" w:before="142"/>
        <w:ind w:left="102" w:right="116"/>
        <w:jc w:val="both"/>
      </w:pPr>
      <w:r>
        <w:rPr/>
        <w:t>En la Figura 11 se muestra el espectro infrarrojo de la primera región de las fibras sin irradiar.</w:t>
      </w:r>
    </w:p>
    <w:p>
      <w:pPr>
        <w:pStyle w:val="BodyText"/>
        <w:rPr>
          <w:sz w:val="20"/>
        </w:rPr>
      </w:pPr>
    </w:p>
    <w:p>
      <w:pPr>
        <w:pStyle w:val="BodyText"/>
        <w:rPr>
          <w:sz w:val="13"/>
        </w:rPr>
      </w:pPr>
      <w:r>
        <w:rPr/>
        <w:drawing>
          <wp:anchor distT="0" distB="0" distL="0" distR="0" allowOverlap="1" layoutInCell="1" locked="0" behindDoc="0" simplePos="0" relativeHeight="1624">
            <wp:simplePos x="0" y="0"/>
            <wp:positionH relativeFrom="page">
              <wp:posOffset>1549908</wp:posOffset>
            </wp:positionH>
            <wp:positionV relativeFrom="paragraph">
              <wp:posOffset>119949</wp:posOffset>
            </wp:positionV>
            <wp:extent cx="4682198" cy="3107721"/>
            <wp:effectExtent l="0" t="0" r="0" b="0"/>
            <wp:wrapTopAndBottom/>
            <wp:docPr id="27" name="image20.jpeg" descr=""/>
            <wp:cNvGraphicFramePr>
              <a:graphicFrameLocks noChangeAspect="1"/>
            </wp:cNvGraphicFramePr>
            <a:graphic>
              <a:graphicData uri="http://schemas.openxmlformats.org/drawingml/2006/picture">
                <pic:pic>
                  <pic:nvPicPr>
                    <pic:cNvPr id="28" name="image20.jpeg"/>
                    <pic:cNvPicPr/>
                  </pic:nvPicPr>
                  <pic:blipFill>
                    <a:blip r:embed="rId25" cstate="print"/>
                    <a:stretch>
                      <a:fillRect/>
                    </a:stretch>
                  </pic:blipFill>
                  <pic:spPr>
                    <a:xfrm>
                      <a:off x="0" y="0"/>
                      <a:ext cx="4682198" cy="3107721"/>
                    </a:xfrm>
                    <a:prstGeom prst="rect">
                      <a:avLst/>
                    </a:prstGeom>
                  </pic:spPr>
                </pic:pic>
              </a:graphicData>
            </a:graphic>
          </wp:anchor>
        </w:drawing>
      </w:r>
    </w:p>
    <w:p>
      <w:pPr>
        <w:pStyle w:val="BodyText"/>
        <w:spacing w:before="100"/>
        <w:ind w:left="366"/>
      </w:pPr>
      <w:bookmarkStart w:name="_bookmark57" w:id="87"/>
      <w:bookmarkEnd w:id="87"/>
      <w:r>
        <w:rPr/>
      </w:r>
      <w:r>
        <w:rPr>
          <w:b/>
        </w:rPr>
        <w:t>Figura 11</w:t>
      </w:r>
      <w:r>
        <w:rPr/>
        <w:t>. Región 3500-2000 cm</w:t>
      </w:r>
      <w:r>
        <w:rPr>
          <w:position w:val="8"/>
          <w:sz w:val="16"/>
        </w:rPr>
        <w:t>-1 </w:t>
      </w:r>
      <w:r>
        <w:rPr/>
        <w:t>del espectro infrarrojo de fibras sin irradiar.</w:t>
      </w:r>
    </w:p>
    <w:p>
      <w:pPr>
        <w:spacing w:after="0"/>
        <w:sectPr>
          <w:pgSz w:w="12240" w:h="15840"/>
          <w:pgMar w:header="0" w:footer="975" w:top="1360" w:bottom="1220" w:left="1600" w:right="1580"/>
        </w:sectPr>
      </w:pPr>
    </w:p>
    <w:p>
      <w:pPr>
        <w:pStyle w:val="BodyText"/>
        <w:spacing w:line="362" w:lineRule="auto" w:before="54"/>
        <w:ind w:left="102" w:right="124"/>
      </w:pPr>
      <w:r>
        <w:rPr/>
        <w:t>Se distinguen tres bandas principales, cuyas asignaciones se mencionan en la Tabla 14.</w:t>
      </w:r>
    </w:p>
    <w:p>
      <w:pPr>
        <w:pStyle w:val="BodyText"/>
      </w:pPr>
    </w:p>
    <w:p>
      <w:pPr>
        <w:spacing w:line="244" w:lineRule="auto" w:before="175"/>
        <w:ind w:left="4216" w:right="0" w:hanging="3786"/>
        <w:jc w:val="left"/>
        <w:rPr>
          <w:sz w:val="22"/>
        </w:rPr>
      </w:pPr>
      <w:bookmarkStart w:name="_bookmark58" w:id="88"/>
      <w:bookmarkEnd w:id="88"/>
      <w:r>
        <w:rPr/>
      </w:r>
      <w:r>
        <w:rPr>
          <w:b/>
          <w:sz w:val="22"/>
        </w:rPr>
        <w:t>Tabla 14. </w:t>
      </w:r>
      <w:r>
        <w:rPr>
          <w:sz w:val="22"/>
        </w:rPr>
        <w:t>Asignación de bandas de infrarrojo de las fibras de llanta (Govind Prasad, 2011).</w:t>
      </w:r>
    </w:p>
    <w:p>
      <w:pPr>
        <w:pStyle w:val="BodyText"/>
        <w:rPr>
          <w:sz w:val="17"/>
        </w:rPr>
      </w:pPr>
    </w:p>
    <w:tbl>
      <w:tblPr>
        <w:tblW w:w="0" w:type="auto"/>
        <w:jc w:val="left"/>
        <w:tblInd w:w="1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01"/>
        <w:gridCol w:w="3880"/>
      </w:tblGrid>
      <w:tr>
        <w:trPr>
          <w:trHeight w:val="391" w:hRule="exact"/>
        </w:trPr>
        <w:tc>
          <w:tcPr>
            <w:tcW w:w="2501" w:type="dxa"/>
            <w:tcBorders>
              <w:left w:val="nil"/>
              <w:right w:val="nil"/>
            </w:tcBorders>
          </w:tcPr>
          <w:p>
            <w:pPr>
              <w:pStyle w:val="TableParagraph"/>
              <w:spacing w:line="248" w:lineRule="exact"/>
              <w:ind w:left="217" w:right="921"/>
              <w:rPr>
                <w:b/>
                <w:sz w:val="22"/>
              </w:rPr>
            </w:pPr>
            <w:r>
              <w:rPr>
                <w:b/>
                <w:sz w:val="22"/>
              </w:rPr>
              <w:t>Banda (cm</w:t>
            </w:r>
            <w:r>
              <w:rPr>
                <w:b/>
                <w:position w:val="8"/>
                <w:sz w:val="14"/>
              </w:rPr>
              <w:t>-1</w:t>
            </w:r>
            <w:r>
              <w:rPr>
                <w:b/>
                <w:sz w:val="22"/>
              </w:rPr>
              <w:t>)</w:t>
            </w:r>
          </w:p>
        </w:tc>
        <w:tc>
          <w:tcPr>
            <w:tcW w:w="3880" w:type="dxa"/>
            <w:tcBorders>
              <w:left w:val="nil"/>
              <w:right w:val="nil"/>
            </w:tcBorders>
          </w:tcPr>
          <w:p>
            <w:pPr>
              <w:pStyle w:val="TableParagraph"/>
              <w:spacing w:line="248" w:lineRule="exact"/>
              <w:ind w:left="922" w:right="1624"/>
              <w:rPr>
                <w:b/>
                <w:sz w:val="22"/>
              </w:rPr>
            </w:pPr>
            <w:r>
              <w:rPr>
                <w:b/>
                <w:sz w:val="22"/>
              </w:rPr>
              <w:t>Asignación</w:t>
            </w:r>
          </w:p>
        </w:tc>
      </w:tr>
      <w:tr>
        <w:trPr>
          <w:trHeight w:val="350" w:hRule="exact"/>
        </w:trPr>
        <w:tc>
          <w:tcPr>
            <w:tcW w:w="2501" w:type="dxa"/>
            <w:tcBorders>
              <w:left w:val="nil"/>
              <w:bottom w:val="nil"/>
              <w:right w:val="nil"/>
            </w:tcBorders>
          </w:tcPr>
          <w:p>
            <w:pPr>
              <w:pStyle w:val="TableParagraph"/>
              <w:spacing w:line="251" w:lineRule="exact"/>
              <w:ind w:left="217" w:right="920"/>
              <w:rPr>
                <w:sz w:val="22"/>
              </w:rPr>
            </w:pPr>
            <w:r>
              <w:rPr>
                <w:sz w:val="22"/>
              </w:rPr>
              <w:t>3294</w:t>
            </w:r>
          </w:p>
        </w:tc>
        <w:tc>
          <w:tcPr>
            <w:tcW w:w="3880" w:type="dxa"/>
            <w:tcBorders>
              <w:left w:val="nil"/>
              <w:bottom w:val="nil"/>
              <w:right w:val="nil"/>
            </w:tcBorders>
          </w:tcPr>
          <w:p>
            <w:pPr>
              <w:pStyle w:val="TableParagraph"/>
              <w:spacing w:line="269" w:lineRule="exact"/>
              <w:ind w:left="922" w:right="1628"/>
              <w:rPr>
                <w:sz w:val="22"/>
              </w:rPr>
            </w:pPr>
            <w:r>
              <w:rPr>
                <w:rFonts w:ascii="Symbol" w:hAnsi="Symbol"/>
                <w:sz w:val="22"/>
              </w:rPr>
              <w:t></w:t>
            </w:r>
            <w:r>
              <w:rPr>
                <w:sz w:val="22"/>
              </w:rPr>
              <w:t>s NH Kevlar</w:t>
            </w:r>
          </w:p>
        </w:tc>
      </w:tr>
      <w:tr>
        <w:trPr>
          <w:trHeight w:val="406" w:hRule="exact"/>
        </w:trPr>
        <w:tc>
          <w:tcPr>
            <w:tcW w:w="2501" w:type="dxa"/>
            <w:tcBorders>
              <w:top w:val="nil"/>
              <w:left w:val="nil"/>
              <w:bottom w:val="nil"/>
              <w:right w:val="nil"/>
            </w:tcBorders>
          </w:tcPr>
          <w:p>
            <w:pPr>
              <w:pStyle w:val="TableParagraph"/>
              <w:spacing w:before="55"/>
              <w:ind w:left="217" w:right="920"/>
              <w:rPr>
                <w:sz w:val="22"/>
              </w:rPr>
            </w:pPr>
            <w:r>
              <w:rPr>
                <w:sz w:val="22"/>
              </w:rPr>
              <w:t>2930</w:t>
            </w:r>
          </w:p>
        </w:tc>
        <w:tc>
          <w:tcPr>
            <w:tcW w:w="3880" w:type="dxa"/>
            <w:tcBorders>
              <w:top w:val="nil"/>
              <w:left w:val="nil"/>
              <w:bottom w:val="nil"/>
              <w:right w:val="nil"/>
            </w:tcBorders>
          </w:tcPr>
          <w:p>
            <w:pPr>
              <w:pStyle w:val="TableParagraph"/>
              <w:spacing w:before="56"/>
              <w:ind w:left="922" w:right="1624"/>
              <w:rPr>
                <w:sz w:val="14"/>
              </w:rPr>
            </w:pPr>
            <w:r>
              <w:rPr>
                <w:rFonts w:ascii="Symbol" w:hAnsi="Symbol"/>
                <w:position w:val="2"/>
                <w:sz w:val="22"/>
              </w:rPr>
              <w:t></w:t>
            </w:r>
            <w:r>
              <w:rPr>
                <w:position w:val="2"/>
                <w:sz w:val="16"/>
              </w:rPr>
              <w:t>s </w:t>
            </w:r>
            <w:r>
              <w:rPr>
                <w:position w:val="2"/>
                <w:sz w:val="22"/>
              </w:rPr>
              <w:t>CH</w:t>
            </w:r>
            <w:r>
              <w:rPr>
                <w:sz w:val="14"/>
              </w:rPr>
              <w:t>2</w:t>
            </w:r>
          </w:p>
        </w:tc>
      </w:tr>
      <w:tr>
        <w:trPr>
          <w:trHeight w:val="465" w:hRule="exact"/>
        </w:trPr>
        <w:tc>
          <w:tcPr>
            <w:tcW w:w="2501" w:type="dxa"/>
            <w:tcBorders>
              <w:top w:val="nil"/>
              <w:left w:val="nil"/>
              <w:right w:val="nil"/>
            </w:tcBorders>
          </w:tcPr>
          <w:p>
            <w:pPr>
              <w:pStyle w:val="TableParagraph"/>
              <w:spacing w:before="54"/>
              <w:ind w:left="217" w:right="920"/>
              <w:rPr>
                <w:sz w:val="22"/>
              </w:rPr>
            </w:pPr>
            <w:r>
              <w:rPr>
                <w:sz w:val="22"/>
              </w:rPr>
              <w:t>2860</w:t>
            </w:r>
          </w:p>
        </w:tc>
        <w:tc>
          <w:tcPr>
            <w:tcW w:w="3880" w:type="dxa"/>
            <w:tcBorders>
              <w:top w:val="nil"/>
              <w:left w:val="nil"/>
              <w:right w:val="nil"/>
            </w:tcBorders>
          </w:tcPr>
          <w:p>
            <w:pPr>
              <w:pStyle w:val="TableParagraph"/>
              <w:spacing w:before="56"/>
              <w:ind w:left="922" w:right="1624"/>
              <w:rPr>
                <w:sz w:val="14"/>
              </w:rPr>
            </w:pPr>
            <w:r>
              <w:rPr>
                <w:rFonts w:ascii="Symbol" w:hAnsi="Symbol"/>
                <w:position w:val="2"/>
                <w:sz w:val="22"/>
              </w:rPr>
              <w:t></w:t>
            </w:r>
            <w:r>
              <w:rPr>
                <w:position w:val="2"/>
                <w:sz w:val="16"/>
              </w:rPr>
              <w:t>s </w:t>
            </w:r>
            <w:r>
              <w:rPr>
                <w:position w:val="2"/>
                <w:sz w:val="22"/>
              </w:rPr>
              <w:t>CH</w:t>
            </w:r>
            <w:r>
              <w:rPr>
                <w:sz w:val="14"/>
              </w:rPr>
              <w:t>2</w:t>
            </w:r>
          </w:p>
        </w:tc>
      </w:tr>
    </w:tbl>
    <w:p>
      <w:pPr>
        <w:pStyle w:val="BodyText"/>
        <w:rPr>
          <w:sz w:val="20"/>
        </w:rPr>
      </w:pPr>
    </w:p>
    <w:p>
      <w:pPr>
        <w:pStyle w:val="BodyText"/>
        <w:rPr>
          <w:sz w:val="20"/>
        </w:rPr>
      </w:pPr>
    </w:p>
    <w:p>
      <w:pPr>
        <w:pStyle w:val="BodyText"/>
        <w:spacing w:line="357" w:lineRule="auto" w:before="230"/>
        <w:ind w:left="102" w:right="115"/>
        <w:jc w:val="both"/>
      </w:pPr>
      <w:r>
        <w:rPr/>
        <w:t>Algunas llantas utilizan como refuerzo el poliparafenileno tereftalamida (PPTA), comercialmente conocido como Kevlar debido a la alta resistencia a la perforación que aporta. La banda presente a 3294 cm</w:t>
      </w:r>
      <w:r>
        <w:rPr>
          <w:position w:val="8"/>
          <w:sz w:val="16"/>
        </w:rPr>
        <w:t>-1 </w:t>
      </w:r>
      <w:r>
        <w:rPr/>
        <w:t>corresponde a vibraciones de estiramiento NH característica de las amidas, así como las bandas presentes a 1635, y 1260 cm</w:t>
      </w:r>
      <w:r>
        <w:rPr>
          <w:position w:val="8"/>
          <w:sz w:val="16"/>
        </w:rPr>
        <w:t>-1</w:t>
      </w:r>
      <w:r>
        <w:rPr/>
        <w:t>. (Chatzi E. G. y Koenig J. L., 1987).</w:t>
      </w:r>
    </w:p>
    <w:p>
      <w:pPr>
        <w:pStyle w:val="BodyText"/>
        <w:spacing w:before="9"/>
        <w:rPr>
          <w:sz w:val="35"/>
        </w:rPr>
      </w:pPr>
    </w:p>
    <w:p>
      <w:pPr>
        <w:pStyle w:val="BodyText"/>
        <w:spacing w:before="1"/>
        <w:ind w:left="102"/>
        <w:jc w:val="both"/>
        <w:rPr>
          <w:sz w:val="16"/>
        </w:rPr>
      </w:pPr>
      <w:r>
        <w:rPr/>
        <w:t>Los compuestos hidrocarburados localizados entre las bandas de 2930 y 2860 cm</w:t>
      </w:r>
      <w:r>
        <w:rPr>
          <w:position w:val="8"/>
          <w:sz w:val="16"/>
        </w:rPr>
        <w:t>-</w:t>
      </w:r>
    </w:p>
    <w:p>
      <w:pPr>
        <w:pStyle w:val="BodyText"/>
        <w:spacing w:line="360" w:lineRule="auto" w:before="132"/>
        <w:ind w:left="102" w:right="120"/>
        <w:jc w:val="both"/>
      </w:pPr>
      <w:r>
        <w:rPr>
          <w:position w:val="8"/>
          <w:sz w:val="16"/>
        </w:rPr>
        <w:t>1 </w:t>
      </w:r>
      <w:r>
        <w:rPr/>
        <w:t>corresponden tanto al SBS y SBR, como al isopreno presente en el elastómero  de</w:t>
      </w:r>
      <w:r>
        <w:rPr>
          <w:spacing w:val="-1"/>
        </w:rPr>
        <w:t> </w:t>
      </w:r>
      <w:r>
        <w:rPr/>
        <w:t>llanta.</w:t>
      </w:r>
    </w:p>
    <w:p>
      <w:pPr>
        <w:pStyle w:val="BodyText"/>
        <w:spacing w:before="2"/>
      </w:pPr>
    </w:p>
    <w:p>
      <w:pPr>
        <w:pStyle w:val="BodyText"/>
        <w:spacing w:line="360" w:lineRule="auto"/>
        <w:ind w:left="102" w:right="118"/>
        <w:jc w:val="both"/>
      </w:pPr>
      <w:r>
        <w:rPr/>
        <w:t>La segunda región del espectro se muestra en la Figura 12; y la asignación de las bandas en la Tabla 15.</w:t>
      </w:r>
    </w:p>
    <w:p>
      <w:pPr>
        <w:spacing w:after="0" w:line="360" w:lineRule="auto"/>
        <w:jc w:val="both"/>
        <w:sectPr>
          <w:pgSz w:w="12240" w:h="15840"/>
          <w:pgMar w:header="0" w:footer="975" w:top="1360" w:bottom="1220" w:left="1600" w:right="1580"/>
        </w:sectPr>
      </w:pPr>
    </w:p>
    <w:p>
      <w:pPr>
        <w:pStyle w:val="BodyText"/>
        <w:ind w:left="814"/>
        <w:rPr>
          <w:sz w:val="20"/>
        </w:rPr>
      </w:pPr>
      <w:r>
        <w:rPr>
          <w:sz w:val="20"/>
        </w:rPr>
        <w:drawing>
          <wp:inline distT="0" distB="0" distL="0" distR="0">
            <wp:extent cx="4691277" cy="3855720"/>
            <wp:effectExtent l="0" t="0" r="0" b="0"/>
            <wp:docPr id="29" name="image21.jpeg" descr=""/>
            <wp:cNvGraphicFramePr>
              <a:graphicFrameLocks noChangeAspect="1"/>
            </wp:cNvGraphicFramePr>
            <a:graphic>
              <a:graphicData uri="http://schemas.openxmlformats.org/drawingml/2006/picture">
                <pic:pic>
                  <pic:nvPicPr>
                    <pic:cNvPr id="30" name="image21.jpeg"/>
                    <pic:cNvPicPr/>
                  </pic:nvPicPr>
                  <pic:blipFill>
                    <a:blip r:embed="rId26" cstate="print"/>
                    <a:stretch>
                      <a:fillRect/>
                    </a:stretch>
                  </pic:blipFill>
                  <pic:spPr>
                    <a:xfrm>
                      <a:off x="0" y="0"/>
                      <a:ext cx="4691277" cy="3855720"/>
                    </a:xfrm>
                    <a:prstGeom prst="rect">
                      <a:avLst/>
                    </a:prstGeom>
                  </pic:spPr>
                </pic:pic>
              </a:graphicData>
            </a:graphic>
          </wp:inline>
        </w:drawing>
      </w:r>
      <w:r>
        <w:rPr>
          <w:sz w:val="20"/>
        </w:rPr>
      </w:r>
    </w:p>
    <w:p>
      <w:pPr>
        <w:pStyle w:val="BodyText"/>
        <w:spacing w:before="146"/>
        <w:ind w:left="430" w:hanging="5"/>
      </w:pPr>
      <w:bookmarkStart w:name="_bookmark59" w:id="89"/>
      <w:bookmarkEnd w:id="89"/>
      <w:r>
        <w:rPr/>
      </w:r>
      <w:r>
        <w:rPr>
          <w:b/>
        </w:rPr>
        <w:t>Figura 12</w:t>
      </w:r>
      <w:r>
        <w:rPr/>
        <w:t>. Región 2000-800 cm</w:t>
      </w:r>
      <w:r>
        <w:rPr>
          <w:position w:val="8"/>
          <w:sz w:val="16"/>
        </w:rPr>
        <w:t>-1 </w:t>
      </w:r>
      <w:r>
        <w:rPr/>
        <w:t>del espectro infrarrojo de fibras sin irradiar.</w:t>
      </w:r>
    </w:p>
    <w:p>
      <w:pPr>
        <w:pStyle w:val="BodyText"/>
        <w:rPr>
          <w:sz w:val="26"/>
        </w:rPr>
      </w:pPr>
    </w:p>
    <w:p>
      <w:pPr>
        <w:pStyle w:val="BodyText"/>
        <w:rPr>
          <w:sz w:val="26"/>
        </w:rPr>
      </w:pPr>
    </w:p>
    <w:p>
      <w:pPr>
        <w:spacing w:before="153"/>
        <w:ind w:left="4216" w:right="0" w:hanging="3786"/>
        <w:jc w:val="left"/>
        <w:rPr>
          <w:sz w:val="22"/>
        </w:rPr>
      </w:pPr>
      <w:bookmarkStart w:name="_bookmark60" w:id="90"/>
      <w:bookmarkEnd w:id="90"/>
      <w:r>
        <w:rPr/>
      </w:r>
      <w:r>
        <w:rPr>
          <w:b/>
          <w:sz w:val="22"/>
        </w:rPr>
        <w:t>Tabla 15</w:t>
      </w:r>
      <w:r>
        <w:rPr>
          <w:b/>
          <w:color w:val="4F81BC"/>
          <w:sz w:val="22"/>
        </w:rPr>
        <w:t>. </w:t>
      </w:r>
      <w:r>
        <w:rPr>
          <w:sz w:val="22"/>
        </w:rPr>
        <w:t>Asignación de bandas de infrarrojo de las fibras de llanta (Govind Prasad, 2011).</w:t>
      </w:r>
    </w:p>
    <w:p>
      <w:pPr>
        <w:pStyle w:val="BodyText"/>
        <w:spacing w:before="7"/>
        <w:rPr>
          <w:sz w:val="17"/>
        </w:rPr>
      </w:pPr>
    </w:p>
    <w:tbl>
      <w:tblPr>
        <w:tblW w:w="0" w:type="auto"/>
        <w:jc w:val="left"/>
        <w:tblInd w:w="1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61"/>
        <w:gridCol w:w="4519"/>
      </w:tblGrid>
      <w:tr>
        <w:trPr>
          <w:trHeight w:val="389" w:hRule="exact"/>
        </w:trPr>
        <w:tc>
          <w:tcPr>
            <w:tcW w:w="1861" w:type="dxa"/>
            <w:tcBorders>
              <w:left w:val="nil"/>
              <w:right w:val="nil"/>
            </w:tcBorders>
          </w:tcPr>
          <w:p>
            <w:pPr>
              <w:pStyle w:val="TableParagraph"/>
              <w:spacing w:line="248" w:lineRule="exact"/>
              <w:ind w:left="217" w:right="281"/>
              <w:rPr>
                <w:b/>
                <w:sz w:val="22"/>
              </w:rPr>
            </w:pPr>
            <w:r>
              <w:rPr>
                <w:b/>
                <w:sz w:val="22"/>
              </w:rPr>
              <w:t>Banda (cm</w:t>
            </w:r>
            <w:r>
              <w:rPr>
                <w:b/>
                <w:position w:val="8"/>
                <w:sz w:val="14"/>
              </w:rPr>
              <w:t>-1</w:t>
            </w:r>
            <w:r>
              <w:rPr>
                <w:b/>
                <w:sz w:val="22"/>
              </w:rPr>
              <w:t>)</w:t>
            </w:r>
          </w:p>
        </w:tc>
        <w:tc>
          <w:tcPr>
            <w:tcW w:w="4519" w:type="dxa"/>
            <w:tcBorders>
              <w:left w:val="nil"/>
              <w:right w:val="nil"/>
            </w:tcBorders>
          </w:tcPr>
          <w:p>
            <w:pPr>
              <w:pStyle w:val="TableParagraph"/>
              <w:spacing w:line="248" w:lineRule="exact"/>
              <w:ind w:left="289" w:right="352"/>
              <w:rPr>
                <w:b/>
                <w:sz w:val="22"/>
              </w:rPr>
            </w:pPr>
            <w:r>
              <w:rPr>
                <w:b/>
                <w:sz w:val="22"/>
              </w:rPr>
              <w:t>Asignación</w:t>
            </w:r>
          </w:p>
        </w:tc>
      </w:tr>
      <w:tr>
        <w:trPr>
          <w:trHeight w:val="351" w:hRule="exact"/>
        </w:trPr>
        <w:tc>
          <w:tcPr>
            <w:tcW w:w="1861" w:type="dxa"/>
            <w:tcBorders>
              <w:left w:val="nil"/>
              <w:bottom w:val="nil"/>
              <w:right w:val="nil"/>
            </w:tcBorders>
          </w:tcPr>
          <w:p>
            <w:pPr>
              <w:pStyle w:val="TableParagraph"/>
              <w:spacing w:line="251" w:lineRule="exact"/>
              <w:ind w:left="217" w:right="281"/>
              <w:rPr>
                <w:sz w:val="22"/>
              </w:rPr>
            </w:pPr>
            <w:r>
              <w:rPr>
                <w:sz w:val="22"/>
              </w:rPr>
              <w:t>1635</w:t>
            </w:r>
          </w:p>
        </w:tc>
        <w:tc>
          <w:tcPr>
            <w:tcW w:w="4519" w:type="dxa"/>
            <w:tcBorders>
              <w:left w:val="nil"/>
              <w:bottom w:val="nil"/>
              <w:right w:val="nil"/>
            </w:tcBorders>
          </w:tcPr>
          <w:p>
            <w:pPr>
              <w:pStyle w:val="TableParagraph"/>
              <w:spacing w:line="269" w:lineRule="exact"/>
              <w:ind w:left="289" w:right="354"/>
              <w:rPr>
                <w:sz w:val="22"/>
              </w:rPr>
            </w:pPr>
            <w:r>
              <w:rPr>
                <w:rFonts w:ascii="Symbol" w:hAnsi="Symbol"/>
                <w:sz w:val="22"/>
              </w:rPr>
              <w:t></w:t>
            </w:r>
            <w:r>
              <w:rPr>
                <w:rFonts w:ascii="Times New Roman" w:hAnsi="Times New Roman"/>
                <w:sz w:val="22"/>
              </w:rPr>
              <w:t> </w:t>
            </w:r>
            <w:r>
              <w:rPr>
                <w:sz w:val="22"/>
              </w:rPr>
              <w:t>C=C (del poli-isopreno), </w:t>
            </w:r>
            <w:r>
              <w:rPr>
                <w:rFonts w:ascii="Symbol" w:hAnsi="Symbol"/>
                <w:sz w:val="22"/>
              </w:rPr>
              <w:t></w:t>
            </w:r>
            <w:r>
              <w:rPr>
                <w:rFonts w:ascii="Times New Roman" w:hAnsi="Times New Roman"/>
                <w:sz w:val="22"/>
              </w:rPr>
              <w:t> </w:t>
            </w:r>
            <w:r>
              <w:rPr>
                <w:sz w:val="22"/>
              </w:rPr>
              <w:t>C=O kevlar</w:t>
            </w:r>
          </w:p>
        </w:tc>
      </w:tr>
      <w:tr>
        <w:trPr>
          <w:trHeight w:val="404" w:hRule="exact"/>
        </w:trPr>
        <w:tc>
          <w:tcPr>
            <w:tcW w:w="1861" w:type="dxa"/>
            <w:tcBorders>
              <w:top w:val="nil"/>
              <w:left w:val="nil"/>
              <w:bottom w:val="nil"/>
              <w:right w:val="nil"/>
            </w:tcBorders>
          </w:tcPr>
          <w:p>
            <w:pPr>
              <w:pStyle w:val="TableParagraph"/>
              <w:spacing w:before="56"/>
              <w:ind w:left="217" w:right="281"/>
              <w:rPr>
                <w:sz w:val="22"/>
              </w:rPr>
            </w:pPr>
            <w:r>
              <w:rPr>
                <w:sz w:val="22"/>
              </w:rPr>
              <w:t>1535</w:t>
            </w:r>
          </w:p>
        </w:tc>
        <w:tc>
          <w:tcPr>
            <w:tcW w:w="4519" w:type="dxa"/>
            <w:tcBorders>
              <w:top w:val="nil"/>
              <w:left w:val="nil"/>
              <w:bottom w:val="nil"/>
              <w:right w:val="nil"/>
            </w:tcBorders>
          </w:tcPr>
          <w:p>
            <w:pPr>
              <w:pStyle w:val="TableParagraph"/>
              <w:spacing w:before="58"/>
              <w:ind w:left="286" w:right="354"/>
              <w:rPr>
                <w:sz w:val="22"/>
              </w:rPr>
            </w:pPr>
            <w:r>
              <w:rPr>
                <w:rFonts w:ascii="Symbol" w:hAnsi="Symbol"/>
                <w:sz w:val="22"/>
              </w:rPr>
              <w:t></w:t>
            </w:r>
            <w:r>
              <w:rPr>
                <w:rFonts w:ascii="Times New Roman" w:hAnsi="Times New Roman"/>
                <w:sz w:val="22"/>
              </w:rPr>
              <w:t> </w:t>
            </w:r>
            <w:r>
              <w:rPr>
                <w:sz w:val="22"/>
              </w:rPr>
              <w:t>C=C (aromático del SBS)</w:t>
            </w:r>
          </w:p>
        </w:tc>
      </w:tr>
      <w:tr>
        <w:trPr>
          <w:trHeight w:val="385" w:hRule="exact"/>
        </w:trPr>
        <w:tc>
          <w:tcPr>
            <w:tcW w:w="1861" w:type="dxa"/>
            <w:tcBorders>
              <w:top w:val="nil"/>
              <w:left w:val="nil"/>
              <w:bottom w:val="nil"/>
              <w:right w:val="nil"/>
            </w:tcBorders>
          </w:tcPr>
          <w:p>
            <w:pPr>
              <w:pStyle w:val="TableParagraph"/>
              <w:spacing w:before="55"/>
              <w:ind w:left="217" w:right="281"/>
              <w:rPr>
                <w:sz w:val="22"/>
              </w:rPr>
            </w:pPr>
            <w:r>
              <w:rPr>
                <w:sz w:val="22"/>
              </w:rPr>
              <w:t>1462</w:t>
            </w:r>
          </w:p>
        </w:tc>
        <w:tc>
          <w:tcPr>
            <w:tcW w:w="4519" w:type="dxa"/>
            <w:tcBorders>
              <w:top w:val="nil"/>
              <w:left w:val="nil"/>
              <w:bottom w:val="nil"/>
              <w:right w:val="nil"/>
            </w:tcBorders>
          </w:tcPr>
          <w:p>
            <w:pPr>
              <w:pStyle w:val="TableParagraph"/>
              <w:spacing w:before="54"/>
              <w:ind w:left="289" w:right="354"/>
              <w:rPr>
                <w:sz w:val="14"/>
              </w:rPr>
            </w:pPr>
            <w:r>
              <w:rPr>
                <w:position w:val="2"/>
                <w:sz w:val="22"/>
              </w:rPr>
              <w:t>flexión CH</w:t>
            </w:r>
            <w:r>
              <w:rPr>
                <w:sz w:val="14"/>
              </w:rPr>
              <w:t>2</w:t>
            </w:r>
          </w:p>
        </w:tc>
      </w:tr>
      <w:tr>
        <w:trPr>
          <w:trHeight w:val="379" w:hRule="exact"/>
        </w:trPr>
        <w:tc>
          <w:tcPr>
            <w:tcW w:w="1861" w:type="dxa"/>
            <w:tcBorders>
              <w:top w:val="nil"/>
              <w:left w:val="nil"/>
              <w:bottom w:val="nil"/>
              <w:right w:val="nil"/>
            </w:tcBorders>
          </w:tcPr>
          <w:p>
            <w:pPr>
              <w:pStyle w:val="TableParagraph"/>
              <w:spacing w:before="50"/>
              <w:ind w:left="217" w:right="281"/>
              <w:rPr>
                <w:sz w:val="22"/>
              </w:rPr>
            </w:pPr>
            <w:r>
              <w:rPr>
                <w:sz w:val="22"/>
              </w:rPr>
              <w:t>1435</w:t>
            </w:r>
          </w:p>
        </w:tc>
        <w:tc>
          <w:tcPr>
            <w:tcW w:w="4519" w:type="dxa"/>
            <w:tcBorders>
              <w:top w:val="nil"/>
              <w:left w:val="nil"/>
              <w:bottom w:val="nil"/>
              <w:right w:val="nil"/>
            </w:tcBorders>
          </w:tcPr>
          <w:p>
            <w:pPr>
              <w:pStyle w:val="TableParagraph"/>
              <w:spacing w:before="49"/>
              <w:ind w:left="289" w:right="354"/>
              <w:rPr>
                <w:sz w:val="14"/>
              </w:rPr>
            </w:pPr>
            <w:r>
              <w:rPr>
                <w:position w:val="2"/>
                <w:sz w:val="22"/>
              </w:rPr>
              <w:t>flexión CH</w:t>
            </w:r>
            <w:r>
              <w:rPr>
                <w:sz w:val="14"/>
              </w:rPr>
              <w:t>2</w:t>
            </w:r>
          </w:p>
        </w:tc>
      </w:tr>
      <w:tr>
        <w:trPr>
          <w:trHeight w:val="379" w:hRule="exact"/>
        </w:trPr>
        <w:tc>
          <w:tcPr>
            <w:tcW w:w="1861" w:type="dxa"/>
            <w:tcBorders>
              <w:top w:val="nil"/>
              <w:left w:val="nil"/>
              <w:bottom w:val="nil"/>
              <w:right w:val="nil"/>
            </w:tcBorders>
          </w:tcPr>
          <w:p>
            <w:pPr>
              <w:pStyle w:val="TableParagraph"/>
              <w:spacing w:before="50"/>
              <w:ind w:left="217" w:right="281"/>
              <w:rPr>
                <w:sz w:val="22"/>
              </w:rPr>
            </w:pPr>
            <w:r>
              <w:rPr>
                <w:sz w:val="22"/>
              </w:rPr>
              <w:t>1373</w:t>
            </w:r>
          </w:p>
        </w:tc>
        <w:tc>
          <w:tcPr>
            <w:tcW w:w="4519" w:type="dxa"/>
            <w:tcBorders>
              <w:top w:val="nil"/>
              <w:left w:val="nil"/>
              <w:bottom w:val="nil"/>
              <w:right w:val="nil"/>
            </w:tcBorders>
          </w:tcPr>
          <w:p>
            <w:pPr>
              <w:pStyle w:val="TableParagraph"/>
              <w:spacing w:before="50"/>
              <w:ind w:left="288" w:right="354"/>
              <w:rPr>
                <w:sz w:val="22"/>
              </w:rPr>
            </w:pPr>
            <w:r>
              <w:rPr>
                <w:sz w:val="22"/>
              </w:rPr>
              <w:t>Flexión CH</w:t>
            </w:r>
          </w:p>
        </w:tc>
      </w:tr>
      <w:tr>
        <w:trPr>
          <w:trHeight w:val="383" w:hRule="exact"/>
        </w:trPr>
        <w:tc>
          <w:tcPr>
            <w:tcW w:w="1861" w:type="dxa"/>
            <w:tcBorders>
              <w:top w:val="nil"/>
              <w:left w:val="nil"/>
              <w:bottom w:val="nil"/>
              <w:right w:val="nil"/>
            </w:tcBorders>
          </w:tcPr>
          <w:p>
            <w:pPr>
              <w:pStyle w:val="TableParagraph"/>
              <w:spacing w:before="53"/>
              <w:ind w:left="217" w:right="281"/>
              <w:rPr>
                <w:sz w:val="22"/>
              </w:rPr>
            </w:pPr>
            <w:r>
              <w:rPr>
                <w:sz w:val="22"/>
              </w:rPr>
              <w:t>1261</w:t>
            </w:r>
          </w:p>
        </w:tc>
        <w:tc>
          <w:tcPr>
            <w:tcW w:w="4519" w:type="dxa"/>
            <w:tcBorders>
              <w:top w:val="nil"/>
              <w:left w:val="nil"/>
              <w:bottom w:val="nil"/>
              <w:right w:val="nil"/>
            </w:tcBorders>
          </w:tcPr>
          <w:p>
            <w:pPr>
              <w:pStyle w:val="TableParagraph"/>
              <w:spacing w:before="52"/>
              <w:ind w:left="286" w:right="354"/>
              <w:rPr>
                <w:sz w:val="22"/>
                <w:szCs w:val="22"/>
              </w:rPr>
            </w:pPr>
            <w:r>
              <w:rPr>
                <w:position w:val="2"/>
                <w:sz w:val="22"/>
                <w:szCs w:val="22"/>
              </w:rPr>
              <w:t>ᵟC-H</w:t>
            </w:r>
            <w:r>
              <w:rPr>
                <w:sz w:val="14"/>
                <w:szCs w:val="14"/>
              </w:rPr>
              <w:t>3 </w:t>
            </w:r>
            <w:r>
              <w:rPr>
                <w:position w:val="2"/>
                <w:sz w:val="22"/>
                <w:szCs w:val="22"/>
              </w:rPr>
              <w:t>Polidimetilsiloxano, Kevlar</w:t>
            </w:r>
          </w:p>
        </w:tc>
      </w:tr>
      <w:tr>
        <w:trPr>
          <w:trHeight w:val="377" w:hRule="exact"/>
        </w:trPr>
        <w:tc>
          <w:tcPr>
            <w:tcW w:w="1861" w:type="dxa"/>
            <w:tcBorders>
              <w:top w:val="nil"/>
              <w:left w:val="nil"/>
              <w:bottom w:val="nil"/>
              <w:right w:val="nil"/>
            </w:tcBorders>
          </w:tcPr>
          <w:p>
            <w:pPr>
              <w:pStyle w:val="TableParagraph"/>
              <w:spacing w:before="50"/>
              <w:ind w:left="217" w:right="281"/>
              <w:rPr>
                <w:sz w:val="22"/>
              </w:rPr>
            </w:pPr>
            <w:r>
              <w:rPr>
                <w:sz w:val="22"/>
              </w:rPr>
              <w:t>1092</w:t>
            </w:r>
          </w:p>
        </w:tc>
        <w:tc>
          <w:tcPr>
            <w:tcW w:w="4519" w:type="dxa"/>
            <w:tcBorders>
              <w:top w:val="nil"/>
              <w:left w:val="nil"/>
              <w:bottom w:val="nil"/>
              <w:right w:val="nil"/>
            </w:tcBorders>
          </w:tcPr>
          <w:p>
            <w:pPr>
              <w:pStyle w:val="TableParagraph"/>
              <w:spacing w:before="50"/>
              <w:ind w:left="288" w:right="354"/>
              <w:rPr>
                <w:sz w:val="22"/>
              </w:rPr>
            </w:pPr>
            <w:r>
              <w:rPr>
                <w:sz w:val="22"/>
              </w:rPr>
              <w:t>Si-O-Si Polidimetilsiloxano</w:t>
            </w:r>
          </w:p>
        </w:tc>
      </w:tr>
      <w:tr>
        <w:trPr>
          <w:trHeight w:val="438" w:hRule="exact"/>
        </w:trPr>
        <w:tc>
          <w:tcPr>
            <w:tcW w:w="1861" w:type="dxa"/>
            <w:tcBorders>
              <w:top w:val="nil"/>
              <w:left w:val="nil"/>
              <w:right w:val="nil"/>
            </w:tcBorders>
          </w:tcPr>
          <w:p>
            <w:pPr>
              <w:pStyle w:val="TableParagraph"/>
              <w:spacing w:before="51"/>
              <w:ind w:left="217" w:right="281"/>
              <w:rPr>
                <w:sz w:val="22"/>
              </w:rPr>
            </w:pPr>
            <w:r>
              <w:rPr>
                <w:sz w:val="22"/>
              </w:rPr>
              <w:t>1018</w:t>
            </w:r>
          </w:p>
        </w:tc>
        <w:tc>
          <w:tcPr>
            <w:tcW w:w="4519" w:type="dxa"/>
            <w:tcBorders>
              <w:top w:val="nil"/>
              <w:left w:val="nil"/>
              <w:right w:val="nil"/>
            </w:tcBorders>
          </w:tcPr>
          <w:p>
            <w:pPr>
              <w:pStyle w:val="TableParagraph"/>
              <w:spacing w:before="51"/>
              <w:ind w:left="288" w:right="354"/>
              <w:rPr>
                <w:sz w:val="22"/>
              </w:rPr>
            </w:pPr>
            <w:r>
              <w:rPr>
                <w:sz w:val="22"/>
              </w:rPr>
              <w:t>Si-O-Si Polidimetilsiloxano</w:t>
            </w:r>
          </w:p>
        </w:tc>
      </w:tr>
    </w:tbl>
    <w:p>
      <w:pPr>
        <w:pStyle w:val="BodyText"/>
        <w:spacing w:before="6"/>
        <w:rPr>
          <w:sz w:val="28"/>
        </w:rPr>
      </w:pPr>
    </w:p>
    <w:p>
      <w:pPr>
        <w:pStyle w:val="BodyText"/>
        <w:spacing w:line="355" w:lineRule="auto" w:before="80"/>
        <w:ind w:left="102" w:right="112"/>
        <w:jc w:val="both"/>
      </w:pPr>
      <w:r>
        <w:rPr>
          <w:position w:val="1"/>
        </w:rPr>
        <w:t>Las vibraciones moleculares de flexión CH</w:t>
      </w:r>
      <w:r>
        <w:rPr>
          <w:sz w:val="16"/>
        </w:rPr>
        <w:t>2 </w:t>
      </w:r>
      <w:r>
        <w:rPr>
          <w:position w:val="1"/>
        </w:rPr>
        <w:t>(1462 cm</w:t>
      </w:r>
      <w:r>
        <w:rPr>
          <w:position w:val="9"/>
          <w:sz w:val="16"/>
        </w:rPr>
        <w:t>-1</w:t>
      </w:r>
      <w:r>
        <w:rPr>
          <w:position w:val="1"/>
        </w:rPr>
        <w:t>y 1435 cm</w:t>
      </w:r>
      <w:r>
        <w:rPr>
          <w:position w:val="9"/>
          <w:sz w:val="16"/>
        </w:rPr>
        <w:t>-1</w:t>
      </w:r>
      <w:r>
        <w:rPr>
          <w:position w:val="1"/>
        </w:rPr>
        <w:t>) poseen una fuerza de unión más débil en comparación con las de estiramientoCH</w:t>
      </w:r>
      <w:r>
        <w:rPr>
          <w:sz w:val="16"/>
        </w:rPr>
        <w:t>2 </w:t>
      </w:r>
      <w:r>
        <w:rPr>
          <w:position w:val="1"/>
        </w:rPr>
        <w:t>(2930 cm</w:t>
      </w:r>
      <w:r>
        <w:rPr>
          <w:position w:val="9"/>
          <w:sz w:val="16"/>
        </w:rPr>
        <w:t>-1</w:t>
      </w:r>
      <w:r>
        <w:rPr>
          <w:position w:val="1"/>
        </w:rPr>
        <w:t>y </w:t>
      </w:r>
      <w:r>
        <w:rPr/>
        <w:t>2860 cm</w:t>
      </w:r>
      <w:r>
        <w:rPr>
          <w:position w:val="8"/>
          <w:sz w:val="16"/>
        </w:rPr>
        <w:t>-1</w:t>
      </w:r>
      <w:r>
        <w:rPr/>
        <w:t>), y se pueden apreciar con las bandas que se encuentran entre 1462   y</w:t>
      </w:r>
    </w:p>
    <w:p>
      <w:pPr>
        <w:spacing w:after="0" w:line="355" w:lineRule="auto"/>
        <w:jc w:val="both"/>
        <w:sectPr>
          <w:pgSz w:w="12240" w:h="15840"/>
          <w:pgMar w:header="0" w:footer="975" w:top="1420" w:bottom="1220" w:left="1600" w:right="1580"/>
        </w:sectPr>
      </w:pPr>
    </w:p>
    <w:p>
      <w:pPr>
        <w:pStyle w:val="BodyText"/>
        <w:spacing w:line="357" w:lineRule="auto" w:before="69"/>
        <w:ind w:left="102" w:right="115"/>
        <w:jc w:val="both"/>
      </w:pPr>
      <w:r>
        <w:rPr/>
        <w:t>1435 cm</w:t>
      </w:r>
      <w:r>
        <w:rPr>
          <w:position w:val="8"/>
          <w:sz w:val="16"/>
        </w:rPr>
        <w:t>-1</w:t>
      </w:r>
      <w:r>
        <w:rPr/>
        <w:t>; de igual manera se puede observar la banda característica de los </w:t>
      </w:r>
      <w:r>
        <w:rPr>
          <w:position w:val="1"/>
        </w:rPr>
        <w:t>movimientos vibracionales -CH- del grupo CH</w:t>
      </w:r>
      <w:r>
        <w:rPr>
          <w:sz w:val="16"/>
        </w:rPr>
        <w:t>3 </w:t>
      </w:r>
      <w:r>
        <w:rPr>
          <w:position w:val="1"/>
        </w:rPr>
        <w:t>a 1373cm</w:t>
      </w:r>
      <w:r>
        <w:rPr>
          <w:position w:val="9"/>
          <w:sz w:val="16"/>
        </w:rPr>
        <w:t>-1</w:t>
      </w:r>
      <w:r>
        <w:rPr>
          <w:position w:val="1"/>
        </w:rPr>
        <w:t>.</w:t>
      </w:r>
    </w:p>
    <w:p>
      <w:pPr>
        <w:pStyle w:val="BodyText"/>
        <w:spacing w:before="9"/>
        <w:rPr>
          <w:sz w:val="35"/>
        </w:rPr>
      </w:pPr>
    </w:p>
    <w:p>
      <w:pPr>
        <w:pStyle w:val="BodyText"/>
        <w:spacing w:line="357" w:lineRule="auto" w:before="1"/>
        <w:ind w:left="102" w:right="116"/>
        <w:jc w:val="both"/>
      </w:pPr>
      <w:r>
        <w:rPr/>
        <w:t>Las bandas a 1261 y 1018cm</w:t>
      </w:r>
      <w:r>
        <w:rPr>
          <w:position w:val="8"/>
          <w:sz w:val="16"/>
        </w:rPr>
        <w:t>-1 </w:t>
      </w:r>
      <w:r>
        <w:rPr/>
        <w:t>son características del polidimetilsiloxano, el más común de los elastómeros de silicona, utilizado en la fabricación de llantas porque aporta una excelente tracción. Las siliconas tienen bandas de absorción fuertes a 1261cm</w:t>
      </w:r>
      <w:r>
        <w:rPr>
          <w:position w:val="8"/>
          <w:sz w:val="16"/>
        </w:rPr>
        <w:t>-1 </w:t>
      </w:r>
      <w:r>
        <w:rPr/>
        <w:t>y en el rango 1100-1000cm</w:t>
      </w:r>
      <w:r>
        <w:rPr>
          <w:position w:val="8"/>
          <w:sz w:val="16"/>
        </w:rPr>
        <w:t>-1</w:t>
      </w:r>
      <w:r>
        <w:rPr/>
        <w:t>. La banda de la deformación de metilo a 1261 cm</w:t>
      </w:r>
      <w:r>
        <w:rPr>
          <w:position w:val="8"/>
          <w:sz w:val="16"/>
        </w:rPr>
        <w:t>-1 </w:t>
      </w:r>
      <w:r>
        <w:rPr/>
        <w:t>es fuerte y aguda. Los enlaces tipo xilano, Si-O-Si, producen una banda amplia con dos máximos en 1092 y 1018 cm</w:t>
      </w:r>
      <w:r>
        <w:rPr>
          <w:position w:val="8"/>
          <w:sz w:val="16"/>
        </w:rPr>
        <w:t>-1</w:t>
      </w:r>
      <w:r>
        <w:rPr/>
        <w:t>.(Efimenko y col. 2002)</w:t>
      </w:r>
    </w:p>
    <w:p>
      <w:pPr>
        <w:pStyle w:val="BodyText"/>
        <w:spacing w:before="3"/>
        <w:rPr>
          <w:sz w:val="36"/>
        </w:rPr>
      </w:pPr>
    </w:p>
    <w:p>
      <w:pPr>
        <w:pStyle w:val="BodyText"/>
        <w:spacing w:line="360" w:lineRule="auto"/>
        <w:ind w:left="102" w:right="117"/>
        <w:jc w:val="both"/>
      </w:pPr>
      <w:r>
        <w:rPr/>
        <w:t>Del estudio del espectro infrarrojo se pudo deducir que las llantas fueron fabricadas con poliparafenileno tereftalamida </w:t>
      </w:r>
      <w:r>
        <w:rPr>
          <w:spacing w:val="-4"/>
        </w:rPr>
        <w:t>(PPTA) </w:t>
      </w:r>
      <w:r>
        <w:rPr/>
        <w:t>y polidimetilsiloxano, componentes encontrados de las llantas para</w:t>
      </w:r>
      <w:r>
        <w:rPr>
          <w:spacing w:val="-17"/>
        </w:rPr>
        <w:t> </w:t>
      </w:r>
      <w:r>
        <w:rPr/>
        <w:t>camiones.</w:t>
      </w:r>
    </w:p>
    <w:p>
      <w:pPr>
        <w:pStyle w:val="BodyText"/>
      </w:pPr>
    </w:p>
    <w:p>
      <w:pPr>
        <w:pStyle w:val="BodyText"/>
        <w:spacing w:line="357" w:lineRule="auto" w:before="142"/>
        <w:ind w:left="102" w:right="115"/>
        <w:jc w:val="both"/>
      </w:pPr>
      <w:r>
        <w:rPr/>
        <w:t>En las Figuras 13 y 14 se muestran los cambios observados en los espectros de infrarrojo de las fibras irradiadas. Para la región 3500-2000 cm</w:t>
      </w:r>
      <w:r>
        <w:rPr>
          <w:position w:val="8"/>
          <w:sz w:val="16"/>
        </w:rPr>
        <w:t>-1</w:t>
      </w:r>
      <w:r>
        <w:rPr/>
        <w:t>, se observan cambios en la banda a 2320 cm</w:t>
      </w:r>
      <w:r>
        <w:rPr>
          <w:position w:val="8"/>
          <w:sz w:val="16"/>
        </w:rPr>
        <w:t>-1 </w:t>
      </w:r>
      <w:r>
        <w:rPr/>
        <w:t>cuando se aplican 100 kGy de radiación, lo cual puede indicar la presencia de isocianatos provenientes de la degradación del  </w:t>
      </w:r>
      <w:r>
        <w:rPr>
          <w:spacing w:val="-5"/>
        </w:rPr>
        <w:t>PPTA </w:t>
      </w:r>
      <w:r>
        <w:rPr/>
        <w:t>(Jia.g </w:t>
      </w:r>
      <w:r>
        <w:rPr>
          <w:spacing w:val="-13"/>
        </w:rPr>
        <w:t>T. </w:t>
      </w:r>
      <w:r>
        <w:rPr/>
        <w:t>y col. 1995 y Bion N. y col. 2003). Más aún, la intensidad de los espectros es menor para las fibras irradiadas, siendo más notable en la región de 2700-2000</w:t>
      </w:r>
      <w:r>
        <w:rPr>
          <w:spacing w:val="-6"/>
        </w:rPr>
        <w:t> </w:t>
      </w:r>
      <w:r>
        <w:rPr/>
        <w:t>cm</w:t>
      </w:r>
      <w:r>
        <w:rPr>
          <w:position w:val="8"/>
          <w:sz w:val="16"/>
        </w:rPr>
        <w:t>-1</w:t>
      </w:r>
      <w:r>
        <w:rPr/>
        <w:t>.</w:t>
      </w:r>
    </w:p>
    <w:p>
      <w:pPr>
        <w:spacing w:after="0" w:line="357" w:lineRule="auto"/>
        <w:jc w:val="both"/>
        <w:sectPr>
          <w:pgSz w:w="12240" w:h="15840"/>
          <w:pgMar w:header="0" w:footer="975" w:top="1340" w:bottom="1220" w:left="1600" w:right="1580"/>
        </w:sectPr>
      </w:pPr>
    </w:p>
    <w:p>
      <w:pPr>
        <w:pStyle w:val="BodyText"/>
        <w:ind w:left="130" w:right="-6"/>
        <w:rPr>
          <w:sz w:val="20"/>
        </w:rPr>
      </w:pPr>
      <w:r>
        <w:rPr>
          <w:sz w:val="20"/>
        </w:rPr>
        <w:drawing>
          <wp:inline distT="0" distB="0" distL="0" distR="0">
            <wp:extent cx="5661260" cy="3968877"/>
            <wp:effectExtent l="0" t="0" r="0" b="0"/>
            <wp:docPr id="31" name="image22.jpeg" descr=""/>
            <wp:cNvGraphicFramePr>
              <a:graphicFrameLocks noChangeAspect="1"/>
            </wp:cNvGraphicFramePr>
            <a:graphic>
              <a:graphicData uri="http://schemas.openxmlformats.org/drawingml/2006/picture">
                <pic:pic>
                  <pic:nvPicPr>
                    <pic:cNvPr id="32" name="image22.jpeg"/>
                    <pic:cNvPicPr/>
                  </pic:nvPicPr>
                  <pic:blipFill>
                    <a:blip r:embed="rId27" cstate="print"/>
                    <a:stretch>
                      <a:fillRect/>
                    </a:stretch>
                  </pic:blipFill>
                  <pic:spPr>
                    <a:xfrm>
                      <a:off x="0" y="0"/>
                      <a:ext cx="5661260" cy="3968877"/>
                    </a:xfrm>
                    <a:prstGeom prst="rect">
                      <a:avLst/>
                    </a:prstGeom>
                  </pic:spPr>
                </pic:pic>
              </a:graphicData>
            </a:graphic>
          </wp:inline>
        </w:drawing>
      </w:r>
      <w:r>
        <w:rPr>
          <w:sz w:val="20"/>
        </w:rPr>
      </w:r>
    </w:p>
    <w:p>
      <w:pPr>
        <w:pStyle w:val="BodyText"/>
        <w:spacing w:line="242" w:lineRule="auto" w:before="72"/>
        <w:ind w:left="3129" w:right="56" w:hanging="2845"/>
      </w:pPr>
      <w:bookmarkStart w:name="_bookmark61" w:id="91"/>
      <w:bookmarkEnd w:id="91"/>
      <w:r>
        <w:rPr/>
      </w:r>
      <w:r>
        <w:rPr>
          <w:b/>
        </w:rPr>
        <w:t>Figura 13</w:t>
      </w:r>
      <w:r>
        <w:rPr/>
        <w:t>. Región 3500-2000 cm</w:t>
      </w:r>
      <w:r>
        <w:rPr>
          <w:position w:val="8"/>
          <w:sz w:val="16"/>
        </w:rPr>
        <w:t>-1 </w:t>
      </w:r>
      <w:r>
        <w:rPr/>
        <w:t>del espectro infrarrojo de fibras sin irradiar e irradiadas a 50 y 100 kGy.</w:t>
      </w:r>
    </w:p>
    <w:p>
      <w:pPr>
        <w:pStyle w:val="BodyText"/>
      </w:pPr>
    </w:p>
    <w:p>
      <w:pPr>
        <w:pStyle w:val="BodyText"/>
      </w:pPr>
    </w:p>
    <w:p>
      <w:pPr>
        <w:pStyle w:val="BodyText"/>
        <w:spacing w:before="6"/>
        <w:rPr>
          <w:sz w:val="28"/>
        </w:rPr>
      </w:pPr>
    </w:p>
    <w:p>
      <w:pPr>
        <w:pStyle w:val="BodyText"/>
        <w:spacing w:line="357" w:lineRule="auto" w:before="1"/>
        <w:ind w:left="102" w:right="137"/>
        <w:jc w:val="both"/>
      </w:pPr>
      <w:r>
        <w:rPr/>
        <w:t>Para la región 2000-800 cm</w:t>
      </w:r>
      <w:r>
        <w:rPr>
          <w:position w:val="8"/>
          <w:sz w:val="16"/>
        </w:rPr>
        <w:t>-1</w:t>
      </w:r>
      <w:r>
        <w:rPr/>
        <w:t>, se observa que la intensidad de los espectros es menor para las fibras irradiadas en la región de 2000-1700 cm</w:t>
      </w:r>
      <w:r>
        <w:rPr>
          <w:position w:val="8"/>
          <w:sz w:val="16"/>
        </w:rPr>
        <w:t>-1</w:t>
      </w:r>
      <w:r>
        <w:rPr/>
        <w:t>, pero a números de onda menores a 1700 cm</w:t>
      </w:r>
      <w:r>
        <w:rPr>
          <w:position w:val="8"/>
          <w:sz w:val="16"/>
        </w:rPr>
        <w:t>-1</w:t>
      </w:r>
      <w:r>
        <w:rPr/>
        <w:t>, comienzan una inversión en las intensidades, llegando a ser mayores que la de las fibras sin irradiar.</w:t>
      </w:r>
    </w:p>
    <w:p>
      <w:pPr>
        <w:spacing w:after="0" w:line="357" w:lineRule="auto"/>
        <w:jc w:val="both"/>
        <w:sectPr>
          <w:pgSz w:w="12240" w:h="15840"/>
          <w:pgMar w:header="0" w:footer="975" w:top="1420" w:bottom="1220" w:left="1600" w:right="1560"/>
        </w:sectPr>
      </w:pPr>
    </w:p>
    <w:p>
      <w:pPr>
        <w:pStyle w:val="BodyText"/>
        <w:ind w:left="130" w:right="-6"/>
        <w:rPr>
          <w:sz w:val="20"/>
        </w:rPr>
      </w:pPr>
      <w:r>
        <w:rPr>
          <w:sz w:val="20"/>
        </w:rPr>
        <w:drawing>
          <wp:inline distT="0" distB="0" distL="0" distR="0">
            <wp:extent cx="5661260" cy="3968877"/>
            <wp:effectExtent l="0" t="0" r="0" b="0"/>
            <wp:docPr id="33" name="image23.jpeg" descr=""/>
            <wp:cNvGraphicFramePr>
              <a:graphicFrameLocks noChangeAspect="1"/>
            </wp:cNvGraphicFramePr>
            <a:graphic>
              <a:graphicData uri="http://schemas.openxmlformats.org/drawingml/2006/picture">
                <pic:pic>
                  <pic:nvPicPr>
                    <pic:cNvPr id="34" name="image23.jpeg"/>
                    <pic:cNvPicPr/>
                  </pic:nvPicPr>
                  <pic:blipFill>
                    <a:blip r:embed="rId28" cstate="print"/>
                    <a:stretch>
                      <a:fillRect/>
                    </a:stretch>
                  </pic:blipFill>
                  <pic:spPr>
                    <a:xfrm>
                      <a:off x="0" y="0"/>
                      <a:ext cx="5661260" cy="3968877"/>
                    </a:xfrm>
                    <a:prstGeom prst="rect">
                      <a:avLst/>
                    </a:prstGeom>
                  </pic:spPr>
                </pic:pic>
              </a:graphicData>
            </a:graphic>
          </wp:inline>
        </w:drawing>
      </w:r>
      <w:r>
        <w:rPr>
          <w:sz w:val="20"/>
        </w:rPr>
      </w:r>
    </w:p>
    <w:p>
      <w:pPr>
        <w:spacing w:before="72"/>
        <w:ind w:left="2903" w:right="56" w:hanging="2787"/>
        <w:jc w:val="left"/>
        <w:rPr>
          <w:sz w:val="26"/>
        </w:rPr>
      </w:pPr>
      <w:bookmarkStart w:name="_bookmark62" w:id="92"/>
      <w:bookmarkEnd w:id="92"/>
      <w:r>
        <w:rPr/>
      </w:r>
      <w:r>
        <w:rPr>
          <w:b/>
          <w:sz w:val="26"/>
        </w:rPr>
        <w:t>Figura 14</w:t>
      </w:r>
      <w:r>
        <w:rPr>
          <w:sz w:val="26"/>
        </w:rPr>
        <w:t>. Región 2000-800 cm</w:t>
      </w:r>
      <w:r>
        <w:rPr>
          <w:position w:val="9"/>
          <w:sz w:val="17"/>
        </w:rPr>
        <w:t>-1 </w:t>
      </w:r>
      <w:r>
        <w:rPr>
          <w:sz w:val="26"/>
        </w:rPr>
        <w:t>del espectro infrarrojo de fibras sin irradiar e irradiadas a 50 y 100 kGy.</w:t>
      </w: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6"/>
        <w:rPr>
          <w:sz w:val="21"/>
        </w:rPr>
      </w:pPr>
    </w:p>
    <w:p>
      <w:pPr>
        <w:pStyle w:val="BodyText"/>
        <w:spacing w:line="357" w:lineRule="auto"/>
        <w:ind w:left="102" w:right="138"/>
        <w:jc w:val="both"/>
      </w:pPr>
      <w:r>
        <w:rPr/>
        <w:t>La intensidad de la banda característica del Si-O-Si del polidimetilsiloxano a 1018 cm</w:t>
      </w:r>
      <w:r>
        <w:rPr>
          <w:position w:val="8"/>
          <w:sz w:val="16"/>
        </w:rPr>
        <w:t>-1  </w:t>
      </w:r>
      <w:r>
        <w:rPr/>
        <w:t>disminuye conforme se aumenta la radiación, al igual que la banda presente  a </w:t>
      </w:r>
      <w:r>
        <w:rPr>
          <w:spacing w:val="-5"/>
        </w:rPr>
        <w:t>1100 </w:t>
      </w:r>
      <w:r>
        <w:rPr/>
        <w:t>cm</w:t>
      </w:r>
      <w:r>
        <w:rPr>
          <w:position w:val="8"/>
          <w:sz w:val="16"/>
        </w:rPr>
        <w:t>-1</w:t>
      </w:r>
      <w:r>
        <w:rPr/>
        <w:t>, lo cual puede indicar un rompimiento de cadenas en este material. (Efimenko K. y col. 2002)(Khorasani y col.</w:t>
      </w:r>
      <w:r>
        <w:rPr>
          <w:spacing w:val="-13"/>
        </w:rPr>
        <w:t> </w:t>
      </w:r>
      <w:r>
        <w:rPr/>
        <w:t>1996).</w:t>
      </w:r>
    </w:p>
    <w:p>
      <w:pPr>
        <w:pStyle w:val="BodyText"/>
      </w:pPr>
    </w:p>
    <w:p>
      <w:pPr>
        <w:pStyle w:val="BodyText"/>
        <w:spacing w:line="360" w:lineRule="auto" w:before="145"/>
        <w:ind w:left="102" w:right="134"/>
        <w:jc w:val="both"/>
      </w:pPr>
      <w:r>
        <w:rPr/>
        <w:t>El deterioro físico sobre las superficies de las fibras irradiadas, podría estar relacionado con cambios en las propiedades cristalográficas de las fibras, los cuales no son apreciables con la espectroscopía infrarroja. Razón por la cual se llevó a cabo un análisis por medio de difracción de rayos X, para evaluar los efectos de la radiación gamma en las fibras.</w:t>
      </w:r>
    </w:p>
    <w:p>
      <w:pPr>
        <w:spacing w:after="0" w:line="360" w:lineRule="auto"/>
        <w:jc w:val="both"/>
        <w:sectPr>
          <w:pgSz w:w="12240" w:h="15840"/>
          <w:pgMar w:header="0" w:footer="975" w:top="1420" w:bottom="1220" w:left="1600" w:right="1560"/>
        </w:sectPr>
      </w:pPr>
    </w:p>
    <w:p>
      <w:pPr>
        <w:pStyle w:val="BodyText"/>
        <w:spacing w:before="7"/>
        <w:rPr>
          <w:sz w:val="22"/>
        </w:rPr>
      </w:pPr>
    </w:p>
    <w:p>
      <w:pPr>
        <w:pStyle w:val="Heading2"/>
        <w:numPr>
          <w:ilvl w:val="1"/>
          <w:numId w:val="12"/>
        </w:numPr>
        <w:tabs>
          <w:tab w:pos="506" w:val="left" w:leader="none"/>
        </w:tabs>
        <w:spacing w:line="240" w:lineRule="auto" w:before="69" w:after="0"/>
        <w:ind w:left="505" w:right="0" w:hanging="403"/>
        <w:jc w:val="both"/>
      </w:pPr>
      <w:bookmarkStart w:name="_bookmark63" w:id="93"/>
      <w:bookmarkEnd w:id="93"/>
      <w:r>
        <w:rPr>
          <w:b w:val="0"/>
        </w:rPr>
      </w:r>
      <w:bookmarkStart w:name="_bookmark63" w:id="94"/>
      <w:bookmarkEnd w:id="94"/>
      <w:r>
        <w:rPr/>
        <w:t>Difr</w:t>
      </w:r>
      <w:r>
        <w:rPr/>
        <w:t>acción de Rayos X de las fibras sin irradiar e</w:t>
      </w:r>
      <w:r>
        <w:rPr>
          <w:spacing w:val="-16"/>
        </w:rPr>
        <w:t> </w:t>
      </w:r>
      <w:r>
        <w:rPr/>
        <w:t>irradiadas</w:t>
      </w:r>
    </w:p>
    <w:p>
      <w:pPr>
        <w:pStyle w:val="BodyText"/>
        <w:rPr>
          <w:b/>
        </w:rPr>
      </w:pPr>
    </w:p>
    <w:p>
      <w:pPr>
        <w:pStyle w:val="BodyText"/>
        <w:rPr>
          <w:b/>
        </w:rPr>
      </w:pPr>
    </w:p>
    <w:p>
      <w:pPr>
        <w:pStyle w:val="BodyText"/>
        <w:spacing w:line="360" w:lineRule="auto"/>
        <w:ind w:left="102" w:right="115"/>
        <w:jc w:val="both"/>
      </w:pPr>
      <w:r>
        <w:rPr/>
        <w:t>En la Figura 15 se muestran los difractogramas de las fibras sin irradiar e irradiadas a 50 y 100 kGy. Se observan dos picos principales 2θ: 20.5° y 23.5° sobre los cuales se realizó el análisis.</w:t>
      </w:r>
    </w:p>
    <w:p>
      <w:pPr>
        <w:pStyle w:val="BodyText"/>
        <w:rPr>
          <w:sz w:val="20"/>
        </w:rPr>
      </w:pPr>
    </w:p>
    <w:p>
      <w:pPr>
        <w:pStyle w:val="BodyText"/>
        <w:spacing w:before="1"/>
        <w:rPr>
          <w:sz w:val="13"/>
        </w:rPr>
      </w:pPr>
      <w:r>
        <w:rPr/>
        <w:drawing>
          <wp:anchor distT="0" distB="0" distL="0" distR="0" allowOverlap="1" layoutInCell="1" locked="0" behindDoc="0" simplePos="0" relativeHeight="1648">
            <wp:simplePos x="0" y="0"/>
            <wp:positionH relativeFrom="page">
              <wp:posOffset>1362455</wp:posOffset>
            </wp:positionH>
            <wp:positionV relativeFrom="paragraph">
              <wp:posOffset>120331</wp:posOffset>
            </wp:positionV>
            <wp:extent cx="5062134" cy="2987040"/>
            <wp:effectExtent l="0" t="0" r="0" b="0"/>
            <wp:wrapTopAndBottom/>
            <wp:docPr id="35" name="image24.png" descr=""/>
            <wp:cNvGraphicFramePr>
              <a:graphicFrameLocks noChangeAspect="1"/>
            </wp:cNvGraphicFramePr>
            <a:graphic>
              <a:graphicData uri="http://schemas.openxmlformats.org/drawingml/2006/picture">
                <pic:pic>
                  <pic:nvPicPr>
                    <pic:cNvPr id="36" name="image24.png"/>
                    <pic:cNvPicPr/>
                  </pic:nvPicPr>
                  <pic:blipFill>
                    <a:blip r:embed="rId29" cstate="print"/>
                    <a:stretch>
                      <a:fillRect/>
                    </a:stretch>
                  </pic:blipFill>
                  <pic:spPr>
                    <a:xfrm>
                      <a:off x="0" y="0"/>
                      <a:ext cx="5062134" cy="2987040"/>
                    </a:xfrm>
                    <a:prstGeom prst="rect">
                      <a:avLst/>
                    </a:prstGeom>
                  </pic:spPr>
                </pic:pic>
              </a:graphicData>
            </a:graphic>
          </wp:anchor>
        </w:drawing>
      </w:r>
    </w:p>
    <w:p>
      <w:pPr>
        <w:pStyle w:val="BodyText"/>
        <w:ind w:left="742"/>
      </w:pPr>
      <w:bookmarkStart w:name="_bookmark64" w:id="95"/>
      <w:bookmarkEnd w:id="95"/>
      <w:r>
        <w:rPr/>
      </w:r>
      <w:r>
        <w:rPr>
          <w:b/>
        </w:rPr>
        <w:t>Figura 15.</w:t>
      </w:r>
      <w:r>
        <w:rPr/>
        <w:t>Difractograma de las fibras de llanta sin irradiar e irradiadas.</w:t>
      </w:r>
    </w:p>
    <w:p>
      <w:pPr>
        <w:pStyle w:val="BodyText"/>
      </w:pPr>
    </w:p>
    <w:p>
      <w:pPr>
        <w:pStyle w:val="BodyText"/>
        <w:spacing w:before="4"/>
        <w:rPr>
          <w:sz w:val="29"/>
        </w:rPr>
      </w:pPr>
    </w:p>
    <w:p>
      <w:pPr>
        <w:pStyle w:val="BodyText"/>
        <w:spacing w:before="1"/>
        <w:ind w:left="102"/>
        <w:jc w:val="both"/>
      </w:pPr>
      <w:r>
        <w:rPr/>
        <w:t>El índice de cristalinidad de las fibras fue calculado mediante la ecuación:</w:t>
      </w:r>
    </w:p>
    <w:p>
      <w:pPr>
        <w:pStyle w:val="BodyText"/>
        <w:spacing w:before="9"/>
        <w:rPr>
          <w:sz w:val="27"/>
        </w:rPr>
      </w:pPr>
    </w:p>
    <w:p>
      <w:pPr>
        <w:spacing w:after="0"/>
        <w:rPr>
          <w:sz w:val="27"/>
        </w:rPr>
        <w:sectPr>
          <w:pgSz w:w="12240" w:h="15840"/>
          <w:pgMar w:header="0" w:footer="975" w:top="1500" w:bottom="1220" w:left="1600" w:right="1580"/>
        </w:sectPr>
      </w:pPr>
    </w:p>
    <w:p>
      <w:pPr>
        <w:pStyle w:val="BodyText"/>
        <w:rPr>
          <w:sz w:val="21"/>
        </w:rPr>
      </w:pPr>
    </w:p>
    <w:p>
      <w:pPr>
        <w:pStyle w:val="BodyText"/>
        <w:jc w:val="right"/>
        <w:rPr>
          <w:rFonts w:ascii="Cambria Math" w:eastAsia="Cambria Math"/>
        </w:rPr>
      </w:pPr>
      <w:r>
        <w:rPr>
          <w:rFonts w:ascii="Cambria Math" w:eastAsia="Cambria Math"/>
        </w:rPr>
        <w:t>𝐼𝐶𝑅   (%)  =</w:t>
      </w:r>
    </w:p>
    <w:p>
      <w:pPr>
        <w:spacing w:before="59"/>
        <w:ind w:left="121" w:right="94" w:firstLine="0"/>
        <w:jc w:val="center"/>
        <w:rPr>
          <w:rFonts w:ascii="Cambria Math" w:hAnsi="Cambria Math" w:eastAsia="Cambria Math"/>
          <w:sz w:val="17"/>
        </w:rPr>
      </w:pPr>
      <w:r>
        <w:rPr/>
        <w:br w:type="column"/>
      </w:r>
      <w:r>
        <w:rPr>
          <w:rFonts w:ascii="Cambria Math" w:hAnsi="Cambria Math" w:eastAsia="Cambria Math"/>
          <w:spacing w:val="-51"/>
          <w:sz w:val="24"/>
        </w:rPr>
        <w:t>𝐼</w:t>
      </w:r>
      <w:r>
        <w:rPr>
          <w:rFonts w:ascii="Cambria Math" w:hAnsi="Cambria Math" w:eastAsia="Cambria Math"/>
          <w:spacing w:val="-51"/>
          <w:position w:val="-4"/>
          <w:sz w:val="17"/>
        </w:rPr>
        <w:t>𝑚</w:t>
      </w:r>
      <w:r>
        <w:rPr>
          <w:rFonts w:ascii="Cambria Math" w:hAnsi="Cambria Math" w:eastAsia="Cambria Math"/>
          <w:spacing w:val="3"/>
          <w:position w:val="-4"/>
          <w:sz w:val="17"/>
        </w:rPr>
        <w:t> </w:t>
      </w:r>
      <w:r>
        <w:rPr>
          <w:rFonts w:ascii="Cambria Math" w:hAnsi="Cambria Math" w:eastAsia="Cambria Math"/>
          <w:spacing w:val="-51"/>
          <w:sz w:val="24"/>
        </w:rPr>
        <w:t>− </w:t>
      </w:r>
      <w:r>
        <w:rPr>
          <w:rFonts w:ascii="Cambria Math" w:hAnsi="Cambria Math" w:eastAsia="Cambria Math"/>
          <w:spacing w:val="-24"/>
          <w:sz w:val="24"/>
        </w:rPr>
        <w:t>𝐼</w:t>
      </w:r>
      <w:r>
        <w:rPr>
          <w:rFonts w:ascii="Cambria Math" w:hAnsi="Cambria Math" w:eastAsia="Cambria Math"/>
          <w:spacing w:val="-24"/>
          <w:position w:val="-4"/>
          <w:sz w:val="17"/>
        </w:rPr>
        <w:t>1</w:t>
      </w:r>
    </w:p>
    <w:p>
      <w:pPr>
        <w:spacing w:before="27"/>
        <w:ind w:left="119" w:right="94" w:firstLine="0"/>
        <w:jc w:val="center"/>
        <w:rPr>
          <w:rFonts w:ascii="Cambria Math" w:eastAsia="Cambria Math"/>
          <w:sz w:val="17"/>
        </w:rPr>
      </w:pPr>
      <w:r>
        <w:rPr/>
        <w:pict>
          <v:line style="position:absolute;mso-position-horizontal-relative:page;mso-position-vertical-relative:paragraph;z-index:1672" from="303.410004pt,1.292323pt" to="339.194004pt,1.292323pt" stroked="true" strokeweight=".84003pt" strokecolor="#000000">
            <w10:wrap type="none"/>
          </v:line>
        </w:pict>
      </w:r>
      <w:r>
        <w:rPr>
          <w:rFonts w:ascii="Cambria Math" w:eastAsia="Cambria Math"/>
          <w:sz w:val="24"/>
        </w:rPr>
        <w:t>𝐼</w:t>
      </w:r>
      <w:r>
        <w:rPr>
          <w:rFonts w:ascii="Cambria Math" w:eastAsia="Cambria Math"/>
          <w:position w:val="-4"/>
          <w:sz w:val="17"/>
        </w:rPr>
        <w:t>𝑚</w:t>
      </w:r>
    </w:p>
    <w:p>
      <w:pPr>
        <w:pStyle w:val="BodyText"/>
        <w:spacing w:before="7"/>
        <w:rPr>
          <w:rFonts w:ascii="Cambria Math"/>
          <w:sz w:val="20"/>
        </w:rPr>
      </w:pPr>
      <w:r>
        <w:rPr/>
        <w:br w:type="column"/>
      </w:r>
      <w:r>
        <w:rPr>
          <w:rFonts w:ascii="Cambria Math"/>
          <w:sz w:val="20"/>
        </w:rPr>
      </w:r>
    </w:p>
    <w:p>
      <w:pPr>
        <w:pStyle w:val="BodyText"/>
        <w:ind w:left="10"/>
        <w:rPr>
          <w:rFonts w:ascii="Cambria Math" w:eastAsia="Cambria Math"/>
        </w:rPr>
      </w:pPr>
      <w:r>
        <w:rPr>
          <w:rFonts w:ascii="Cambria Math" w:eastAsia="Cambria Math"/>
        </w:rPr>
        <w:t>𝑥100</w:t>
      </w:r>
    </w:p>
    <w:p>
      <w:pPr>
        <w:spacing w:after="0"/>
        <w:rPr>
          <w:rFonts w:ascii="Cambria Math" w:eastAsia="Cambria Math"/>
        </w:rPr>
        <w:sectPr>
          <w:type w:val="continuous"/>
          <w:pgSz w:w="12240" w:h="15840"/>
          <w:pgMar w:top="1280" w:bottom="280" w:left="1600" w:right="1580"/>
          <w:cols w:num="3" w:equalWidth="0">
            <w:col w:w="4401" w:space="40"/>
            <w:col w:w="732" w:space="40"/>
            <w:col w:w="3847"/>
          </w:cols>
        </w:sectPr>
      </w:pPr>
    </w:p>
    <w:p>
      <w:pPr>
        <w:pStyle w:val="BodyText"/>
        <w:spacing w:before="5"/>
        <w:rPr>
          <w:rFonts w:ascii="Cambria Math"/>
          <w:sz w:val="14"/>
        </w:rPr>
      </w:pPr>
    </w:p>
    <w:p>
      <w:pPr>
        <w:pStyle w:val="BodyText"/>
        <w:spacing w:line="360" w:lineRule="auto" w:before="69"/>
        <w:ind w:left="102" w:right="116"/>
        <w:jc w:val="both"/>
      </w:pPr>
      <w:r>
        <w:rPr>
          <w:position w:val="1"/>
        </w:rPr>
        <w:t>Donde I</w:t>
      </w:r>
      <w:r>
        <w:rPr>
          <w:sz w:val="16"/>
        </w:rPr>
        <w:t>m </w:t>
      </w:r>
      <w:r>
        <w:rPr>
          <w:position w:val="1"/>
        </w:rPr>
        <w:t>es la intensidad máxima de difracción del pico en un ángulo de 2θ entre 20° y 21°; mientras que I</w:t>
      </w:r>
      <w:r>
        <w:rPr>
          <w:sz w:val="16"/>
        </w:rPr>
        <w:t>1 </w:t>
      </w:r>
      <w:r>
        <w:rPr>
          <w:position w:val="1"/>
        </w:rPr>
        <w:t>es la intensidad de la difracción del material amorfo, la </w:t>
      </w:r>
      <w:r>
        <w:rPr/>
        <w:t>cual se toma en un ángulo entre 22° y 23° cuando la intensidad es máxima.</w:t>
      </w:r>
    </w:p>
    <w:p>
      <w:pPr>
        <w:pStyle w:val="BodyText"/>
      </w:pPr>
    </w:p>
    <w:p>
      <w:pPr>
        <w:pStyle w:val="BodyText"/>
        <w:spacing w:line="360" w:lineRule="auto" w:before="142"/>
        <w:ind w:left="102" w:right="117"/>
        <w:jc w:val="both"/>
      </w:pPr>
      <w:r>
        <w:rPr/>
        <w:t>En la Figura 16 se observan los índices de cristalinidad en función de la dosis de radiación aplicada. Se observa que el índice aumenta gradualmente conforme se incrementa la dosis de radiación; este aumento es del 3% y del 14% para la  dosis</w:t>
      </w:r>
    </w:p>
    <w:p>
      <w:pPr>
        <w:spacing w:after="0" w:line="360" w:lineRule="auto"/>
        <w:jc w:val="both"/>
        <w:sectPr>
          <w:type w:val="continuous"/>
          <w:pgSz w:w="12240" w:h="15840"/>
          <w:pgMar w:top="1280" w:bottom="280" w:left="1600" w:right="1580"/>
        </w:sectPr>
      </w:pPr>
    </w:p>
    <w:p>
      <w:pPr>
        <w:pStyle w:val="BodyText"/>
        <w:spacing w:line="360" w:lineRule="auto" w:before="54"/>
        <w:ind w:left="102" w:right="116"/>
        <w:jc w:val="both"/>
      </w:pPr>
      <w:r>
        <w:rPr/>
        <w:t>de 50 y 100 KGy, respectivamente. Esto indica que la energía ionizante causa una mayor cristalinidad en las fibras, es decir menor entrecruzamiento de cadenas, haciendo de éstas, simultáneamente con la modificación superficial observada, un mejor refuerzo como lo muestran los concretos con fibras irradiadas a 100 KGy, con las cuales se obtuvieron las mayores resistencias a la flexión y compresión y módulo de Young.</w:t>
      </w:r>
    </w:p>
    <w:p>
      <w:pPr>
        <w:pStyle w:val="BodyText"/>
        <w:spacing w:before="2"/>
        <w:ind w:left="102"/>
        <w:jc w:val="both"/>
      </w:pPr>
      <w:r>
        <w:rPr>
          <w:w w:val="100"/>
        </w:rPr>
        <w:t>.</w:t>
      </w:r>
    </w:p>
    <w:p>
      <w:pPr>
        <w:pStyle w:val="BodyText"/>
        <w:spacing w:before="9"/>
        <w:rPr>
          <w:sz w:val="8"/>
        </w:rPr>
      </w:pPr>
      <w:r>
        <w:rPr/>
        <w:drawing>
          <wp:anchor distT="0" distB="0" distL="0" distR="0" allowOverlap="1" layoutInCell="1" locked="0" behindDoc="0" simplePos="0" relativeHeight="1696">
            <wp:simplePos x="0" y="0"/>
            <wp:positionH relativeFrom="page">
              <wp:posOffset>1685544</wp:posOffset>
            </wp:positionH>
            <wp:positionV relativeFrom="paragraph">
              <wp:posOffset>89370</wp:posOffset>
            </wp:positionV>
            <wp:extent cx="4450118" cy="3419855"/>
            <wp:effectExtent l="0" t="0" r="0" b="0"/>
            <wp:wrapTopAndBottom/>
            <wp:docPr id="37" name="image25.jpeg" descr=""/>
            <wp:cNvGraphicFramePr>
              <a:graphicFrameLocks noChangeAspect="1"/>
            </wp:cNvGraphicFramePr>
            <a:graphic>
              <a:graphicData uri="http://schemas.openxmlformats.org/drawingml/2006/picture">
                <pic:pic>
                  <pic:nvPicPr>
                    <pic:cNvPr id="38" name="image25.jpeg"/>
                    <pic:cNvPicPr/>
                  </pic:nvPicPr>
                  <pic:blipFill>
                    <a:blip r:embed="rId30" cstate="print"/>
                    <a:stretch>
                      <a:fillRect/>
                    </a:stretch>
                  </pic:blipFill>
                  <pic:spPr>
                    <a:xfrm>
                      <a:off x="0" y="0"/>
                      <a:ext cx="4450118" cy="3419855"/>
                    </a:xfrm>
                    <a:prstGeom prst="rect">
                      <a:avLst/>
                    </a:prstGeom>
                  </pic:spPr>
                </pic:pic>
              </a:graphicData>
            </a:graphic>
          </wp:anchor>
        </w:drawing>
      </w:r>
    </w:p>
    <w:p>
      <w:pPr>
        <w:pStyle w:val="BodyText"/>
        <w:spacing w:line="242" w:lineRule="auto" w:before="57"/>
        <w:ind w:left="4199" w:right="221" w:hanging="3985"/>
      </w:pPr>
      <w:bookmarkStart w:name="_bookmark65" w:id="96"/>
      <w:bookmarkEnd w:id="96"/>
      <w:r>
        <w:rPr/>
      </w:r>
      <w:r>
        <w:rPr>
          <w:b/>
        </w:rPr>
        <w:t>Figura 16 </w:t>
      </w:r>
      <w:r>
        <w:rPr/>
        <w:t>Índice de cristalinidad vs dosis de irradiación aplicada, de las fibras de llanta.</w:t>
      </w:r>
    </w:p>
    <w:p>
      <w:pPr>
        <w:pStyle w:val="BodyText"/>
      </w:pPr>
    </w:p>
    <w:p>
      <w:pPr>
        <w:pStyle w:val="BodyText"/>
        <w:spacing w:before="2"/>
        <w:rPr>
          <w:sz w:val="29"/>
        </w:rPr>
      </w:pPr>
    </w:p>
    <w:p>
      <w:pPr>
        <w:pStyle w:val="BodyText"/>
        <w:spacing w:line="360" w:lineRule="auto"/>
        <w:ind w:left="102" w:right="114"/>
        <w:jc w:val="both"/>
      </w:pPr>
      <w:r>
        <w:rPr/>
        <w:t>En la Figura 17b se muestran las distancias interplanares para los picos a 2θ = 20.5° y 23.5°conforme a la dosis de radiación aplicada. Para el primer pico 2θ = 20.5° se puede observar que la distancia interplanar aumenta cuando se aplica la dosis de 50 KGy, y después se mantiene constante para 100 kGy; para el pico 2θ=23.5° la distancia se mantiene constante hasta 50 kGy y después aumenta con los 100KGy aplicados.</w:t>
      </w:r>
    </w:p>
    <w:p>
      <w:pPr>
        <w:spacing w:after="0" w:line="360" w:lineRule="auto"/>
        <w:jc w:val="both"/>
        <w:sectPr>
          <w:pgSz w:w="12240" w:h="15840"/>
          <w:pgMar w:header="0" w:footer="975" w:top="1360" w:bottom="1220" w:left="1600" w:right="1580"/>
        </w:sectPr>
      </w:pPr>
    </w:p>
    <w:p>
      <w:pPr>
        <w:pStyle w:val="BodyText"/>
        <w:ind w:left="944"/>
        <w:rPr>
          <w:sz w:val="20"/>
        </w:rPr>
      </w:pPr>
      <w:r>
        <w:rPr>
          <w:sz w:val="20"/>
        </w:rPr>
        <w:drawing>
          <wp:inline distT="0" distB="0" distL="0" distR="0">
            <wp:extent cx="4601441" cy="3537204"/>
            <wp:effectExtent l="0" t="0" r="0" b="0"/>
            <wp:docPr id="39" name="image26.jpeg" descr=""/>
            <wp:cNvGraphicFramePr>
              <a:graphicFrameLocks noChangeAspect="1"/>
            </wp:cNvGraphicFramePr>
            <a:graphic>
              <a:graphicData uri="http://schemas.openxmlformats.org/drawingml/2006/picture">
                <pic:pic>
                  <pic:nvPicPr>
                    <pic:cNvPr id="40" name="image26.jpeg"/>
                    <pic:cNvPicPr/>
                  </pic:nvPicPr>
                  <pic:blipFill>
                    <a:blip r:embed="rId31" cstate="print"/>
                    <a:stretch>
                      <a:fillRect/>
                    </a:stretch>
                  </pic:blipFill>
                  <pic:spPr>
                    <a:xfrm>
                      <a:off x="0" y="0"/>
                      <a:ext cx="4601441" cy="3537204"/>
                    </a:xfrm>
                    <a:prstGeom prst="rect">
                      <a:avLst/>
                    </a:prstGeom>
                  </pic:spPr>
                </pic:pic>
              </a:graphicData>
            </a:graphic>
          </wp:inline>
        </w:drawing>
      </w:r>
      <w:r>
        <w:rPr>
          <w:sz w:val="20"/>
        </w:rPr>
      </w:r>
    </w:p>
    <w:p>
      <w:pPr>
        <w:pStyle w:val="BodyText"/>
        <w:spacing w:before="83"/>
        <w:ind w:left="819"/>
      </w:pPr>
      <w:bookmarkStart w:name="_bookmark66" w:id="97"/>
      <w:bookmarkEnd w:id="97"/>
      <w:r>
        <w:rPr/>
      </w:r>
      <w:r>
        <w:rPr>
          <w:b/>
        </w:rPr>
        <w:t>Figura 17</w:t>
      </w:r>
      <w:r>
        <w:rPr/>
        <w:t>. Distancia interplanar para los picos 2θ = 20.5°y 2θ = 23.5°</w:t>
      </w:r>
    </w:p>
    <w:p>
      <w:pPr>
        <w:pStyle w:val="BodyText"/>
        <w:spacing w:line="360" w:lineRule="auto" w:before="199"/>
        <w:ind w:left="102" w:right="117"/>
        <w:jc w:val="both"/>
      </w:pPr>
      <w:r>
        <w:rPr/>
        <w:t>La máxima intensidad de los dos picos 2θ = 20.5° y 2θ = 23.5° en función de la dosis de radiación aplicada, se presenta en la Figura 18. Para el pico correspondiente a 20.5° se observa un aumento en la intensidad conforme aumenta la dosis de radiación, y para el segundo pico (23.5°), se observa un aumento en la intensidad de 0 a 50 KGy y después hay una disminución de un 10% con respecto a la intensidad registrada a 0 KGy. Este incremento representa el aumento de la cristalinidad de la fibra.</w:t>
      </w:r>
    </w:p>
    <w:p>
      <w:pPr>
        <w:spacing w:after="0" w:line="360" w:lineRule="auto"/>
        <w:jc w:val="both"/>
        <w:sectPr>
          <w:pgSz w:w="12240" w:h="15840"/>
          <w:pgMar w:header="0" w:footer="975" w:top="1420" w:bottom="1220" w:left="1600" w:right="1580"/>
        </w:sectPr>
      </w:pPr>
    </w:p>
    <w:p>
      <w:pPr>
        <w:pStyle w:val="BodyText"/>
        <w:ind w:left="831"/>
        <w:rPr>
          <w:sz w:val="20"/>
        </w:rPr>
      </w:pPr>
      <w:r>
        <w:rPr>
          <w:sz w:val="20"/>
        </w:rPr>
        <w:drawing>
          <wp:inline distT="0" distB="0" distL="0" distR="0">
            <wp:extent cx="4578722" cy="3520440"/>
            <wp:effectExtent l="0" t="0" r="0" b="0"/>
            <wp:docPr id="41" name="image27.jpeg" descr=""/>
            <wp:cNvGraphicFramePr>
              <a:graphicFrameLocks noChangeAspect="1"/>
            </wp:cNvGraphicFramePr>
            <a:graphic>
              <a:graphicData uri="http://schemas.openxmlformats.org/drawingml/2006/picture">
                <pic:pic>
                  <pic:nvPicPr>
                    <pic:cNvPr id="42" name="image27.jpeg"/>
                    <pic:cNvPicPr/>
                  </pic:nvPicPr>
                  <pic:blipFill>
                    <a:blip r:embed="rId32" cstate="print"/>
                    <a:stretch>
                      <a:fillRect/>
                    </a:stretch>
                  </pic:blipFill>
                  <pic:spPr>
                    <a:xfrm>
                      <a:off x="0" y="0"/>
                      <a:ext cx="4578722" cy="3520440"/>
                    </a:xfrm>
                    <a:prstGeom prst="rect">
                      <a:avLst/>
                    </a:prstGeom>
                  </pic:spPr>
                </pic:pic>
              </a:graphicData>
            </a:graphic>
          </wp:inline>
        </w:drawing>
      </w:r>
      <w:r>
        <w:rPr>
          <w:sz w:val="20"/>
        </w:rPr>
      </w:r>
    </w:p>
    <w:p>
      <w:pPr>
        <w:pStyle w:val="BodyText"/>
        <w:spacing w:before="91"/>
        <w:ind w:left="862"/>
      </w:pPr>
      <w:bookmarkStart w:name="_bookmark67" w:id="98"/>
      <w:bookmarkEnd w:id="98"/>
      <w:r>
        <w:rPr/>
      </w:r>
      <w:r>
        <w:rPr>
          <w:b/>
        </w:rPr>
        <w:t>Figura 18</w:t>
      </w:r>
      <w:r>
        <w:rPr/>
        <w:t>. Intensidad máxima de los picos 2θ = 20.5° y 2θ = 23.5°</w:t>
      </w:r>
    </w:p>
    <w:p>
      <w:pPr>
        <w:spacing w:after="0"/>
        <w:sectPr>
          <w:pgSz w:w="12240" w:h="15840"/>
          <w:pgMar w:header="0" w:footer="975" w:top="1420" w:bottom="1220" w:left="1720" w:right="1580"/>
        </w:sectPr>
      </w:pPr>
    </w:p>
    <w:p>
      <w:pPr>
        <w:pStyle w:val="Heading2"/>
        <w:spacing w:before="54"/>
        <w:ind w:left="102"/>
      </w:pPr>
      <w:bookmarkStart w:name="_bookmark68" w:id="99"/>
      <w:bookmarkEnd w:id="99"/>
      <w:r>
        <w:rPr>
          <w:b w:val="0"/>
        </w:rPr>
      </w:r>
      <w:r>
        <w:rPr/>
        <w:t>Conclusiones</w:t>
      </w:r>
    </w:p>
    <w:p>
      <w:pPr>
        <w:pStyle w:val="BodyText"/>
        <w:spacing w:before="2"/>
        <w:rPr>
          <w:b/>
          <w:sz w:val="31"/>
        </w:rPr>
      </w:pPr>
    </w:p>
    <w:p>
      <w:pPr>
        <w:pStyle w:val="ListParagraph"/>
        <w:numPr>
          <w:ilvl w:val="0"/>
          <w:numId w:val="13"/>
        </w:numPr>
        <w:tabs>
          <w:tab w:pos="821" w:val="left" w:leader="none"/>
          <w:tab w:pos="822" w:val="left" w:leader="none"/>
        </w:tabs>
        <w:spacing w:line="240" w:lineRule="auto" w:before="0" w:after="0"/>
        <w:ind w:left="822" w:right="0" w:hanging="360"/>
        <w:jc w:val="left"/>
        <w:rPr>
          <w:sz w:val="24"/>
        </w:rPr>
      </w:pPr>
      <w:r>
        <w:rPr>
          <w:sz w:val="24"/>
        </w:rPr>
        <w:t>Del análisis de las propiedades mecánicas del CP se concluye</w:t>
      </w:r>
      <w:r>
        <w:rPr>
          <w:spacing w:val="-26"/>
          <w:sz w:val="24"/>
        </w:rPr>
        <w:t> </w:t>
      </w:r>
      <w:r>
        <w:rPr>
          <w:sz w:val="24"/>
        </w:rPr>
        <w:t>que:</w:t>
      </w:r>
    </w:p>
    <w:p>
      <w:pPr>
        <w:pStyle w:val="BodyText"/>
        <w:spacing w:before="1"/>
        <w:rPr>
          <w:sz w:val="31"/>
        </w:rPr>
      </w:pPr>
    </w:p>
    <w:p>
      <w:pPr>
        <w:pStyle w:val="BodyText"/>
        <w:spacing w:line="276" w:lineRule="auto"/>
        <w:ind w:left="102" w:right="126"/>
        <w:jc w:val="both"/>
      </w:pPr>
      <w:r>
        <w:rPr/>
        <w:t>Las propiedades mecánicas del CP fueron modificadas con fibras de llanta reciclada y radiación gamma.</w:t>
      </w:r>
    </w:p>
    <w:p>
      <w:pPr>
        <w:pStyle w:val="BodyText"/>
        <w:spacing w:before="9"/>
        <w:rPr>
          <w:sz w:val="27"/>
        </w:rPr>
      </w:pPr>
    </w:p>
    <w:p>
      <w:pPr>
        <w:pStyle w:val="BodyText"/>
        <w:spacing w:line="276" w:lineRule="auto"/>
        <w:ind w:left="102" w:right="118"/>
        <w:jc w:val="both"/>
      </w:pPr>
      <w:r>
        <w:rPr/>
        <w:t>Las propiedades mecánicas de cada tipo de CP dependen tanto la cantidad de fibra añadida como de la dosis de radiación aplicada.</w:t>
      </w:r>
    </w:p>
    <w:p>
      <w:pPr>
        <w:pStyle w:val="BodyText"/>
        <w:spacing w:before="9"/>
        <w:rPr>
          <w:sz w:val="27"/>
        </w:rPr>
      </w:pPr>
    </w:p>
    <w:p>
      <w:pPr>
        <w:pStyle w:val="BodyText"/>
        <w:spacing w:line="276" w:lineRule="auto"/>
        <w:ind w:left="102" w:right="115"/>
        <w:jc w:val="both"/>
      </w:pPr>
      <w:r>
        <w:rPr/>
        <w:t>El CP tipo I irradiado a 50 KGy tuvo una resistencia a la compresión 25% mayor que el CP sin radiación, el CP control presentó la mayor resistencia a la flexión y módulo de Young, asimismo las deformaciones en flexión y compresión son más bajas para el CP sin radiación.</w:t>
      </w:r>
    </w:p>
    <w:p>
      <w:pPr>
        <w:pStyle w:val="BodyText"/>
        <w:spacing w:before="9"/>
        <w:rPr>
          <w:sz w:val="27"/>
        </w:rPr>
      </w:pPr>
    </w:p>
    <w:p>
      <w:pPr>
        <w:pStyle w:val="BodyText"/>
        <w:spacing w:line="276" w:lineRule="auto"/>
        <w:ind w:left="102" w:right="116"/>
        <w:jc w:val="both"/>
      </w:pPr>
      <w:r>
        <w:rPr/>
        <w:t>El CP tipo II con 1.2 % de fibra incorporada presenta una resistencia a la compresión, a la flexión y Módulo de </w:t>
      </w:r>
      <w:r>
        <w:rPr>
          <w:spacing w:val="-5"/>
        </w:rPr>
        <w:t>Young </w:t>
      </w:r>
      <w:r>
        <w:rPr/>
        <w:t>41%, 37% y 22 % mayor que la del  CP tipo I sin radiación, respectivamente, las demás concentraciones de fibra tuvieron como resultado valores por debajo del CP control tipo</w:t>
      </w:r>
      <w:r>
        <w:rPr>
          <w:spacing w:val="-23"/>
        </w:rPr>
        <w:t> </w:t>
      </w:r>
      <w:r>
        <w:rPr/>
        <w:t>I.</w:t>
      </w:r>
    </w:p>
    <w:p>
      <w:pPr>
        <w:pStyle w:val="BodyText"/>
        <w:spacing w:before="9"/>
        <w:rPr>
          <w:sz w:val="27"/>
        </w:rPr>
      </w:pPr>
    </w:p>
    <w:p>
      <w:pPr>
        <w:pStyle w:val="BodyText"/>
        <w:spacing w:line="276" w:lineRule="auto"/>
        <w:ind w:left="102" w:right="117"/>
        <w:jc w:val="both"/>
      </w:pPr>
      <w:r>
        <w:rPr/>
        <w:t>El CP tipo III tiene propiedades mecánicas que dependen de la concentración de fibra y de la dosis de radiación aplicada a las mismas. La resistencia a la compresión, a la flexión y el módulo de Young son más altas que el CP tipo I sin radiación con 1.2% de fibra añadida en un 26%, 48% y 10% respectivamente para la dosis de 100 KGy. La resistencia a la compresión, a la flexión y el módulo de Young son mayores cuando las fibras son irradiadas a 100 KGy en comparación con las fibras irradiadas a 50 KGy.</w:t>
      </w:r>
    </w:p>
    <w:p>
      <w:pPr>
        <w:pStyle w:val="BodyText"/>
        <w:spacing w:before="9"/>
        <w:rPr>
          <w:sz w:val="27"/>
        </w:rPr>
      </w:pPr>
    </w:p>
    <w:p>
      <w:pPr>
        <w:pStyle w:val="BodyText"/>
        <w:spacing w:line="276" w:lineRule="auto"/>
        <w:ind w:left="102" w:right="116"/>
        <w:jc w:val="both"/>
      </w:pPr>
      <w:r>
        <w:rPr/>
        <w:t>El CP tipo IV tiene propiedades mecánicas que dependen de la concentración de fibra y de la dosis de radiación aplicada al CP. La resistencia a la compresión, a la flexión y el módulo de Young es menor que las del CP tipo I para las dosis de 50 y 100 kGy. La resistencia a la compresión es mayor cuando el CP es irradiado a 100 KGy en comparación con las fibras irradiadas a 50 KGy y la resistencia a la flexión y Módulo de Young son mayores cuando la radiación es de 50 KGy.</w:t>
      </w:r>
    </w:p>
    <w:p>
      <w:pPr>
        <w:pStyle w:val="BodyText"/>
        <w:spacing w:before="9"/>
        <w:rPr>
          <w:sz w:val="27"/>
        </w:rPr>
      </w:pPr>
    </w:p>
    <w:p>
      <w:pPr>
        <w:pStyle w:val="BodyText"/>
        <w:spacing w:line="276" w:lineRule="auto"/>
        <w:ind w:left="102" w:right="126"/>
        <w:jc w:val="both"/>
      </w:pPr>
      <w:r>
        <w:rPr/>
        <w:t>La resistencia a la compresión, a la flexión y el módulo de Young son más bajas con 0.6% de fibra añadida para los CP tipo II, III y IV.</w:t>
      </w:r>
    </w:p>
    <w:p>
      <w:pPr>
        <w:pStyle w:val="BodyText"/>
        <w:spacing w:before="6"/>
        <w:rPr>
          <w:sz w:val="27"/>
        </w:rPr>
      </w:pPr>
    </w:p>
    <w:p>
      <w:pPr>
        <w:pStyle w:val="BodyText"/>
        <w:spacing w:line="276" w:lineRule="auto" w:before="1"/>
        <w:ind w:left="102" w:right="123"/>
        <w:jc w:val="both"/>
      </w:pPr>
      <w:r>
        <w:rPr/>
        <w:t>Los concretos con fibras e irradiados directamente (tipo IV) tuvieron las mayores deformaciones en el punto de cedencia en compresión. Los concretos con fibras irradiadas  (tipo  III)  presentaron  las  mayores  deformaciones  en  el  punto      de</w:t>
      </w:r>
    </w:p>
    <w:p>
      <w:pPr>
        <w:spacing w:after="0" w:line="276" w:lineRule="auto"/>
        <w:jc w:val="both"/>
        <w:sectPr>
          <w:pgSz w:w="12240" w:h="15840"/>
          <w:pgMar w:header="0" w:footer="975" w:top="1360" w:bottom="1220" w:left="1600" w:right="1580"/>
        </w:sectPr>
      </w:pPr>
    </w:p>
    <w:p>
      <w:pPr>
        <w:pStyle w:val="BodyText"/>
        <w:spacing w:before="54"/>
        <w:ind w:left="102"/>
        <w:jc w:val="both"/>
      </w:pPr>
      <w:r>
        <w:rPr/>
        <w:t>cedencia en flexión.</w:t>
      </w:r>
    </w:p>
    <w:p>
      <w:pPr>
        <w:pStyle w:val="BodyText"/>
        <w:spacing w:before="3"/>
        <w:rPr>
          <w:sz w:val="31"/>
        </w:rPr>
      </w:pPr>
    </w:p>
    <w:p>
      <w:pPr>
        <w:pStyle w:val="BodyText"/>
        <w:spacing w:line="276" w:lineRule="auto" w:before="1"/>
        <w:ind w:left="102" w:right="113"/>
        <w:jc w:val="both"/>
      </w:pPr>
      <w:r>
        <w:rPr/>
        <w:t>El CP tipo III tiene resistencias a la compresión, flexión y módulo de Young muy cercanas a las presentadas por el CP tipo II pero con deformaciones a la compresión y flexión mayores, lo que se atribuye a una mejor transferencia de cargas entre la matriz y el esfuerzo.</w:t>
      </w:r>
    </w:p>
    <w:p>
      <w:pPr>
        <w:spacing w:after="0" w:line="276" w:lineRule="auto"/>
        <w:jc w:val="both"/>
        <w:sectPr>
          <w:pgSz w:w="12240" w:h="15840"/>
          <w:pgMar w:header="0" w:footer="975" w:top="1360" w:bottom="1220" w:left="1600" w:right="1580"/>
        </w:sectPr>
      </w:pPr>
    </w:p>
    <w:p>
      <w:pPr>
        <w:pStyle w:val="Heading2"/>
        <w:spacing w:before="51"/>
        <w:ind w:left="102"/>
      </w:pPr>
      <w:bookmarkStart w:name="_bookmark69" w:id="100"/>
      <w:bookmarkEnd w:id="100"/>
      <w:r>
        <w:rPr>
          <w:b w:val="0"/>
        </w:rPr>
      </w:r>
      <w:r>
        <w:rPr/>
        <w:t>Referencias</w:t>
      </w:r>
    </w:p>
    <w:p>
      <w:pPr>
        <w:pStyle w:val="BodyText"/>
        <w:spacing w:before="6"/>
        <w:rPr>
          <w:b/>
        </w:rPr>
      </w:pPr>
    </w:p>
    <w:p>
      <w:pPr>
        <w:spacing w:line="274" w:lineRule="exact" w:before="0"/>
        <w:ind w:left="102" w:right="125" w:firstLine="0"/>
        <w:jc w:val="both"/>
        <w:rPr>
          <w:sz w:val="24"/>
        </w:rPr>
      </w:pPr>
      <w:r>
        <w:rPr>
          <w:sz w:val="24"/>
        </w:rPr>
        <w:t>Ahn N. (2003). Effects of diacrylate monomers on the bond strength of polymer concrete to wet substrates, </w:t>
      </w:r>
      <w:r>
        <w:rPr>
          <w:i/>
          <w:sz w:val="24"/>
        </w:rPr>
        <w:t>Journal of Applied Polymer Science </w:t>
      </w:r>
      <w:r>
        <w:rPr>
          <w:sz w:val="24"/>
        </w:rPr>
        <w:t>90(4), 991-1000.</w:t>
      </w:r>
    </w:p>
    <w:p>
      <w:pPr>
        <w:pStyle w:val="BodyText"/>
        <w:spacing w:before="4"/>
      </w:pPr>
    </w:p>
    <w:p>
      <w:pPr>
        <w:pStyle w:val="BodyText"/>
        <w:spacing w:line="274" w:lineRule="exact"/>
        <w:ind w:left="102" w:right="120"/>
        <w:jc w:val="both"/>
      </w:pPr>
      <w:r>
        <w:rPr/>
        <w:t>Akbulut S., Arasan S., Kalkan E. (2007).Modification of clayey soils using scrap tire rubber and synthetic fibers. </w:t>
      </w:r>
      <w:r>
        <w:rPr>
          <w:i/>
        </w:rPr>
        <w:t>Applied Clay Science </w:t>
      </w:r>
      <w:r>
        <w:rPr/>
        <w:t>38, pp. 23–32.</w:t>
      </w:r>
    </w:p>
    <w:p>
      <w:pPr>
        <w:pStyle w:val="BodyText"/>
        <w:spacing w:before="10"/>
        <w:rPr>
          <w:sz w:val="23"/>
        </w:rPr>
      </w:pPr>
    </w:p>
    <w:p>
      <w:pPr>
        <w:pStyle w:val="BodyText"/>
        <w:ind w:left="102" w:right="126"/>
        <w:jc w:val="both"/>
      </w:pPr>
      <w:r>
        <w:rPr/>
        <w:t>Albella J.M. (1993). Introducción a la Ciencia de Materiales. Consejo Superior de Investigaciones Científicas, Madrid, España.</w:t>
      </w:r>
    </w:p>
    <w:p>
      <w:pPr>
        <w:pStyle w:val="BodyText"/>
      </w:pPr>
    </w:p>
    <w:p>
      <w:pPr>
        <w:pStyle w:val="BodyText"/>
        <w:ind w:left="102" w:right="117"/>
        <w:jc w:val="both"/>
      </w:pPr>
      <w:r>
        <w:rPr/>
        <w:t>Bion N., Saussey J., Haneda M., Daturi M. (2003). Study by in situ FTIR spectroscopy of the SCR of NOx by ethanol on Ag/Al2O3—Evidence of the role of isocyanate species. </w:t>
      </w:r>
      <w:r>
        <w:rPr>
          <w:i/>
        </w:rPr>
        <w:t>Journal of Catalysis. </w:t>
      </w:r>
      <w:r>
        <w:rPr/>
        <w:t>217, pp. 47–58</w:t>
      </w:r>
    </w:p>
    <w:p>
      <w:pPr>
        <w:pStyle w:val="BodyText"/>
        <w:spacing w:before="2"/>
      </w:pPr>
    </w:p>
    <w:p>
      <w:pPr>
        <w:pStyle w:val="BodyText"/>
        <w:ind w:left="102"/>
        <w:jc w:val="both"/>
      </w:pPr>
      <w:r>
        <w:rPr/>
        <w:t>Blaga A. (1985). Polymer Concrete. Canadian Building Digest.</w:t>
      </w:r>
    </w:p>
    <w:p>
      <w:pPr>
        <w:pStyle w:val="BodyText"/>
        <w:spacing w:before="9"/>
        <w:rPr>
          <w:sz w:val="23"/>
        </w:rPr>
      </w:pPr>
    </w:p>
    <w:p>
      <w:pPr>
        <w:spacing w:before="0"/>
        <w:ind w:left="102" w:right="114" w:firstLine="0"/>
        <w:jc w:val="both"/>
        <w:rPr>
          <w:sz w:val="24"/>
        </w:rPr>
      </w:pPr>
      <w:r>
        <w:rPr>
          <w:sz w:val="24"/>
        </w:rPr>
        <w:t>Chapiro, A., (2002). Polymer irradiation: past-present and future. </w:t>
      </w:r>
      <w:r>
        <w:rPr>
          <w:i/>
          <w:sz w:val="24"/>
        </w:rPr>
        <w:t>Radiation Physics </w:t>
      </w:r>
      <w:r>
        <w:rPr>
          <w:i/>
          <w:sz w:val="24"/>
        </w:rPr>
        <w:t>Chemistry Journal. </w:t>
      </w:r>
      <w:r>
        <w:rPr>
          <w:sz w:val="24"/>
        </w:rPr>
        <w:t>63 (3-6), pp. 207-209.</w:t>
      </w:r>
    </w:p>
    <w:p>
      <w:pPr>
        <w:pStyle w:val="BodyText"/>
        <w:spacing w:before="8"/>
      </w:pPr>
    </w:p>
    <w:p>
      <w:pPr>
        <w:spacing w:line="274" w:lineRule="exact" w:before="0"/>
        <w:ind w:left="102" w:right="104" w:firstLine="0"/>
        <w:jc w:val="both"/>
        <w:rPr>
          <w:sz w:val="24"/>
        </w:rPr>
      </w:pPr>
      <w:r>
        <w:rPr>
          <w:sz w:val="24"/>
        </w:rPr>
        <w:t>Chatzi E. G., Koenig J. L. (1987). Morphology and Structure of Kevlar Fibers: A Review. </w:t>
      </w:r>
      <w:r>
        <w:rPr>
          <w:i/>
          <w:sz w:val="24"/>
        </w:rPr>
        <w:t>Polymer-Plastics Technology and Engineering, </w:t>
      </w:r>
      <w:r>
        <w:rPr>
          <w:sz w:val="24"/>
        </w:rPr>
        <w:t>26:3-4, pp. 229-270</w:t>
      </w:r>
    </w:p>
    <w:p>
      <w:pPr>
        <w:pStyle w:val="BodyText"/>
        <w:spacing w:before="10"/>
        <w:rPr>
          <w:sz w:val="23"/>
        </w:rPr>
      </w:pPr>
    </w:p>
    <w:p>
      <w:pPr>
        <w:pStyle w:val="BodyText"/>
        <w:ind w:left="102" w:right="116"/>
        <w:jc w:val="both"/>
      </w:pPr>
      <w:r>
        <w:rPr/>
        <w:t>Efimenko K., Wallace W. E., Genzer J. (2002) Surface Modification of Sylgard-184 Poly(dimethyl siloxane) networks by Ultraviolet and Ultraviolet/Ozone Treatment. </w:t>
      </w:r>
      <w:r>
        <w:rPr>
          <w:i/>
        </w:rPr>
        <w:t>Journal of Colloid and Interface Science</w:t>
      </w:r>
      <w:r>
        <w:rPr>
          <w:b/>
        </w:rPr>
        <w:t>. </w:t>
      </w:r>
      <w:r>
        <w:rPr/>
        <w:t>254</w:t>
      </w:r>
      <w:r>
        <w:rPr>
          <w:b/>
        </w:rPr>
        <w:t>, </w:t>
      </w:r>
      <w:r>
        <w:rPr/>
        <w:t>pp. 306–315.</w:t>
      </w:r>
    </w:p>
    <w:p>
      <w:pPr>
        <w:pStyle w:val="BodyText"/>
        <w:spacing w:before="2"/>
      </w:pPr>
    </w:p>
    <w:p>
      <w:pPr>
        <w:pStyle w:val="BodyText"/>
        <w:ind w:left="102" w:right="112"/>
        <w:jc w:val="both"/>
      </w:pPr>
      <w:r>
        <w:rPr/>
        <w:t>Fainleib A., Grigoryeva O., Martínez Barrera G. (2009). Radiation induced functionalization of polyethylene and ground rubber for their reactive compatibilization in thermoplastic elastomers, en Gamma radiation effects on polymeric materials and its applications, Research Signpost, Kerala India, pp. 63- 85.</w:t>
      </w:r>
    </w:p>
    <w:p>
      <w:pPr>
        <w:pStyle w:val="BodyText"/>
      </w:pPr>
    </w:p>
    <w:p>
      <w:pPr>
        <w:pStyle w:val="BodyText"/>
        <w:ind w:left="102" w:right="125"/>
        <w:jc w:val="both"/>
      </w:pPr>
      <w:r>
        <w:rPr/>
        <w:t>Falcinelli O. (2002). Mecánica de Materiales Avanzados. Maestría Aeroespacial. Universidad de Puerto Rico. Recinto Universitario de Mayagüez.</w:t>
      </w:r>
    </w:p>
    <w:p>
      <w:pPr>
        <w:pStyle w:val="BodyText"/>
      </w:pPr>
    </w:p>
    <w:p>
      <w:pPr>
        <w:spacing w:before="0"/>
        <w:ind w:left="102" w:right="117" w:firstLine="0"/>
        <w:jc w:val="both"/>
        <w:rPr>
          <w:sz w:val="24"/>
        </w:rPr>
      </w:pPr>
      <w:r>
        <w:rPr>
          <w:sz w:val="24"/>
        </w:rPr>
        <w:t>Fattuhi N.I., Clark L.A. (1996).Cement-based materials containing shredded scrap truck tyre rubber. </w:t>
      </w:r>
      <w:r>
        <w:rPr>
          <w:i/>
          <w:sz w:val="24"/>
        </w:rPr>
        <w:t>Construction and Building Materials </w:t>
      </w:r>
      <w:r>
        <w:rPr>
          <w:sz w:val="24"/>
        </w:rPr>
        <w:t>10, pp. 229-236.</w:t>
      </w:r>
    </w:p>
    <w:p>
      <w:pPr>
        <w:pStyle w:val="BodyText"/>
        <w:spacing w:before="8"/>
      </w:pPr>
    </w:p>
    <w:p>
      <w:pPr>
        <w:spacing w:line="274" w:lineRule="exact" w:before="0"/>
        <w:ind w:left="102" w:right="118" w:firstLine="0"/>
        <w:jc w:val="both"/>
        <w:rPr>
          <w:sz w:val="24"/>
        </w:rPr>
      </w:pPr>
      <w:r>
        <w:rPr>
          <w:sz w:val="24"/>
        </w:rPr>
        <w:t>Ferreira A.J.M., Tavares C., Ribeiro C. (2000) Flexural properties of polyester resin concretes. </w:t>
      </w:r>
      <w:r>
        <w:rPr>
          <w:i/>
          <w:sz w:val="24"/>
        </w:rPr>
        <w:t>Journal of Polymer Engineering</w:t>
      </w:r>
      <w:r>
        <w:rPr>
          <w:sz w:val="24"/>
        </w:rPr>
        <w:t>, 20 (6) pp. 459–468.</w:t>
      </w:r>
    </w:p>
    <w:p>
      <w:pPr>
        <w:pStyle w:val="BodyText"/>
        <w:spacing w:before="10"/>
        <w:rPr>
          <w:sz w:val="23"/>
        </w:rPr>
      </w:pPr>
    </w:p>
    <w:p>
      <w:pPr>
        <w:pStyle w:val="BodyText"/>
        <w:ind w:left="102" w:right="121"/>
        <w:jc w:val="both"/>
      </w:pPr>
      <w:r>
        <w:rPr/>
        <w:t>Figueroa Infante A.S., Sánchez Castillo A., Reyes Lizcano A. (2007). Caracterización física de un asfalto modificado con poliestireno y llanta triturada, </w:t>
      </w:r>
      <w:r>
        <w:rPr>
          <w:i/>
        </w:rPr>
        <w:t>Épsilon </w:t>
      </w:r>
      <w:r>
        <w:rPr/>
        <w:t>009, 41-55.</w:t>
      </w:r>
    </w:p>
    <w:p>
      <w:pPr>
        <w:pStyle w:val="BodyText"/>
        <w:spacing w:before="11"/>
        <w:rPr>
          <w:sz w:val="23"/>
        </w:rPr>
      </w:pPr>
    </w:p>
    <w:p>
      <w:pPr>
        <w:pStyle w:val="BodyText"/>
        <w:ind w:left="102"/>
        <w:jc w:val="both"/>
        <w:rPr>
          <w:i/>
        </w:rPr>
      </w:pPr>
      <w:r>
        <w:rPr/>
        <w:t>Fowler D.W. (1999).Polymers in concrete: a vision for the 21st century, </w:t>
      </w:r>
      <w:r>
        <w:rPr>
          <w:i/>
        </w:rPr>
        <w:t>Cement    &amp;</w:t>
      </w:r>
    </w:p>
    <w:p>
      <w:pPr>
        <w:spacing w:after="0"/>
        <w:jc w:val="both"/>
        <w:sectPr>
          <w:pgSz w:w="12240" w:h="15840"/>
          <w:pgMar w:header="0" w:footer="975" w:top="1360" w:bottom="1220" w:left="1600" w:right="1580"/>
        </w:sectPr>
      </w:pPr>
    </w:p>
    <w:p>
      <w:pPr>
        <w:spacing w:before="49"/>
        <w:ind w:left="102" w:right="0" w:firstLine="0"/>
        <w:jc w:val="both"/>
        <w:rPr>
          <w:sz w:val="24"/>
        </w:rPr>
      </w:pPr>
      <w:r>
        <w:rPr>
          <w:i/>
          <w:sz w:val="24"/>
        </w:rPr>
        <w:t>Concrete Composites. </w:t>
      </w:r>
      <w:r>
        <w:rPr>
          <w:sz w:val="24"/>
        </w:rPr>
        <w:t>21, pp. 449-452.</w:t>
      </w:r>
    </w:p>
    <w:p>
      <w:pPr>
        <w:pStyle w:val="BodyText"/>
        <w:spacing w:before="2"/>
      </w:pPr>
    </w:p>
    <w:p>
      <w:pPr>
        <w:pStyle w:val="BodyText"/>
        <w:spacing w:before="1"/>
        <w:ind w:left="102" w:right="115"/>
        <w:jc w:val="both"/>
      </w:pPr>
      <w:r>
        <w:rPr/>
        <w:t>Goldstein J., Newbury D E., Joy D C., Lyman C E., Echlin P., LIfshin E., Sawyer L., Michael J.R. (2003). Scanning Electron Microscopy and X-ray Microanalysis. Springer (3).</w:t>
      </w:r>
    </w:p>
    <w:p>
      <w:pPr>
        <w:pStyle w:val="BodyText"/>
      </w:pPr>
    </w:p>
    <w:p>
      <w:pPr>
        <w:pStyle w:val="BodyText"/>
        <w:ind w:left="102" w:right="115"/>
        <w:jc w:val="both"/>
      </w:pPr>
      <w:r>
        <w:rPr/>
        <w:t>Govind Prasad S., Abhijit De, Udayan D. (2011). Structural and optical investigations of radiation damage in transparent PET polymer films. I</w:t>
      </w:r>
      <w:r>
        <w:rPr>
          <w:i/>
        </w:rPr>
        <w:t>nternational </w:t>
      </w:r>
      <w:r>
        <w:rPr>
          <w:i/>
        </w:rPr>
        <w:t>Journal of Spectroscopy</w:t>
      </w:r>
      <w:r>
        <w:rPr/>
        <w:t>. 1-7.</w:t>
      </w:r>
    </w:p>
    <w:p>
      <w:pPr>
        <w:pStyle w:val="BodyText"/>
        <w:spacing w:before="2"/>
      </w:pPr>
    </w:p>
    <w:p>
      <w:pPr>
        <w:pStyle w:val="BodyText"/>
        <w:ind w:left="102" w:right="115"/>
        <w:jc w:val="both"/>
      </w:pPr>
      <w:r>
        <w:rPr/>
        <w:t>Hassan M.M., Aly R.O., El-Ghandour A.H., Abdelnaby H.A. (2013). Effect of gamma irradiation on some properties of reclaimed rubber/nitrile−butadiene rubber blend and its swelling in motor and brake oils. </w:t>
      </w:r>
      <w:r>
        <w:rPr>
          <w:i/>
        </w:rPr>
        <w:t>Journal of Elastomers and Plastics. </w:t>
      </w:r>
      <w:r>
        <w:rPr/>
        <w:t>45 (1), pp. 77-94.</w:t>
      </w:r>
    </w:p>
    <w:p>
      <w:pPr>
        <w:pStyle w:val="BodyText"/>
      </w:pPr>
    </w:p>
    <w:p>
      <w:pPr>
        <w:pStyle w:val="BodyText"/>
        <w:ind w:left="102" w:right="115"/>
        <w:jc w:val="both"/>
      </w:pPr>
      <w:r>
        <w:rPr/>
        <w:t>Hisham S.F., Ahmad I., Daik R., Ramli A. (2011). Blends of LNR with unsaturated polyester resin from recycled PET: Comparison of mechanical properties and morphological analysis with the optimum blend by commercial resin. </w:t>
      </w:r>
      <w:r>
        <w:rPr>
          <w:i/>
        </w:rPr>
        <w:t>Sains </w:t>
      </w:r>
      <w:r>
        <w:rPr>
          <w:i/>
        </w:rPr>
        <w:t>Malaysiana </w:t>
      </w:r>
      <w:r>
        <w:rPr/>
        <w:t>40(7), pp. 729–735.</w:t>
      </w:r>
    </w:p>
    <w:p>
      <w:pPr>
        <w:pStyle w:val="BodyText"/>
        <w:spacing w:before="2"/>
      </w:pPr>
    </w:p>
    <w:p>
      <w:pPr>
        <w:spacing w:line="240" w:lineRule="auto" w:before="0"/>
        <w:ind w:left="102" w:right="115" w:firstLine="0"/>
        <w:jc w:val="both"/>
        <w:rPr>
          <w:sz w:val="24"/>
        </w:rPr>
      </w:pPr>
      <w:r>
        <w:rPr>
          <w:sz w:val="24"/>
        </w:rPr>
        <w:t>Ismail M.R., Ali M.A., El-Milligy A.A., Afifi M.S. (1998). Physico-chemical studies of gamma-irradiated polyester-impregnated cement mortar composite. </w:t>
      </w:r>
      <w:r>
        <w:rPr>
          <w:i/>
          <w:sz w:val="24"/>
        </w:rPr>
        <w:t>Journal of </w:t>
      </w:r>
      <w:r>
        <w:rPr>
          <w:i/>
          <w:sz w:val="24"/>
        </w:rPr>
        <w:t>Radio analytical and Nuclear Chemistry. </w:t>
      </w:r>
      <w:r>
        <w:rPr>
          <w:sz w:val="24"/>
        </w:rPr>
        <w:t>238, pp. 111-117.</w:t>
      </w:r>
    </w:p>
    <w:p>
      <w:pPr>
        <w:pStyle w:val="BodyText"/>
        <w:spacing w:before="2"/>
      </w:pPr>
    </w:p>
    <w:p>
      <w:pPr>
        <w:pStyle w:val="BodyText"/>
        <w:ind w:left="102" w:right="118"/>
        <w:jc w:val="both"/>
      </w:pPr>
      <w:r>
        <w:rPr/>
        <w:t>Jenkins R. (2000). X-ray Techniques: Overview, en Encyclopedia of Analytical Chemistry. Ed. R.A. Meyers, pp. 13269–13288.</w:t>
      </w:r>
    </w:p>
    <w:p>
      <w:pPr>
        <w:pStyle w:val="BodyText"/>
      </w:pPr>
    </w:p>
    <w:p>
      <w:pPr>
        <w:pStyle w:val="BodyText"/>
        <w:tabs>
          <w:tab w:pos="5025" w:val="left" w:leader="none"/>
          <w:tab w:pos="6820" w:val="left" w:leader="none"/>
          <w:tab w:pos="8285" w:val="left" w:leader="none"/>
        </w:tabs>
        <w:ind w:left="102" w:right="116"/>
      </w:pPr>
      <w:r>
        <w:rPr/>
        <w:t>Jiang </w:t>
      </w:r>
      <w:r>
        <w:rPr>
          <w:spacing w:val="-9"/>
        </w:rPr>
        <w:t>T., </w:t>
      </w:r>
      <w:r>
        <w:rPr/>
        <w:t>Rigney J., Jones MC. G., Markoski L. J., Spilman G.E., Mielewski </w:t>
      </w:r>
      <w:r>
        <w:rPr>
          <w:spacing w:val="-7"/>
        </w:rPr>
        <w:t>D.F, </w:t>
      </w:r>
      <w:r>
        <w:rPr/>
        <w:t>Martin D.C. (1995). Processing and characterization of thermally cross-linkable Poly(p-phenyleneterephthalamide-Co-P-1,2- Dihydrocyclobutaphenyleneterephtalamide)</w:t>
        <w:tab/>
        <w:t>(Ppta-Co-Xta)</w:t>
        <w:tab/>
        <w:t>Copolymer</w:t>
        <w:tab/>
        <w:t>fibers. </w:t>
      </w:r>
      <w:r>
        <w:rPr>
          <w:i/>
        </w:rPr>
        <w:t>Macromolecules</w:t>
      </w:r>
      <w:r>
        <w:rPr/>
        <w:t>. 28(9), pp.</w:t>
      </w:r>
      <w:r>
        <w:rPr>
          <w:spacing w:val="-13"/>
        </w:rPr>
        <w:t> </w:t>
      </w:r>
      <w:r>
        <w:rPr/>
        <w:t>3301-3312.</w:t>
      </w:r>
    </w:p>
    <w:p>
      <w:pPr>
        <w:pStyle w:val="BodyText"/>
        <w:spacing w:before="2"/>
      </w:pPr>
    </w:p>
    <w:p>
      <w:pPr>
        <w:pStyle w:val="BodyText"/>
        <w:ind w:left="102" w:right="116"/>
        <w:jc w:val="both"/>
      </w:pPr>
      <w:r>
        <w:rPr/>
        <w:t>Khorasani M. T., Mirzadeh I. H., Sammes P. G. (1996). Laser induced surface modification of polydimethylsiloxane as a super-hydrophobic material. </w:t>
      </w:r>
      <w:r>
        <w:rPr>
          <w:i/>
        </w:rPr>
        <w:t>Radiation </w:t>
      </w:r>
      <w:r>
        <w:rPr>
          <w:i/>
        </w:rPr>
        <w:t>Physics and Chemistry. </w:t>
      </w:r>
      <w:r>
        <w:rPr/>
        <w:t>47(6), pp. 881-888,</w:t>
      </w:r>
    </w:p>
    <w:p>
      <w:pPr>
        <w:pStyle w:val="BodyText"/>
        <w:spacing w:before="3"/>
      </w:pPr>
    </w:p>
    <w:p>
      <w:pPr>
        <w:pStyle w:val="BodyText"/>
        <w:ind w:left="102" w:right="112"/>
        <w:jc w:val="both"/>
      </w:pPr>
      <w:r>
        <w:rPr/>
        <w:t>Martínez-Barrera G., Brostow W. (2009). Fiber-reinforced polymer concrete: Property improvement by gamma irradiation, en Gamma radiation effects on polymeric materials and its applications, Research Signpost, Kerala India, pp. 27- 44.</w:t>
      </w:r>
    </w:p>
    <w:p>
      <w:pPr>
        <w:pStyle w:val="BodyText"/>
        <w:spacing w:before="5"/>
      </w:pPr>
    </w:p>
    <w:p>
      <w:pPr>
        <w:pStyle w:val="BodyText"/>
        <w:spacing w:line="274" w:lineRule="exact" w:before="1"/>
        <w:ind w:left="102" w:right="112"/>
        <w:jc w:val="both"/>
      </w:pPr>
      <w:r>
        <w:rPr/>
        <w:t>Martínez-Barrera G., Brostow W. (2008). Compressive Strength of Gamma- Irradiated Polymer Concrete, </w:t>
      </w:r>
      <w:r>
        <w:rPr>
          <w:i/>
        </w:rPr>
        <w:t>Polymer Composites</w:t>
      </w:r>
      <w:r>
        <w:rPr/>
        <w:t>, 1210-1217.</w:t>
      </w:r>
    </w:p>
    <w:p>
      <w:pPr>
        <w:pStyle w:val="BodyText"/>
        <w:spacing w:before="4"/>
      </w:pPr>
    </w:p>
    <w:p>
      <w:pPr>
        <w:pStyle w:val="BodyText"/>
        <w:spacing w:line="274" w:lineRule="exact"/>
        <w:ind w:left="102" w:right="116"/>
        <w:jc w:val="both"/>
        <w:rPr>
          <w:i/>
        </w:rPr>
      </w:pPr>
      <w:r>
        <w:rPr/>
        <w:t>Martinez Ramirez S., Zamarad A., Thompson G.E., Moore B. (2002).Organic and inorganic  concrete  under  SO2  pollutant  exposure.  </w:t>
      </w:r>
      <w:r>
        <w:rPr>
          <w:i/>
        </w:rPr>
        <w:t>Building  and   </w:t>
      </w:r>
      <w:r>
        <w:rPr>
          <w:i/>
          <w:spacing w:val="58"/>
        </w:rPr>
        <w:t> </w:t>
      </w:r>
      <w:r>
        <w:rPr>
          <w:i/>
        </w:rPr>
        <w:t>Environment</w:t>
      </w:r>
    </w:p>
    <w:p>
      <w:pPr>
        <w:spacing w:after="0" w:line="274" w:lineRule="exact"/>
        <w:jc w:val="both"/>
        <w:sectPr>
          <w:pgSz w:w="12240" w:h="15840"/>
          <w:pgMar w:header="0" w:footer="975" w:top="1360" w:bottom="1220" w:left="1600" w:right="1580"/>
        </w:sectPr>
      </w:pPr>
    </w:p>
    <w:p>
      <w:pPr>
        <w:pStyle w:val="BodyText"/>
        <w:spacing w:before="51"/>
        <w:ind w:left="102"/>
        <w:jc w:val="both"/>
      </w:pPr>
      <w:r>
        <w:rPr/>
        <w:t>37,933-937.</w:t>
      </w:r>
    </w:p>
    <w:p>
      <w:pPr>
        <w:pStyle w:val="BodyText"/>
      </w:pPr>
    </w:p>
    <w:p>
      <w:pPr>
        <w:pStyle w:val="BodyText"/>
        <w:ind w:left="102" w:right="118"/>
        <w:jc w:val="both"/>
      </w:pPr>
      <w:r>
        <w:rPr/>
        <w:t>Mechaca Campos C., Barrera-Diaz C.E., Martínez-Barrera G., Gencel O. (2012). Influence of irradiated polymeric fibers on the mechanical properties of concretes: analysis by microscopy. Current Microscopy Contributions to Advances in Science and Technology, E.U., pp. 1123-1129.</w:t>
      </w:r>
    </w:p>
    <w:p>
      <w:pPr>
        <w:pStyle w:val="BodyText"/>
        <w:spacing w:before="9"/>
        <w:rPr>
          <w:sz w:val="23"/>
        </w:rPr>
      </w:pPr>
    </w:p>
    <w:p>
      <w:pPr>
        <w:spacing w:before="0"/>
        <w:ind w:left="102" w:right="118" w:firstLine="0"/>
        <w:jc w:val="both"/>
        <w:rPr>
          <w:sz w:val="24"/>
        </w:rPr>
      </w:pPr>
      <w:r>
        <w:rPr>
          <w:sz w:val="24"/>
        </w:rPr>
        <w:t>Meyer C. (2009). The greening of the concrete industry. </w:t>
      </w:r>
      <w:r>
        <w:rPr>
          <w:i/>
          <w:sz w:val="24"/>
        </w:rPr>
        <w:t>Cement and Concrete </w:t>
      </w:r>
      <w:r>
        <w:rPr>
          <w:i/>
          <w:sz w:val="24"/>
        </w:rPr>
        <w:t>Composites </w:t>
      </w:r>
      <w:r>
        <w:rPr>
          <w:sz w:val="24"/>
        </w:rPr>
        <w:t>31, 601-605.</w:t>
      </w:r>
    </w:p>
    <w:p>
      <w:pPr>
        <w:pStyle w:val="BodyText"/>
        <w:spacing w:before="2"/>
      </w:pPr>
    </w:p>
    <w:p>
      <w:pPr>
        <w:pStyle w:val="BodyText"/>
        <w:ind w:left="102" w:right="114"/>
        <w:jc w:val="both"/>
      </w:pPr>
      <w:r>
        <w:rPr/>
        <w:t>Mis Fernandez R.; Azamar Barrios J.A., Rios Soberanis C.R. (2008). Characterization of the powder obtained from wasted tires reduced by pyrolysis  and thermal shock process. </w:t>
      </w:r>
      <w:r>
        <w:rPr>
          <w:i/>
        </w:rPr>
        <w:t>Journal of Applied Research and </w:t>
      </w:r>
      <w:r>
        <w:rPr>
          <w:i/>
          <w:spacing w:val="-4"/>
        </w:rPr>
        <w:t>Technology. </w:t>
      </w:r>
      <w:r>
        <w:rPr/>
        <w:t>pp. 95- 105.</w:t>
      </w:r>
    </w:p>
    <w:p>
      <w:pPr>
        <w:pStyle w:val="BodyText"/>
      </w:pPr>
    </w:p>
    <w:p>
      <w:pPr>
        <w:pStyle w:val="BodyText"/>
        <w:ind w:left="102" w:right="115"/>
        <w:jc w:val="both"/>
      </w:pPr>
      <w:r>
        <w:rPr/>
        <w:t>Moustafa A.B., Mounir R., El Miligy A.A., Maysa A. (2011). Effect of gamma irradiation on the properties of natural rubber/styrene butadiene rubber blends. </w:t>
      </w:r>
      <w:r>
        <w:rPr>
          <w:i/>
        </w:rPr>
        <w:t>Arabian Journal of Chemistry </w:t>
      </w:r>
      <w:r>
        <w:rPr/>
        <w:t>pp. 1-6</w:t>
      </w:r>
    </w:p>
    <w:p>
      <w:pPr>
        <w:pStyle w:val="BodyText"/>
        <w:spacing w:before="2"/>
      </w:pPr>
    </w:p>
    <w:p>
      <w:pPr>
        <w:pStyle w:val="BodyText"/>
        <w:ind w:left="102" w:right="116"/>
        <w:jc w:val="both"/>
      </w:pPr>
      <w:r>
        <w:rPr/>
        <w:t>Osmani M. (2011). Innovation in Cleaner Production through Concrete and Cement Composite Recycling.3rd International Workshop, Advances in Cleaner Production.</w:t>
      </w:r>
    </w:p>
    <w:p>
      <w:pPr>
        <w:pStyle w:val="BodyText"/>
      </w:pPr>
    </w:p>
    <w:p>
      <w:pPr>
        <w:pStyle w:val="BodyText"/>
        <w:ind w:left="102" w:right="116"/>
        <w:jc w:val="both"/>
      </w:pPr>
      <w:r>
        <w:rPr/>
        <w:t>Osorio Saraz J.A., VarónAristizabal </w:t>
      </w:r>
      <w:r>
        <w:rPr>
          <w:spacing w:val="-9"/>
        </w:rPr>
        <w:t>F., </w:t>
      </w:r>
      <w:r>
        <w:rPr/>
        <w:t>Herrera Mejía J.A. (2007). Comportamiento mecánico del concreto reforzado con fibras de bagazo de caña de </w:t>
      </w:r>
      <w:r>
        <w:rPr>
          <w:spacing w:val="-3"/>
        </w:rPr>
        <w:t>azúcar. </w:t>
      </w:r>
      <w:r>
        <w:rPr>
          <w:i/>
        </w:rPr>
        <w:t>Dyna </w:t>
      </w:r>
      <w:r>
        <w:rPr/>
        <w:t>74 (153), 69-79.</w:t>
      </w:r>
    </w:p>
    <w:p>
      <w:pPr>
        <w:pStyle w:val="BodyText"/>
      </w:pPr>
    </w:p>
    <w:p>
      <w:pPr>
        <w:pStyle w:val="BodyText"/>
        <w:ind w:left="102" w:right="116"/>
        <w:jc w:val="both"/>
      </w:pPr>
      <w:r>
        <w:rPr/>
        <w:t>Reichmanis E., Frank W.C., O'Donell H.J., Hill T.J.D. (1993). Radiation Effects on Polymeric Materials. A Brief Overview, en Irradiation of Polymeric Materials, ACS Symposium Series.</w:t>
      </w:r>
    </w:p>
    <w:p>
      <w:pPr>
        <w:pStyle w:val="BodyText"/>
      </w:pPr>
    </w:p>
    <w:p>
      <w:pPr>
        <w:pStyle w:val="BodyText"/>
        <w:ind w:left="102" w:right="112"/>
        <w:jc w:val="both"/>
      </w:pPr>
      <w:r>
        <w:rPr/>
        <w:t>Reis J.M.L., de Oliveira R., Ferreira A.J.M., Marques A.T. (2003). A NDT assessment of fracture mechanics properties of fiber reinforced polymer concrete. </w:t>
      </w:r>
      <w:r>
        <w:rPr>
          <w:i/>
        </w:rPr>
        <w:t>Polymer Testing </w:t>
      </w:r>
      <w:r>
        <w:rPr/>
        <w:t>22, 395-401.</w:t>
      </w:r>
    </w:p>
    <w:p>
      <w:pPr>
        <w:pStyle w:val="BodyText"/>
        <w:spacing w:before="2"/>
      </w:pPr>
    </w:p>
    <w:p>
      <w:pPr>
        <w:pStyle w:val="BodyText"/>
        <w:ind w:left="102" w:right="118"/>
        <w:jc w:val="both"/>
      </w:pPr>
      <w:r>
        <w:rPr/>
        <w:t>Reis J.M.L., Ferreira A.J.M. (2004).Assessment of fracture properties of epoxy polymer concrete reinforced with short carbon and glass fibers. </w:t>
      </w:r>
      <w:r>
        <w:rPr>
          <w:i/>
        </w:rPr>
        <w:t>Construction and </w:t>
      </w:r>
      <w:r>
        <w:rPr>
          <w:i/>
        </w:rPr>
        <w:t>Building Materials </w:t>
      </w:r>
      <w:r>
        <w:rPr/>
        <w:t>18, 523-528.</w:t>
      </w:r>
    </w:p>
    <w:p>
      <w:pPr>
        <w:pStyle w:val="BodyText"/>
        <w:spacing w:before="3"/>
      </w:pPr>
    </w:p>
    <w:p>
      <w:pPr>
        <w:pStyle w:val="BodyText"/>
        <w:ind w:left="102" w:right="117"/>
        <w:jc w:val="both"/>
      </w:pPr>
      <w:r>
        <w:rPr/>
        <w:t>Reis J.M.L. (2006).Fracture and flexural characterization of polymer concrete reinforced with wood waste.17° Congresso brasileiro de engenharia eciência dos materiais, pp.2871-2881.</w:t>
      </w:r>
    </w:p>
    <w:p>
      <w:pPr>
        <w:pStyle w:val="BodyText"/>
      </w:pPr>
    </w:p>
    <w:p>
      <w:pPr>
        <w:pStyle w:val="BodyText"/>
        <w:ind w:left="102" w:right="123"/>
        <w:jc w:val="both"/>
      </w:pPr>
      <w:r>
        <w:rPr/>
        <w:t>Reis J.M.L. (2007). Fracture toughness of fiber reinforced polymer concrete. Mechanics of Solids in Brazil. Brazilian Society of Mechanical Sciences and Engineering, pp. 459-467.</w:t>
      </w:r>
    </w:p>
    <w:p>
      <w:pPr>
        <w:pStyle w:val="BodyText"/>
        <w:spacing w:before="11"/>
        <w:rPr>
          <w:sz w:val="23"/>
        </w:rPr>
      </w:pPr>
    </w:p>
    <w:p>
      <w:pPr>
        <w:pStyle w:val="BodyText"/>
        <w:ind w:left="102"/>
        <w:jc w:val="both"/>
      </w:pPr>
      <w:r>
        <w:rPr/>
        <w:t>Reis J.M.L. Jurumenha M.A.G. (2011).Experimental Investigation on the Effects  of</w:t>
      </w:r>
    </w:p>
    <w:p>
      <w:pPr>
        <w:spacing w:after="0"/>
        <w:jc w:val="both"/>
        <w:sectPr>
          <w:pgSz w:w="12240" w:h="15840"/>
          <w:pgMar w:header="0" w:footer="975" w:top="1360" w:bottom="1220" w:left="1600" w:right="1580"/>
        </w:sectPr>
      </w:pPr>
    </w:p>
    <w:p>
      <w:pPr>
        <w:pStyle w:val="BodyText"/>
        <w:spacing w:before="49"/>
        <w:ind w:left="102" w:right="115"/>
        <w:jc w:val="both"/>
      </w:pPr>
      <w:r>
        <w:rPr/>
        <w:t>Recycled Aggregate on Fracture Behavior of Polymer Concrete. </w:t>
      </w:r>
      <w:r>
        <w:rPr>
          <w:i/>
        </w:rPr>
        <w:t>Materials </w:t>
      </w:r>
      <w:r>
        <w:rPr>
          <w:i/>
        </w:rPr>
        <w:t>Research</w:t>
      </w:r>
      <w:r>
        <w:rPr/>
        <w:t>14 (3), 326-330</w:t>
      </w:r>
    </w:p>
    <w:p>
      <w:pPr>
        <w:pStyle w:val="BodyText"/>
        <w:spacing w:before="2"/>
      </w:pPr>
    </w:p>
    <w:p>
      <w:pPr>
        <w:pStyle w:val="BodyText"/>
        <w:ind w:left="102" w:right="116"/>
        <w:jc w:val="both"/>
      </w:pPr>
      <w:r>
        <w:rPr/>
        <w:t>Ribeiro M.C.S., Dinis M.L., Fiúza A., Castro A.C.M., Silva </w:t>
      </w:r>
      <w:r>
        <w:rPr>
          <w:spacing w:val="-6"/>
        </w:rPr>
        <w:t>F.G., </w:t>
      </w:r>
      <w:r>
        <w:rPr/>
        <w:t>Meixedo </w:t>
      </w:r>
      <w:r>
        <w:rPr>
          <w:spacing w:val="-6"/>
        </w:rPr>
        <w:t>J.P., </w:t>
      </w:r>
      <w:r>
        <w:rPr/>
        <w:t>Costa C., Ferreira </w:t>
      </w:r>
      <w:r>
        <w:rPr>
          <w:spacing w:val="-9"/>
        </w:rPr>
        <w:t>F.,</w:t>
      </w:r>
      <w:r>
        <w:rPr>
          <w:spacing w:val="48"/>
        </w:rPr>
        <w:t> </w:t>
      </w:r>
      <w:r>
        <w:rPr/>
        <w:t>Alvim M.R. </w:t>
      </w:r>
      <w:r>
        <w:rPr>
          <w:spacing w:val="-3"/>
        </w:rPr>
        <w:t>(2011). </w:t>
      </w:r>
      <w:r>
        <w:rPr/>
        <w:t>Reusability assessment of thermoset polymericcomposite wastes as reinforcement and filler replacement for polymer concrete materials. 18th International conference on composite materials.</w:t>
      </w:r>
    </w:p>
    <w:p>
      <w:pPr>
        <w:pStyle w:val="BodyText"/>
      </w:pPr>
    </w:p>
    <w:p>
      <w:pPr>
        <w:pStyle w:val="BodyText"/>
        <w:ind w:left="102" w:right="118"/>
        <w:jc w:val="both"/>
      </w:pPr>
      <w:r>
        <w:rPr/>
        <w:t>Schaffer J.P. (2000). Ciencia y Diseño de Ingeniería de los Materiales. Ed. Campania Editorial Continental, México.</w:t>
      </w:r>
    </w:p>
    <w:p>
      <w:pPr>
        <w:pStyle w:val="BodyText"/>
      </w:pPr>
    </w:p>
    <w:p>
      <w:pPr>
        <w:pStyle w:val="BodyText"/>
        <w:ind w:left="102" w:right="119"/>
        <w:jc w:val="both"/>
      </w:pPr>
      <w:r>
        <w:rPr/>
        <w:t>Seguchi T., Morita, Y. (1999). Radiation resistance of plastics and elastomers. Polymer Handbook, VI-583-VI-588.</w:t>
      </w:r>
    </w:p>
    <w:p>
      <w:pPr>
        <w:pStyle w:val="BodyText"/>
        <w:spacing w:before="6"/>
      </w:pPr>
    </w:p>
    <w:p>
      <w:pPr>
        <w:pStyle w:val="BodyText"/>
        <w:spacing w:line="274" w:lineRule="exact"/>
        <w:ind w:left="102" w:right="116"/>
        <w:jc w:val="both"/>
      </w:pPr>
      <w:r>
        <w:rPr/>
        <w:t>Siddique R., Naik T.R. (2004).Properties of concrete containing scrap-tire rubber – an overview. </w:t>
      </w:r>
      <w:r>
        <w:rPr>
          <w:i/>
        </w:rPr>
        <w:t>Waste Management </w:t>
      </w:r>
      <w:r>
        <w:rPr/>
        <w:t>24, 563-569.</w:t>
      </w:r>
    </w:p>
    <w:p>
      <w:pPr>
        <w:pStyle w:val="BodyText"/>
        <w:spacing w:before="10"/>
        <w:rPr>
          <w:sz w:val="23"/>
        </w:rPr>
      </w:pPr>
    </w:p>
    <w:p>
      <w:pPr>
        <w:pStyle w:val="BodyText"/>
        <w:ind w:left="102" w:right="117"/>
        <w:jc w:val="both"/>
      </w:pPr>
      <w:r>
        <w:rPr/>
        <w:t>Tomas San José J., Vegas I., Ferreira A., (2005). Reinforced polymer concrete: Physical properties of the matrix and static/dynamic bond behaviour. </w:t>
      </w:r>
      <w:r>
        <w:rPr>
          <w:i/>
        </w:rPr>
        <w:t>Cement and </w:t>
      </w:r>
      <w:r>
        <w:rPr>
          <w:i/>
        </w:rPr>
        <w:t>Concrete Composites </w:t>
      </w:r>
      <w:r>
        <w:rPr/>
        <w:t>27, 934-944.</w:t>
      </w:r>
    </w:p>
    <w:p>
      <w:pPr>
        <w:pStyle w:val="BodyText"/>
        <w:spacing w:before="8"/>
      </w:pPr>
    </w:p>
    <w:p>
      <w:pPr>
        <w:spacing w:line="274" w:lineRule="exact" w:before="0"/>
        <w:ind w:left="102" w:right="124" w:firstLine="0"/>
        <w:jc w:val="both"/>
        <w:rPr>
          <w:sz w:val="24"/>
        </w:rPr>
      </w:pPr>
      <w:r>
        <w:rPr>
          <w:sz w:val="24"/>
        </w:rPr>
        <w:t>Varughese K.T. (1996). Fly Ash as Fine Aggregate in Polyester Based Polymer Concrete. </w:t>
      </w:r>
      <w:r>
        <w:rPr>
          <w:i/>
          <w:sz w:val="24"/>
        </w:rPr>
        <w:t>Cement and Concrete Composites </w:t>
      </w:r>
      <w:r>
        <w:rPr>
          <w:sz w:val="24"/>
        </w:rPr>
        <w:t>18, 105-108.</w:t>
      </w:r>
    </w:p>
    <w:p>
      <w:pPr>
        <w:pStyle w:val="BodyText"/>
        <w:spacing w:before="10"/>
        <w:rPr>
          <w:sz w:val="23"/>
        </w:rPr>
      </w:pPr>
    </w:p>
    <w:p>
      <w:pPr>
        <w:pStyle w:val="BodyText"/>
        <w:ind w:left="102" w:right="125"/>
        <w:jc w:val="both"/>
      </w:pPr>
      <w:r>
        <w:rPr/>
        <w:t>Vipulanandan C., Mebarkia S., (1990). Enhancing the mechanical and fracture properties of polyester polymer concrete. University of Houston, pp. 411-415.</w:t>
      </w:r>
    </w:p>
    <w:p>
      <w:pPr>
        <w:pStyle w:val="BodyText"/>
      </w:pPr>
    </w:p>
    <w:p>
      <w:pPr>
        <w:spacing w:line="240" w:lineRule="auto" w:before="0"/>
        <w:ind w:left="102" w:right="115" w:firstLine="0"/>
        <w:jc w:val="both"/>
        <w:rPr>
          <w:sz w:val="24"/>
        </w:rPr>
      </w:pPr>
      <w:r>
        <w:rPr>
          <w:sz w:val="24"/>
        </w:rPr>
        <w:t>Vytlačilová V. (2011).The fibre reinforced concrete with using recycled aggregates. </w:t>
      </w:r>
      <w:r>
        <w:rPr>
          <w:i/>
          <w:sz w:val="24"/>
        </w:rPr>
        <w:t>International Journal of Systems Applications, Engineering &amp; Development </w:t>
      </w:r>
      <w:r>
        <w:rPr>
          <w:sz w:val="24"/>
        </w:rPr>
        <w:t>3(5), 359-366.</w:t>
      </w:r>
    </w:p>
    <w:p>
      <w:pPr>
        <w:pStyle w:val="BodyText"/>
      </w:pPr>
    </w:p>
    <w:p>
      <w:pPr>
        <w:pStyle w:val="BodyText"/>
        <w:spacing w:line="275" w:lineRule="exact"/>
        <w:ind w:left="102"/>
        <w:jc w:val="both"/>
      </w:pPr>
      <w:r>
        <w:rPr/>
        <w:t>Wündrich K. (1985). A Review of Radiation Resistance for Plastic and  Elastomeric</w:t>
      </w:r>
    </w:p>
    <w:p>
      <w:pPr>
        <w:spacing w:line="275" w:lineRule="exact" w:before="0"/>
        <w:ind w:left="102" w:right="0" w:firstLine="0"/>
        <w:jc w:val="both"/>
        <w:rPr>
          <w:sz w:val="24"/>
        </w:rPr>
      </w:pPr>
      <w:r>
        <w:rPr>
          <w:i/>
          <w:sz w:val="24"/>
        </w:rPr>
        <w:t>Materials. Radiation Physics and Chemistry </w:t>
      </w:r>
      <w:r>
        <w:rPr>
          <w:sz w:val="24"/>
        </w:rPr>
        <w:t>24, 503-510.</w:t>
      </w:r>
    </w:p>
    <w:p>
      <w:pPr>
        <w:pStyle w:val="BodyText"/>
        <w:spacing w:before="2"/>
      </w:pPr>
    </w:p>
    <w:p>
      <w:pPr>
        <w:pStyle w:val="BodyText"/>
        <w:ind w:left="102" w:right="117"/>
        <w:jc w:val="both"/>
      </w:pPr>
      <w:r>
        <w:rPr>
          <w:spacing w:val="-4"/>
        </w:rPr>
        <w:t>Youssf</w:t>
      </w:r>
      <w:r>
        <w:rPr>
          <w:spacing w:val="58"/>
        </w:rPr>
        <w:t> </w:t>
      </w:r>
      <w:r>
        <w:rPr/>
        <w:t>O., El Gawady M.A., Mills J.E., Xing M. (2014). An experimental investigation of crumb rubber concrete confined by fibre reinforced polymer tubes. </w:t>
      </w:r>
      <w:r>
        <w:rPr>
          <w:i/>
        </w:rPr>
        <w:t>Construction and Building Materials </w:t>
      </w:r>
      <w:r>
        <w:rPr/>
        <w:t>53, 522–532</w:t>
      </w:r>
    </w:p>
    <w:p>
      <w:pPr>
        <w:pStyle w:val="BodyText"/>
        <w:spacing w:before="3"/>
      </w:pPr>
    </w:p>
    <w:p>
      <w:pPr>
        <w:pStyle w:val="BodyText"/>
        <w:ind w:left="102" w:right="113"/>
        <w:jc w:val="both"/>
      </w:pPr>
      <w:r>
        <w:rPr>
          <w:spacing w:val="-4"/>
        </w:rPr>
        <w:t>Youssf </w:t>
      </w:r>
      <w:r>
        <w:rPr/>
        <w:t>O, El </w:t>
      </w:r>
      <w:r>
        <w:rPr>
          <w:spacing w:val="-4"/>
        </w:rPr>
        <w:t>Gawady, </w:t>
      </w:r>
      <w:r>
        <w:rPr/>
        <w:t>M.A. (2012) An overview of sustainable concrete made withs crap </w:t>
      </w:r>
      <w:r>
        <w:rPr>
          <w:spacing w:val="-3"/>
        </w:rPr>
        <w:t>rubber. </w:t>
      </w:r>
      <w:r>
        <w:rPr/>
        <w:t>Proceedings of the ACMSM 22, Sydney Australia, Diciembre pp. </w:t>
      </w:r>
      <w:r>
        <w:rPr>
          <w:spacing w:val="-6"/>
        </w:rPr>
        <w:t>11– </w:t>
      </w:r>
      <w:r>
        <w:rPr/>
        <w:t>14</w:t>
      </w:r>
    </w:p>
    <w:p>
      <w:pPr>
        <w:pStyle w:val="BodyText"/>
      </w:pPr>
    </w:p>
    <w:p>
      <w:pPr>
        <w:spacing w:line="240" w:lineRule="auto" w:before="0"/>
        <w:ind w:left="102" w:right="118" w:firstLine="0"/>
        <w:jc w:val="both"/>
        <w:rPr>
          <w:sz w:val="24"/>
        </w:rPr>
      </w:pPr>
      <w:r>
        <w:rPr>
          <w:sz w:val="24"/>
        </w:rPr>
        <w:t>Zaharescu </w:t>
      </w:r>
      <w:r>
        <w:rPr>
          <w:spacing w:val="-9"/>
          <w:sz w:val="24"/>
        </w:rPr>
        <w:t>T., </w:t>
      </w:r>
      <w:r>
        <w:rPr>
          <w:sz w:val="24"/>
        </w:rPr>
        <w:t>Jipa S., Giurginca M. (1998) Radiochemical Processing of EPDM/  NR Blends. </w:t>
      </w:r>
      <w:r>
        <w:rPr>
          <w:i/>
          <w:sz w:val="24"/>
        </w:rPr>
        <w:t>Journal of Macromolecular Science, Part A: Pure and Applied </w:t>
      </w:r>
      <w:r>
        <w:rPr>
          <w:i/>
          <w:spacing w:val="-3"/>
          <w:sz w:val="24"/>
        </w:rPr>
        <w:t>Chemistry, </w:t>
      </w:r>
      <w:r>
        <w:rPr>
          <w:sz w:val="24"/>
        </w:rPr>
        <w:t>35(7). Pp.</w:t>
      </w:r>
      <w:r>
        <w:rPr>
          <w:spacing w:val="17"/>
          <w:sz w:val="24"/>
        </w:rPr>
        <w:t> </w:t>
      </w:r>
      <w:r>
        <w:rPr>
          <w:spacing w:val="-3"/>
          <w:sz w:val="24"/>
        </w:rPr>
        <w:t>1093-1102,</w:t>
      </w:r>
    </w:p>
    <w:p>
      <w:pPr>
        <w:spacing w:after="0" w:line="240" w:lineRule="auto"/>
        <w:jc w:val="both"/>
        <w:rPr>
          <w:sz w:val="24"/>
        </w:rPr>
        <w:sectPr>
          <w:pgSz w:w="12240" w:h="15840"/>
          <w:pgMar w:header="0" w:footer="975" w:top="1360" w:bottom="1220" w:left="1600" w:right="1580"/>
        </w:sectPr>
      </w:pPr>
    </w:p>
    <w:p>
      <w:pPr>
        <w:spacing w:before="52"/>
        <w:ind w:left="102" w:right="0" w:firstLine="0"/>
        <w:jc w:val="left"/>
        <w:rPr>
          <w:b/>
          <w:sz w:val="28"/>
        </w:rPr>
      </w:pPr>
      <w:bookmarkStart w:name="_bookmark70" w:id="101"/>
      <w:bookmarkEnd w:id="101"/>
      <w:r>
        <w:rPr/>
      </w:r>
      <w:r>
        <w:rPr>
          <w:b/>
          <w:sz w:val="28"/>
        </w:rPr>
        <w:t>Artículo en revista indizada de carácter internacional</w:t>
      </w:r>
    </w:p>
    <w:p>
      <w:pPr>
        <w:pStyle w:val="BodyText"/>
        <w:spacing w:before="1"/>
        <w:rPr>
          <w:b/>
          <w:sz w:val="21"/>
        </w:rPr>
      </w:pPr>
      <w:r>
        <w:rPr/>
        <w:drawing>
          <wp:anchor distT="0" distB="0" distL="0" distR="0" allowOverlap="1" layoutInCell="1" locked="0" behindDoc="0" simplePos="0" relativeHeight="1720">
            <wp:simplePos x="0" y="0"/>
            <wp:positionH relativeFrom="page">
              <wp:posOffset>1080515</wp:posOffset>
            </wp:positionH>
            <wp:positionV relativeFrom="paragraph">
              <wp:posOffset>178729</wp:posOffset>
            </wp:positionV>
            <wp:extent cx="5924560" cy="7282910"/>
            <wp:effectExtent l="0" t="0" r="0" b="0"/>
            <wp:wrapTopAndBottom/>
            <wp:docPr id="43" name="image28.jpeg" descr=""/>
            <wp:cNvGraphicFramePr>
              <a:graphicFrameLocks noChangeAspect="1"/>
            </wp:cNvGraphicFramePr>
            <a:graphic>
              <a:graphicData uri="http://schemas.openxmlformats.org/drawingml/2006/picture">
                <pic:pic>
                  <pic:nvPicPr>
                    <pic:cNvPr id="44" name="image28.jpeg"/>
                    <pic:cNvPicPr/>
                  </pic:nvPicPr>
                  <pic:blipFill>
                    <a:blip r:embed="rId33" cstate="print"/>
                    <a:stretch>
                      <a:fillRect/>
                    </a:stretch>
                  </pic:blipFill>
                  <pic:spPr>
                    <a:xfrm>
                      <a:off x="0" y="0"/>
                      <a:ext cx="5924560" cy="7282910"/>
                    </a:xfrm>
                    <a:prstGeom prst="rect">
                      <a:avLst/>
                    </a:prstGeom>
                  </pic:spPr>
                </pic:pic>
              </a:graphicData>
            </a:graphic>
          </wp:anchor>
        </w:drawing>
      </w:r>
    </w:p>
    <w:p>
      <w:pPr>
        <w:spacing w:after="0"/>
        <w:rPr>
          <w:sz w:val="21"/>
        </w:rPr>
        <w:sectPr>
          <w:pgSz w:w="12240" w:h="15840"/>
          <w:pgMar w:header="0" w:footer="975" w:top="1360" w:bottom="1220" w:left="1600" w:right="1060"/>
        </w:sectPr>
      </w:pPr>
    </w:p>
    <w:p>
      <w:pPr>
        <w:pStyle w:val="BodyText"/>
        <w:ind w:left="101"/>
        <w:rPr>
          <w:sz w:val="20"/>
        </w:rPr>
      </w:pPr>
      <w:r>
        <w:rPr/>
        <w:pict>
          <v:shape style="position:absolute;margin-left:85.079994pt;margin-top:70.800003pt;width:479.2pt;height:682.35pt;mso-position-horizontal-relative:page;mso-position-vertical-relative:page;z-index:-51952" type="#_x0000_t202" filled="false" stroked="false">
            <v:textbox inset="0,0,0,0">
              <w:txbxContent>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87"/>
                    <w:ind w:right="742"/>
                    <w:jc w:val="right"/>
                    <w:rPr>
                      <w:rFonts w:ascii="Times New Roman"/>
                    </w:rPr>
                  </w:pPr>
                  <w:r>
                    <w:rPr>
                      <w:rFonts w:ascii="Times New Roman"/>
                    </w:rPr>
                    <w:t>65</w:t>
                  </w:r>
                </w:p>
              </w:txbxContent>
            </v:textbox>
            <w10:wrap type="none"/>
          </v:shape>
        </w:pict>
      </w:r>
      <w:r>
        <w:rPr>
          <w:sz w:val="20"/>
        </w:rPr>
        <w:drawing>
          <wp:inline distT="0" distB="0" distL="0" distR="0">
            <wp:extent cx="5996591" cy="8538972"/>
            <wp:effectExtent l="0" t="0" r="0" b="0"/>
            <wp:docPr id="45" name="image29.jpeg" descr=""/>
            <wp:cNvGraphicFramePr>
              <a:graphicFrameLocks noChangeAspect="1"/>
            </wp:cNvGraphicFramePr>
            <a:graphic>
              <a:graphicData uri="http://schemas.openxmlformats.org/drawingml/2006/picture">
                <pic:pic>
                  <pic:nvPicPr>
                    <pic:cNvPr id="46" name="image29.jpeg"/>
                    <pic:cNvPicPr/>
                  </pic:nvPicPr>
                  <pic:blipFill>
                    <a:blip r:embed="rId35" cstate="print"/>
                    <a:stretch>
                      <a:fillRect/>
                    </a:stretch>
                  </pic:blipFill>
                  <pic:spPr>
                    <a:xfrm>
                      <a:off x="0" y="0"/>
                      <a:ext cx="5996591" cy="8538972"/>
                    </a:xfrm>
                    <a:prstGeom prst="rect">
                      <a:avLst/>
                    </a:prstGeom>
                  </pic:spPr>
                </pic:pic>
              </a:graphicData>
            </a:graphic>
          </wp:inline>
        </w:drawing>
      </w:r>
      <w:r>
        <w:rPr>
          <w:sz w:val="20"/>
        </w:rPr>
      </w:r>
    </w:p>
    <w:p>
      <w:pPr>
        <w:spacing w:after="0"/>
        <w:rPr>
          <w:sz w:val="20"/>
        </w:rPr>
        <w:sectPr>
          <w:footerReference w:type="default" r:id="rId34"/>
          <w:pgSz w:w="12240" w:h="15840"/>
          <w:pgMar w:footer="0" w:header="0" w:top="1420" w:bottom="280" w:left="1600" w:right="840"/>
        </w:sectPr>
      </w:pPr>
    </w:p>
    <w:p>
      <w:pPr>
        <w:pStyle w:val="BodyText"/>
        <w:ind w:left="101"/>
        <w:rPr>
          <w:sz w:val="20"/>
        </w:rPr>
      </w:pPr>
      <w:r>
        <w:rPr>
          <w:sz w:val="20"/>
        </w:rPr>
        <w:drawing>
          <wp:inline distT="0" distB="0" distL="0" distR="0">
            <wp:extent cx="6040917" cy="8146446"/>
            <wp:effectExtent l="0" t="0" r="0" b="0"/>
            <wp:docPr id="47" name="image30.jpeg" descr=""/>
            <wp:cNvGraphicFramePr>
              <a:graphicFrameLocks noChangeAspect="1"/>
            </wp:cNvGraphicFramePr>
            <a:graphic>
              <a:graphicData uri="http://schemas.openxmlformats.org/drawingml/2006/picture">
                <pic:pic>
                  <pic:nvPicPr>
                    <pic:cNvPr id="48" name="image30.jpeg"/>
                    <pic:cNvPicPr/>
                  </pic:nvPicPr>
                  <pic:blipFill>
                    <a:blip r:embed="rId37" cstate="print"/>
                    <a:stretch>
                      <a:fillRect/>
                    </a:stretch>
                  </pic:blipFill>
                  <pic:spPr>
                    <a:xfrm>
                      <a:off x="0" y="0"/>
                      <a:ext cx="6040917" cy="8146446"/>
                    </a:xfrm>
                    <a:prstGeom prst="rect">
                      <a:avLst/>
                    </a:prstGeom>
                  </pic:spPr>
                </pic:pic>
              </a:graphicData>
            </a:graphic>
          </wp:inline>
        </w:drawing>
      </w:r>
      <w:r>
        <w:rPr>
          <w:sz w:val="20"/>
        </w:rPr>
      </w:r>
    </w:p>
    <w:p>
      <w:pPr>
        <w:spacing w:after="0"/>
        <w:rPr>
          <w:sz w:val="20"/>
        </w:rPr>
        <w:sectPr>
          <w:footerReference w:type="default" r:id="rId36"/>
          <w:pgSz w:w="12240" w:h="15840"/>
          <w:pgMar w:footer="975" w:header="0" w:top="1420" w:bottom="1160" w:left="1600" w:right="760"/>
          <w:pgNumType w:start="66"/>
        </w:sectPr>
      </w:pPr>
    </w:p>
    <w:p>
      <w:pPr>
        <w:pStyle w:val="BodyText"/>
        <w:ind w:left="101"/>
        <w:rPr>
          <w:sz w:val="20"/>
        </w:rPr>
      </w:pPr>
      <w:r>
        <w:rPr>
          <w:sz w:val="20"/>
        </w:rPr>
        <w:drawing>
          <wp:inline distT="0" distB="0" distL="0" distR="0">
            <wp:extent cx="6111428" cy="8321040"/>
            <wp:effectExtent l="0" t="0" r="0" b="0"/>
            <wp:docPr id="49" name="image31.jpeg" descr=""/>
            <wp:cNvGraphicFramePr>
              <a:graphicFrameLocks noChangeAspect="1"/>
            </wp:cNvGraphicFramePr>
            <a:graphic>
              <a:graphicData uri="http://schemas.openxmlformats.org/drawingml/2006/picture">
                <pic:pic>
                  <pic:nvPicPr>
                    <pic:cNvPr id="50" name="image31.jpeg"/>
                    <pic:cNvPicPr/>
                  </pic:nvPicPr>
                  <pic:blipFill>
                    <a:blip r:embed="rId38" cstate="print"/>
                    <a:stretch>
                      <a:fillRect/>
                    </a:stretch>
                  </pic:blipFill>
                  <pic:spPr>
                    <a:xfrm>
                      <a:off x="0" y="0"/>
                      <a:ext cx="6111428" cy="8321040"/>
                    </a:xfrm>
                    <a:prstGeom prst="rect">
                      <a:avLst/>
                    </a:prstGeom>
                  </pic:spPr>
                </pic:pic>
              </a:graphicData>
            </a:graphic>
          </wp:inline>
        </w:drawing>
      </w:r>
      <w:r>
        <w:rPr>
          <w:sz w:val="20"/>
        </w:rPr>
      </w:r>
    </w:p>
    <w:p>
      <w:pPr>
        <w:spacing w:after="0"/>
        <w:rPr>
          <w:sz w:val="20"/>
        </w:rPr>
        <w:sectPr>
          <w:pgSz w:w="12240" w:h="15840"/>
          <w:pgMar w:header="0" w:footer="975" w:top="1420" w:bottom="1160" w:left="1600" w:right="780"/>
        </w:sectPr>
      </w:pPr>
    </w:p>
    <w:p>
      <w:pPr>
        <w:pStyle w:val="BodyText"/>
        <w:ind w:left="101"/>
        <w:rPr>
          <w:sz w:val="20"/>
        </w:rPr>
      </w:pPr>
      <w:r>
        <w:rPr>
          <w:sz w:val="20"/>
        </w:rPr>
        <w:drawing>
          <wp:inline distT="0" distB="0" distL="0" distR="0">
            <wp:extent cx="6047478" cy="7616952"/>
            <wp:effectExtent l="0" t="0" r="0" b="0"/>
            <wp:docPr id="51" name="image32.jpeg" descr=""/>
            <wp:cNvGraphicFramePr>
              <a:graphicFrameLocks noChangeAspect="1"/>
            </wp:cNvGraphicFramePr>
            <a:graphic>
              <a:graphicData uri="http://schemas.openxmlformats.org/drawingml/2006/picture">
                <pic:pic>
                  <pic:nvPicPr>
                    <pic:cNvPr id="52" name="image32.jpeg"/>
                    <pic:cNvPicPr/>
                  </pic:nvPicPr>
                  <pic:blipFill>
                    <a:blip r:embed="rId39" cstate="print"/>
                    <a:stretch>
                      <a:fillRect/>
                    </a:stretch>
                  </pic:blipFill>
                  <pic:spPr>
                    <a:xfrm>
                      <a:off x="0" y="0"/>
                      <a:ext cx="6047478" cy="7616952"/>
                    </a:xfrm>
                    <a:prstGeom prst="rect">
                      <a:avLst/>
                    </a:prstGeom>
                  </pic:spPr>
                </pic:pic>
              </a:graphicData>
            </a:graphic>
          </wp:inline>
        </w:drawing>
      </w:r>
      <w:r>
        <w:rPr>
          <w:sz w:val="20"/>
        </w:rPr>
      </w:r>
    </w:p>
    <w:p>
      <w:pPr>
        <w:spacing w:after="0"/>
        <w:rPr>
          <w:sz w:val="20"/>
        </w:rPr>
        <w:sectPr>
          <w:pgSz w:w="12240" w:h="15840"/>
          <w:pgMar w:header="0" w:footer="975" w:top="1420" w:bottom="1160" w:left="1600" w:right="760"/>
        </w:sectPr>
      </w:pPr>
    </w:p>
    <w:p>
      <w:pPr>
        <w:pStyle w:val="BodyText"/>
        <w:ind w:left="101"/>
        <w:rPr>
          <w:sz w:val="20"/>
        </w:rPr>
      </w:pPr>
      <w:r>
        <w:rPr>
          <w:sz w:val="20"/>
        </w:rPr>
        <w:drawing>
          <wp:inline distT="0" distB="0" distL="0" distR="0">
            <wp:extent cx="5591107" cy="5986748"/>
            <wp:effectExtent l="0" t="0" r="0" b="0"/>
            <wp:docPr id="53" name="image33.png" descr=""/>
            <wp:cNvGraphicFramePr>
              <a:graphicFrameLocks noChangeAspect="1"/>
            </wp:cNvGraphicFramePr>
            <a:graphic>
              <a:graphicData uri="http://schemas.openxmlformats.org/drawingml/2006/picture">
                <pic:pic>
                  <pic:nvPicPr>
                    <pic:cNvPr id="54" name="image33.png"/>
                    <pic:cNvPicPr/>
                  </pic:nvPicPr>
                  <pic:blipFill>
                    <a:blip r:embed="rId40" cstate="print"/>
                    <a:stretch>
                      <a:fillRect/>
                    </a:stretch>
                  </pic:blipFill>
                  <pic:spPr>
                    <a:xfrm>
                      <a:off x="0" y="0"/>
                      <a:ext cx="5591107" cy="5986748"/>
                    </a:xfrm>
                    <a:prstGeom prst="rect">
                      <a:avLst/>
                    </a:prstGeom>
                  </pic:spPr>
                </pic:pic>
              </a:graphicData>
            </a:graphic>
          </wp:inline>
        </w:drawing>
      </w:r>
      <w:r>
        <w:rPr>
          <w:sz w:val="20"/>
        </w:rPr>
      </w:r>
    </w:p>
    <w:sectPr>
      <w:pgSz w:w="12240" w:h="15840"/>
      <w:pgMar w:header="0" w:footer="975" w:top="1420" w:bottom="116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mbria Math">
    <w:altName w:val="Cambria Math"/>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3.020020pt;margin-top:729.239929pt;width:16pt;height:14pt;mso-position-horizontal-relative:page;mso-position-vertical-relative:page;z-index:-5267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20020pt;margin-top:729.239929pt;width:16pt;height:14pt;mso-position-horizontal-relative:page;mso-position-vertical-relative:page;z-index:-5264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66</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3"/>
      <w:numFmt w:val="decimal"/>
      <w:lvlText w:val="%1"/>
      <w:lvlJc w:val="left"/>
      <w:pPr>
        <w:ind w:left="505" w:hanging="404"/>
        <w:jc w:val="left"/>
      </w:pPr>
      <w:rPr>
        <w:rFonts w:hint="default"/>
      </w:rPr>
    </w:lvl>
    <w:lvl w:ilvl="1">
      <w:start w:val="2"/>
      <w:numFmt w:val="decimal"/>
      <w:lvlText w:val="%1.%2"/>
      <w:lvlJc w:val="left"/>
      <w:pPr>
        <w:ind w:left="505" w:hanging="404"/>
        <w:jc w:val="left"/>
      </w:pPr>
      <w:rPr>
        <w:rFonts w:hint="default" w:ascii="Arial" w:hAnsi="Arial" w:eastAsia="Arial" w:cs="Arial"/>
        <w:b/>
        <w:bCs/>
        <w:w w:val="99"/>
        <w:sz w:val="24"/>
        <w:szCs w:val="24"/>
      </w:rPr>
    </w:lvl>
    <w:lvl w:ilvl="2">
      <w:start w:val="1"/>
      <w:numFmt w:val="lowerLetter"/>
      <w:lvlText w:val="(%3)"/>
      <w:lvlJc w:val="left"/>
      <w:pPr>
        <w:ind w:left="6477" w:hanging="4965"/>
        <w:jc w:val="left"/>
      </w:pPr>
      <w:rPr>
        <w:rFonts w:hint="default" w:ascii="Arial" w:hAnsi="Arial" w:eastAsia="Arial" w:cs="Arial"/>
        <w:w w:val="100"/>
        <w:sz w:val="22"/>
        <w:szCs w:val="22"/>
      </w:rPr>
    </w:lvl>
    <w:lvl w:ilvl="3">
      <w:start w:val="1"/>
      <w:numFmt w:val="bullet"/>
      <w:lvlText w:val="•"/>
      <w:lvlJc w:val="left"/>
      <w:pPr>
        <w:ind w:left="7057" w:hanging="4965"/>
      </w:pPr>
      <w:rPr>
        <w:rFonts w:hint="default"/>
      </w:rPr>
    </w:lvl>
    <w:lvl w:ilvl="4">
      <w:start w:val="1"/>
      <w:numFmt w:val="bullet"/>
      <w:lvlText w:val="•"/>
      <w:lvlJc w:val="left"/>
      <w:pPr>
        <w:ind w:left="7346" w:hanging="4965"/>
      </w:pPr>
      <w:rPr>
        <w:rFonts w:hint="default"/>
      </w:rPr>
    </w:lvl>
    <w:lvl w:ilvl="5">
      <w:start w:val="1"/>
      <w:numFmt w:val="bullet"/>
      <w:lvlText w:val="•"/>
      <w:lvlJc w:val="left"/>
      <w:pPr>
        <w:ind w:left="7635" w:hanging="4965"/>
      </w:pPr>
      <w:rPr>
        <w:rFonts w:hint="default"/>
      </w:rPr>
    </w:lvl>
    <w:lvl w:ilvl="6">
      <w:start w:val="1"/>
      <w:numFmt w:val="bullet"/>
      <w:lvlText w:val="•"/>
      <w:lvlJc w:val="left"/>
      <w:pPr>
        <w:ind w:left="7924" w:hanging="4965"/>
      </w:pPr>
      <w:rPr>
        <w:rFonts w:hint="default"/>
      </w:rPr>
    </w:lvl>
    <w:lvl w:ilvl="7">
      <w:start w:val="1"/>
      <w:numFmt w:val="bullet"/>
      <w:lvlText w:val="•"/>
      <w:lvlJc w:val="left"/>
      <w:pPr>
        <w:ind w:left="8213" w:hanging="4965"/>
      </w:pPr>
      <w:rPr>
        <w:rFonts w:hint="default"/>
      </w:rPr>
    </w:lvl>
    <w:lvl w:ilvl="8">
      <w:start w:val="1"/>
      <w:numFmt w:val="bullet"/>
      <w:lvlText w:val="•"/>
      <w:lvlJc w:val="left"/>
      <w:pPr>
        <w:ind w:left="8502" w:hanging="4965"/>
      </w:pPr>
      <w:rPr>
        <w:rFonts w:hint="default"/>
      </w:rPr>
    </w:lvl>
  </w:abstractNum>
  <w:abstractNum w:abstractNumId="10">
    <w:multiLevelType w:val="hybridMultilevel"/>
    <w:lvl w:ilvl="0">
      <w:start w:val="3"/>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decimal"/>
      <w:lvlText w:val="%1.%2.%3"/>
      <w:lvlJc w:val="left"/>
      <w:pPr>
        <w:ind w:left="704" w:hanging="603"/>
        <w:jc w:val="left"/>
      </w:pPr>
      <w:rPr>
        <w:rFonts w:hint="default"/>
        <w:b/>
        <w:bCs/>
        <w:i/>
        <w:spacing w:val="-2"/>
        <w:w w:val="99"/>
      </w:rPr>
    </w:lvl>
    <w:lvl w:ilvl="3">
      <w:start w:val="1"/>
      <w:numFmt w:val="bullet"/>
      <w:lvlText w:val="•"/>
      <w:lvlJc w:val="left"/>
      <w:pPr>
        <w:ind w:left="2557" w:hanging="603"/>
      </w:pPr>
      <w:rPr>
        <w:rFonts w:hint="default"/>
      </w:rPr>
    </w:lvl>
    <w:lvl w:ilvl="4">
      <w:start w:val="1"/>
      <w:numFmt w:val="bullet"/>
      <w:lvlText w:val="•"/>
      <w:lvlJc w:val="left"/>
      <w:pPr>
        <w:ind w:left="3486" w:hanging="603"/>
      </w:pPr>
      <w:rPr>
        <w:rFonts w:hint="default"/>
      </w:rPr>
    </w:lvl>
    <w:lvl w:ilvl="5">
      <w:start w:val="1"/>
      <w:numFmt w:val="bullet"/>
      <w:lvlText w:val="•"/>
      <w:lvlJc w:val="left"/>
      <w:pPr>
        <w:ind w:left="4415" w:hanging="603"/>
      </w:pPr>
      <w:rPr>
        <w:rFonts w:hint="default"/>
      </w:rPr>
    </w:lvl>
    <w:lvl w:ilvl="6">
      <w:start w:val="1"/>
      <w:numFmt w:val="bullet"/>
      <w:lvlText w:val="•"/>
      <w:lvlJc w:val="left"/>
      <w:pPr>
        <w:ind w:left="5344" w:hanging="603"/>
      </w:pPr>
      <w:rPr>
        <w:rFonts w:hint="default"/>
      </w:rPr>
    </w:lvl>
    <w:lvl w:ilvl="7">
      <w:start w:val="1"/>
      <w:numFmt w:val="bullet"/>
      <w:lvlText w:val="•"/>
      <w:lvlJc w:val="left"/>
      <w:pPr>
        <w:ind w:left="6273" w:hanging="603"/>
      </w:pPr>
      <w:rPr>
        <w:rFonts w:hint="default"/>
      </w:rPr>
    </w:lvl>
    <w:lvl w:ilvl="8">
      <w:start w:val="1"/>
      <w:numFmt w:val="bullet"/>
      <w:lvlText w:val="•"/>
      <w:lvlJc w:val="left"/>
      <w:pPr>
        <w:ind w:left="7202" w:hanging="603"/>
      </w:pPr>
      <w:rPr>
        <w:rFonts w:hint="default"/>
      </w:rPr>
    </w:lvl>
  </w:abstractNum>
  <w:abstractNum w:abstractNumId="9">
    <w:multiLevelType w:val="hybridMultilevel"/>
    <w:lvl w:ilvl="0">
      <w:start w:val="2"/>
      <w:numFmt w:val="decimal"/>
      <w:lvlText w:val="%1"/>
      <w:lvlJc w:val="left"/>
      <w:pPr>
        <w:ind w:left="572" w:hanging="470"/>
        <w:jc w:val="left"/>
      </w:pPr>
      <w:rPr>
        <w:rFonts w:hint="default"/>
      </w:rPr>
    </w:lvl>
    <w:lvl w:ilvl="1">
      <w:start w:val="3"/>
      <w:numFmt w:val="decimal"/>
      <w:lvlText w:val="%1.%2."/>
      <w:lvlJc w:val="left"/>
      <w:pPr>
        <w:ind w:left="572" w:hanging="470"/>
        <w:jc w:val="lef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2557" w:hanging="602"/>
      </w:pPr>
      <w:rPr>
        <w:rFonts w:hint="default"/>
      </w:rPr>
    </w:lvl>
    <w:lvl w:ilvl="4">
      <w:start w:val="1"/>
      <w:numFmt w:val="bullet"/>
      <w:lvlText w:val="•"/>
      <w:lvlJc w:val="left"/>
      <w:pPr>
        <w:ind w:left="3486" w:hanging="602"/>
      </w:pPr>
      <w:rPr>
        <w:rFonts w:hint="default"/>
      </w:rPr>
    </w:lvl>
    <w:lvl w:ilvl="5">
      <w:start w:val="1"/>
      <w:numFmt w:val="bullet"/>
      <w:lvlText w:val="•"/>
      <w:lvlJc w:val="left"/>
      <w:pPr>
        <w:ind w:left="4415" w:hanging="602"/>
      </w:pPr>
      <w:rPr>
        <w:rFonts w:hint="default"/>
      </w:rPr>
    </w:lvl>
    <w:lvl w:ilvl="6">
      <w:start w:val="1"/>
      <w:numFmt w:val="bullet"/>
      <w:lvlText w:val="•"/>
      <w:lvlJc w:val="left"/>
      <w:pPr>
        <w:ind w:left="5344" w:hanging="602"/>
      </w:pPr>
      <w:rPr>
        <w:rFonts w:hint="default"/>
      </w:rPr>
    </w:lvl>
    <w:lvl w:ilvl="7">
      <w:start w:val="1"/>
      <w:numFmt w:val="bullet"/>
      <w:lvlText w:val="•"/>
      <w:lvlJc w:val="left"/>
      <w:pPr>
        <w:ind w:left="6273" w:hanging="602"/>
      </w:pPr>
      <w:rPr>
        <w:rFonts w:hint="default"/>
      </w:rPr>
    </w:lvl>
    <w:lvl w:ilvl="8">
      <w:start w:val="1"/>
      <w:numFmt w:val="bullet"/>
      <w:lvlText w:val="•"/>
      <w:lvlJc w:val="left"/>
      <w:pPr>
        <w:ind w:left="7202" w:hanging="602"/>
      </w:pPr>
      <w:rPr>
        <w:rFonts w:hint="default"/>
      </w:rPr>
    </w:lvl>
  </w:abstractNum>
  <w:abstractNum w:abstractNumId="8">
    <w:multiLevelType w:val="hybridMultilevel"/>
    <w:lvl w:ilvl="0">
      <w:start w:val="2"/>
      <w:numFmt w:val="decimal"/>
      <w:lvlText w:val="%1"/>
      <w:lvlJc w:val="left"/>
      <w:pPr>
        <w:ind w:left="504" w:hanging="403"/>
        <w:jc w:val="left"/>
      </w:pPr>
      <w:rPr>
        <w:rFonts w:hint="default"/>
      </w:rPr>
    </w:lvl>
    <w:lvl w:ilvl="1">
      <w:start w:val="2"/>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102" w:hanging="602"/>
        <w:jc w:val="left"/>
      </w:pPr>
      <w:rPr>
        <w:rFonts w:hint="default" w:ascii="Arial" w:hAnsi="Arial" w:eastAsia="Arial" w:cs="Arial"/>
        <w:b/>
        <w:bCs/>
        <w:spacing w:val="-2"/>
        <w:w w:val="99"/>
        <w:sz w:val="24"/>
        <w:szCs w:val="24"/>
      </w:rPr>
    </w:lvl>
    <w:lvl w:ilvl="3">
      <w:start w:val="1"/>
      <w:numFmt w:val="bullet"/>
      <w:lvlText w:val="•"/>
      <w:lvlJc w:val="left"/>
      <w:pPr>
        <w:ind w:left="2402" w:hanging="602"/>
      </w:pPr>
      <w:rPr>
        <w:rFonts w:hint="default"/>
      </w:rPr>
    </w:lvl>
    <w:lvl w:ilvl="4">
      <w:start w:val="1"/>
      <w:numFmt w:val="bullet"/>
      <w:lvlText w:val="•"/>
      <w:lvlJc w:val="left"/>
      <w:pPr>
        <w:ind w:left="3353" w:hanging="602"/>
      </w:pPr>
      <w:rPr>
        <w:rFonts w:hint="default"/>
      </w:rPr>
    </w:lvl>
    <w:lvl w:ilvl="5">
      <w:start w:val="1"/>
      <w:numFmt w:val="bullet"/>
      <w:lvlText w:val="•"/>
      <w:lvlJc w:val="left"/>
      <w:pPr>
        <w:ind w:left="4304" w:hanging="602"/>
      </w:pPr>
      <w:rPr>
        <w:rFonts w:hint="default"/>
      </w:rPr>
    </w:lvl>
    <w:lvl w:ilvl="6">
      <w:start w:val="1"/>
      <w:numFmt w:val="bullet"/>
      <w:lvlText w:val="•"/>
      <w:lvlJc w:val="left"/>
      <w:pPr>
        <w:ind w:left="5255" w:hanging="602"/>
      </w:pPr>
      <w:rPr>
        <w:rFonts w:hint="default"/>
      </w:rPr>
    </w:lvl>
    <w:lvl w:ilvl="7">
      <w:start w:val="1"/>
      <w:numFmt w:val="bullet"/>
      <w:lvlText w:val="•"/>
      <w:lvlJc w:val="left"/>
      <w:pPr>
        <w:ind w:left="6206" w:hanging="602"/>
      </w:pPr>
      <w:rPr>
        <w:rFonts w:hint="default"/>
      </w:rPr>
    </w:lvl>
    <w:lvl w:ilvl="8">
      <w:start w:val="1"/>
      <w:numFmt w:val="bullet"/>
      <w:lvlText w:val="•"/>
      <w:lvlJc w:val="left"/>
      <w:pPr>
        <w:ind w:left="7157" w:hanging="602"/>
      </w:pPr>
      <w:rPr>
        <w:rFonts w:hint="default"/>
      </w:rPr>
    </w:lvl>
  </w:abstractNum>
  <w:abstractNum w:abstractNumId="7">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
    <w:multiLevelType w:val="hybridMultilevel"/>
    <w:lvl w:ilvl="0">
      <w:start w:val="2"/>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703" w:hanging="602"/>
        <w:jc w:val="right"/>
      </w:pPr>
      <w:rPr>
        <w:rFonts w:hint="default"/>
        <w:b/>
        <w:bCs/>
        <w:spacing w:val="-2"/>
        <w:w w:val="99"/>
      </w:rPr>
    </w:lvl>
    <w:lvl w:ilvl="3">
      <w:start w:val="1"/>
      <w:numFmt w:val="bullet"/>
      <w:lvlText w:val="•"/>
      <w:lvlJc w:val="left"/>
      <w:pPr>
        <w:ind w:left="2557" w:hanging="602"/>
      </w:pPr>
      <w:rPr>
        <w:rFonts w:hint="default"/>
      </w:rPr>
    </w:lvl>
    <w:lvl w:ilvl="4">
      <w:start w:val="1"/>
      <w:numFmt w:val="bullet"/>
      <w:lvlText w:val="•"/>
      <w:lvlJc w:val="left"/>
      <w:pPr>
        <w:ind w:left="3486" w:hanging="602"/>
      </w:pPr>
      <w:rPr>
        <w:rFonts w:hint="default"/>
      </w:rPr>
    </w:lvl>
    <w:lvl w:ilvl="5">
      <w:start w:val="1"/>
      <w:numFmt w:val="bullet"/>
      <w:lvlText w:val="•"/>
      <w:lvlJc w:val="left"/>
      <w:pPr>
        <w:ind w:left="4415" w:hanging="602"/>
      </w:pPr>
      <w:rPr>
        <w:rFonts w:hint="default"/>
      </w:rPr>
    </w:lvl>
    <w:lvl w:ilvl="6">
      <w:start w:val="1"/>
      <w:numFmt w:val="bullet"/>
      <w:lvlText w:val="•"/>
      <w:lvlJc w:val="left"/>
      <w:pPr>
        <w:ind w:left="5344" w:hanging="602"/>
      </w:pPr>
      <w:rPr>
        <w:rFonts w:hint="default"/>
      </w:rPr>
    </w:lvl>
    <w:lvl w:ilvl="7">
      <w:start w:val="1"/>
      <w:numFmt w:val="bullet"/>
      <w:lvlText w:val="•"/>
      <w:lvlJc w:val="left"/>
      <w:pPr>
        <w:ind w:left="6273" w:hanging="602"/>
      </w:pPr>
      <w:rPr>
        <w:rFonts w:hint="default"/>
      </w:rPr>
    </w:lvl>
    <w:lvl w:ilvl="8">
      <w:start w:val="1"/>
      <w:numFmt w:val="bullet"/>
      <w:lvlText w:val="•"/>
      <w:lvlJc w:val="left"/>
      <w:pPr>
        <w:ind w:left="7202" w:hanging="602"/>
      </w:pPr>
      <w:rPr>
        <w:rFonts w:hint="default"/>
      </w:rPr>
    </w:lvl>
  </w:abstractNum>
  <w:abstractNum w:abstractNumId="4">
    <w:multiLevelType w:val="hybridMultilevel"/>
    <w:lvl w:ilvl="0">
      <w:start w:val="1"/>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bullet"/>
      <w:lvlText w:val="•"/>
      <w:lvlJc w:val="left"/>
      <w:pPr>
        <w:ind w:left="2557" w:hanging="603"/>
      </w:pPr>
      <w:rPr>
        <w:rFonts w:hint="default"/>
      </w:rPr>
    </w:lvl>
    <w:lvl w:ilvl="4">
      <w:start w:val="1"/>
      <w:numFmt w:val="bullet"/>
      <w:lvlText w:val="•"/>
      <w:lvlJc w:val="left"/>
      <w:pPr>
        <w:ind w:left="3486" w:hanging="603"/>
      </w:pPr>
      <w:rPr>
        <w:rFonts w:hint="default"/>
      </w:rPr>
    </w:lvl>
    <w:lvl w:ilvl="5">
      <w:start w:val="1"/>
      <w:numFmt w:val="bullet"/>
      <w:lvlText w:val="•"/>
      <w:lvlJc w:val="left"/>
      <w:pPr>
        <w:ind w:left="4415" w:hanging="603"/>
      </w:pPr>
      <w:rPr>
        <w:rFonts w:hint="default"/>
      </w:rPr>
    </w:lvl>
    <w:lvl w:ilvl="6">
      <w:start w:val="1"/>
      <w:numFmt w:val="bullet"/>
      <w:lvlText w:val="•"/>
      <w:lvlJc w:val="left"/>
      <w:pPr>
        <w:ind w:left="5344" w:hanging="603"/>
      </w:pPr>
      <w:rPr>
        <w:rFonts w:hint="default"/>
      </w:rPr>
    </w:lvl>
    <w:lvl w:ilvl="7">
      <w:start w:val="1"/>
      <w:numFmt w:val="bullet"/>
      <w:lvlText w:val="•"/>
      <w:lvlJc w:val="left"/>
      <w:pPr>
        <w:ind w:left="6273" w:hanging="603"/>
      </w:pPr>
      <w:rPr>
        <w:rFonts w:hint="default"/>
      </w:rPr>
    </w:lvl>
    <w:lvl w:ilvl="8">
      <w:start w:val="1"/>
      <w:numFmt w:val="bullet"/>
      <w:lvlText w:val="•"/>
      <w:lvlJc w:val="left"/>
      <w:pPr>
        <w:ind w:left="7202" w:hanging="603"/>
      </w:pPr>
      <w:rPr>
        <w:rFonts w:hint="default"/>
      </w:rPr>
    </w:lvl>
  </w:abstractNum>
  <w:abstractNum w:abstractNumId="3">
    <w:multiLevelType w:val="hybridMultilevel"/>
    <w:lvl w:ilvl="0">
      <w:start w:val="3"/>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w w:val="99"/>
        <w:sz w:val="24"/>
        <w:szCs w:val="24"/>
      </w:rPr>
    </w:lvl>
    <w:lvl w:ilvl="2">
      <w:start w:val="1"/>
      <w:numFmt w:val="decimal"/>
      <w:lvlText w:val="%1.%2.%3"/>
      <w:lvlJc w:val="left"/>
      <w:pPr>
        <w:ind w:left="943" w:hanging="602"/>
        <w:jc w:val="left"/>
      </w:pPr>
      <w:rPr>
        <w:rFonts w:hint="default"/>
        <w:i/>
        <w:spacing w:val="-2"/>
        <w:w w:val="99"/>
      </w:rPr>
    </w:lvl>
    <w:lvl w:ilvl="3">
      <w:start w:val="1"/>
      <w:numFmt w:val="bullet"/>
      <w:lvlText w:val="•"/>
      <w:lvlJc w:val="left"/>
      <w:pPr>
        <w:ind w:left="2744" w:hanging="602"/>
      </w:pPr>
      <w:rPr>
        <w:rFonts w:hint="default"/>
      </w:rPr>
    </w:lvl>
    <w:lvl w:ilvl="4">
      <w:start w:val="1"/>
      <w:numFmt w:val="bullet"/>
      <w:lvlText w:val="•"/>
      <w:lvlJc w:val="left"/>
      <w:pPr>
        <w:ind w:left="3646" w:hanging="602"/>
      </w:pPr>
      <w:rPr>
        <w:rFonts w:hint="default"/>
      </w:rPr>
    </w:lvl>
    <w:lvl w:ilvl="5">
      <w:start w:val="1"/>
      <w:numFmt w:val="bullet"/>
      <w:lvlText w:val="•"/>
      <w:lvlJc w:val="left"/>
      <w:pPr>
        <w:ind w:left="4548" w:hanging="602"/>
      </w:pPr>
      <w:rPr>
        <w:rFonts w:hint="default"/>
      </w:rPr>
    </w:lvl>
    <w:lvl w:ilvl="6">
      <w:start w:val="1"/>
      <w:numFmt w:val="bullet"/>
      <w:lvlText w:val="•"/>
      <w:lvlJc w:val="left"/>
      <w:pPr>
        <w:ind w:left="5451" w:hanging="602"/>
      </w:pPr>
      <w:rPr>
        <w:rFonts w:hint="default"/>
      </w:rPr>
    </w:lvl>
    <w:lvl w:ilvl="7">
      <w:start w:val="1"/>
      <w:numFmt w:val="bullet"/>
      <w:lvlText w:val="•"/>
      <w:lvlJc w:val="left"/>
      <w:pPr>
        <w:ind w:left="6353" w:hanging="602"/>
      </w:pPr>
      <w:rPr>
        <w:rFonts w:hint="default"/>
      </w:rPr>
    </w:lvl>
    <w:lvl w:ilvl="8">
      <w:start w:val="1"/>
      <w:numFmt w:val="bullet"/>
      <w:lvlText w:val="•"/>
      <w:lvlJc w:val="left"/>
      <w:pPr>
        <w:ind w:left="7255" w:hanging="602"/>
      </w:pPr>
      <w:rPr>
        <w:rFonts w:hint="default"/>
      </w:rPr>
    </w:lvl>
  </w:abstractNum>
  <w:abstractNum w:abstractNumId="2">
    <w:multiLevelType w:val="hybridMultilevel"/>
    <w:lvl w:ilvl="0">
      <w:start w:val="2"/>
      <w:numFmt w:val="decimal"/>
      <w:lvlText w:val="%1"/>
      <w:lvlJc w:val="left"/>
      <w:pPr>
        <w:ind w:left="571" w:hanging="470"/>
        <w:jc w:val="left"/>
      </w:pPr>
      <w:rPr>
        <w:rFonts w:hint="default"/>
      </w:rPr>
    </w:lvl>
    <w:lvl w:ilvl="1">
      <w:start w:val="3"/>
      <w:numFmt w:val="decimal"/>
      <w:lvlText w:val="%1.%2."/>
      <w:lvlJc w:val="left"/>
      <w:pPr>
        <w:ind w:left="571" w:hanging="470"/>
        <w:jc w:val="left"/>
      </w:pPr>
      <w:rPr>
        <w:rFonts w:hint="default" w:ascii="Arial" w:hAnsi="Arial" w:eastAsia="Arial" w:cs="Arial"/>
        <w:w w:val="99"/>
        <w:sz w:val="24"/>
        <w:szCs w:val="24"/>
      </w:rPr>
    </w:lvl>
    <w:lvl w:ilvl="2">
      <w:start w:val="1"/>
      <w:numFmt w:val="decimal"/>
      <w:lvlText w:val="%1.%2.%3"/>
      <w:lvlJc w:val="left"/>
      <w:pPr>
        <w:ind w:left="943" w:hanging="602"/>
        <w:jc w:val="left"/>
      </w:pPr>
      <w:rPr>
        <w:rFonts w:hint="default" w:ascii="Arial" w:hAnsi="Arial" w:eastAsia="Arial" w:cs="Arial"/>
        <w:spacing w:val="-2"/>
        <w:w w:val="99"/>
        <w:sz w:val="24"/>
        <w:szCs w:val="24"/>
      </w:rPr>
    </w:lvl>
    <w:lvl w:ilvl="3">
      <w:start w:val="1"/>
      <w:numFmt w:val="bullet"/>
      <w:lvlText w:val="•"/>
      <w:lvlJc w:val="left"/>
      <w:pPr>
        <w:ind w:left="2744" w:hanging="602"/>
      </w:pPr>
      <w:rPr>
        <w:rFonts w:hint="default"/>
      </w:rPr>
    </w:lvl>
    <w:lvl w:ilvl="4">
      <w:start w:val="1"/>
      <w:numFmt w:val="bullet"/>
      <w:lvlText w:val="•"/>
      <w:lvlJc w:val="left"/>
      <w:pPr>
        <w:ind w:left="3646" w:hanging="602"/>
      </w:pPr>
      <w:rPr>
        <w:rFonts w:hint="default"/>
      </w:rPr>
    </w:lvl>
    <w:lvl w:ilvl="5">
      <w:start w:val="1"/>
      <w:numFmt w:val="bullet"/>
      <w:lvlText w:val="•"/>
      <w:lvlJc w:val="left"/>
      <w:pPr>
        <w:ind w:left="4548" w:hanging="602"/>
      </w:pPr>
      <w:rPr>
        <w:rFonts w:hint="default"/>
      </w:rPr>
    </w:lvl>
    <w:lvl w:ilvl="6">
      <w:start w:val="1"/>
      <w:numFmt w:val="bullet"/>
      <w:lvlText w:val="•"/>
      <w:lvlJc w:val="left"/>
      <w:pPr>
        <w:ind w:left="5451" w:hanging="602"/>
      </w:pPr>
      <w:rPr>
        <w:rFonts w:hint="default"/>
      </w:rPr>
    </w:lvl>
    <w:lvl w:ilvl="7">
      <w:start w:val="1"/>
      <w:numFmt w:val="bullet"/>
      <w:lvlText w:val="•"/>
      <w:lvlJc w:val="left"/>
      <w:pPr>
        <w:ind w:left="6353" w:hanging="602"/>
      </w:pPr>
      <w:rPr>
        <w:rFonts w:hint="default"/>
      </w:rPr>
    </w:lvl>
    <w:lvl w:ilvl="8">
      <w:start w:val="1"/>
      <w:numFmt w:val="bullet"/>
      <w:lvlText w:val="•"/>
      <w:lvlJc w:val="left"/>
      <w:pPr>
        <w:ind w:left="7255" w:hanging="602"/>
      </w:pPr>
      <w:rPr>
        <w:rFonts w:hint="default"/>
      </w:rPr>
    </w:lvl>
  </w:abstractNum>
  <w:abstractNum w:abstractNumId="1">
    <w:multiLevelType w:val="hybridMultilevel"/>
    <w:lvl w:ilvl="0">
      <w:start w:val="2"/>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w w:val="99"/>
        <w:sz w:val="24"/>
        <w:szCs w:val="24"/>
      </w:rPr>
    </w:lvl>
    <w:lvl w:ilvl="2">
      <w:start w:val="1"/>
      <w:numFmt w:val="decimal"/>
      <w:lvlText w:val="%1.%2.%3"/>
      <w:lvlJc w:val="left"/>
      <w:pPr>
        <w:ind w:left="943" w:hanging="602"/>
        <w:jc w:val="left"/>
      </w:pPr>
      <w:rPr>
        <w:rFonts w:hint="default" w:ascii="Arial" w:hAnsi="Arial" w:eastAsia="Arial" w:cs="Arial"/>
        <w:spacing w:val="-2"/>
        <w:w w:val="99"/>
        <w:sz w:val="24"/>
        <w:szCs w:val="24"/>
      </w:rPr>
    </w:lvl>
    <w:lvl w:ilvl="3">
      <w:start w:val="1"/>
      <w:numFmt w:val="bullet"/>
      <w:lvlText w:val="•"/>
      <w:lvlJc w:val="left"/>
      <w:pPr>
        <w:ind w:left="2744" w:hanging="602"/>
      </w:pPr>
      <w:rPr>
        <w:rFonts w:hint="default"/>
      </w:rPr>
    </w:lvl>
    <w:lvl w:ilvl="4">
      <w:start w:val="1"/>
      <w:numFmt w:val="bullet"/>
      <w:lvlText w:val="•"/>
      <w:lvlJc w:val="left"/>
      <w:pPr>
        <w:ind w:left="3646" w:hanging="602"/>
      </w:pPr>
      <w:rPr>
        <w:rFonts w:hint="default"/>
      </w:rPr>
    </w:lvl>
    <w:lvl w:ilvl="5">
      <w:start w:val="1"/>
      <w:numFmt w:val="bullet"/>
      <w:lvlText w:val="•"/>
      <w:lvlJc w:val="left"/>
      <w:pPr>
        <w:ind w:left="4548" w:hanging="602"/>
      </w:pPr>
      <w:rPr>
        <w:rFonts w:hint="default"/>
      </w:rPr>
    </w:lvl>
    <w:lvl w:ilvl="6">
      <w:start w:val="1"/>
      <w:numFmt w:val="bullet"/>
      <w:lvlText w:val="•"/>
      <w:lvlJc w:val="left"/>
      <w:pPr>
        <w:ind w:left="5451" w:hanging="602"/>
      </w:pPr>
      <w:rPr>
        <w:rFonts w:hint="default"/>
      </w:rPr>
    </w:lvl>
    <w:lvl w:ilvl="7">
      <w:start w:val="1"/>
      <w:numFmt w:val="bullet"/>
      <w:lvlText w:val="•"/>
      <w:lvlJc w:val="left"/>
      <w:pPr>
        <w:ind w:left="6353" w:hanging="602"/>
      </w:pPr>
      <w:rPr>
        <w:rFonts w:hint="default"/>
      </w:rPr>
    </w:lvl>
    <w:lvl w:ilvl="8">
      <w:start w:val="1"/>
      <w:numFmt w:val="bullet"/>
      <w:lvlText w:val="•"/>
      <w:lvlJc w:val="left"/>
      <w:pPr>
        <w:ind w:left="7255" w:hanging="602"/>
      </w:pPr>
      <w:rPr>
        <w:rFonts w:hint="default"/>
      </w:rPr>
    </w:lvl>
  </w:abstractNum>
  <w:abstractNum w:abstractNumId="0">
    <w:multiLevelType w:val="hybridMultilevel"/>
    <w:lvl w:ilvl="0">
      <w:start w:val="1"/>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w w:val="99"/>
        <w:sz w:val="24"/>
        <w:szCs w:val="24"/>
      </w:rPr>
    </w:lvl>
    <w:lvl w:ilvl="2">
      <w:start w:val="1"/>
      <w:numFmt w:val="decimal"/>
      <w:lvlText w:val="%1.%2.%3"/>
      <w:lvlJc w:val="left"/>
      <w:pPr>
        <w:ind w:left="943" w:hanging="602"/>
        <w:jc w:val="left"/>
      </w:pPr>
      <w:rPr>
        <w:rFonts w:hint="default" w:ascii="Arial" w:hAnsi="Arial" w:eastAsia="Arial" w:cs="Arial"/>
        <w:spacing w:val="-2"/>
        <w:w w:val="99"/>
        <w:sz w:val="24"/>
        <w:szCs w:val="24"/>
      </w:rPr>
    </w:lvl>
    <w:lvl w:ilvl="3">
      <w:start w:val="1"/>
      <w:numFmt w:val="bullet"/>
      <w:lvlText w:val="•"/>
      <w:lvlJc w:val="left"/>
      <w:pPr>
        <w:ind w:left="2744" w:hanging="602"/>
      </w:pPr>
      <w:rPr>
        <w:rFonts w:hint="default"/>
      </w:rPr>
    </w:lvl>
    <w:lvl w:ilvl="4">
      <w:start w:val="1"/>
      <w:numFmt w:val="bullet"/>
      <w:lvlText w:val="•"/>
      <w:lvlJc w:val="left"/>
      <w:pPr>
        <w:ind w:left="3646" w:hanging="602"/>
      </w:pPr>
      <w:rPr>
        <w:rFonts w:hint="default"/>
      </w:rPr>
    </w:lvl>
    <w:lvl w:ilvl="5">
      <w:start w:val="1"/>
      <w:numFmt w:val="bullet"/>
      <w:lvlText w:val="•"/>
      <w:lvlJc w:val="left"/>
      <w:pPr>
        <w:ind w:left="4548" w:hanging="602"/>
      </w:pPr>
      <w:rPr>
        <w:rFonts w:hint="default"/>
      </w:rPr>
    </w:lvl>
    <w:lvl w:ilvl="6">
      <w:start w:val="1"/>
      <w:numFmt w:val="bullet"/>
      <w:lvlText w:val="•"/>
      <w:lvlJc w:val="left"/>
      <w:pPr>
        <w:ind w:left="5451" w:hanging="602"/>
      </w:pPr>
      <w:rPr>
        <w:rFonts w:hint="default"/>
      </w:rPr>
    </w:lvl>
    <w:lvl w:ilvl="7">
      <w:start w:val="1"/>
      <w:numFmt w:val="bullet"/>
      <w:lvlText w:val="•"/>
      <w:lvlJc w:val="left"/>
      <w:pPr>
        <w:ind w:left="6353" w:hanging="602"/>
      </w:pPr>
      <w:rPr>
        <w:rFonts w:hint="default"/>
      </w:rPr>
    </w:lvl>
    <w:lvl w:ilvl="8">
      <w:start w:val="1"/>
      <w:numFmt w:val="bullet"/>
      <w:lvlText w:val="•"/>
      <w:lvlJc w:val="left"/>
      <w:pPr>
        <w:ind w:left="7255" w:hanging="602"/>
      </w:pPr>
      <w:rPr>
        <w:rFonts w:hint="default"/>
      </w:rPr>
    </w:lvl>
  </w:abstract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01"/>
      <w:ind w:left="504" w:hanging="402"/>
    </w:pPr>
    <w:rPr>
      <w:rFonts w:ascii="Arial" w:hAnsi="Arial" w:eastAsia="Arial" w:cs="Arial"/>
      <w:sz w:val="24"/>
      <w:szCs w:val="24"/>
    </w:rPr>
  </w:style>
  <w:style w:styleId="TOC2" w:type="paragraph">
    <w:name w:val="TOC 2"/>
    <w:basedOn w:val="Normal"/>
    <w:uiPriority w:val="1"/>
    <w:qFormat/>
    <w:pPr>
      <w:spacing w:before="101"/>
      <w:ind w:left="943" w:hanging="601"/>
    </w:pPr>
    <w:rPr>
      <w:rFonts w:ascii="Arial" w:hAnsi="Arial" w:eastAsia="Arial" w:cs="Arial"/>
      <w:sz w:val="24"/>
      <w:szCs w:val="24"/>
    </w:rPr>
  </w:style>
  <w:style w:styleId="TOC3" w:type="paragraph">
    <w:name w:val="TOC 3"/>
    <w:basedOn w:val="Normal"/>
    <w:uiPriority w:val="1"/>
    <w:qFormat/>
    <w:pPr>
      <w:spacing w:before="96"/>
      <w:ind w:left="943" w:hanging="601"/>
    </w:pPr>
    <w:rPr>
      <w:rFonts w:ascii="Arial" w:hAnsi="Arial" w:eastAsia="Arial" w:cs="Arial"/>
      <w:i/>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31"/>
      <w:ind w:left="102"/>
      <w:jc w:val="both"/>
      <w:outlineLvl w:val="1"/>
    </w:pPr>
    <w:rPr>
      <w:rFonts w:ascii="Arial" w:hAnsi="Arial" w:eastAsia="Arial" w:cs="Arial"/>
      <w:b/>
      <w:bCs/>
      <w:sz w:val="40"/>
      <w:szCs w:val="40"/>
    </w:rPr>
  </w:style>
  <w:style w:styleId="Heading2" w:type="paragraph">
    <w:name w:val="Heading 2"/>
    <w:basedOn w:val="Normal"/>
    <w:uiPriority w:val="1"/>
    <w:qFormat/>
    <w:pPr>
      <w:ind w:left="505"/>
      <w:jc w:val="both"/>
      <w:outlineLvl w:val="2"/>
    </w:pPr>
    <w:rPr>
      <w:rFonts w:ascii="Arial" w:hAnsi="Arial" w:eastAsia="Arial" w:cs="Arial"/>
      <w:b/>
      <w:bCs/>
      <w:sz w:val="24"/>
      <w:szCs w:val="24"/>
    </w:rPr>
  </w:style>
  <w:style w:styleId="ListParagraph" w:type="paragraph">
    <w:name w:val="List Paragraph"/>
    <w:basedOn w:val="Normal"/>
    <w:uiPriority w:val="1"/>
    <w:qFormat/>
    <w:pPr>
      <w:spacing w:before="101"/>
      <w:ind w:left="943" w:hanging="601"/>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jpeg"/><Relationship Id="rId14" Type="http://schemas.openxmlformats.org/officeDocument/2006/relationships/image" Target="media/image9.jpeg"/><Relationship Id="rId15" Type="http://schemas.openxmlformats.org/officeDocument/2006/relationships/image" Target="media/image10.jpeg"/><Relationship Id="rId16" Type="http://schemas.openxmlformats.org/officeDocument/2006/relationships/image" Target="media/image11.jpeg"/><Relationship Id="rId17" Type="http://schemas.openxmlformats.org/officeDocument/2006/relationships/image" Target="media/image12.jpeg"/><Relationship Id="rId18" Type="http://schemas.openxmlformats.org/officeDocument/2006/relationships/image" Target="media/image13.jpeg"/><Relationship Id="rId19" Type="http://schemas.openxmlformats.org/officeDocument/2006/relationships/image" Target="media/image14.jpe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jpeg"/><Relationship Id="rId26" Type="http://schemas.openxmlformats.org/officeDocument/2006/relationships/image" Target="media/image21.jpeg"/><Relationship Id="rId27" Type="http://schemas.openxmlformats.org/officeDocument/2006/relationships/image" Target="media/image22.jpeg"/><Relationship Id="rId28" Type="http://schemas.openxmlformats.org/officeDocument/2006/relationships/image" Target="media/image23.jpeg"/><Relationship Id="rId29" Type="http://schemas.openxmlformats.org/officeDocument/2006/relationships/image" Target="media/image24.png"/><Relationship Id="rId30" Type="http://schemas.openxmlformats.org/officeDocument/2006/relationships/image" Target="media/image25.jpeg"/><Relationship Id="rId31" Type="http://schemas.openxmlformats.org/officeDocument/2006/relationships/image" Target="media/image26.jpeg"/><Relationship Id="rId32" Type="http://schemas.openxmlformats.org/officeDocument/2006/relationships/image" Target="media/image27.jpeg"/><Relationship Id="rId33" Type="http://schemas.openxmlformats.org/officeDocument/2006/relationships/image" Target="media/image28.jpeg"/><Relationship Id="rId34" Type="http://schemas.openxmlformats.org/officeDocument/2006/relationships/footer" Target="footer2.xml"/><Relationship Id="rId35" Type="http://schemas.openxmlformats.org/officeDocument/2006/relationships/image" Target="media/image29.jpeg"/><Relationship Id="rId36" Type="http://schemas.openxmlformats.org/officeDocument/2006/relationships/footer" Target="footer3.xml"/><Relationship Id="rId37" Type="http://schemas.openxmlformats.org/officeDocument/2006/relationships/image" Target="media/image30.jpeg"/><Relationship Id="rId38" Type="http://schemas.openxmlformats.org/officeDocument/2006/relationships/image" Target="media/image31.jpeg"/><Relationship Id="rId39" Type="http://schemas.openxmlformats.org/officeDocument/2006/relationships/image" Target="media/image32.jpeg"/><Relationship Id="rId40" Type="http://schemas.openxmlformats.org/officeDocument/2006/relationships/image" Target="media/image33.png"/><Relationship Id="rId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QUE PARA OBTENER EL GRADO DE</dc:creator>
  <dc:subject>TESIS</dc:subject>
  <dc:title>“DESARROLLO Y CARACTERIZACIÓN DE CONCRETO POLIMÉRICO MODIFICADO CON FIBRAS RECICLADAS: EFECTO DE LA RADIACIÓN GAMMA”</dc:title>
  <dcterms:created xsi:type="dcterms:W3CDTF">2017-05-23T18:43:41Z</dcterms:created>
  <dcterms:modified xsi:type="dcterms:W3CDTF">2017-05-23T18:43:41Z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2016-06-09T00:00:00Z</vt:filetime>
  </property>
  <property fmtid="{D5CDD505-2E9C-101B-9397-08002B2CF9AE}" pid="3" name="Creator">
    <vt:lpwstr>Microsoft® Word 2013</vt:lpwstr>
  </property>
  <property fmtid="{D5CDD505-2E9C-101B-9397-08002B2CF9AE}" pid="4" name="LastSaved">
    <vt:filetime>2017-05-23T00:00:00Z</vt:filetime>
  </property>
</Properties>
</file>