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header3.xml" ContentType="application/vnd.openxmlformats-officedocument.wordprocessingml.header+xml"/>
  <Default Extension="png" ContentType="image/png"/>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6"/>
        <w:rPr>
          <w:rFonts w:ascii="Times New Roman"/>
          <w:sz w:val="20"/>
        </w:rPr>
      </w:pPr>
    </w:p>
    <w:p>
      <w:pPr>
        <w:pStyle w:val="Heading2"/>
        <w:spacing w:line="554" w:lineRule="auto"/>
        <w:ind w:left="2610" w:right="788"/>
        <w:jc w:val="center"/>
      </w:pPr>
      <w:r>
        <w:rPr/>
        <w:drawing>
          <wp:anchor distT="0" distB="0" distL="0" distR="0" allowOverlap="1" layoutInCell="1" locked="0" behindDoc="0" simplePos="0" relativeHeight="0">
            <wp:simplePos x="0" y="0"/>
            <wp:positionH relativeFrom="page">
              <wp:posOffset>765175</wp:posOffset>
            </wp:positionH>
            <wp:positionV relativeFrom="paragraph">
              <wp:posOffset>-111812</wp:posOffset>
            </wp:positionV>
            <wp:extent cx="1052195" cy="94360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052195" cy="943609"/>
                    </a:xfrm>
                    <a:prstGeom prst="rect">
                      <a:avLst/>
                    </a:prstGeom>
                  </pic:spPr>
                </pic:pic>
              </a:graphicData>
            </a:graphic>
          </wp:anchor>
        </w:drawing>
      </w:r>
      <w:r>
        <w:rPr/>
        <w:pict>
          <v:line style="position:absolute;mso-position-horizontal-relative:page;mso-position-vertical-relative:paragraph;z-index:-83800" from="147.75pt,20.395838pt" to="523.2pt,20.395838pt" stroked="true" strokeweight="2pt" strokecolor="#666699">
            <w10:wrap type="none"/>
          </v:line>
        </w:pict>
      </w:r>
      <w:r>
        <w:rPr/>
        <w:pict>
          <v:line style="position:absolute;mso-position-horizontal-relative:page;mso-position-vertical-relative:paragraph;z-index:-83776" from="147.75pt,25.845837pt" to="523.2pt,25.845837pt" stroked="true" strokeweight="1pt" strokecolor="#666699">
            <w10:wrap type="none"/>
          </v:line>
        </w:pict>
      </w:r>
      <w:r>
        <w:rPr/>
        <w:pict>
          <v:line style="position:absolute;mso-position-horizontal-relative:page;mso-position-vertical-relative:paragraph;z-index:1096" from="94.199997pt,69.995834pt" to="94.199997pt,565.745834pt" stroked="true" strokeweight="2.5pt" strokecolor="#666699">
            <w10:wrap type="none"/>
          </v:line>
        </w:pict>
      </w:r>
      <w:r>
        <w:rPr/>
        <w:pict>
          <v:line style="position:absolute;mso-position-horizontal-relative:page;mso-position-vertical-relative:paragraph;z-index:1120" from="100.75pt,69.995834pt" to="100.75pt,565.745834pt" stroked="true" strokeweight="1.5pt" strokecolor="#666699">
            <w10:wrap type="none"/>
          </v:line>
        </w:pict>
      </w:r>
      <w:r>
        <w:rPr/>
        <w:pict>
          <v:line style="position:absolute;mso-position-horizontal-relative:page;mso-position-vertical-relative:paragraph;z-index:1144" from="108.449997pt,69.995834pt" to="108.449997pt,565.745834pt" stroked="true" strokeweight="2.5pt" strokecolor="#666699">
            <w10:wrap type="none"/>
          </v:line>
        </w:pict>
      </w:r>
      <w:r>
        <w:rPr/>
        <w:pict>
          <v:line style="position:absolute;mso-position-horizontal-relative:page;mso-position-vertical-relative:paragraph;z-index:-83680" from="147.75pt,30.745838pt" to="523.2pt,30.745838pt" stroked="true" strokeweight="2.5pt" strokecolor="#666699">
            <w10:wrap type="none"/>
          </v:line>
        </w:pict>
      </w:r>
      <w:r>
        <w:rPr/>
        <w:t>UNIVERSIDAD AUTÓNOMA DEL ESTADO DE MÉXICO FACULTAD DE QUÍMICA</w:t>
      </w:r>
    </w:p>
    <w:p>
      <w:pPr>
        <w:pStyle w:val="BodyText"/>
        <w:spacing w:before="3"/>
        <w:rPr>
          <w:b/>
          <w:sz w:val="28"/>
        </w:rPr>
      </w:pPr>
    </w:p>
    <w:p>
      <w:pPr>
        <w:pStyle w:val="BodyText"/>
        <w:spacing w:line="276" w:lineRule="auto"/>
        <w:ind w:left="2663" w:right="641" w:hanging="675"/>
        <w:rPr>
          <w:b/>
        </w:rPr>
      </w:pPr>
      <w:r>
        <w:rPr>
          <w:b/>
        </w:rPr>
        <w:t>“</w:t>
      </w:r>
      <w:r>
        <w:rPr/>
        <w:t>Elaboración y caracterización de concreto polimérico: efecto del contenido de fibra de luffa y de la radiación gamma</w:t>
      </w:r>
      <w:r>
        <w:rPr>
          <w:b/>
        </w:rPr>
        <w:t>”</w:t>
      </w:r>
    </w:p>
    <w:p>
      <w:pPr>
        <w:pStyle w:val="BodyText"/>
        <w:spacing w:before="6"/>
        <w:rPr>
          <w:b/>
          <w:sz w:val="27"/>
        </w:rPr>
      </w:pPr>
    </w:p>
    <w:p>
      <w:pPr>
        <w:pStyle w:val="Heading2"/>
        <w:spacing w:before="1"/>
        <w:ind w:left="2546" w:right="788"/>
        <w:jc w:val="center"/>
      </w:pPr>
      <w:r>
        <w:rPr/>
        <w:t>TESIS</w:t>
      </w:r>
    </w:p>
    <w:p>
      <w:pPr>
        <w:pStyle w:val="BodyText"/>
        <w:rPr>
          <w:b/>
        </w:rPr>
      </w:pPr>
    </w:p>
    <w:p>
      <w:pPr>
        <w:pStyle w:val="BodyText"/>
        <w:spacing w:before="10"/>
        <w:rPr>
          <w:b/>
          <w:sz w:val="34"/>
        </w:rPr>
      </w:pPr>
    </w:p>
    <w:p>
      <w:pPr>
        <w:pStyle w:val="BodyText"/>
        <w:ind w:left="2544" w:right="788"/>
        <w:jc w:val="center"/>
      </w:pPr>
      <w:r>
        <w:rPr/>
        <w:t>QUE PARA OBTENER EL GRADO DE:</w:t>
      </w:r>
    </w:p>
    <w:p>
      <w:pPr>
        <w:pStyle w:val="BodyText"/>
        <w:spacing w:before="3"/>
        <w:rPr>
          <w:sz w:val="31"/>
        </w:rPr>
      </w:pPr>
    </w:p>
    <w:p>
      <w:pPr>
        <w:pStyle w:val="Heading2"/>
        <w:ind w:left="2540" w:right="788"/>
        <w:jc w:val="center"/>
      </w:pPr>
      <w:r>
        <w:rPr/>
        <w:t>MAESTRO EN CIENCIA DE MATERIALES</w:t>
      </w:r>
    </w:p>
    <w:p>
      <w:pPr>
        <w:pStyle w:val="BodyText"/>
        <w:rPr>
          <w:b/>
        </w:rPr>
      </w:pPr>
    </w:p>
    <w:p>
      <w:pPr>
        <w:pStyle w:val="BodyText"/>
        <w:rPr>
          <w:b/>
        </w:rPr>
      </w:pPr>
    </w:p>
    <w:p>
      <w:pPr>
        <w:pStyle w:val="BodyText"/>
        <w:rPr>
          <w:b/>
        </w:rPr>
      </w:pPr>
    </w:p>
    <w:p>
      <w:pPr>
        <w:pStyle w:val="BodyText"/>
        <w:spacing w:before="163"/>
        <w:ind w:left="2486" w:right="788"/>
        <w:jc w:val="center"/>
      </w:pPr>
      <w:r>
        <w:rPr/>
        <w:t>P R E S E N T A :</w:t>
      </w:r>
    </w:p>
    <w:p>
      <w:pPr>
        <w:pStyle w:val="BodyText"/>
        <w:spacing w:before="3"/>
        <w:rPr>
          <w:sz w:val="31"/>
        </w:rPr>
      </w:pPr>
    </w:p>
    <w:p>
      <w:pPr>
        <w:pStyle w:val="Heading2"/>
        <w:ind w:left="3878" w:right="641"/>
        <w:jc w:val="left"/>
      </w:pPr>
      <w:r>
        <w:rPr/>
        <w:t>I.Q. MIGUEL MARTÍNEZ LÓPEZ</w:t>
      </w:r>
    </w:p>
    <w:p>
      <w:pPr>
        <w:pStyle w:val="BodyText"/>
        <w:rPr>
          <w:b/>
        </w:rPr>
      </w:pPr>
    </w:p>
    <w:p>
      <w:pPr>
        <w:pStyle w:val="BodyText"/>
        <w:rPr>
          <w:b/>
        </w:rPr>
      </w:pPr>
    </w:p>
    <w:p>
      <w:pPr>
        <w:pStyle w:val="BodyText"/>
        <w:rPr>
          <w:b/>
        </w:rPr>
      </w:pPr>
    </w:p>
    <w:p>
      <w:pPr>
        <w:pStyle w:val="BodyText"/>
        <w:rPr>
          <w:b/>
        </w:rPr>
      </w:pPr>
    </w:p>
    <w:p>
      <w:pPr>
        <w:spacing w:before="207"/>
        <w:ind w:left="2544" w:right="788" w:firstLine="0"/>
        <w:jc w:val="center"/>
        <w:rPr>
          <w:b/>
          <w:sz w:val="24"/>
        </w:rPr>
      </w:pPr>
      <w:r>
        <w:rPr>
          <w:b/>
          <w:sz w:val="24"/>
        </w:rPr>
        <w:t>DIRIGIDA POR:</w:t>
      </w:r>
    </w:p>
    <w:p>
      <w:pPr>
        <w:pStyle w:val="BodyText"/>
        <w:spacing w:before="3"/>
        <w:rPr>
          <w:b/>
          <w:sz w:val="31"/>
        </w:rPr>
      </w:pPr>
    </w:p>
    <w:p>
      <w:pPr>
        <w:pStyle w:val="BodyText"/>
        <w:ind w:left="2610" w:right="710"/>
        <w:jc w:val="center"/>
      </w:pPr>
      <w:r>
        <w:rPr/>
        <w:t>DR. GONZALO MARTÍNEZ BARRERA</w:t>
      </w:r>
    </w:p>
    <w:p>
      <w:pPr>
        <w:pStyle w:val="BodyText"/>
      </w:pPr>
    </w:p>
    <w:p>
      <w:pPr>
        <w:pStyle w:val="BodyText"/>
      </w:pPr>
    </w:p>
    <w:p>
      <w:pPr>
        <w:pStyle w:val="BodyText"/>
      </w:pPr>
    </w:p>
    <w:p>
      <w:pPr>
        <w:pStyle w:val="BodyText"/>
      </w:pPr>
    </w:p>
    <w:p>
      <w:pPr>
        <w:pStyle w:val="BodyText"/>
      </w:pPr>
    </w:p>
    <w:p>
      <w:pPr>
        <w:pStyle w:val="BodyText"/>
        <w:spacing w:before="6"/>
        <w:rPr>
          <w:sz w:val="21"/>
        </w:rPr>
      </w:pPr>
    </w:p>
    <w:p>
      <w:pPr>
        <w:pStyle w:val="BodyText"/>
        <w:ind w:left="6010"/>
      </w:pPr>
      <w:r>
        <w:rPr/>
        <w:t>Toluca, Estado de México, 2012</w:t>
      </w:r>
    </w:p>
    <w:p>
      <w:pPr>
        <w:spacing w:after="0"/>
        <w:sectPr>
          <w:headerReference w:type="default" r:id="rId5"/>
          <w:type w:val="continuous"/>
          <w:pgSz w:w="12240" w:h="15840"/>
          <w:pgMar w:header="747" w:top="940" w:bottom="280" w:left="1100" w:right="1580"/>
          <w:pgNumType w:start="1"/>
        </w:sectPr>
      </w:pPr>
    </w:p>
    <w:p>
      <w:pPr>
        <w:pStyle w:val="BodyText"/>
        <w:spacing w:before="4"/>
        <w:rPr>
          <w:rFonts w:ascii="Times New Roman"/>
          <w:sz w:val="17"/>
        </w:rPr>
      </w:pPr>
      <w:r>
        <w:rPr/>
        <w:drawing>
          <wp:anchor distT="0" distB="0" distL="0" distR="0" allowOverlap="1" layoutInCell="1" locked="0" behindDoc="0" simplePos="0" relativeHeight="1192">
            <wp:simplePos x="0" y="0"/>
            <wp:positionH relativeFrom="page">
              <wp:posOffset>1080769</wp:posOffset>
            </wp:positionH>
            <wp:positionV relativeFrom="page">
              <wp:posOffset>899160</wp:posOffset>
            </wp:positionV>
            <wp:extent cx="6303009" cy="915924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6303009" cy="9159240"/>
                    </a:xfrm>
                    <a:prstGeom prst="rect">
                      <a:avLst/>
                    </a:prstGeom>
                  </pic:spPr>
                </pic:pic>
              </a:graphicData>
            </a:graphic>
          </wp:anchor>
        </w:drawing>
      </w:r>
    </w:p>
    <w:p>
      <w:pPr>
        <w:spacing w:after="0"/>
        <w:rPr>
          <w:rFonts w:ascii="Times New Roman"/>
          <w:sz w:val="17"/>
        </w:rPr>
        <w:sectPr>
          <w:pgSz w:w="12240" w:h="15840"/>
          <w:pgMar w:header="747" w:footer="0" w:top="940" w:bottom="0" w:left="1600" w:right="500"/>
        </w:sectPr>
      </w:pPr>
    </w:p>
    <w:p>
      <w:pPr>
        <w:pStyle w:val="BodyText"/>
        <w:rPr>
          <w:rFonts w:ascii="Times New Roman"/>
          <w:sz w:val="20"/>
        </w:rPr>
      </w:pPr>
    </w:p>
    <w:p>
      <w:pPr>
        <w:pStyle w:val="BodyText"/>
        <w:spacing w:before="6"/>
        <w:rPr>
          <w:rFonts w:ascii="Times New Roman"/>
          <w:sz w:val="16"/>
        </w:rPr>
      </w:pPr>
    </w:p>
    <w:p>
      <w:pPr>
        <w:spacing w:before="33"/>
        <w:ind w:left="132" w:right="153" w:firstLine="0"/>
        <w:jc w:val="center"/>
        <w:rPr>
          <w:rFonts w:ascii="Times New Roman"/>
          <w:i/>
          <w:sz w:val="32"/>
        </w:rPr>
      </w:pPr>
      <w:r>
        <w:rPr>
          <w:rFonts w:ascii="Times New Roman"/>
          <w:i/>
          <w:sz w:val="32"/>
        </w:rPr>
        <w:t>DEDICATORIAS</w:t>
      </w:r>
    </w:p>
    <w:p>
      <w:pPr>
        <w:pStyle w:val="BodyText"/>
        <w:spacing w:before="10"/>
        <w:rPr>
          <w:rFonts w:ascii="Times New Roman"/>
          <w:i/>
          <w:sz w:val="21"/>
        </w:rPr>
      </w:pPr>
    </w:p>
    <w:p>
      <w:pPr>
        <w:spacing w:before="33"/>
        <w:ind w:left="102" w:right="2220" w:firstLine="0"/>
        <w:jc w:val="left"/>
        <w:rPr>
          <w:rFonts w:ascii="Times New Roman"/>
          <w:i/>
          <w:sz w:val="32"/>
        </w:rPr>
      </w:pPr>
      <w:r>
        <w:rPr>
          <w:rFonts w:ascii="Times New Roman"/>
          <w:i/>
          <w:w w:val="110"/>
          <w:sz w:val="32"/>
        </w:rPr>
        <w:t>A MIS</w:t>
      </w:r>
      <w:r>
        <w:rPr>
          <w:rFonts w:ascii="Times New Roman"/>
          <w:i/>
          <w:spacing w:val="-55"/>
          <w:w w:val="110"/>
          <w:sz w:val="32"/>
        </w:rPr>
        <w:t> </w:t>
      </w:r>
      <w:r>
        <w:rPr>
          <w:rFonts w:ascii="Times New Roman"/>
          <w:i/>
          <w:w w:val="110"/>
          <w:sz w:val="32"/>
        </w:rPr>
        <w:t>PADRES</w:t>
      </w:r>
    </w:p>
    <w:p>
      <w:pPr>
        <w:pStyle w:val="BodyText"/>
        <w:spacing w:before="8"/>
        <w:rPr>
          <w:rFonts w:ascii="Times New Roman"/>
          <w:i/>
          <w:sz w:val="21"/>
        </w:rPr>
      </w:pPr>
    </w:p>
    <w:p>
      <w:pPr>
        <w:spacing w:line="424" w:lineRule="auto" w:before="33"/>
        <w:ind w:left="2206" w:right="2220" w:firstLine="288"/>
        <w:jc w:val="left"/>
        <w:rPr>
          <w:rFonts w:ascii="Times New Roman" w:hAnsi="Times New Roman"/>
          <w:i/>
          <w:sz w:val="32"/>
        </w:rPr>
      </w:pPr>
      <w:r>
        <w:rPr>
          <w:rFonts w:ascii="Times New Roman" w:hAnsi="Times New Roman"/>
          <w:i/>
          <w:w w:val="85"/>
          <w:sz w:val="32"/>
        </w:rPr>
        <w:t>Por todos ss esfuerzos, apoyo y cariño, </w:t>
      </w:r>
      <w:r>
        <w:rPr>
          <w:rFonts w:ascii="Times New Roman" w:hAnsi="Times New Roman"/>
          <w:i/>
          <w:w w:val="85"/>
          <w:sz w:val="32"/>
        </w:rPr>
        <w:t>por</w:t>
      </w:r>
      <w:r>
        <w:rPr>
          <w:rFonts w:ascii="Times New Roman" w:hAnsi="Times New Roman"/>
          <w:i/>
          <w:spacing w:val="-34"/>
          <w:w w:val="85"/>
          <w:sz w:val="32"/>
        </w:rPr>
        <w:t> </w:t>
      </w:r>
      <w:r>
        <w:rPr>
          <w:rFonts w:ascii="Times New Roman" w:hAnsi="Times New Roman"/>
          <w:i/>
          <w:w w:val="85"/>
          <w:sz w:val="32"/>
        </w:rPr>
        <w:t>enseñarme</w:t>
      </w:r>
      <w:r>
        <w:rPr>
          <w:rFonts w:ascii="Times New Roman" w:hAnsi="Times New Roman"/>
          <w:i/>
          <w:spacing w:val="-35"/>
          <w:w w:val="85"/>
          <w:sz w:val="32"/>
        </w:rPr>
        <w:t> </w:t>
      </w:r>
      <w:r>
        <w:rPr>
          <w:rFonts w:ascii="Times New Roman" w:hAnsi="Times New Roman"/>
          <w:i/>
          <w:w w:val="85"/>
          <w:sz w:val="32"/>
        </w:rPr>
        <w:t>a</w:t>
      </w:r>
      <w:r>
        <w:rPr>
          <w:rFonts w:ascii="Times New Roman" w:hAnsi="Times New Roman"/>
          <w:i/>
          <w:spacing w:val="-34"/>
          <w:w w:val="85"/>
          <w:sz w:val="32"/>
        </w:rPr>
        <w:t> </w:t>
      </w:r>
      <w:r>
        <w:rPr>
          <w:rFonts w:ascii="Times New Roman" w:hAnsi="Times New Roman"/>
          <w:i/>
          <w:w w:val="85"/>
          <w:sz w:val="32"/>
        </w:rPr>
        <w:t>luchar</w:t>
      </w:r>
      <w:r>
        <w:rPr>
          <w:rFonts w:ascii="Times New Roman" w:hAnsi="Times New Roman"/>
          <w:i/>
          <w:spacing w:val="-34"/>
          <w:w w:val="85"/>
          <w:sz w:val="32"/>
        </w:rPr>
        <w:t> </w:t>
      </w:r>
      <w:r>
        <w:rPr>
          <w:rFonts w:ascii="Times New Roman" w:hAnsi="Times New Roman"/>
          <w:i/>
          <w:w w:val="85"/>
          <w:sz w:val="32"/>
        </w:rPr>
        <w:t>y</w:t>
      </w:r>
      <w:r>
        <w:rPr>
          <w:rFonts w:ascii="Times New Roman" w:hAnsi="Times New Roman"/>
          <w:i/>
          <w:spacing w:val="-35"/>
          <w:w w:val="85"/>
          <w:sz w:val="32"/>
        </w:rPr>
        <w:t> </w:t>
      </w:r>
      <w:r>
        <w:rPr>
          <w:rFonts w:ascii="Times New Roman" w:hAnsi="Times New Roman"/>
          <w:i/>
          <w:w w:val="85"/>
          <w:sz w:val="32"/>
        </w:rPr>
        <w:t>a</w:t>
      </w:r>
      <w:r>
        <w:rPr>
          <w:rFonts w:ascii="Times New Roman" w:hAnsi="Times New Roman"/>
          <w:i/>
          <w:spacing w:val="-34"/>
          <w:w w:val="85"/>
          <w:sz w:val="32"/>
        </w:rPr>
        <w:t> </w:t>
      </w:r>
      <w:r>
        <w:rPr>
          <w:rFonts w:ascii="Times New Roman" w:hAnsi="Times New Roman"/>
          <w:i/>
          <w:w w:val="85"/>
          <w:sz w:val="32"/>
        </w:rPr>
        <w:t>seguir</w:t>
      </w:r>
      <w:r>
        <w:rPr>
          <w:rFonts w:ascii="Times New Roman" w:hAnsi="Times New Roman"/>
          <w:i/>
          <w:spacing w:val="-34"/>
          <w:w w:val="85"/>
          <w:sz w:val="32"/>
        </w:rPr>
        <w:t> </w:t>
      </w:r>
      <w:r>
        <w:rPr>
          <w:rFonts w:ascii="Times New Roman" w:hAnsi="Times New Roman"/>
          <w:i/>
          <w:w w:val="85"/>
          <w:sz w:val="32"/>
        </w:rPr>
        <w:t>adelante</w:t>
      </w:r>
      <w:r>
        <w:rPr>
          <w:rFonts w:ascii="Times New Roman" w:hAnsi="Times New Roman"/>
          <w:i/>
          <w:spacing w:val="-34"/>
          <w:w w:val="85"/>
          <w:sz w:val="32"/>
        </w:rPr>
        <w:t> </w:t>
      </w:r>
      <w:r>
        <w:rPr>
          <w:rFonts w:ascii="Times New Roman" w:hAnsi="Times New Roman"/>
          <w:i/>
          <w:w w:val="85"/>
          <w:sz w:val="32"/>
        </w:rPr>
        <w:t>,</w:t>
      </w:r>
    </w:p>
    <w:p>
      <w:pPr>
        <w:spacing w:before="9"/>
        <w:ind w:left="2517" w:right="2220" w:firstLine="0"/>
        <w:jc w:val="left"/>
        <w:rPr>
          <w:rFonts w:ascii="Times New Roman" w:hAnsi="Times New Roman"/>
          <w:i/>
          <w:sz w:val="32"/>
        </w:rPr>
      </w:pPr>
      <w:r>
        <w:rPr>
          <w:rFonts w:ascii="Times New Roman" w:hAnsi="Times New Roman"/>
          <w:i/>
          <w:w w:val="85"/>
          <w:sz w:val="32"/>
        </w:rPr>
        <w:t>por estar siempre conmigo … los amo.</w:t>
      </w:r>
    </w:p>
    <w:p>
      <w:pPr>
        <w:spacing w:line="427" w:lineRule="auto" w:before="282"/>
        <w:ind w:left="5858" w:right="119" w:hanging="564"/>
        <w:jc w:val="right"/>
        <w:rPr>
          <w:rFonts w:ascii="Times New Roman" w:hAnsi="Times New Roman"/>
          <w:i/>
          <w:sz w:val="32"/>
        </w:rPr>
      </w:pPr>
      <w:r>
        <w:rPr>
          <w:rFonts w:ascii="Times New Roman" w:hAnsi="Times New Roman"/>
          <w:i/>
          <w:w w:val="80"/>
          <w:sz w:val="32"/>
        </w:rPr>
        <w:t>“Aquel que no está orgulloso de su</w:t>
      </w:r>
      <w:r>
        <w:rPr>
          <w:rFonts w:ascii="Times New Roman" w:hAnsi="Times New Roman"/>
          <w:i/>
          <w:w w:val="76"/>
          <w:sz w:val="32"/>
        </w:rPr>
        <w:t> </w:t>
      </w:r>
      <w:r>
        <w:rPr>
          <w:rFonts w:ascii="Times New Roman" w:hAnsi="Times New Roman"/>
          <w:i/>
          <w:w w:val="80"/>
          <w:sz w:val="32"/>
        </w:rPr>
        <w:t>origen no valdrá nunca nada,</w:t>
      </w:r>
    </w:p>
    <w:p>
      <w:pPr>
        <w:spacing w:before="6"/>
        <w:ind w:left="0" w:right="121" w:firstLine="0"/>
        <w:jc w:val="right"/>
        <w:rPr>
          <w:rFonts w:ascii="Times New Roman" w:hAnsi="Times New Roman"/>
          <w:i/>
          <w:sz w:val="32"/>
        </w:rPr>
      </w:pPr>
      <w:r>
        <w:rPr>
          <w:rFonts w:ascii="Times New Roman" w:hAnsi="Times New Roman"/>
          <w:i/>
          <w:w w:val="80"/>
          <w:sz w:val="32"/>
        </w:rPr>
        <w:t>pues empieza a despreciarse a sí mismo”.</w:t>
      </w:r>
    </w:p>
    <w:p>
      <w:pPr>
        <w:spacing w:before="285"/>
        <w:ind w:left="0" w:right="119" w:firstLine="0"/>
        <w:jc w:val="right"/>
        <w:rPr>
          <w:rFonts w:ascii="Times New Roman"/>
          <w:i/>
          <w:sz w:val="32"/>
        </w:rPr>
      </w:pPr>
      <w:r>
        <w:rPr>
          <w:rFonts w:ascii="Times New Roman"/>
          <w:i/>
          <w:w w:val="80"/>
          <w:sz w:val="32"/>
          <w:u w:val="single"/>
        </w:rPr>
        <w:t>Pedro Albiza</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18"/>
        </w:rPr>
      </w:pPr>
    </w:p>
    <w:p>
      <w:pPr>
        <w:spacing w:before="33"/>
        <w:ind w:left="0" w:right="119" w:firstLine="0"/>
        <w:jc w:val="right"/>
        <w:rPr>
          <w:rFonts w:ascii="Times New Roman"/>
          <w:i/>
          <w:sz w:val="32"/>
        </w:rPr>
      </w:pPr>
      <w:r>
        <w:rPr>
          <w:rFonts w:ascii="Times New Roman"/>
          <w:i/>
          <w:w w:val="105"/>
          <w:sz w:val="32"/>
        </w:rPr>
        <w:t>A MIS</w:t>
      </w:r>
      <w:r>
        <w:rPr>
          <w:rFonts w:ascii="Times New Roman"/>
          <w:i/>
          <w:spacing w:val="-61"/>
          <w:w w:val="105"/>
          <w:sz w:val="32"/>
        </w:rPr>
        <w:t> </w:t>
      </w:r>
      <w:r>
        <w:rPr>
          <w:rFonts w:ascii="Times New Roman"/>
          <w:i/>
          <w:w w:val="105"/>
          <w:sz w:val="32"/>
        </w:rPr>
        <w:t>HERMANOS</w:t>
      </w:r>
    </w:p>
    <w:p>
      <w:pPr>
        <w:pStyle w:val="BodyText"/>
        <w:spacing w:before="11"/>
        <w:rPr>
          <w:rFonts w:ascii="Times New Roman"/>
          <w:i/>
          <w:sz w:val="21"/>
        </w:rPr>
      </w:pPr>
    </w:p>
    <w:p>
      <w:pPr>
        <w:spacing w:line="424" w:lineRule="auto" w:before="32"/>
        <w:ind w:left="2610" w:right="2633" w:firstLine="2"/>
        <w:jc w:val="center"/>
        <w:rPr>
          <w:rFonts w:ascii="Times New Roman" w:hAnsi="Times New Roman"/>
          <w:i/>
          <w:sz w:val="32"/>
        </w:rPr>
      </w:pPr>
      <w:r>
        <w:rPr>
          <w:rFonts w:ascii="Times New Roman" w:hAnsi="Times New Roman"/>
          <w:i/>
          <w:w w:val="85"/>
          <w:sz w:val="32"/>
        </w:rPr>
        <w:t>Por</w:t>
      </w:r>
      <w:r>
        <w:rPr>
          <w:rFonts w:ascii="Times New Roman" w:hAnsi="Times New Roman"/>
          <w:i/>
          <w:spacing w:val="-20"/>
          <w:w w:val="85"/>
          <w:sz w:val="32"/>
        </w:rPr>
        <w:t> </w:t>
      </w:r>
      <w:r>
        <w:rPr>
          <w:rFonts w:ascii="Times New Roman" w:hAnsi="Times New Roman"/>
          <w:i/>
          <w:w w:val="85"/>
          <w:sz w:val="32"/>
        </w:rPr>
        <w:t>su</w:t>
      </w:r>
      <w:r>
        <w:rPr>
          <w:rFonts w:ascii="Times New Roman" w:hAnsi="Times New Roman"/>
          <w:i/>
          <w:spacing w:val="-19"/>
          <w:w w:val="85"/>
          <w:sz w:val="32"/>
        </w:rPr>
        <w:t> </w:t>
      </w:r>
      <w:r>
        <w:rPr>
          <w:rFonts w:ascii="Times New Roman" w:hAnsi="Times New Roman"/>
          <w:i/>
          <w:w w:val="85"/>
          <w:sz w:val="32"/>
        </w:rPr>
        <w:t>apoyo,</w:t>
      </w:r>
      <w:r>
        <w:rPr>
          <w:rFonts w:ascii="Times New Roman" w:hAnsi="Times New Roman"/>
          <w:i/>
          <w:spacing w:val="-21"/>
          <w:w w:val="85"/>
          <w:sz w:val="32"/>
        </w:rPr>
        <w:t> </w:t>
      </w:r>
      <w:r>
        <w:rPr>
          <w:rFonts w:ascii="Times New Roman" w:hAnsi="Times New Roman"/>
          <w:i/>
          <w:w w:val="85"/>
          <w:sz w:val="32"/>
        </w:rPr>
        <w:t>paciencia</w:t>
      </w:r>
      <w:r>
        <w:rPr>
          <w:rFonts w:ascii="Times New Roman" w:hAnsi="Times New Roman"/>
          <w:i/>
          <w:spacing w:val="-21"/>
          <w:w w:val="85"/>
          <w:sz w:val="32"/>
        </w:rPr>
        <w:t> </w:t>
      </w:r>
      <w:r>
        <w:rPr>
          <w:rFonts w:ascii="Times New Roman" w:hAnsi="Times New Roman"/>
          <w:i/>
          <w:w w:val="85"/>
          <w:sz w:val="32"/>
        </w:rPr>
        <w:t>y</w:t>
      </w:r>
      <w:r>
        <w:rPr>
          <w:rFonts w:ascii="Times New Roman" w:hAnsi="Times New Roman"/>
          <w:i/>
          <w:spacing w:val="-21"/>
          <w:w w:val="85"/>
          <w:sz w:val="32"/>
        </w:rPr>
        <w:t> </w:t>
      </w:r>
      <w:r>
        <w:rPr>
          <w:rFonts w:ascii="Times New Roman" w:hAnsi="Times New Roman"/>
          <w:i/>
          <w:w w:val="85"/>
          <w:sz w:val="32"/>
        </w:rPr>
        <w:t>cariño, </w:t>
      </w:r>
      <w:r>
        <w:rPr>
          <w:rFonts w:ascii="Times New Roman" w:hAnsi="Times New Roman"/>
          <w:i/>
          <w:w w:val="80"/>
          <w:sz w:val="32"/>
        </w:rPr>
        <w:t>por ser mis cuatro elementos de</w:t>
      </w:r>
      <w:r>
        <w:rPr>
          <w:rFonts w:ascii="Times New Roman" w:hAnsi="Times New Roman"/>
          <w:i/>
          <w:spacing w:val="-42"/>
          <w:w w:val="80"/>
          <w:sz w:val="32"/>
        </w:rPr>
        <w:t> </w:t>
      </w:r>
      <w:r>
        <w:rPr>
          <w:rFonts w:ascii="Times New Roman" w:hAnsi="Times New Roman"/>
          <w:i/>
          <w:w w:val="80"/>
          <w:sz w:val="32"/>
        </w:rPr>
        <w:t>vida, los</w:t>
      </w:r>
      <w:r>
        <w:rPr>
          <w:rFonts w:ascii="Times New Roman" w:hAnsi="Times New Roman"/>
          <w:i/>
          <w:spacing w:val="-27"/>
          <w:w w:val="80"/>
          <w:sz w:val="32"/>
        </w:rPr>
        <w:t> </w:t>
      </w:r>
      <w:r>
        <w:rPr>
          <w:rFonts w:ascii="Times New Roman" w:hAnsi="Times New Roman"/>
          <w:i/>
          <w:w w:val="80"/>
          <w:sz w:val="32"/>
        </w:rPr>
        <w:t>quiero.</w:t>
      </w:r>
    </w:p>
    <w:p>
      <w:pPr>
        <w:pStyle w:val="BodyText"/>
        <w:rPr>
          <w:rFonts w:ascii="Times New Roman"/>
          <w:i/>
          <w:sz w:val="32"/>
        </w:rPr>
      </w:pPr>
    </w:p>
    <w:p>
      <w:pPr>
        <w:pStyle w:val="BodyText"/>
        <w:spacing w:before="6"/>
        <w:rPr>
          <w:rFonts w:ascii="Times New Roman"/>
          <w:i/>
          <w:sz w:val="25"/>
        </w:rPr>
      </w:pPr>
    </w:p>
    <w:p>
      <w:pPr>
        <w:spacing w:line="424" w:lineRule="auto" w:before="1"/>
        <w:ind w:left="102" w:right="5285" w:firstLine="0"/>
        <w:jc w:val="left"/>
        <w:rPr>
          <w:rFonts w:ascii="Times New Roman" w:hAnsi="Times New Roman"/>
          <w:i/>
          <w:sz w:val="32"/>
        </w:rPr>
      </w:pPr>
      <w:r>
        <w:rPr>
          <w:rFonts w:ascii="Times New Roman" w:hAnsi="Times New Roman"/>
          <w:i/>
          <w:w w:val="85"/>
          <w:sz w:val="32"/>
        </w:rPr>
        <w:t>“Un</w:t>
      </w:r>
      <w:r>
        <w:rPr>
          <w:rFonts w:ascii="Times New Roman" w:hAnsi="Times New Roman"/>
          <w:i/>
          <w:spacing w:val="-34"/>
          <w:w w:val="85"/>
          <w:sz w:val="32"/>
        </w:rPr>
        <w:t> </w:t>
      </w:r>
      <w:r>
        <w:rPr>
          <w:rFonts w:ascii="Times New Roman" w:hAnsi="Times New Roman"/>
          <w:i/>
          <w:w w:val="85"/>
          <w:sz w:val="32"/>
        </w:rPr>
        <w:t>hermano</w:t>
      </w:r>
      <w:r>
        <w:rPr>
          <w:rFonts w:ascii="Times New Roman" w:hAnsi="Times New Roman"/>
          <w:i/>
          <w:spacing w:val="-35"/>
          <w:w w:val="85"/>
          <w:sz w:val="32"/>
        </w:rPr>
        <w:t> </w:t>
      </w:r>
      <w:r>
        <w:rPr>
          <w:rFonts w:ascii="Times New Roman" w:hAnsi="Times New Roman"/>
          <w:i/>
          <w:w w:val="85"/>
          <w:sz w:val="32"/>
        </w:rPr>
        <w:t>es</w:t>
      </w:r>
      <w:r>
        <w:rPr>
          <w:rFonts w:ascii="Times New Roman" w:hAnsi="Times New Roman"/>
          <w:i/>
          <w:spacing w:val="-35"/>
          <w:w w:val="85"/>
          <w:sz w:val="32"/>
        </w:rPr>
        <w:t> </w:t>
      </w:r>
      <w:r>
        <w:rPr>
          <w:rFonts w:ascii="Times New Roman" w:hAnsi="Times New Roman"/>
          <w:i/>
          <w:w w:val="85"/>
          <w:sz w:val="32"/>
        </w:rPr>
        <w:t>un</w:t>
      </w:r>
      <w:r>
        <w:rPr>
          <w:rFonts w:ascii="Times New Roman" w:hAnsi="Times New Roman"/>
          <w:i/>
          <w:spacing w:val="-34"/>
          <w:w w:val="85"/>
          <w:sz w:val="32"/>
        </w:rPr>
        <w:t> </w:t>
      </w:r>
      <w:r>
        <w:rPr>
          <w:rFonts w:ascii="Times New Roman" w:hAnsi="Times New Roman"/>
          <w:i/>
          <w:w w:val="85"/>
          <w:sz w:val="32"/>
        </w:rPr>
        <w:t>amigo</w:t>
      </w:r>
      <w:r>
        <w:rPr>
          <w:rFonts w:ascii="Times New Roman" w:hAnsi="Times New Roman"/>
          <w:i/>
          <w:spacing w:val="-35"/>
          <w:w w:val="85"/>
          <w:sz w:val="32"/>
        </w:rPr>
        <w:t> </w:t>
      </w:r>
      <w:r>
        <w:rPr>
          <w:rFonts w:ascii="Times New Roman" w:hAnsi="Times New Roman"/>
          <w:i/>
          <w:w w:val="85"/>
          <w:sz w:val="32"/>
        </w:rPr>
        <w:t>que</w:t>
      </w:r>
      <w:r>
        <w:rPr>
          <w:rFonts w:ascii="Times New Roman" w:hAnsi="Times New Roman"/>
          <w:i/>
          <w:spacing w:val="-34"/>
          <w:w w:val="85"/>
          <w:sz w:val="32"/>
        </w:rPr>
        <w:t> </w:t>
      </w:r>
      <w:r>
        <w:rPr>
          <w:rFonts w:ascii="Times New Roman" w:hAnsi="Times New Roman"/>
          <w:i/>
          <w:w w:val="85"/>
          <w:sz w:val="32"/>
        </w:rPr>
        <w:t>nos </w:t>
      </w:r>
      <w:r>
        <w:rPr>
          <w:rFonts w:ascii="Times New Roman" w:hAnsi="Times New Roman"/>
          <w:i/>
          <w:w w:val="85"/>
          <w:sz w:val="32"/>
        </w:rPr>
        <w:t>da</w:t>
      </w:r>
      <w:r>
        <w:rPr>
          <w:rFonts w:ascii="Times New Roman" w:hAnsi="Times New Roman"/>
          <w:i/>
          <w:spacing w:val="-15"/>
          <w:w w:val="85"/>
          <w:sz w:val="32"/>
        </w:rPr>
        <w:t> </w:t>
      </w:r>
      <w:r>
        <w:rPr>
          <w:rFonts w:ascii="Times New Roman" w:hAnsi="Times New Roman"/>
          <w:i/>
          <w:w w:val="85"/>
          <w:sz w:val="32"/>
        </w:rPr>
        <w:t>la</w:t>
      </w:r>
      <w:r>
        <w:rPr>
          <w:rFonts w:ascii="Times New Roman" w:hAnsi="Times New Roman"/>
          <w:i/>
          <w:spacing w:val="-16"/>
          <w:w w:val="85"/>
          <w:sz w:val="32"/>
        </w:rPr>
        <w:t> </w:t>
      </w:r>
      <w:r>
        <w:rPr>
          <w:rFonts w:ascii="Times New Roman" w:hAnsi="Times New Roman"/>
          <w:i/>
          <w:w w:val="85"/>
          <w:sz w:val="32"/>
        </w:rPr>
        <w:t>naturaleza,</w:t>
      </w:r>
      <w:r>
        <w:rPr>
          <w:rFonts w:ascii="Times New Roman" w:hAnsi="Times New Roman"/>
          <w:i/>
          <w:spacing w:val="-17"/>
          <w:w w:val="85"/>
          <w:sz w:val="32"/>
        </w:rPr>
        <w:t> </w:t>
      </w:r>
      <w:r>
        <w:rPr>
          <w:rFonts w:ascii="Times New Roman" w:hAnsi="Times New Roman"/>
          <w:i/>
          <w:w w:val="85"/>
          <w:sz w:val="32"/>
        </w:rPr>
        <w:t>y</w:t>
      </w:r>
      <w:r>
        <w:rPr>
          <w:rFonts w:ascii="Times New Roman" w:hAnsi="Times New Roman"/>
          <w:i/>
          <w:spacing w:val="-15"/>
          <w:w w:val="85"/>
          <w:sz w:val="32"/>
        </w:rPr>
        <w:t> </w:t>
      </w:r>
      <w:r>
        <w:rPr>
          <w:rFonts w:ascii="Times New Roman" w:hAnsi="Times New Roman"/>
          <w:i/>
          <w:w w:val="85"/>
          <w:sz w:val="32"/>
        </w:rPr>
        <w:t>un</w:t>
      </w:r>
      <w:r>
        <w:rPr>
          <w:rFonts w:ascii="Times New Roman" w:hAnsi="Times New Roman"/>
          <w:i/>
          <w:spacing w:val="-15"/>
          <w:w w:val="85"/>
          <w:sz w:val="32"/>
        </w:rPr>
        <w:t> </w:t>
      </w:r>
      <w:r>
        <w:rPr>
          <w:rFonts w:ascii="Times New Roman" w:hAnsi="Times New Roman"/>
          <w:i/>
          <w:w w:val="85"/>
          <w:sz w:val="32"/>
        </w:rPr>
        <w:t>amigo</w:t>
      </w:r>
      <w:r>
        <w:rPr>
          <w:rFonts w:ascii="Times New Roman" w:hAnsi="Times New Roman"/>
          <w:i/>
          <w:spacing w:val="-16"/>
          <w:w w:val="85"/>
          <w:sz w:val="32"/>
        </w:rPr>
        <w:t> </w:t>
      </w:r>
      <w:r>
        <w:rPr>
          <w:rFonts w:ascii="Times New Roman" w:hAnsi="Times New Roman"/>
          <w:i/>
          <w:w w:val="85"/>
          <w:sz w:val="32"/>
        </w:rPr>
        <w:t>es</w:t>
      </w:r>
      <w:r>
        <w:rPr>
          <w:rFonts w:ascii="Times New Roman" w:hAnsi="Times New Roman"/>
          <w:i/>
          <w:spacing w:val="-16"/>
          <w:w w:val="85"/>
          <w:sz w:val="32"/>
        </w:rPr>
        <w:t> </w:t>
      </w:r>
      <w:r>
        <w:rPr>
          <w:rFonts w:ascii="Times New Roman" w:hAnsi="Times New Roman"/>
          <w:i/>
          <w:w w:val="85"/>
          <w:sz w:val="32"/>
        </w:rPr>
        <w:t>un hermano</w:t>
      </w:r>
      <w:r>
        <w:rPr>
          <w:rFonts w:ascii="Times New Roman" w:hAnsi="Times New Roman"/>
          <w:i/>
          <w:spacing w:val="-28"/>
          <w:w w:val="85"/>
          <w:sz w:val="32"/>
        </w:rPr>
        <w:t> </w:t>
      </w:r>
      <w:r>
        <w:rPr>
          <w:rFonts w:ascii="Times New Roman" w:hAnsi="Times New Roman"/>
          <w:i/>
          <w:w w:val="85"/>
          <w:sz w:val="32"/>
        </w:rPr>
        <w:t>que</w:t>
      </w:r>
      <w:r>
        <w:rPr>
          <w:rFonts w:ascii="Times New Roman" w:hAnsi="Times New Roman"/>
          <w:i/>
          <w:spacing w:val="-29"/>
          <w:w w:val="85"/>
          <w:sz w:val="32"/>
        </w:rPr>
        <w:t> </w:t>
      </w:r>
      <w:r>
        <w:rPr>
          <w:rFonts w:ascii="Times New Roman" w:hAnsi="Times New Roman"/>
          <w:i/>
          <w:w w:val="85"/>
          <w:sz w:val="32"/>
        </w:rPr>
        <w:t>nos</w:t>
      </w:r>
      <w:r>
        <w:rPr>
          <w:rFonts w:ascii="Times New Roman" w:hAnsi="Times New Roman"/>
          <w:i/>
          <w:spacing w:val="-29"/>
          <w:w w:val="85"/>
          <w:sz w:val="32"/>
        </w:rPr>
        <w:t> </w:t>
      </w:r>
      <w:r>
        <w:rPr>
          <w:rFonts w:ascii="Times New Roman" w:hAnsi="Times New Roman"/>
          <w:i/>
          <w:w w:val="85"/>
          <w:sz w:val="32"/>
        </w:rPr>
        <w:t>da</w:t>
      </w:r>
      <w:r>
        <w:rPr>
          <w:rFonts w:ascii="Times New Roman" w:hAnsi="Times New Roman"/>
          <w:i/>
          <w:spacing w:val="-28"/>
          <w:w w:val="85"/>
          <w:sz w:val="32"/>
        </w:rPr>
        <w:t> </w:t>
      </w:r>
      <w:r>
        <w:rPr>
          <w:rFonts w:ascii="Times New Roman" w:hAnsi="Times New Roman"/>
          <w:i/>
          <w:w w:val="85"/>
          <w:sz w:val="32"/>
        </w:rPr>
        <w:t>la</w:t>
      </w:r>
      <w:r>
        <w:rPr>
          <w:rFonts w:ascii="Times New Roman" w:hAnsi="Times New Roman"/>
          <w:i/>
          <w:spacing w:val="-27"/>
          <w:w w:val="85"/>
          <w:sz w:val="32"/>
        </w:rPr>
        <w:t> </w:t>
      </w:r>
      <w:r>
        <w:rPr>
          <w:rFonts w:ascii="Times New Roman" w:hAnsi="Times New Roman"/>
          <w:i/>
          <w:w w:val="85"/>
          <w:sz w:val="32"/>
        </w:rPr>
        <w:t>sociedad” </w:t>
      </w:r>
      <w:r>
        <w:rPr>
          <w:rFonts w:ascii="Times New Roman" w:hAnsi="Times New Roman"/>
          <w:i/>
          <w:sz w:val="32"/>
          <w:u w:val="single"/>
        </w:rPr>
        <w:t>M. L.</w:t>
      </w:r>
      <w:r>
        <w:rPr>
          <w:rFonts w:ascii="Times New Roman" w:hAnsi="Times New Roman"/>
          <w:i/>
          <w:spacing w:val="77"/>
          <w:sz w:val="32"/>
          <w:u w:val="single"/>
        </w:rPr>
        <w:t> </w:t>
      </w:r>
      <w:r>
        <w:rPr>
          <w:rFonts w:ascii="Times New Roman" w:hAnsi="Times New Roman"/>
          <w:i/>
          <w:w w:val="90"/>
          <w:sz w:val="32"/>
          <w:u w:val="single"/>
        </w:rPr>
        <w:t>King.</w:t>
      </w:r>
    </w:p>
    <w:p>
      <w:pPr>
        <w:spacing w:after="0" w:line="424" w:lineRule="auto"/>
        <w:jc w:val="left"/>
        <w:rPr>
          <w:rFonts w:ascii="Times New Roman" w:hAnsi="Times New Roman"/>
          <w:sz w:val="32"/>
        </w:rPr>
        <w:sectPr>
          <w:pgSz w:w="12240" w:h="15840"/>
          <w:pgMar w:header="747" w:footer="0" w:top="940" w:bottom="280" w:left="1600" w:right="1580"/>
        </w:sectPr>
      </w:pPr>
    </w:p>
    <w:p>
      <w:pPr>
        <w:pStyle w:val="BodyText"/>
        <w:rPr>
          <w:rFonts w:ascii="Times New Roman"/>
          <w:i/>
          <w:sz w:val="20"/>
        </w:rPr>
      </w:pPr>
    </w:p>
    <w:p>
      <w:pPr>
        <w:pStyle w:val="BodyText"/>
        <w:spacing w:before="6"/>
        <w:rPr>
          <w:rFonts w:ascii="Times New Roman"/>
          <w:i/>
          <w:sz w:val="16"/>
        </w:rPr>
      </w:pPr>
    </w:p>
    <w:p>
      <w:pPr>
        <w:spacing w:before="33"/>
        <w:ind w:left="102" w:right="2220" w:firstLine="0"/>
        <w:jc w:val="left"/>
        <w:rPr>
          <w:rFonts w:ascii="Times New Roman"/>
          <w:i/>
          <w:sz w:val="32"/>
        </w:rPr>
      </w:pPr>
      <w:r>
        <w:rPr>
          <w:rFonts w:ascii="Times New Roman"/>
          <w:i/>
          <w:w w:val="105"/>
          <w:sz w:val="32"/>
        </w:rPr>
        <w:t>A MIS AMIGOS</w:t>
      </w:r>
    </w:p>
    <w:p>
      <w:pPr>
        <w:pStyle w:val="BodyText"/>
        <w:spacing w:before="10"/>
        <w:rPr>
          <w:rFonts w:ascii="Times New Roman"/>
          <w:i/>
          <w:sz w:val="21"/>
        </w:rPr>
      </w:pPr>
    </w:p>
    <w:p>
      <w:pPr>
        <w:spacing w:line="424" w:lineRule="auto" w:before="33"/>
        <w:ind w:left="2303" w:right="2327" w:firstLine="1"/>
        <w:jc w:val="center"/>
        <w:rPr>
          <w:rFonts w:ascii="Times New Roman"/>
          <w:i/>
          <w:sz w:val="32"/>
        </w:rPr>
      </w:pPr>
      <w:r>
        <w:rPr>
          <w:rFonts w:ascii="Times New Roman"/>
          <w:i/>
          <w:w w:val="81"/>
          <w:sz w:val="32"/>
        </w:rPr>
        <w:t>Por</w:t>
      </w:r>
      <w:r>
        <w:rPr>
          <w:rFonts w:ascii="Times New Roman"/>
          <w:i/>
          <w:spacing w:val="10"/>
          <w:sz w:val="32"/>
        </w:rPr>
        <w:t> </w:t>
      </w:r>
      <w:r>
        <w:rPr>
          <w:rFonts w:ascii="Times New Roman"/>
          <w:i/>
          <w:spacing w:val="-2"/>
          <w:w w:val="89"/>
          <w:sz w:val="32"/>
        </w:rPr>
        <w:t>t</w:t>
      </w:r>
      <w:r>
        <w:rPr>
          <w:rFonts w:ascii="Times New Roman"/>
          <w:i/>
          <w:w w:val="71"/>
          <w:sz w:val="32"/>
        </w:rPr>
        <w:t>odos</w:t>
      </w:r>
      <w:r>
        <w:rPr>
          <w:rFonts w:ascii="Times New Roman"/>
          <w:i/>
          <w:spacing w:val="11"/>
          <w:sz w:val="32"/>
        </w:rPr>
        <w:t> </w:t>
      </w:r>
      <w:r>
        <w:rPr>
          <w:rFonts w:ascii="Times New Roman"/>
          <w:i/>
          <w:spacing w:val="-2"/>
          <w:w w:val="82"/>
          <w:sz w:val="32"/>
        </w:rPr>
        <w:t>l</w:t>
      </w:r>
      <w:r>
        <w:rPr>
          <w:rFonts w:ascii="Times New Roman"/>
          <w:i/>
          <w:spacing w:val="2"/>
          <w:w w:val="62"/>
          <w:sz w:val="32"/>
        </w:rPr>
        <w:t>o</w:t>
      </w:r>
      <w:r>
        <w:rPr>
          <w:rFonts w:ascii="Times New Roman"/>
          <w:i/>
          <w:w w:val="79"/>
          <w:sz w:val="32"/>
        </w:rPr>
        <w:t>s</w:t>
      </w:r>
      <w:r>
        <w:rPr>
          <w:rFonts w:ascii="Times New Roman"/>
          <w:i/>
          <w:spacing w:val="9"/>
          <w:sz w:val="32"/>
        </w:rPr>
        <w:t> </w:t>
      </w:r>
      <w:r>
        <w:rPr>
          <w:rFonts w:ascii="Times New Roman"/>
          <w:i/>
          <w:spacing w:val="-1"/>
          <w:w w:val="76"/>
          <w:sz w:val="32"/>
        </w:rPr>
        <w:t>m</w:t>
      </w:r>
      <w:r>
        <w:rPr>
          <w:rFonts w:ascii="Times New Roman"/>
          <w:i/>
          <w:w w:val="70"/>
          <w:sz w:val="32"/>
        </w:rPr>
        <w:t>omen</w:t>
      </w:r>
      <w:r>
        <w:rPr>
          <w:rFonts w:ascii="Times New Roman"/>
          <w:i/>
          <w:w w:val="74"/>
          <w:sz w:val="32"/>
        </w:rPr>
        <w:t>tos</w:t>
      </w:r>
      <w:r>
        <w:rPr>
          <w:rFonts w:ascii="Times New Roman"/>
          <w:i/>
          <w:spacing w:val="10"/>
          <w:sz w:val="32"/>
        </w:rPr>
        <w:t> </w:t>
      </w:r>
      <w:r>
        <w:rPr>
          <w:rFonts w:ascii="Times New Roman"/>
          <w:i/>
          <w:w w:val="75"/>
          <w:sz w:val="32"/>
        </w:rPr>
        <w:t>compar</w:t>
      </w:r>
      <w:r>
        <w:rPr>
          <w:rFonts w:ascii="Times New Roman"/>
          <w:i/>
          <w:spacing w:val="1"/>
          <w:w w:val="75"/>
          <w:sz w:val="32"/>
        </w:rPr>
        <w:t>t</w:t>
      </w:r>
      <w:r>
        <w:rPr>
          <w:rFonts w:ascii="Times New Roman"/>
          <w:i/>
          <w:spacing w:val="-1"/>
          <w:w w:val="82"/>
          <w:sz w:val="32"/>
        </w:rPr>
        <w:t>i</w:t>
      </w:r>
      <w:r>
        <w:rPr>
          <w:rFonts w:ascii="Times New Roman"/>
          <w:i/>
          <w:spacing w:val="-1"/>
          <w:w w:val="83"/>
          <w:sz w:val="32"/>
        </w:rPr>
        <w:t>d</w:t>
      </w:r>
      <w:r>
        <w:rPr>
          <w:rFonts w:ascii="Times New Roman"/>
          <w:i/>
          <w:spacing w:val="2"/>
          <w:w w:val="62"/>
          <w:sz w:val="32"/>
        </w:rPr>
        <w:t>o</w:t>
      </w:r>
      <w:r>
        <w:rPr>
          <w:rFonts w:ascii="Times New Roman"/>
          <w:i/>
          <w:spacing w:val="-2"/>
          <w:w w:val="79"/>
          <w:sz w:val="32"/>
        </w:rPr>
        <w:t>s</w:t>
      </w:r>
      <w:r>
        <w:rPr>
          <w:rFonts w:ascii="Times New Roman"/>
          <w:i/>
          <w:w w:val="132"/>
          <w:sz w:val="32"/>
        </w:rPr>
        <w:t>,</w:t>
      </w:r>
      <w:r>
        <w:rPr>
          <w:rFonts w:ascii="Times New Roman"/>
          <w:i/>
          <w:w w:val="132"/>
          <w:sz w:val="32"/>
        </w:rPr>
        <w:t> </w:t>
      </w:r>
      <w:r>
        <w:rPr>
          <w:rFonts w:ascii="Times New Roman"/>
          <w:i/>
          <w:w w:val="85"/>
          <w:sz w:val="32"/>
        </w:rPr>
        <w:t>secretos,</w:t>
      </w:r>
      <w:r>
        <w:rPr>
          <w:rFonts w:ascii="Times New Roman"/>
          <w:i/>
          <w:spacing w:val="-18"/>
          <w:w w:val="85"/>
          <w:sz w:val="32"/>
        </w:rPr>
        <w:t> </w:t>
      </w:r>
      <w:r>
        <w:rPr>
          <w:rFonts w:ascii="Times New Roman"/>
          <w:i/>
          <w:w w:val="85"/>
          <w:sz w:val="32"/>
        </w:rPr>
        <w:t>risas,</w:t>
      </w:r>
      <w:r>
        <w:rPr>
          <w:rFonts w:ascii="Times New Roman"/>
          <w:i/>
          <w:spacing w:val="-19"/>
          <w:w w:val="85"/>
          <w:sz w:val="32"/>
        </w:rPr>
        <w:t> </w:t>
      </w:r>
      <w:r>
        <w:rPr>
          <w:rFonts w:ascii="Times New Roman"/>
          <w:i/>
          <w:w w:val="85"/>
          <w:sz w:val="32"/>
        </w:rPr>
        <w:t>lagrimas,</w:t>
      </w:r>
      <w:r>
        <w:rPr>
          <w:rFonts w:ascii="Times New Roman"/>
          <w:i/>
          <w:spacing w:val="-19"/>
          <w:w w:val="85"/>
          <w:sz w:val="32"/>
        </w:rPr>
        <w:t> </w:t>
      </w:r>
      <w:r>
        <w:rPr>
          <w:rFonts w:ascii="Times New Roman"/>
          <w:i/>
          <w:w w:val="85"/>
          <w:sz w:val="32"/>
        </w:rPr>
        <w:t>trabajo,</w:t>
      </w:r>
      <w:r>
        <w:rPr>
          <w:rFonts w:ascii="Times New Roman"/>
          <w:i/>
          <w:spacing w:val="-20"/>
          <w:w w:val="85"/>
          <w:sz w:val="32"/>
        </w:rPr>
        <w:t> </w:t>
      </w:r>
      <w:r>
        <w:rPr>
          <w:rFonts w:ascii="Times New Roman"/>
          <w:i/>
          <w:w w:val="85"/>
          <w:sz w:val="32"/>
        </w:rPr>
        <w:t>fiestas, </w:t>
      </w:r>
      <w:r>
        <w:rPr>
          <w:rFonts w:ascii="Times New Roman"/>
          <w:i/>
          <w:w w:val="80"/>
          <w:sz w:val="32"/>
        </w:rPr>
        <w:t>pero sobre todo, por su</w:t>
      </w:r>
      <w:r>
        <w:rPr>
          <w:rFonts w:ascii="Times New Roman"/>
          <w:i/>
          <w:spacing w:val="4"/>
          <w:w w:val="80"/>
          <w:sz w:val="32"/>
        </w:rPr>
        <w:t> </w:t>
      </w:r>
      <w:r>
        <w:rPr>
          <w:rFonts w:ascii="Times New Roman"/>
          <w:i/>
          <w:w w:val="80"/>
          <w:sz w:val="32"/>
        </w:rPr>
        <w:t>amistad.</w:t>
      </w:r>
    </w:p>
    <w:p>
      <w:pPr>
        <w:pStyle w:val="BodyText"/>
        <w:rPr>
          <w:rFonts w:ascii="Times New Roman"/>
          <w:i/>
          <w:sz w:val="32"/>
        </w:rPr>
      </w:pPr>
    </w:p>
    <w:p>
      <w:pPr>
        <w:pStyle w:val="BodyText"/>
        <w:spacing w:before="4"/>
        <w:rPr>
          <w:rFonts w:ascii="Times New Roman"/>
          <w:i/>
          <w:sz w:val="25"/>
        </w:rPr>
      </w:pPr>
    </w:p>
    <w:p>
      <w:pPr>
        <w:spacing w:line="424" w:lineRule="auto" w:before="0"/>
        <w:ind w:left="4461" w:right="121" w:hanging="154"/>
        <w:jc w:val="right"/>
        <w:rPr>
          <w:rFonts w:ascii="Times New Roman" w:hAnsi="Times New Roman"/>
          <w:i/>
          <w:sz w:val="32"/>
        </w:rPr>
      </w:pPr>
      <w:r>
        <w:rPr>
          <w:rFonts w:ascii="Times New Roman" w:hAnsi="Times New Roman"/>
          <w:i/>
          <w:w w:val="80"/>
          <w:sz w:val="32"/>
        </w:rPr>
        <w:t>“un</w:t>
      </w:r>
      <w:r>
        <w:rPr>
          <w:rFonts w:ascii="Times New Roman" w:hAnsi="Times New Roman"/>
          <w:i/>
          <w:spacing w:val="-26"/>
          <w:w w:val="80"/>
          <w:sz w:val="32"/>
        </w:rPr>
        <w:t> </w:t>
      </w:r>
      <w:r>
        <w:rPr>
          <w:rFonts w:ascii="Times New Roman" w:hAnsi="Times New Roman"/>
          <w:i/>
          <w:w w:val="80"/>
          <w:sz w:val="32"/>
        </w:rPr>
        <w:t>verdadero</w:t>
      </w:r>
      <w:r>
        <w:rPr>
          <w:rFonts w:ascii="Times New Roman" w:hAnsi="Times New Roman"/>
          <w:i/>
          <w:spacing w:val="-27"/>
          <w:w w:val="80"/>
          <w:sz w:val="32"/>
        </w:rPr>
        <w:t> </w:t>
      </w:r>
      <w:r>
        <w:rPr>
          <w:rFonts w:ascii="Times New Roman" w:hAnsi="Times New Roman"/>
          <w:i/>
          <w:w w:val="80"/>
          <w:sz w:val="32"/>
        </w:rPr>
        <w:t>amigo</w:t>
      </w:r>
      <w:r>
        <w:rPr>
          <w:rFonts w:ascii="Times New Roman" w:hAnsi="Times New Roman"/>
          <w:i/>
          <w:spacing w:val="-27"/>
          <w:w w:val="80"/>
          <w:sz w:val="32"/>
        </w:rPr>
        <w:t> </w:t>
      </w:r>
      <w:r>
        <w:rPr>
          <w:rFonts w:ascii="Times New Roman" w:hAnsi="Times New Roman"/>
          <w:i/>
          <w:w w:val="80"/>
          <w:sz w:val="32"/>
        </w:rPr>
        <w:t>es</w:t>
      </w:r>
      <w:r>
        <w:rPr>
          <w:rFonts w:ascii="Times New Roman" w:hAnsi="Times New Roman"/>
          <w:i/>
          <w:spacing w:val="-26"/>
          <w:w w:val="80"/>
          <w:sz w:val="32"/>
        </w:rPr>
        <w:t> </w:t>
      </w:r>
      <w:r>
        <w:rPr>
          <w:rFonts w:ascii="Times New Roman" w:hAnsi="Times New Roman"/>
          <w:i/>
          <w:w w:val="80"/>
          <w:sz w:val="32"/>
        </w:rPr>
        <w:t>alguien</w:t>
      </w:r>
      <w:r>
        <w:rPr>
          <w:rFonts w:ascii="Times New Roman" w:hAnsi="Times New Roman"/>
          <w:i/>
          <w:spacing w:val="-26"/>
          <w:w w:val="80"/>
          <w:sz w:val="32"/>
        </w:rPr>
        <w:t> </w:t>
      </w:r>
      <w:r>
        <w:rPr>
          <w:rFonts w:ascii="Times New Roman" w:hAnsi="Times New Roman"/>
          <w:i/>
          <w:w w:val="80"/>
          <w:sz w:val="32"/>
        </w:rPr>
        <w:t>que</w:t>
      </w:r>
      <w:r>
        <w:rPr>
          <w:rFonts w:ascii="Times New Roman" w:hAnsi="Times New Roman"/>
          <w:i/>
          <w:spacing w:val="-27"/>
          <w:w w:val="80"/>
          <w:sz w:val="32"/>
        </w:rPr>
        <w:t> </w:t>
      </w:r>
      <w:r>
        <w:rPr>
          <w:rFonts w:ascii="Times New Roman" w:hAnsi="Times New Roman"/>
          <w:i/>
          <w:w w:val="80"/>
          <w:sz w:val="32"/>
        </w:rPr>
        <w:t>te</w:t>
      </w:r>
      <w:r>
        <w:rPr>
          <w:rFonts w:ascii="Times New Roman" w:hAnsi="Times New Roman"/>
          <w:i/>
          <w:spacing w:val="-26"/>
          <w:w w:val="80"/>
          <w:sz w:val="32"/>
        </w:rPr>
        <w:t> </w:t>
      </w:r>
      <w:r>
        <w:rPr>
          <w:rFonts w:ascii="Times New Roman" w:hAnsi="Times New Roman"/>
          <w:i/>
          <w:w w:val="80"/>
          <w:sz w:val="32"/>
        </w:rPr>
        <w:t>conoce</w:t>
      </w:r>
      <w:r>
        <w:rPr>
          <w:rFonts w:ascii="Times New Roman" w:hAnsi="Times New Roman"/>
          <w:i/>
          <w:w w:val="65"/>
          <w:sz w:val="32"/>
        </w:rPr>
        <w:t> </w:t>
      </w:r>
      <w:r>
        <w:rPr>
          <w:rFonts w:ascii="Times New Roman" w:hAnsi="Times New Roman"/>
          <w:i/>
          <w:w w:val="80"/>
          <w:sz w:val="32"/>
        </w:rPr>
        <w:t>tal</w:t>
      </w:r>
      <w:r>
        <w:rPr>
          <w:rFonts w:ascii="Times New Roman" w:hAnsi="Times New Roman"/>
          <w:i/>
          <w:spacing w:val="-16"/>
          <w:w w:val="80"/>
          <w:sz w:val="32"/>
        </w:rPr>
        <w:t> </w:t>
      </w:r>
      <w:r>
        <w:rPr>
          <w:rFonts w:ascii="Times New Roman" w:hAnsi="Times New Roman"/>
          <w:i/>
          <w:w w:val="80"/>
          <w:sz w:val="32"/>
        </w:rPr>
        <w:t>como</w:t>
      </w:r>
      <w:r>
        <w:rPr>
          <w:rFonts w:ascii="Times New Roman" w:hAnsi="Times New Roman"/>
          <w:i/>
          <w:spacing w:val="-15"/>
          <w:w w:val="80"/>
          <w:sz w:val="32"/>
        </w:rPr>
        <w:t> </w:t>
      </w:r>
      <w:r>
        <w:rPr>
          <w:rFonts w:ascii="Times New Roman" w:hAnsi="Times New Roman"/>
          <w:i/>
          <w:w w:val="80"/>
          <w:sz w:val="32"/>
        </w:rPr>
        <w:t>eres,</w:t>
      </w:r>
      <w:r>
        <w:rPr>
          <w:rFonts w:ascii="Times New Roman" w:hAnsi="Times New Roman"/>
          <w:i/>
          <w:spacing w:val="-16"/>
          <w:w w:val="80"/>
          <w:sz w:val="32"/>
        </w:rPr>
        <w:t> </w:t>
      </w:r>
      <w:r>
        <w:rPr>
          <w:rFonts w:ascii="Times New Roman" w:hAnsi="Times New Roman"/>
          <w:i/>
          <w:w w:val="80"/>
          <w:sz w:val="32"/>
        </w:rPr>
        <w:t>comprende</w:t>
      </w:r>
      <w:r>
        <w:rPr>
          <w:rFonts w:ascii="Times New Roman" w:hAnsi="Times New Roman"/>
          <w:i/>
          <w:spacing w:val="-15"/>
          <w:w w:val="80"/>
          <w:sz w:val="32"/>
        </w:rPr>
        <w:t> </w:t>
      </w:r>
      <w:r>
        <w:rPr>
          <w:rFonts w:ascii="Times New Roman" w:hAnsi="Times New Roman"/>
          <w:i/>
          <w:w w:val="80"/>
          <w:sz w:val="32"/>
        </w:rPr>
        <w:t>dónde</w:t>
      </w:r>
      <w:r>
        <w:rPr>
          <w:rFonts w:ascii="Times New Roman" w:hAnsi="Times New Roman"/>
          <w:i/>
          <w:spacing w:val="-15"/>
          <w:w w:val="80"/>
          <w:sz w:val="32"/>
        </w:rPr>
        <w:t> </w:t>
      </w:r>
      <w:r>
        <w:rPr>
          <w:rFonts w:ascii="Times New Roman" w:hAnsi="Times New Roman"/>
          <w:i/>
          <w:w w:val="80"/>
          <w:sz w:val="32"/>
        </w:rPr>
        <w:t>has</w:t>
      </w:r>
      <w:r>
        <w:rPr>
          <w:rFonts w:ascii="Times New Roman" w:hAnsi="Times New Roman"/>
          <w:i/>
          <w:spacing w:val="-16"/>
          <w:w w:val="80"/>
          <w:sz w:val="32"/>
        </w:rPr>
        <w:t> </w:t>
      </w:r>
      <w:r>
        <w:rPr>
          <w:rFonts w:ascii="Times New Roman" w:hAnsi="Times New Roman"/>
          <w:i/>
          <w:w w:val="80"/>
          <w:sz w:val="32"/>
        </w:rPr>
        <w:t>estado,</w:t>
      </w:r>
      <w:r>
        <w:rPr>
          <w:rFonts w:ascii="Times New Roman" w:hAnsi="Times New Roman"/>
          <w:i/>
          <w:w w:val="85"/>
          <w:sz w:val="32"/>
        </w:rPr>
        <w:t> </w:t>
      </w:r>
      <w:r>
        <w:rPr>
          <w:rFonts w:ascii="Times New Roman" w:hAnsi="Times New Roman"/>
          <w:i/>
          <w:w w:val="85"/>
          <w:sz w:val="32"/>
        </w:rPr>
        <w:t>te</w:t>
      </w:r>
      <w:r>
        <w:rPr>
          <w:rFonts w:ascii="Times New Roman" w:hAnsi="Times New Roman"/>
          <w:i/>
          <w:spacing w:val="-35"/>
          <w:w w:val="85"/>
          <w:sz w:val="32"/>
        </w:rPr>
        <w:t> </w:t>
      </w:r>
      <w:r>
        <w:rPr>
          <w:rFonts w:ascii="Times New Roman" w:hAnsi="Times New Roman"/>
          <w:i/>
          <w:w w:val="85"/>
          <w:sz w:val="32"/>
        </w:rPr>
        <w:t>acompaña</w:t>
      </w:r>
      <w:r>
        <w:rPr>
          <w:rFonts w:ascii="Times New Roman" w:hAnsi="Times New Roman"/>
          <w:i/>
          <w:spacing w:val="-35"/>
          <w:w w:val="85"/>
          <w:sz w:val="32"/>
        </w:rPr>
        <w:t> </w:t>
      </w:r>
      <w:r>
        <w:rPr>
          <w:rFonts w:ascii="Times New Roman" w:hAnsi="Times New Roman"/>
          <w:i/>
          <w:w w:val="85"/>
          <w:sz w:val="32"/>
        </w:rPr>
        <w:t>en</w:t>
      </w:r>
      <w:r>
        <w:rPr>
          <w:rFonts w:ascii="Times New Roman" w:hAnsi="Times New Roman"/>
          <w:i/>
          <w:spacing w:val="-35"/>
          <w:w w:val="85"/>
          <w:sz w:val="32"/>
        </w:rPr>
        <w:t> </w:t>
      </w:r>
      <w:r>
        <w:rPr>
          <w:rFonts w:ascii="Times New Roman" w:hAnsi="Times New Roman"/>
          <w:i/>
          <w:w w:val="85"/>
          <w:sz w:val="32"/>
        </w:rPr>
        <w:t>tus</w:t>
      </w:r>
      <w:r>
        <w:rPr>
          <w:rFonts w:ascii="Times New Roman" w:hAnsi="Times New Roman"/>
          <w:i/>
          <w:spacing w:val="-35"/>
          <w:w w:val="85"/>
          <w:sz w:val="32"/>
        </w:rPr>
        <w:t> </w:t>
      </w:r>
      <w:r>
        <w:rPr>
          <w:rFonts w:ascii="Times New Roman" w:hAnsi="Times New Roman"/>
          <w:i/>
          <w:w w:val="85"/>
          <w:sz w:val="32"/>
        </w:rPr>
        <w:t>logros</w:t>
      </w:r>
      <w:r>
        <w:rPr>
          <w:rFonts w:ascii="Times New Roman" w:hAnsi="Times New Roman"/>
          <w:i/>
          <w:spacing w:val="-35"/>
          <w:w w:val="85"/>
          <w:sz w:val="32"/>
        </w:rPr>
        <w:t> </w:t>
      </w:r>
      <w:r>
        <w:rPr>
          <w:rFonts w:ascii="Times New Roman" w:hAnsi="Times New Roman"/>
          <w:i/>
          <w:w w:val="85"/>
          <w:sz w:val="32"/>
        </w:rPr>
        <w:t>y</w:t>
      </w:r>
      <w:r>
        <w:rPr>
          <w:rFonts w:ascii="Times New Roman" w:hAnsi="Times New Roman"/>
          <w:i/>
          <w:spacing w:val="-35"/>
          <w:w w:val="85"/>
          <w:sz w:val="32"/>
        </w:rPr>
        <w:t> </w:t>
      </w:r>
      <w:r>
        <w:rPr>
          <w:rFonts w:ascii="Times New Roman" w:hAnsi="Times New Roman"/>
          <w:i/>
          <w:w w:val="85"/>
          <w:sz w:val="32"/>
        </w:rPr>
        <w:t>tus</w:t>
      </w:r>
      <w:r>
        <w:rPr>
          <w:rFonts w:ascii="Times New Roman" w:hAnsi="Times New Roman"/>
          <w:i/>
          <w:spacing w:val="-35"/>
          <w:w w:val="85"/>
          <w:sz w:val="32"/>
        </w:rPr>
        <w:t> </w:t>
      </w:r>
      <w:r>
        <w:rPr>
          <w:rFonts w:ascii="Times New Roman" w:hAnsi="Times New Roman"/>
          <w:i/>
          <w:w w:val="85"/>
          <w:sz w:val="32"/>
        </w:rPr>
        <w:t>fracasos,</w:t>
      </w:r>
      <w:r>
        <w:rPr>
          <w:rFonts w:ascii="Times New Roman" w:hAnsi="Times New Roman"/>
          <w:i/>
          <w:w w:val="83"/>
          <w:sz w:val="32"/>
        </w:rPr>
        <w:t> </w:t>
      </w:r>
      <w:r>
        <w:rPr>
          <w:rFonts w:ascii="Times New Roman" w:hAnsi="Times New Roman"/>
          <w:i/>
          <w:w w:val="80"/>
          <w:sz w:val="32"/>
        </w:rPr>
        <w:t>celebra</w:t>
      </w:r>
      <w:r>
        <w:rPr>
          <w:rFonts w:ascii="Times New Roman" w:hAnsi="Times New Roman"/>
          <w:i/>
          <w:spacing w:val="-14"/>
          <w:w w:val="80"/>
          <w:sz w:val="32"/>
        </w:rPr>
        <w:t> </w:t>
      </w:r>
      <w:r>
        <w:rPr>
          <w:rFonts w:ascii="Times New Roman" w:hAnsi="Times New Roman"/>
          <w:i/>
          <w:w w:val="80"/>
          <w:sz w:val="32"/>
        </w:rPr>
        <w:t>tus</w:t>
      </w:r>
      <w:r>
        <w:rPr>
          <w:rFonts w:ascii="Times New Roman" w:hAnsi="Times New Roman"/>
          <w:i/>
          <w:spacing w:val="-14"/>
          <w:w w:val="80"/>
          <w:sz w:val="32"/>
        </w:rPr>
        <w:t> </w:t>
      </w:r>
      <w:r>
        <w:rPr>
          <w:rFonts w:ascii="Times New Roman" w:hAnsi="Times New Roman"/>
          <w:i/>
          <w:w w:val="80"/>
          <w:sz w:val="32"/>
        </w:rPr>
        <w:t>alegrías,</w:t>
      </w:r>
      <w:r>
        <w:rPr>
          <w:rFonts w:ascii="Times New Roman" w:hAnsi="Times New Roman"/>
          <w:i/>
          <w:spacing w:val="-14"/>
          <w:w w:val="80"/>
          <w:sz w:val="32"/>
        </w:rPr>
        <w:t> </w:t>
      </w:r>
      <w:r>
        <w:rPr>
          <w:rFonts w:ascii="Times New Roman" w:hAnsi="Times New Roman"/>
          <w:i/>
          <w:w w:val="80"/>
          <w:sz w:val="32"/>
        </w:rPr>
        <w:t>comparte</w:t>
      </w:r>
      <w:r>
        <w:rPr>
          <w:rFonts w:ascii="Times New Roman" w:hAnsi="Times New Roman"/>
          <w:i/>
          <w:spacing w:val="-14"/>
          <w:w w:val="80"/>
          <w:sz w:val="32"/>
        </w:rPr>
        <w:t> </w:t>
      </w:r>
      <w:r>
        <w:rPr>
          <w:rFonts w:ascii="Times New Roman" w:hAnsi="Times New Roman"/>
          <w:i/>
          <w:w w:val="80"/>
          <w:sz w:val="32"/>
        </w:rPr>
        <w:t>tu</w:t>
      </w:r>
      <w:r>
        <w:rPr>
          <w:rFonts w:ascii="Times New Roman" w:hAnsi="Times New Roman"/>
          <w:i/>
          <w:spacing w:val="-14"/>
          <w:w w:val="80"/>
          <w:sz w:val="32"/>
        </w:rPr>
        <w:t> </w:t>
      </w:r>
      <w:r>
        <w:rPr>
          <w:rFonts w:ascii="Times New Roman" w:hAnsi="Times New Roman"/>
          <w:i/>
          <w:w w:val="80"/>
          <w:sz w:val="32"/>
        </w:rPr>
        <w:t>dolor</w:t>
      </w:r>
    </w:p>
    <w:p>
      <w:pPr>
        <w:spacing w:before="9"/>
        <w:ind w:left="0" w:right="116" w:firstLine="0"/>
        <w:jc w:val="right"/>
        <w:rPr>
          <w:rFonts w:ascii="Times New Roman" w:hAnsi="Times New Roman"/>
          <w:i/>
          <w:sz w:val="32"/>
        </w:rPr>
      </w:pPr>
      <w:r>
        <w:rPr>
          <w:rFonts w:ascii="Times New Roman" w:hAnsi="Times New Roman"/>
          <w:i/>
          <w:w w:val="84"/>
          <w:sz w:val="32"/>
        </w:rPr>
        <w:t>y</w:t>
      </w:r>
      <w:r>
        <w:rPr>
          <w:rFonts w:ascii="Times New Roman" w:hAnsi="Times New Roman"/>
          <w:i/>
          <w:spacing w:val="9"/>
          <w:sz w:val="32"/>
        </w:rPr>
        <w:t> </w:t>
      </w:r>
      <w:r>
        <w:rPr>
          <w:rFonts w:ascii="Times New Roman" w:hAnsi="Times New Roman"/>
          <w:i/>
          <w:spacing w:val="-2"/>
          <w:w w:val="100"/>
          <w:sz w:val="32"/>
        </w:rPr>
        <w:t>j</w:t>
      </w:r>
      <w:r>
        <w:rPr>
          <w:rFonts w:ascii="Times New Roman" w:hAnsi="Times New Roman"/>
          <w:i/>
          <w:spacing w:val="2"/>
          <w:w w:val="80"/>
          <w:sz w:val="32"/>
        </w:rPr>
        <w:t>a</w:t>
      </w:r>
      <w:r>
        <w:rPr>
          <w:rFonts w:ascii="Times New Roman" w:hAnsi="Times New Roman"/>
          <w:i/>
          <w:spacing w:val="-1"/>
          <w:w w:val="76"/>
          <w:sz w:val="32"/>
        </w:rPr>
        <w:t>m</w:t>
      </w:r>
      <w:r>
        <w:rPr>
          <w:rFonts w:ascii="Times New Roman" w:hAnsi="Times New Roman"/>
          <w:i/>
          <w:w w:val="80"/>
          <w:sz w:val="32"/>
        </w:rPr>
        <w:t>ás</w:t>
      </w:r>
      <w:r>
        <w:rPr>
          <w:rFonts w:ascii="Times New Roman" w:hAnsi="Times New Roman"/>
          <w:i/>
          <w:spacing w:val="10"/>
          <w:sz w:val="32"/>
        </w:rPr>
        <w:t> </w:t>
      </w:r>
      <w:r>
        <w:rPr>
          <w:rFonts w:ascii="Times New Roman" w:hAnsi="Times New Roman"/>
          <w:i/>
          <w:spacing w:val="-2"/>
          <w:w w:val="89"/>
          <w:sz w:val="32"/>
        </w:rPr>
        <w:t>t</w:t>
      </w:r>
      <w:r>
        <w:rPr>
          <w:rFonts w:ascii="Times New Roman" w:hAnsi="Times New Roman"/>
          <w:i/>
          <w:w w:val="65"/>
          <w:sz w:val="32"/>
        </w:rPr>
        <w:t>e</w:t>
      </w:r>
      <w:r>
        <w:rPr>
          <w:rFonts w:ascii="Times New Roman" w:hAnsi="Times New Roman"/>
          <w:i/>
          <w:spacing w:val="11"/>
          <w:sz w:val="32"/>
        </w:rPr>
        <w:t> </w:t>
      </w:r>
      <w:r>
        <w:rPr>
          <w:rFonts w:ascii="Times New Roman" w:hAnsi="Times New Roman"/>
          <w:i/>
          <w:w w:val="85"/>
          <w:sz w:val="32"/>
        </w:rPr>
        <w:t>j</w:t>
      </w:r>
      <w:r>
        <w:rPr>
          <w:rFonts w:ascii="Times New Roman" w:hAnsi="Times New Roman"/>
          <w:i/>
          <w:spacing w:val="-2"/>
          <w:w w:val="85"/>
          <w:sz w:val="32"/>
        </w:rPr>
        <w:t>u</w:t>
      </w:r>
      <w:r>
        <w:rPr>
          <w:rFonts w:ascii="Times New Roman" w:hAnsi="Times New Roman"/>
          <w:i/>
          <w:w w:val="71"/>
          <w:sz w:val="32"/>
        </w:rPr>
        <w:t>e</w:t>
      </w:r>
      <w:r>
        <w:rPr>
          <w:rFonts w:ascii="Times New Roman" w:hAnsi="Times New Roman"/>
          <w:i/>
          <w:spacing w:val="1"/>
          <w:w w:val="71"/>
          <w:sz w:val="32"/>
        </w:rPr>
        <w:t>g</w:t>
      </w:r>
      <w:r>
        <w:rPr>
          <w:rFonts w:ascii="Times New Roman" w:hAnsi="Times New Roman"/>
          <w:i/>
          <w:w w:val="80"/>
          <w:sz w:val="32"/>
        </w:rPr>
        <w:t>a</w:t>
      </w:r>
      <w:r>
        <w:rPr>
          <w:rFonts w:ascii="Times New Roman" w:hAnsi="Times New Roman"/>
          <w:i/>
          <w:spacing w:val="9"/>
          <w:sz w:val="32"/>
        </w:rPr>
        <w:t> </w:t>
      </w:r>
      <w:r>
        <w:rPr>
          <w:rFonts w:ascii="Times New Roman" w:hAnsi="Times New Roman"/>
          <w:i/>
          <w:w w:val="72"/>
          <w:sz w:val="32"/>
        </w:rPr>
        <w:t>por</w:t>
      </w:r>
      <w:r>
        <w:rPr>
          <w:rFonts w:ascii="Times New Roman" w:hAnsi="Times New Roman"/>
          <w:i/>
          <w:spacing w:val="9"/>
          <w:sz w:val="32"/>
        </w:rPr>
        <w:t> </w:t>
      </w:r>
      <w:r>
        <w:rPr>
          <w:rFonts w:ascii="Times New Roman" w:hAnsi="Times New Roman"/>
          <w:i/>
          <w:w w:val="89"/>
          <w:sz w:val="32"/>
        </w:rPr>
        <w:t>t</w:t>
      </w:r>
      <w:r>
        <w:rPr>
          <w:rFonts w:ascii="Times New Roman" w:hAnsi="Times New Roman"/>
          <w:i/>
          <w:spacing w:val="1"/>
          <w:w w:val="76"/>
          <w:sz w:val="32"/>
        </w:rPr>
        <w:t>u</w:t>
      </w:r>
      <w:r>
        <w:rPr>
          <w:rFonts w:ascii="Times New Roman" w:hAnsi="Times New Roman"/>
          <w:i/>
          <w:w w:val="79"/>
          <w:sz w:val="32"/>
        </w:rPr>
        <w:t>s</w:t>
      </w:r>
      <w:r>
        <w:rPr>
          <w:rFonts w:ascii="Times New Roman" w:hAnsi="Times New Roman"/>
          <w:i/>
          <w:spacing w:val="8"/>
          <w:sz w:val="32"/>
        </w:rPr>
        <w:t> </w:t>
      </w:r>
      <w:r>
        <w:rPr>
          <w:rFonts w:ascii="Times New Roman" w:hAnsi="Times New Roman"/>
          <w:i/>
          <w:w w:val="68"/>
          <w:sz w:val="32"/>
        </w:rPr>
        <w:t>erro</w:t>
      </w:r>
      <w:r>
        <w:rPr>
          <w:rFonts w:ascii="Times New Roman" w:hAnsi="Times New Roman"/>
          <w:i/>
          <w:w w:val="73"/>
          <w:sz w:val="32"/>
        </w:rPr>
        <w:t>re</w:t>
      </w:r>
      <w:r>
        <w:rPr>
          <w:rFonts w:ascii="Times New Roman" w:hAnsi="Times New Roman"/>
          <w:i/>
          <w:spacing w:val="1"/>
          <w:w w:val="73"/>
          <w:sz w:val="32"/>
        </w:rPr>
        <w:t>s</w:t>
      </w:r>
      <w:r>
        <w:rPr>
          <w:rFonts w:ascii="Times New Roman" w:hAnsi="Times New Roman"/>
          <w:i/>
          <w:w w:val="99"/>
          <w:sz w:val="32"/>
        </w:rPr>
        <w:t>”.</w:t>
      </w:r>
      <w:r>
        <w:rPr>
          <w:rFonts w:ascii="Times New Roman" w:hAnsi="Times New Roman"/>
          <w:i/>
          <w:spacing w:val="13"/>
          <w:sz w:val="32"/>
        </w:rPr>
        <w:t> </w:t>
      </w:r>
      <w:r>
        <w:rPr>
          <w:rFonts w:ascii="Times New Roman" w:hAnsi="Times New Roman"/>
          <w:i/>
          <w:spacing w:val="-1"/>
          <w:w w:val="103"/>
          <w:sz w:val="32"/>
          <w:u w:val="single"/>
        </w:rPr>
        <w:t>A</w:t>
      </w:r>
      <w:r>
        <w:rPr>
          <w:rFonts w:ascii="Times New Roman" w:hAnsi="Times New Roman"/>
          <w:i/>
          <w:w w:val="72"/>
          <w:sz w:val="32"/>
          <w:u w:val="single"/>
        </w:rPr>
        <w:t>n</w:t>
      </w:r>
      <w:r>
        <w:rPr>
          <w:rFonts w:ascii="Times New Roman" w:hAnsi="Times New Roman"/>
          <w:i/>
          <w:w w:val="67"/>
          <w:sz w:val="32"/>
          <w:u w:val="single"/>
        </w:rPr>
        <w:t>o</w:t>
      </w:r>
      <w:r>
        <w:rPr>
          <w:rFonts w:ascii="Times New Roman" w:hAnsi="Times New Roman"/>
          <w:i/>
          <w:spacing w:val="1"/>
          <w:w w:val="67"/>
          <w:sz w:val="32"/>
          <w:u w:val="single"/>
        </w:rPr>
        <w:t>n</w:t>
      </w:r>
      <w:r>
        <w:rPr>
          <w:rFonts w:ascii="Times New Roman" w:hAnsi="Times New Roman"/>
          <w:i/>
          <w:spacing w:val="-1"/>
          <w:w w:val="82"/>
          <w:sz w:val="32"/>
          <w:u w:val="single"/>
        </w:rPr>
        <w:t>i</w:t>
      </w:r>
      <w:r>
        <w:rPr>
          <w:rFonts w:ascii="Times New Roman" w:hAnsi="Times New Roman"/>
          <w:i/>
          <w:spacing w:val="-1"/>
          <w:w w:val="76"/>
          <w:sz w:val="32"/>
          <w:u w:val="single"/>
        </w:rPr>
        <w:t>m</w:t>
      </w:r>
      <w:r>
        <w:rPr>
          <w:rFonts w:ascii="Times New Roman" w:hAnsi="Times New Roman"/>
          <w:i/>
          <w:spacing w:val="3"/>
          <w:w w:val="62"/>
          <w:sz w:val="32"/>
          <w:u w:val="single"/>
        </w:rPr>
        <w:t>o</w:t>
      </w:r>
      <w:r>
        <w:rPr>
          <w:rFonts w:ascii="Times New Roman" w:hAnsi="Times New Roman"/>
          <w:i/>
          <w:w w:val="132"/>
          <w:sz w:val="32"/>
        </w:rPr>
        <w:t>.</w:t>
      </w:r>
    </w:p>
    <w:p>
      <w:pPr>
        <w:pStyle w:val="BodyText"/>
        <w:spacing w:before="8"/>
        <w:rPr>
          <w:rFonts w:ascii="Times New Roman"/>
          <w:i/>
          <w:sz w:val="21"/>
        </w:rPr>
      </w:pPr>
    </w:p>
    <w:p>
      <w:pPr>
        <w:spacing w:before="33"/>
        <w:ind w:left="102" w:right="2220" w:firstLine="0"/>
        <w:jc w:val="left"/>
        <w:rPr>
          <w:rFonts w:ascii="Times New Roman" w:hAnsi="Times New Roman"/>
          <w:i/>
          <w:sz w:val="32"/>
        </w:rPr>
      </w:pPr>
      <w:r>
        <w:rPr>
          <w:rFonts w:ascii="Times New Roman" w:hAnsi="Times New Roman"/>
          <w:i/>
          <w:w w:val="105"/>
          <w:sz w:val="32"/>
        </w:rPr>
        <w:t>A ELISA MARTÍNEZ CRUZ</w:t>
      </w:r>
    </w:p>
    <w:p>
      <w:pPr>
        <w:spacing w:line="424" w:lineRule="auto" w:before="285"/>
        <w:ind w:left="102" w:right="4444" w:firstLine="0"/>
        <w:jc w:val="left"/>
        <w:rPr>
          <w:rFonts w:ascii="Times New Roman" w:hAnsi="Times New Roman"/>
          <w:i/>
          <w:sz w:val="32"/>
        </w:rPr>
      </w:pPr>
      <w:r>
        <w:rPr>
          <w:rFonts w:ascii="Times New Roman" w:hAnsi="Times New Roman"/>
          <w:i/>
          <w:w w:val="80"/>
          <w:sz w:val="32"/>
        </w:rPr>
        <w:t>Por todo su apoyo, paciencia, experiencias, </w:t>
      </w:r>
      <w:r>
        <w:rPr>
          <w:rFonts w:ascii="Times New Roman" w:hAnsi="Times New Roman"/>
          <w:i/>
          <w:w w:val="80"/>
          <w:sz w:val="32"/>
        </w:rPr>
        <w:t>cariño, pero sobre todo, por regalarme su</w:t>
      </w:r>
    </w:p>
    <w:p>
      <w:pPr>
        <w:tabs>
          <w:tab w:pos="5937" w:val="left" w:leader="none"/>
        </w:tabs>
        <w:spacing w:line="424" w:lineRule="auto" w:before="12"/>
        <w:ind w:left="5032" w:right="119" w:hanging="4931"/>
        <w:jc w:val="both"/>
        <w:rPr>
          <w:rFonts w:ascii="Times New Roman" w:hAnsi="Times New Roman"/>
          <w:i/>
          <w:sz w:val="32"/>
        </w:rPr>
      </w:pPr>
      <w:r>
        <w:rPr>
          <w:rFonts w:ascii="Times New Roman" w:hAnsi="Times New Roman"/>
          <w:i/>
          <w:w w:val="90"/>
          <w:sz w:val="32"/>
        </w:rPr>
        <w:t>maravillosa</w:t>
      </w:r>
      <w:r>
        <w:rPr>
          <w:rFonts w:ascii="Times New Roman" w:hAnsi="Times New Roman"/>
          <w:i/>
          <w:spacing w:val="9"/>
          <w:w w:val="90"/>
          <w:sz w:val="32"/>
        </w:rPr>
        <w:t> </w:t>
      </w:r>
      <w:r>
        <w:rPr>
          <w:rFonts w:ascii="Times New Roman" w:hAnsi="Times New Roman"/>
          <w:i/>
          <w:w w:val="90"/>
          <w:sz w:val="32"/>
        </w:rPr>
        <w:t>amistad…GRACIAS.</w:t>
        <w:tab/>
        <w:tab/>
      </w:r>
      <w:r>
        <w:rPr>
          <w:rFonts w:ascii="Times New Roman" w:hAnsi="Times New Roman"/>
          <w:i/>
          <w:w w:val="95"/>
          <w:sz w:val="32"/>
        </w:rPr>
        <w:t>A </w:t>
      </w:r>
      <w:r>
        <w:rPr>
          <w:rFonts w:ascii="Times New Roman" w:hAnsi="Times New Roman"/>
          <w:i/>
          <w:spacing w:val="59"/>
          <w:w w:val="95"/>
          <w:sz w:val="32"/>
        </w:rPr>
        <w:t> </w:t>
      </w:r>
      <w:r>
        <w:rPr>
          <w:rFonts w:ascii="Times New Roman" w:hAnsi="Times New Roman"/>
          <w:i/>
          <w:w w:val="95"/>
          <w:sz w:val="32"/>
        </w:rPr>
        <w:t>SUSANITA </w:t>
      </w:r>
      <w:r>
        <w:rPr>
          <w:rFonts w:ascii="Times New Roman" w:hAnsi="Times New Roman"/>
          <w:i/>
          <w:spacing w:val="59"/>
          <w:w w:val="95"/>
          <w:sz w:val="32"/>
        </w:rPr>
        <w:t> </w:t>
      </w:r>
      <w:r>
        <w:rPr>
          <w:rFonts w:ascii="Times New Roman" w:hAnsi="Times New Roman"/>
          <w:i/>
          <w:w w:val="95"/>
          <w:sz w:val="32"/>
        </w:rPr>
        <w:t>SOUSA</w:t>
      </w:r>
      <w:r>
        <w:rPr>
          <w:rFonts w:ascii="Times New Roman" w:hAnsi="Times New Roman"/>
          <w:i/>
          <w:w w:val="115"/>
          <w:sz w:val="32"/>
        </w:rPr>
        <w:t> </w:t>
      </w:r>
      <w:r>
        <w:rPr>
          <w:rFonts w:ascii="Times New Roman" w:hAnsi="Times New Roman"/>
          <w:i/>
          <w:w w:val="80"/>
          <w:sz w:val="32"/>
        </w:rPr>
        <w:t>Por todo su apoyo para la</w:t>
      </w:r>
      <w:r>
        <w:rPr>
          <w:rFonts w:ascii="Times New Roman" w:hAnsi="Times New Roman"/>
          <w:i/>
          <w:spacing w:val="-10"/>
          <w:w w:val="80"/>
          <w:sz w:val="32"/>
        </w:rPr>
        <w:t> </w:t>
      </w:r>
      <w:r>
        <w:rPr>
          <w:rFonts w:ascii="Times New Roman" w:hAnsi="Times New Roman"/>
          <w:i/>
          <w:w w:val="80"/>
          <w:sz w:val="32"/>
        </w:rPr>
        <w:t>realización del</w:t>
      </w:r>
      <w:r>
        <w:rPr>
          <w:rFonts w:ascii="Times New Roman" w:hAnsi="Times New Roman"/>
          <w:i/>
          <w:spacing w:val="-34"/>
          <w:w w:val="80"/>
          <w:sz w:val="32"/>
        </w:rPr>
        <w:t> </w:t>
      </w:r>
      <w:r>
        <w:rPr>
          <w:rFonts w:ascii="Times New Roman" w:hAnsi="Times New Roman"/>
          <w:i/>
          <w:w w:val="80"/>
          <w:sz w:val="32"/>
        </w:rPr>
        <w:t>presente</w:t>
      </w:r>
      <w:r>
        <w:rPr>
          <w:rFonts w:ascii="Times New Roman" w:hAnsi="Times New Roman"/>
          <w:i/>
          <w:spacing w:val="-34"/>
          <w:w w:val="80"/>
          <w:sz w:val="32"/>
        </w:rPr>
        <w:t> </w:t>
      </w:r>
      <w:r>
        <w:rPr>
          <w:rFonts w:ascii="Times New Roman" w:hAnsi="Times New Roman"/>
          <w:i/>
          <w:w w:val="80"/>
          <w:sz w:val="32"/>
        </w:rPr>
        <w:t>proyecto</w:t>
      </w:r>
      <w:r>
        <w:rPr>
          <w:rFonts w:ascii="Times New Roman" w:hAnsi="Times New Roman"/>
          <w:i/>
          <w:spacing w:val="-35"/>
          <w:w w:val="80"/>
          <w:sz w:val="32"/>
        </w:rPr>
        <w:t> </w:t>
      </w:r>
      <w:r>
        <w:rPr>
          <w:rFonts w:ascii="Times New Roman" w:hAnsi="Times New Roman"/>
          <w:i/>
          <w:w w:val="80"/>
          <w:sz w:val="32"/>
        </w:rPr>
        <w:t>de</w:t>
      </w:r>
      <w:r>
        <w:rPr>
          <w:rFonts w:ascii="Times New Roman" w:hAnsi="Times New Roman"/>
          <w:i/>
          <w:spacing w:val="-34"/>
          <w:w w:val="80"/>
          <w:sz w:val="32"/>
        </w:rPr>
        <w:t> </w:t>
      </w:r>
      <w:r>
        <w:rPr>
          <w:rFonts w:ascii="Times New Roman" w:hAnsi="Times New Roman"/>
          <w:i/>
          <w:w w:val="80"/>
          <w:sz w:val="32"/>
        </w:rPr>
        <w:t>investigación.</w:t>
      </w:r>
    </w:p>
    <w:p>
      <w:pPr>
        <w:spacing w:before="10"/>
        <w:ind w:left="102" w:right="2220" w:firstLine="0"/>
        <w:jc w:val="left"/>
        <w:rPr>
          <w:rFonts w:ascii="Times New Roman"/>
          <w:i/>
          <w:sz w:val="32"/>
        </w:rPr>
      </w:pPr>
      <w:r>
        <w:rPr>
          <w:rFonts w:ascii="Times New Roman"/>
          <w:i/>
          <w:w w:val="105"/>
          <w:sz w:val="32"/>
        </w:rPr>
        <w:t>A MIS</w:t>
      </w:r>
      <w:r>
        <w:rPr>
          <w:rFonts w:ascii="Times New Roman"/>
          <w:i/>
          <w:spacing w:val="50"/>
          <w:w w:val="105"/>
          <w:sz w:val="32"/>
        </w:rPr>
        <w:t> </w:t>
      </w:r>
      <w:r>
        <w:rPr>
          <w:rFonts w:ascii="Times New Roman"/>
          <w:i/>
          <w:w w:val="105"/>
          <w:sz w:val="32"/>
        </w:rPr>
        <w:t>MAESTROS</w:t>
      </w:r>
    </w:p>
    <w:p>
      <w:pPr>
        <w:spacing w:line="424" w:lineRule="auto" w:before="282"/>
        <w:ind w:left="5063" w:right="109" w:hanging="764"/>
        <w:jc w:val="left"/>
        <w:rPr>
          <w:rFonts w:ascii="Times New Roman" w:hAnsi="Times New Roman"/>
          <w:i/>
          <w:sz w:val="32"/>
        </w:rPr>
      </w:pPr>
      <w:r>
        <w:rPr>
          <w:rFonts w:ascii="Times New Roman" w:hAnsi="Times New Roman"/>
          <w:i/>
          <w:w w:val="85"/>
          <w:sz w:val="32"/>
        </w:rPr>
        <w:t>Por</w:t>
      </w:r>
      <w:r>
        <w:rPr>
          <w:rFonts w:ascii="Times New Roman" w:hAnsi="Times New Roman"/>
          <w:i/>
          <w:spacing w:val="-25"/>
          <w:w w:val="85"/>
          <w:sz w:val="32"/>
        </w:rPr>
        <w:t> </w:t>
      </w:r>
      <w:r>
        <w:rPr>
          <w:rFonts w:ascii="Times New Roman" w:hAnsi="Times New Roman"/>
          <w:i/>
          <w:w w:val="85"/>
          <w:sz w:val="32"/>
        </w:rPr>
        <w:t>su</w:t>
      </w:r>
      <w:r>
        <w:rPr>
          <w:rFonts w:ascii="Times New Roman" w:hAnsi="Times New Roman"/>
          <w:i/>
          <w:spacing w:val="-25"/>
          <w:w w:val="85"/>
          <w:sz w:val="32"/>
        </w:rPr>
        <w:t> </w:t>
      </w:r>
      <w:r>
        <w:rPr>
          <w:rFonts w:ascii="Times New Roman" w:hAnsi="Times New Roman"/>
          <w:i/>
          <w:w w:val="85"/>
          <w:sz w:val="32"/>
        </w:rPr>
        <w:t>esfuerzo,</w:t>
      </w:r>
      <w:r>
        <w:rPr>
          <w:rFonts w:ascii="Times New Roman" w:hAnsi="Times New Roman"/>
          <w:i/>
          <w:spacing w:val="-25"/>
          <w:w w:val="85"/>
          <w:sz w:val="32"/>
        </w:rPr>
        <w:t> </w:t>
      </w:r>
      <w:r>
        <w:rPr>
          <w:rFonts w:ascii="Times New Roman" w:hAnsi="Times New Roman"/>
          <w:i/>
          <w:w w:val="85"/>
          <w:sz w:val="32"/>
        </w:rPr>
        <w:t>paciencia,</w:t>
      </w:r>
      <w:r>
        <w:rPr>
          <w:rFonts w:ascii="Times New Roman" w:hAnsi="Times New Roman"/>
          <w:i/>
          <w:spacing w:val="-26"/>
          <w:w w:val="85"/>
          <w:sz w:val="32"/>
        </w:rPr>
        <w:t> </w:t>
      </w:r>
      <w:r>
        <w:rPr>
          <w:rFonts w:ascii="Times New Roman" w:hAnsi="Times New Roman"/>
          <w:i/>
          <w:w w:val="85"/>
          <w:sz w:val="32"/>
        </w:rPr>
        <w:t>valor</w:t>
      </w:r>
      <w:r>
        <w:rPr>
          <w:rFonts w:ascii="Times New Roman" w:hAnsi="Times New Roman"/>
          <w:i/>
          <w:spacing w:val="-25"/>
          <w:w w:val="85"/>
          <w:sz w:val="32"/>
        </w:rPr>
        <w:t> </w:t>
      </w:r>
      <w:r>
        <w:rPr>
          <w:rFonts w:ascii="Times New Roman" w:hAnsi="Times New Roman"/>
          <w:i/>
          <w:w w:val="85"/>
          <w:sz w:val="32"/>
        </w:rPr>
        <w:t>y</w:t>
      </w:r>
      <w:r>
        <w:rPr>
          <w:rFonts w:ascii="Times New Roman" w:hAnsi="Times New Roman"/>
          <w:i/>
          <w:spacing w:val="-25"/>
          <w:w w:val="85"/>
          <w:sz w:val="32"/>
        </w:rPr>
        <w:t> </w:t>
      </w:r>
      <w:r>
        <w:rPr>
          <w:rFonts w:ascii="Times New Roman" w:hAnsi="Times New Roman"/>
          <w:i/>
          <w:w w:val="85"/>
          <w:sz w:val="32"/>
        </w:rPr>
        <w:t>amistad. </w:t>
      </w:r>
      <w:r>
        <w:rPr>
          <w:rFonts w:ascii="Times New Roman" w:hAnsi="Times New Roman"/>
          <w:i/>
          <w:w w:val="80"/>
          <w:sz w:val="32"/>
        </w:rPr>
        <w:t>“Educar</w:t>
      </w:r>
      <w:r>
        <w:rPr>
          <w:rFonts w:ascii="Times New Roman" w:hAnsi="Times New Roman"/>
          <w:i/>
          <w:spacing w:val="-11"/>
          <w:w w:val="80"/>
          <w:sz w:val="32"/>
        </w:rPr>
        <w:t> </w:t>
      </w:r>
      <w:r>
        <w:rPr>
          <w:rFonts w:ascii="Times New Roman" w:hAnsi="Times New Roman"/>
          <w:i/>
          <w:w w:val="80"/>
          <w:sz w:val="32"/>
        </w:rPr>
        <w:t>es</w:t>
      </w:r>
      <w:r>
        <w:rPr>
          <w:rFonts w:ascii="Times New Roman" w:hAnsi="Times New Roman"/>
          <w:i/>
          <w:spacing w:val="-11"/>
          <w:w w:val="80"/>
          <w:sz w:val="32"/>
        </w:rPr>
        <w:t> </w:t>
      </w:r>
      <w:r>
        <w:rPr>
          <w:rFonts w:ascii="Times New Roman" w:hAnsi="Times New Roman"/>
          <w:i/>
          <w:w w:val="80"/>
          <w:sz w:val="32"/>
        </w:rPr>
        <w:t>depositar</w:t>
      </w:r>
      <w:r>
        <w:rPr>
          <w:rFonts w:ascii="Times New Roman" w:hAnsi="Times New Roman"/>
          <w:i/>
          <w:spacing w:val="-12"/>
          <w:w w:val="80"/>
          <w:sz w:val="32"/>
        </w:rPr>
        <w:t> </w:t>
      </w:r>
      <w:r>
        <w:rPr>
          <w:rFonts w:ascii="Times New Roman" w:hAnsi="Times New Roman"/>
          <w:i/>
          <w:w w:val="80"/>
          <w:sz w:val="32"/>
        </w:rPr>
        <w:t>en</w:t>
      </w:r>
      <w:r>
        <w:rPr>
          <w:rFonts w:ascii="Times New Roman" w:hAnsi="Times New Roman"/>
          <w:i/>
          <w:spacing w:val="-11"/>
          <w:w w:val="80"/>
          <w:sz w:val="32"/>
        </w:rPr>
        <w:t> </w:t>
      </w:r>
      <w:r>
        <w:rPr>
          <w:rFonts w:ascii="Times New Roman" w:hAnsi="Times New Roman"/>
          <w:i/>
          <w:w w:val="80"/>
          <w:sz w:val="32"/>
        </w:rPr>
        <w:t>cada</w:t>
      </w:r>
      <w:r>
        <w:rPr>
          <w:rFonts w:ascii="Times New Roman" w:hAnsi="Times New Roman"/>
          <w:i/>
          <w:spacing w:val="-12"/>
          <w:w w:val="80"/>
          <w:sz w:val="32"/>
        </w:rPr>
        <w:t> </w:t>
      </w:r>
      <w:r>
        <w:rPr>
          <w:rFonts w:ascii="Times New Roman" w:hAnsi="Times New Roman"/>
          <w:i/>
          <w:w w:val="80"/>
          <w:sz w:val="32"/>
        </w:rPr>
        <w:t>hombre</w:t>
      </w:r>
    </w:p>
    <w:p>
      <w:pPr>
        <w:spacing w:before="9"/>
        <w:ind w:left="3340" w:right="0" w:firstLine="0"/>
        <w:jc w:val="left"/>
        <w:rPr>
          <w:rFonts w:ascii="Times New Roman" w:hAnsi="Times New Roman"/>
          <w:i/>
          <w:sz w:val="32"/>
        </w:rPr>
      </w:pPr>
      <w:r>
        <w:rPr>
          <w:rFonts w:ascii="Times New Roman" w:hAnsi="Times New Roman"/>
          <w:i/>
          <w:w w:val="85"/>
          <w:sz w:val="32"/>
        </w:rPr>
        <w:t>toda</w:t>
      </w:r>
      <w:r>
        <w:rPr>
          <w:rFonts w:ascii="Times New Roman" w:hAnsi="Times New Roman"/>
          <w:i/>
          <w:spacing w:val="-35"/>
          <w:w w:val="85"/>
          <w:sz w:val="32"/>
        </w:rPr>
        <w:t> </w:t>
      </w:r>
      <w:r>
        <w:rPr>
          <w:rFonts w:ascii="Times New Roman" w:hAnsi="Times New Roman"/>
          <w:i/>
          <w:w w:val="85"/>
          <w:sz w:val="32"/>
        </w:rPr>
        <w:t>obra</w:t>
      </w:r>
      <w:r>
        <w:rPr>
          <w:rFonts w:ascii="Times New Roman" w:hAnsi="Times New Roman"/>
          <w:i/>
          <w:spacing w:val="-34"/>
          <w:w w:val="85"/>
          <w:sz w:val="32"/>
        </w:rPr>
        <w:t> </w:t>
      </w:r>
      <w:r>
        <w:rPr>
          <w:rFonts w:ascii="Times New Roman" w:hAnsi="Times New Roman"/>
          <w:i/>
          <w:w w:val="85"/>
          <w:sz w:val="32"/>
        </w:rPr>
        <w:t>humana</w:t>
      </w:r>
      <w:r>
        <w:rPr>
          <w:rFonts w:ascii="Times New Roman" w:hAnsi="Times New Roman"/>
          <w:i/>
          <w:spacing w:val="-35"/>
          <w:w w:val="85"/>
          <w:sz w:val="32"/>
        </w:rPr>
        <w:t> </w:t>
      </w:r>
      <w:r>
        <w:rPr>
          <w:rFonts w:ascii="Times New Roman" w:hAnsi="Times New Roman"/>
          <w:i/>
          <w:w w:val="85"/>
          <w:sz w:val="32"/>
        </w:rPr>
        <w:t>que</w:t>
      </w:r>
      <w:r>
        <w:rPr>
          <w:rFonts w:ascii="Times New Roman" w:hAnsi="Times New Roman"/>
          <w:i/>
          <w:spacing w:val="-35"/>
          <w:w w:val="85"/>
          <w:sz w:val="32"/>
        </w:rPr>
        <w:t> </w:t>
      </w:r>
      <w:r>
        <w:rPr>
          <w:rFonts w:ascii="Times New Roman" w:hAnsi="Times New Roman"/>
          <w:i/>
          <w:w w:val="85"/>
          <w:sz w:val="32"/>
        </w:rPr>
        <w:t>le</w:t>
      </w:r>
      <w:r>
        <w:rPr>
          <w:rFonts w:ascii="Times New Roman" w:hAnsi="Times New Roman"/>
          <w:i/>
          <w:spacing w:val="-35"/>
          <w:w w:val="85"/>
          <w:sz w:val="32"/>
        </w:rPr>
        <w:t> </w:t>
      </w:r>
      <w:r>
        <w:rPr>
          <w:rFonts w:ascii="Times New Roman" w:hAnsi="Times New Roman"/>
          <w:i/>
          <w:w w:val="85"/>
          <w:sz w:val="32"/>
        </w:rPr>
        <w:t>ha</w:t>
      </w:r>
      <w:r>
        <w:rPr>
          <w:rFonts w:ascii="Times New Roman" w:hAnsi="Times New Roman"/>
          <w:i/>
          <w:spacing w:val="-35"/>
          <w:w w:val="85"/>
          <w:sz w:val="32"/>
        </w:rPr>
        <w:t> </w:t>
      </w:r>
      <w:r>
        <w:rPr>
          <w:rFonts w:ascii="Times New Roman" w:hAnsi="Times New Roman"/>
          <w:i/>
          <w:w w:val="85"/>
          <w:sz w:val="32"/>
        </w:rPr>
        <w:t>antecedido”.</w:t>
      </w:r>
      <w:r>
        <w:rPr>
          <w:rFonts w:ascii="Times New Roman" w:hAnsi="Times New Roman"/>
          <w:i/>
          <w:spacing w:val="-34"/>
          <w:w w:val="85"/>
          <w:sz w:val="32"/>
        </w:rPr>
        <w:t> </w:t>
      </w:r>
      <w:r>
        <w:rPr>
          <w:rFonts w:ascii="Times New Roman" w:hAnsi="Times New Roman"/>
          <w:i/>
          <w:w w:val="85"/>
          <w:sz w:val="32"/>
          <w:u w:val="single"/>
        </w:rPr>
        <w:t>José</w:t>
      </w:r>
      <w:r>
        <w:rPr>
          <w:rFonts w:ascii="Times New Roman" w:hAnsi="Times New Roman"/>
          <w:i/>
          <w:spacing w:val="-34"/>
          <w:w w:val="85"/>
          <w:sz w:val="32"/>
          <w:u w:val="single"/>
        </w:rPr>
        <w:t> </w:t>
      </w:r>
      <w:r>
        <w:rPr>
          <w:rFonts w:ascii="Times New Roman" w:hAnsi="Times New Roman"/>
          <w:i/>
          <w:w w:val="85"/>
          <w:sz w:val="32"/>
          <w:u w:val="single"/>
        </w:rPr>
        <w:t>Martí.</w:t>
      </w:r>
    </w:p>
    <w:p>
      <w:pPr>
        <w:spacing w:after="0"/>
        <w:jc w:val="left"/>
        <w:rPr>
          <w:rFonts w:ascii="Times New Roman" w:hAnsi="Times New Roman"/>
          <w:sz w:val="32"/>
        </w:rPr>
        <w:sectPr>
          <w:pgSz w:w="12240" w:h="15840"/>
          <w:pgMar w:header="747" w:footer="0" w:top="940" w:bottom="280" w:left="1600" w:right="1580"/>
        </w:sectPr>
      </w:pPr>
    </w:p>
    <w:p>
      <w:pPr>
        <w:pStyle w:val="BodyText"/>
        <w:rPr>
          <w:rFonts w:ascii="Times New Roman"/>
          <w:i/>
          <w:sz w:val="20"/>
        </w:rPr>
      </w:pPr>
    </w:p>
    <w:p>
      <w:pPr>
        <w:pStyle w:val="BodyText"/>
        <w:spacing w:before="6"/>
        <w:rPr>
          <w:rFonts w:ascii="Times New Roman"/>
          <w:i/>
          <w:sz w:val="16"/>
        </w:rPr>
      </w:pPr>
    </w:p>
    <w:p>
      <w:pPr>
        <w:spacing w:before="33"/>
        <w:ind w:left="134" w:right="153" w:firstLine="0"/>
        <w:jc w:val="center"/>
        <w:rPr>
          <w:rFonts w:ascii="Times New Roman"/>
          <w:i/>
          <w:sz w:val="32"/>
        </w:rPr>
      </w:pPr>
      <w:r>
        <w:rPr>
          <w:rFonts w:ascii="Times New Roman"/>
          <w:i/>
          <w:sz w:val="32"/>
        </w:rPr>
        <w:t>AGRADECIMIENTOS</w:t>
      </w:r>
    </w:p>
    <w:p>
      <w:pPr>
        <w:spacing w:before="285"/>
        <w:ind w:left="102" w:right="2220" w:firstLine="0"/>
        <w:jc w:val="left"/>
        <w:rPr>
          <w:rFonts w:ascii="Times New Roman" w:hAnsi="Times New Roman"/>
          <w:i/>
          <w:sz w:val="32"/>
        </w:rPr>
      </w:pPr>
      <w:r>
        <w:rPr>
          <w:rFonts w:ascii="Times New Roman" w:hAnsi="Times New Roman"/>
          <w:i/>
          <w:w w:val="85"/>
          <w:sz w:val="32"/>
        </w:rPr>
        <w:t>Al Dr. Gonzalo Martínez Barrera</w:t>
      </w:r>
    </w:p>
    <w:p>
      <w:pPr>
        <w:spacing w:line="424" w:lineRule="auto" w:before="282"/>
        <w:ind w:left="2449" w:right="2470" w:hanging="5"/>
        <w:jc w:val="center"/>
        <w:rPr>
          <w:rFonts w:ascii="Times New Roman" w:hAnsi="Times New Roman"/>
          <w:i/>
          <w:sz w:val="32"/>
        </w:rPr>
      </w:pPr>
      <w:r>
        <w:rPr>
          <w:rFonts w:ascii="Times New Roman" w:hAnsi="Times New Roman"/>
          <w:i/>
          <w:w w:val="85"/>
          <w:sz w:val="32"/>
        </w:rPr>
        <w:t>Por</w:t>
      </w:r>
      <w:r>
        <w:rPr>
          <w:rFonts w:ascii="Times New Roman" w:hAnsi="Times New Roman"/>
          <w:i/>
          <w:spacing w:val="-32"/>
          <w:w w:val="85"/>
          <w:sz w:val="32"/>
        </w:rPr>
        <w:t> </w:t>
      </w:r>
      <w:r>
        <w:rPr>
          <w:rFonts w:ascii="Times New Roman" w:hAnsi="Times New Roman"/>
          <w:i/>
          <w:w w:val="85"/>
          <w:sz w:val="32"/>
        </w:rPr>
        <w:t>el</w:t>
      </w:r>
      <w:r>
        <w:rPr>
          <w:rFonts w:ascii="Times New Roman" w:hAnsi="Times New Roman"/>
          <w:i/>
          <w:spacing w:val="-33"/>
          <w:w w:val="85"/>
          <w:sz w:val="32"/>
        </w:rPr>
        <w:t> </w:t>
      </w:r>
      <w:r>
        <w:rPr>
          <w:rFonts w:ascii="Times New Roman" w:hAnsi="Times New Roman"/>
          <w:i/>
          <w:w w:val="85"/>
          <w:sz w:val="32"/>
        </w:rPr>
        <w:t>apoyo</w:t>
      </w:r>
      <w:r>
        <w:rPr>
          <w:rFonts w:ascii="Times New Roman" w:hAnsi="Times New Roman"/>
          <w:i/>
          <w:spacing w:val="-33"/>
          <w:w w:val="85"/>
          <w:sz w:val="32"/>
        </w:rPr>
        <w:t> </w:t>
      </w:r>
      <w:r>
        <w:rPr>
          <w:rFonts w:ascii="Times New Roman" w:hAnsi="Times New Roman"/>
          <w:i/>
          <w:w w:val="85"/>
          <w:sz w:val="32"/>
        </w:rPr>
        <w:t>y</w:t>
      </w:r>
      <w:r>
        <w:rPr>
          <w:rFonts w:ascii="Times New Roman" w:hAnsi="Times New Roman"/>
          <w:i/>
          <w:spacing w:val="-33"/>
          <w:w w:val="85"/>
          <w:sz w:val="32"/>
        </w:rPr>
        <w:t> </w:t>
      </w:r>
      <w:r>
        <w:rPr>
          <w:rFonts w:ascii="Times New Roman" w:hAnsi="Times New Roman"/>
          <w:i/>
          <w:w w:val="85"/>
          <w:sz w:val="32"/>
        </w:rPr>
        <w:t>la</w:t>
      </w:r>
      <w:r>
        <w:rPr>
          <w:rFonts w:ascii="Times New Roman" w:hAnsi="Times New Roman"/>
          <w:i/>
          <w:spacing w:val="-33"/>
          <w:w w:val="85"/>
          <w:sz w:val="32"/>
        </w:rPr>
        <w:t> </w:t>
      </w:r>
      <w:r>
        <w:rPr>
          <w:rFonts w:ascii="Times New Roman" w:hAnsi="Times New Roman"/>
          <w:i/>
          <w:w w:val="85"/>
          <w:sz w:val="32"/>
        </w:rPr>
        <w:t>confianza</w:t>
      </w:r>
      <w:r>
        <w:rPr>
          <w:rFonts w:ascii="Times New Roman" w:hAnsi="Times New Roman"/>
          <w:i/>
          <w:spacing w:val="-33"/>
          <w:w w:val="85"/>
          <w:sz w:val="32"/>
        </w:rPr>
        <w:t> </w:t>
      </w:r>
      <w:r>
        <w:rPr>
          <w:rFonts w:ascii="Times New Roman" w:hAnsi="Times New Roman"/>
          <w:i/>
          <w:w w:val="85"/>
          <w:sz w:val="32"/>
        </w:rPr>
        <w:t>depositada </w:t>
      </w:r>
      <w:r>
        <w:rPr>
          <w:rFonts w:ascii="Times New Roman" w:hAnsi="Times New Roman"/>
          <w:i/>
          <w:w w:val="80"/>
          <w:sz w:val="32"/>
        </w:rPr>
        <w:t>para la realización del presente</w:t>
      </w:r>
      <w:r>
        <w:rPr>
          <w:rFonts w:ascii="Times New Roman" w:hAnsi="Times New Roman"/>
          <w:i/>
          <w:spacing w:val="-19"/>
          <w:w w:val="80"/>
          <w:sz w:val="32"/>
        </w:rPr>
        <w:t> </w:t>
      </w:r>
      <w:r>
        <w:rPr>
          <w:rFonts w:ascii="Times New Roman" w:hAnsi="Times New Roman"/>
          <w:i/>
          <w:w w:val="80"/>
          <w:sz w:val="32"/>
        </w:rPr>
        <w:t>trabajo.</w:t>
      </w:r>
    </w:p>
    <w:p>
      <w:pPr>
        <w:pStyle w:val="BodyText"/>
        <w:rPr>
          <w:rFonts w:ascii="Times New Roman"/>
          <w:i/>
          <w:sz w:val="32"/>
        </w:rPr>
      </w:pPr>
    </w:p>
    <w:p>
      <w:pPr>
        <w:pStyle w:val="BodyText"/>
        <w:spacing w:before="4"/>
        <w:rPr>
          <w:rFonts w:ascii="Times New Roman"/>
          <w:i/>
          <w:sz w:val="25"/>
        </w:rPr>
      </w:pPr>
    </w:p>
    <w:p>
      <w:pPr>
        <w:spacing w:before="0"/>
        <w:ind w:left="102" w:right="2220" w:firstLine="0"/>
        <w:jc w:val="left"/>
        <w:rPr>
          <w:rFonts w:ascii="Times New Roman"/>
          <w:i/>
          <w:sz w:val="32"/>
        </w:rPr>
      </w:pPr>
      <w:r>
        <w:rPr>
          <w:rFonts w:ascii="Times New Roman"/>
          <w:i/>
          <w:w w:val="85"/>
          <w:sz w:val="32"/>
        </w:rPr>
        <w:t>Al Dr. Antonio Torres Marquez y su equipo de trabajo</w:t>
      </w:r>
    </w:p>
    <w:p>
      <w:pPr>
        <w:spacing w:line="424" w:lineRule="auto" w:before="285"/>
        <w:ind w:left="2449" w:right="2220" w:firstLine="520"/>
        <w:jc w:val="left"/>
        <w:rPr>
          <w:rFonts w:ascii="Times New Roman" w:hAnsi="Times New Roman"/>
          <w:i/>
          <w:sz w:val="32"/>
        </w:rPr>
      </w:pPr>
      <w:r>
        <w:rPr>
          <w:rFonts w:ascii="Times New Roman" w:hAnsi="Times New Roman"/>
          <w:i/>
          <w:w w:val="90"/>
          <w:sz w:val="32"/>
        </w:rPr>
        <w:t>Por las facilidades brindadas </w:t>
      </w:r>
      <w:r>
        <w:rPr>
          <w:rFonts w:ascii="Times New Roman" w:hAnsi="Times New Roman"/>
          <w:i/>
          <w:w w:val="80"/>
          <w:sz w:val="32"/>
        </w:rPr>
        <w:t>para la realización del presente trabajo.</w:t>
      </w:r>
    </w:p>
    <w:p>
      <w:pPr>
        <w:pStyle w:val="BodyText"/>
        <w:rPr>
          <w:rFonts w:ascii="Times New Roman"/>
          <w:i/>
          <w:sz w:val="32"/>
        </w:rPr>
      </w:pPr>
    </w:p>
    <w:p>
      <w:pPr>
        <w:pStyle w:val="BodyText"/>
        <w:spacing w:before="6"/>
        <w:rPr>
          <w:rFonts w:ascii="Times New Roman"/>
          <w:i/>
          <w:sz w:val="25"/>
        </w:rPr>
      </w:pPr>
    </w:p>
    <w:p>
      <w:pPr>
        <w:spacing w:before="1"/>
        <w:ind w:left="102" w:right="2220" w:firstLine="0"/>
        <w:jc w:val="left"/>
        <w:rPr>
          <w:rFonts w:ascii="Times New Roman"/>
          <w:i/>
          <w:sz w:val="32"/>
        </w:rPr>
      </w:pPr>
      <w:r>
        <w:rPr>
          <w:rFonts w:ascii="Times New Roman"/>
          <w:i/>
          <w:w w:val="85"/>
          <w:sz w:val="32"/>
        </w:rPr>
        <w:t>Al jurado</w:t>
      </w:r>
    </w:p>
    <w:p>
      <w:pPr>
        <w:spacing w:before="282"/>
        <w:ind w:left="132" w:right="153" w:firstLine="0"/>
        <w:jc w:val="center"/>
        <w:rPr>
          <w:rFonts w:ascii="Times New Roman"/>
          <w:i/>
          <w:sz w:val="32"/>
        </w:rPr>
      </w:pPr>
      <w:r>
        <w:rPr>
          <w:rFonts w:ascii="Times New Roman"/>
          <w:i/>
          <w:w w:val="80"/>
          <w:sz w:val="32"/>
        </w:rPr>
        <w:t>Ppor el apoyo, consejos, acertadas observaciones</w:t>
      </w:r>
    </w:p>
    <w:p>
      <w:pPr>
        <w:spacing w:before="285"/>
        <w:ind w:left="131" w:right="153" w:firstLine="0"/>
        <w:jc w:val="center"/>
        <w:rPr>
          <w:rFonts w:ascii="Times New Roman" w:hAnsi="Times New Roman"/>
          <w:i/>
          <w:sz w:val="32"/>
        </w:rPr>
      </w:pPr>
      <w:r>
        <w:rPr>
          <w:rFonts w:ascii="Times New Roman" w:hAnsi="Times New Roman"/>
          <w:i/>
          <w:w w:val="80"/>
          <w:sz w:val="32"/>
        </w:rPr>
        <w:t>y facilidades para la realización del presente trabajo.</w:t>
      </w:r>
    </w:p>
    <w:p>
      <w:pPr>
        <w:spacing w:after="0"/>
        <w:jc w:val="center"/>
        <w:rPr>
          <w:rFonts w:ascii="Times New Roman" w:hAnsi="Times New Roman"/>
          <w:sz w:val="32"/>
        </w:rPr>
        <w:sectPr>
          <w:pgSz w:w="12240" w:h="15840"/>
          <w:pgMar w:header="747" w:footer="0" w:top="940" w:bottom="280" w:left="1600" w:right="1580"/>
        </w:sectPr>
      </w:pPr>
    </w:p>
    <w:p>
      <w:pPr>
        <w:pStyle w:val="BodyText"/>
        <w:rPr>
          <w:rFonts w:ascii="Times New Roman"/>
          <w:i/>
          <w:sz w:val="20"/>
        </w:rPr>
      </w:pPr>
    </w:p>
    <w:p>
      <w:pPr>
        <w:pStyle w:val="BodyText"/>
        <w:spacing w:before="6"/>
        <w:rPr>
          <w:rFonts w:ascii="Times New Roman"/>
          <w:i/>
          <w:sz w:val="20"/>
        </w:rPr>
      </w:pPr>
    </w:p>
    <w:p>
      <w:pPr>
        <w:pStyle w:val="Heading2"/>
        <w:ind w:left="4292" w:right="4173"/>
        <w:jc w:val="center"/>
      </w:pPr>
      <w:r>
        <w:rPr/>
        <w:t>ÍNDICE</w:t>
      </w:r>
    </w:p>
    <w:p>
      <w:pPr>
        <w:pStyle w:val="BodyText"/>
        <w:rPr>
          <w:b/>
          <w:sz w:val="20"/>
        </w:rPr>
      </w:pPr>
    </w:p>
    <w:p>
      <w:pPr>
        <w:pStyle w:val="BodyText"/>
        <w:rPr>
          <w:b/>
          <w:sz w:val="14"/>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07"/>
        <w:gridCol w:w="1302"/>
      </w:tblGrid>
      <w:tr>
        <w:trPr>
          <w:trHeight w:val="278" w:hRule="exact"/>
        </w:trPr>
        <w:tc>
          <w:tcPr>
            <w:tcW w:w="7807" w:type="dxa"/>
          </w:tcPr>
          <w:p>
            <w:pPr/>
          </w:p>
        </w:tc>
        <w:tc>
          <w:tcPr>
            <w:tcW w:w="1302" w:type="dxa"/>
          </w:tcPr>
          <w:p>
            <w:pPr>
              <w:pStyle w:val="TableParagraph"/>
              <w:spacing w:line="245" w:lineRule="exact" w:before="0"/>
              <w:ind w:left="334" w:right="180"/>
              <w:jc w:val="center"/>
              <w:rPr>
                <w:sz w:val="24"/>
              </w:rPr>
            </w:pPr>
            <w:r>
              <w:rPr>
                <w:sz w:val="24"/>
              </w:rPr>
              <w:t>Página</w:t>
            </w:r>
          </w:p>
        </w:tc>
      </w:tr>
      <w:tr>
        <w:trPr>
          <w:trHeight w:val="476" w:hRule="exact"/>
        </w:trPr>
        <w:tc>
          <w:tcPr>
            <w:tcW w:w="7807" w:type="dxa"/>
          </w:tcPr>
          <w:p>
            <w:pPr>
              <w:pStyle w:val="TableParagraph"/>
              <w:ind w:left="200"/>
              <w:rPr>
                <w:b/>
                <w:sz w:val="24"/>
              </w:rPr>
            </w:pPr>
            <w:r>
              <w:rPr>
                <w:b/>
                <w:sz w:val="24"/>
              </w:rPr>
              <w:t>Resumen</w:t>
            </w:r>
          </w:p>
        </w:tc>
        <w:tc>
          <w:tcPr>
            <w:tcW w:w="1302" w:type="dxa"/>
          </w:tcPr>
          <w:p>
            <w:pPr>
              <w:pStyle w:val="TableParagraph"/>
              <w:ind w:left="151"/>
              <w:jc w:val="center"/>
              <w:rPr>
                <w:sz w:val="24"/>
              </w:rPr>
            </w:pPr>
            <w:r>
              <w:rPr>
                <w:w w:val="99"/>
                <w:sz w:val="24"/>
              </w:rPr>
              <w:t>9</w:t>
            </w:r>
          </w:p>
        </w:tc>
      </w:tr>
      <w:tr>
        <w:trPr>
          <w:trHeight w:val="476" w:hRule="exact"/>
        </w:trPr>
        <w:tc>
          <w:tcPr>
            <w:tcW w:w="7807" w:type="dxa"/>
          </w:tcPr>
          <w:p>
            <w:pPr>
              <w:pStyle w:val="TableParagraph"/>
              <w:spacing w:before="167"/>
              <w:ind w:left="200"/>
              <w:rPr>
                <w:b/>
                <w:sz w:val="24"/>
              </w:rPr>
            </w:pPr>
            <w:r>
              <w:rPr>
                <w:b/>
                <w:sz w:val="24"/>
              </w:rPr>
              <w:t>Capítulo 1. ANTECEDENTES</w:t>
            </w:r>
          </w:p>
        </w:tc>
        <w:tc>
          <w:tcPr>
            <w:tcW w:w="1302" w:type="dxa"/>
          </w:tcPr>
          <w:p>
            <w:pPr>
              <w:pStyle w:val="TableParagraph"/>
              <w:spacing w:before="167"/>
              <w:ind w:left="334" w:right="178"/>
              <w:jc w:val="center"/>
              <w:rPr>
                <w:sz w:val="24"/>
              </w:rPr>
            </w:pPr>
            <w:r>
              <w:rPr>
                <w:sz w:val="24"/>
              </w:rPr>
              <w:t>12</w:t>
            </w:r>
          </w:p>
        </w:tc>
      </w:tr>
      <w:tr>
        <w:trPr>
          <w:trHeight w:val="317" w:hRule="exact"/>
        </w:trPr>
        <w:tc>
          <w:tcPr>
            <w:tcW w:w="7807" w:type="dxa"/>
          </w:tcPr>
          <w:p>
            <w:pPr>
              <w:pStyle w:val="TableParagraph"/>
              <w:ind w:left="200"/>
              <w:rPr>
                <w:sz w:val="24"/>
              </w:rPr>
            </w:pPr>
            <w:r>
              <w:rPr>
                <w:sz w:val="24"/>
              </w:rPr>
              <w:t>1.1 Introducción.</w:t>
            </w:r>
          </w:p>
        </w:tc>
        <w:tc>
          <w:tcPr>
            <w:tcW w:w="1302" w:type="dxa"/>
          </w:tcPr>
          <w:p>
            <w:pPr>
              <w:pStyle w:val="TableParagraph"/>
              <w:ind w:left="334" w:right="178"/>
              <w:jc w:val="center"/>
              <w:rPr>
                <w:sz w:val="24"/>
              </w:rPr>
            </w:pPr>
            <w:r>
              <w:rPr>
                <w:sz w:val="24"/>
              </w:rPr>
              <w:t>13</w:t>
            </w:r>
          </w:p>
        </w:tc>
      </w:tr>
      <w:tr>
        <w:trPr>
          <w:trHeight w:val="317" w:hRule="exact"/>
        </w:trPr>
        <w:tc>
          <w:tcPr>
            <w:tcW w:w="7807" w:type="dxa"/>
          </w:tcPr>
          <w:p>
            <w:pPr>
              <w:pStyle w:val="TableParagraph"/>
              <w:ind w:left="200"/>
              <w:rPr>
                <w:sz w:val="24"/>
              </w:rPr>
            </w:pPr>
            <w:r>
              <w:rPr>
                <w:sz w:val="24"/>
              </w:rPr>
              <w:t>1.2 Concreto Polimérico</w:t>
            </w:r>
          </w:p>
        </w:tc>
        <w:tc>
          <w:tcPr>
            <w:tcW w:w="1302" w:type="dxa"/>
          </w:tcPr>
          <w:p>
            <w:pPr>
              <w:pStyle w:val="TableParagraph"/>
              <w:ind w:left="334" w:right="178"/>
              <w:jc w:val="center"/>
              <w:rPr>
                <w:sz w:val="24"/>
              </w:rPr>
            </w:pPr>
            <w:r>
              <w:rPr>
                <w:sz w:val="24"/>
              </w:rPr>
              <w:t>13</w:t>
            </w:r>
          </w:p>
        </w:tc>
      </w:tr>
      <w:tr>
        <w:trPr>
          <w:trHeight w:val="318" w:hRule="exact"/>
        </w:trPr>
        <w:tc>
          <w:tcPr>
            <w:tcW w:w="7807" w:type="dxa"/>
          </w:tcPr>
          <w:p>
            <w:pPr>
              <w:pStyle w:val="TableParagraph"/>
              <w:ind w:left="200"/>
              <w:rPr>
                <w:sz w:val="24"/>
              </w:rPr>
            </w:pPr>
            <w:r>
              <w:rPr>
                <w:sz w:val="24"/>
              </w:rPr>
              <w:t>1.3 Concreto reforzado con fibras</w:t>
            </w:r>
          </w:p>
        </w:tc>
        <w:tc>
          <w:tcPr>
            <w:tcW w:w="1302" w:type="dxa"/>
          </w:tcPr>
          <w:p>
            <w:pPr>
              <w:pStyle w:val="TableParagraph"/>
              <w:ind w:left="334" w:right="178"/>
              <w:jc w:val="center"/>
              <w:rPr>
                <w:sz w:val="24"/>
              </w:rPr>
            </w:pPr>
            <w:r>
              <w:rPr>
                <w:sz w:val="24"/>
              </w:rPr>
              <w:t>15</w:t>
            </w:r>
          </w:p>
        </w:tc>
      </w:tr>
      <w:tr>
        <w:trPr>
          <w:trHeight w:val="318" w:hRule="exact"/>
        </w:trPr>
        <w:tc>
          <w:tcPr>
            <w:tcW w:w="7807" w:type="dxa"/>
          </w:tcPr>
          <w:p>
            <w:pPr>
              <w:pStyle w:val="TableParagraph"/>
              <w:spacing w:before="9"/>
              <w:ind w:left="200"/>
              <w:rPr>
                <w:sz w:val="24"/>
              </w:rPr>
            </w:pPr>
            <w:r>
              <w:rPr>
                <w:sz w:val="24"/>
              </w:rPr>
              <w:t>1.4 Resina de poliéster insaturado</w:t>
            </w:r>
          </w:p>
        </w:tc>
        <w:tc>
          <w:tcPr>
            <w:tcW w:w="1302" w:type="dxa"/>
          </w:tcPr>
          <w:p>
            <w:pPr>
              <w:pStyle w:val="TableParagraph"/>
              <w:spacing w:before="9"/>
              <w:ind w:left="334" w:right="179"/>
              <w:jc w:val="center"/>
              <w:rPr>
                <w:sz w:val="24"/>
              </w:rPr>
            </w:pPr>
            <w:r>
              <w:rPr>
                <w:sz w:val="24"/>
              </w:rPr>
              <w:t>17</w:t>
            </w:r>
          </w:p>
        </w:tc>
      </w:tr>
      <w:tr>
        <w:trPr>
          <w:trHeight w:val="317" w:hRule="exact"/>
        </w:trPr>
        <w:tc>
          <w:tcPr>
            <w:tcW w:w="7807" w:type="dxa"/>
          </w:tcPr>
          <w:p>
            <w:pPr>
              <w:pStyle w:val="TableParagraph"/>
              <w:ind w:left="200"/>
              <w:rPr>
                <w:sz w:val="24"/>
              </w:rPr>
            </w:pPr>
            <w:r>
              <w:rPr>
                <w:sz w:val="24"/>
              </w:rPr>
              <w:t>1.5 Fibras de Luffa</w:t>
            </w:r>
          </w:p>
        </w:tc>
        <w:tc>
          <w:tcPr>
            <w:tcW w:w="1302" w:type="dxa"/>
          </w:tcPr>
          <w:p>
            <w:pPr>
              <w:pStyle w:val="TableParagraph"/>
              <w:ind w:left="334" w:right="178"/>
              <w:jc w:val="center"/>
              <w:rPr>
                <w:sz w:val="24"/>
              </w:rPr>
            </w:pPr>
            <w:r>
              <w:rPr>
                <w:sz w:val="24"/>
              </w:rPr>
              <w:t>19</w:t>
            </w:r>
          </w:p>
        </w:tc>
      </w:tr>
      <w:tr>
        <w:trPr>
          <w:trHeight w:val="317" w:hRule="exact"/>
        </w:trPr>
        <w:tc>
          <w:tcPr>
            <w:tcW w:w="7807" w:type="dxa"/>
          </w:tcPr>
          <w:p>
            <w:pPr>
              <w:pStyle w:val="TableParagraph"/>
              <w:spacing w:before="8"/>
              <w:ind w:left="200"/>
              <w:rPr>
                <w:sz w:val="24"/>
              </w:rPr>
            </w:pPr>
            <w:r>
              <w:rPr>
                <w:sz w:val="24"/>
              </w:rPr>
              <w:t>1.6 Radiación gamma</w:t>
            </w:r>
          </w:p>
        </w:tc>
        <w:tc>
          <w:tcPr>
            <w:tcW w:w="1302" w:type="dxa"/>
          </w:tcPr>
          <w:p>
            <w:pPr>
              <w:pStyle w:val="TableParagraph"/>
              <w:spacing w:before="8"/>
              <w:ind w:left="334" w:right="178"/>
              <w:jc w:val="center"/>
              <w:rPr>
                <w:sz w:val="24"/>
              </w:rPr>
            </w:pPr>
            <w:r>
              <w:rPr>
                <w:sz w:val="24"/>
              </w:rPr>
              <w:t>21</w:t>
            </w:r>
          </w:p>
        </w:tc>
      </w:tr>
      <w:tr>
        <w:trPr>
          <w:trHeight w:val="318" w:hRule="exact"/>
        </w:trPr>
        <w:tc>
          <w:tcPr>
            <w:tcW w:w="7807" w:type="dxa"/>
          </w:tcPr>
          <w:p>
            <w:pPr>
              <w:pStyle w:val="TableParagraph"/>
              <w:ind w:left="200"/>
              <w:rPr>
                <w:sz w:val="24"/>
              </w:rPr>
            </w:pPr>
            <w:r>
              <w:rPr>
                <w:sz w:val="24"/>
              </w:rPr>
              <w:t>1.7 Propiedades de resistencia en compresión y en flexión</w:t>
            </w:r>
          </w:p>
        </w:tc>
        <w:tc>
          <w:tcPr>
            <w:tcW w:w="1302" w:type="dxa"/>
          </w:tcPr>
          <w:p>
            <w:pPr>
              <w:pStyle w:val="TableParagraph"/>
              <w:ind w:left="334" w:right="178"/>
              <w:jc w:val="center"/>
              <w:rPr>
                <w:sz w:val="24"/>
              </w:rPr>
            </w:pPr>
            <w:r>
              <w:rPr>
                <w:sz w:val="24"/>
              </w:rPr>
              <w:t>25</w:t>
            </w:r>
          </w:p>
        </w:tc>
      </w:tr>
      <w:tr>
        <w:trPr>
          <w:trHeight w:val="318" w:hRule="exact"/>
        </w:trPr>
        <w:tc>
          <w:tcPr>
            <w:tcW w:w="7807" w:type="dxa"/>
          </w:tcPr>
          <w:p>
            <w:pPr>
              <w:pStyle w:val="TableParagraph"/>
              <w:spacing w:before="9"/>
              <w:ind w:left="200"/>
              <w:rPr>
                <w:sz w:val="24"/>
              </w:rPr>
            </w:pPr>
            <w:r>
              <w:rPr>
                <w:sz w:val="24"/>
              </w:rPr>
              <w:t>1.8 Microscopía electrónica de barrido</w:t>
            </w:r>
          </w:p>
        </w:tc>
        <w:tc>
          <w:tcPr>
            <w:tcW w:w="1302" w:type="dxa"/>
          </w:tcPr>
          <w:p>
            <w:pPr>
              <w:pStyle w:val="TableParagraph"/>
              <w:spacing w:before="9"/>
              <w:ind w:left="334" w:right="178"/>
              <w:jc w:val="center"/>
              <w:rPr>
                <w:sz w:val="24"/>
              </w:rPr>
            </w:pPr>
            <w:r>
              <w:rPr>
                <w:sz w:val="24"/>
              </w:rPr>
              <w:t>27</w:t>
            </w:r>
          </w:p>
        </w:tc>
      </w:tr>
      <w:tr>
        <w:trPr>
          <w:trHeight w:val="317" w:hRule="exact"/>
        </w:trPr>
        <w:tc>
          <w:tcPr>
            <w:tcW w:w="7807" w:type="dxa"/>
          </w:tcPr>
          <w:p>
            <w:pPr>
              <w:pStyle w:val="TableParagraph"/>
              <w:ind w:left="200"/>
              <w:rPr>
                <w:sz w:val="24"/>
              </w:rPr>
            </w:pPr>
            <w:r>
              <w:rPr>
                <w:sz w:val="24"/>
              </w:rPr>
              <w:t>1.9 Difracción de Rayos-X</w:t>
            </w:r>
          </w:p>
        </w:tc>
        <w:tc>
          <w:tcPr>
            <w:tcW w:w="1302" w:type="dxa"/>
          </w:tcPr>
          <w:p>
            <w:pPr>
              <w:pStyle w:val="TableParagraph"/>
              <w:ind w:left="334" w:right="179"/>
              <w:jc w:val="center"/>
              <w:rPr>
                <w:sz w:val="24"/>
              </w:rPr>
            </w:pPr>
            <w:r>
              <w:rPr>
                <w:sz w:val="24"/>
              </w:rPr>
              <w:t>29</w:t>
            </w:r>
          </w:p>
        </w:tc>
      </w:tr>
      <w:tr>
        <w:trPr>
          <w:trHeight w:val="475" w:hRule="exact"/>
        </w:trPr>
        <w:tc>
          <w:tcPr>
            <w:tcW w:w="7807" w:type="dxa"/>
          </w:tcPr>
          <w:p>
            <w:pPr>
              <w:pStyle w:val="TableParagraph"/>
              <w:ind w:left="200"/>
              <w:rPr>
                <w:sz w:val="24"/>
              </w:rPr>
            </w:pPr>
            <w:r>
              <w:rPr>
                <w:sz w:val="24"/>
              </w:rPr>
              <w:t>1.10 Espectroscopía infrarroja</w:t>
            </w:r>
          </w:p>
        </w:tc>
        <w:tc>
          <w:tcPr>
            <w:tcW w:w="1302" w:type="dxa"/>
          </w:tcPr>
          <w:p>
            <w:pPr>
              <w:pStyle w:val="TableParagraph"/>
              <w:ind w:left="334" w:right="178"/>
              <w:jc w:val="center"/>
              <w:rPr>
                <w:sz w:val="24"/>
              </w:rPr>
            </w:pPr>
            <w:r>
              <w:rPr>
                <w:sz w:val="24"/>
              </w:rPr>
              <w:t>32</w:t>
            </w:r>
          </w:p>
        </w:tc>
      </w:tr>
      <w:tr>
        <w:trPr>
          <w:trHeight w:val="476" w:hRule="exact"/>
        </w:trPr>
        <w:tc>
          <w:tcPr>
            <w:tcW w:w="7807" w:type="dxa"/>
          </w:tcPr>
          <w:p>
            <w:pPr>
              <w:pStyle w:val="TableParagraph"/>
              <w:spacing w:before="166"/>
              <w:ind w:left="200"/>
              <w:rPr>
                <w:b/>
                <w:sz w:val="24"/>
              </w:rPr>
            </w:pPr>
            <w:r>
              <w:rPr>
                <w:b/>
                <w:sz w:val="24"/>
              </w:rPr>
              <w:t>Capítulo 2. DESARROLLO EXPERIMENTAL</w:t>
            </w:r>
          </w:p>
        </w:tc>
        <w:tc>
          <w:tcPr>
            <w:tcW w:w="1302" w:type="dxa"/>
          </w:tcPr>
          <w:p>
            <w:pPr>
              <w:pStyle w:val="TableParagraph"/>
              <w:spacing w:before="166"/>
              <w:ind w:left="334" w:right="178"/>
              <w:jc w:val="center"/>
              <w:rPr>
                <w:sz w:val="24"/>
              </w:rPr>
            </w:pPr>
            <w:r>
              <w:rPr>
                <w:sz w:val="24"/>
              </w:rPr>
              <w:t>35</w:t>
            </w:r>
          </w:p>
        </w:tc>
      </w:tr>
      <w:tr>
        <w:trPr>
          <w:trHeight w:val="318" w:hRule="exact"/>
        </w:trPr>
        <w:tc>
          <w:tcPr>
            <w:tcW w:w="7807" w:type="dxa"/>
          </w:tcPr>
          <w:p>
            <w:pPr>
              <w:pStyle w:val="TableParagraph"/>
              <w:spacing w:before="9"/>
              <w:ind w:left="200"/>
              <w:rPr>
                <w:sz w:val="24"/>
              </w:rPr>
            </w:pPr>
            <w:r>
              <w:rPr>
                <w:sz w:val="24"/>
              </w:rPr>
              <w:t>2.1 Materiales</w:t>
            </w:r>
          </w:p>
        </w:tc>
        <w:tc>
          <w:tcPr>
            <w:tcW w:w="1302" w:type="dxa"/>
          </w:tcPr>
          <w:p>
            <w:pPr>
              <w:pStyle w:val="TableParagraph"/>
              <w:spacing w:before="9"/>
              <w:ind w:left="334" w:right="178"/>
              <w:jc w:val="center"/>
              <w:rPr>
                <w:sz w:val="24"/>
              </w:rPr>
            </w:pPr>
            <w:r>
              <w:rPr>
                <w:sz w:val="24"/>
              </w:rPr>
              <w:t>36</w:t>
            </w:r>
          </w:p>
        </w:tc>
      </w:tr>
      <w:tr>
        <w:trPr>
          <w:trHeight w:val="317" w:hRule="exact"/>
        </w:trPr>
        <w:tc>
          <w:tcPr>
            <w:tcW w:w="7807" w:type="dxa"/>
          </w:tcPr>
          <w:p>
            <w:pPr>
              <w:pStyle w:val="TableParagraph"/>
              <w:ind w:left="200"/>
              <w:rPr>
                <w:sz w:val="24"/>
              </w:rPr>
            </w:pPr>
            <w:r>
              <w:rPr>
                <w:sz w:val="24"/>
              </w:rPr>
              <w:t>2.2 Elaboración de concretos poliméricos</w:t>
            </w:r>
          </w:p>
        </w:tc>
        <w:tc>
          <w:tcPr>
            <w:tcW w:w="1302" w:type="dxa"/>
          </w:tcPr>
          <w:p>
            <w:pPr>
              <w:pStyle w:val="TableParagraph"/>
              <w:ind w:left="334" w:right="178"/>
              <w:jc w:val="center"/>
              <w:rPr>
                <w:sz w:val="24"/>
              </w:rPr>
            </w:pPr>
            <w:r>
              <w:rPr>
                <w:sz w:val="24"/>
              </w:rPr>
              <w:t>37</w:t>
            </w:r>
          </w:p>
        </w:tc>
      </w:tr>
      <w:tr>
        <w:trPr>
          <w:trHeight w:val="317" w:hRule="exact"/>
        </w:trPr>
        <w:tc>
          <w:tcPr>
            <w:tcW w:w="7807" w:type="dxa"/>
          </w:tcPr>
          <w:p>
            <w:pPr>
              <w:pStyle w:val="TableParagraph"/>
              <w:ind w:left="200"/>
              <w:rPr>
                <w:sz w:val="24"/>
              </w:rPr>
            </w:pPr>
            <w:r>
              <w:rPr>
                <w:sz w:val="24"/>
              </w:rPr>
              <w:t>2.3 Radiación gamma de concretos y fibras</w:t>
            </w:r>
          </w:p>
        </w:tc>
        <w:tc>
          <w:tcPr>
            <w:tcW w:w="1302" w:type="dxa"/>
          </w:tcPr>
          <w:p>
            <w:pPr>
              <w:pStyle w:val="TableParagraph"/>
              <w:ind w:left="334" w:right="178"/>
              <w:jc w:val="center"/>
              <w:rPr>
                <w:sz w:val="24"/>
              </w:rPr>
            </w:pPr>
            <w:r>
              <w:rPr>
                <w:sz w:val="24"/>
              </w:rPr>
              <w:t>40</w:t>
            </w:r>
          </w:p>
        </w:tc>
      </w:tr>
      <w:tr>
        <w:trPr>
          <w:trHeight w:val="318" w:hRule="exact"/>
        </w:trPr>
        <w:tc>
          <w:tcPr>
            <w:tcW w:w="7807" w:type="dxa"/>
          </w:tcPr>
          <w:p>
            <w:pPr>
              <w:pStyle w:val="TableParagraph"/>
              <w:ind w:left="200"/>
              <w:rPr>
                <w:sz w:val="24"/>
              </w:rPr>
            </w:pPr>
            <w:r>
              <w:rPr>
                <w:sz w:val="24"/>
              </w:rPr>
              <w:t>2.4 Evaluación de la resistencia mecánica</w:t>
            </w:r>
          </w:p>
        </w:tc>
        <w:tc>
          <w:tcPr>
            <w:tcW w:w="1302" w:type="dxa"/>
          </w:tcPr>
          <w:p>
            <w:pPr>
              <w:pStyle w:val="TableParagraph"/>
              <w:ind w:left="334" w:right="178"/>
              <w:jc w:val="center"/>
              <w:rPr>
                <w:sz w:val="24"/>
              </w:rPr>
            </w:pPr>
            <w:r>
              <w:rPr>
                <w:sz w:val="24"/>
              </w:rPr>
              <w:t>41</w:t>
            </w:r>
          </w:p>
        </w:tc>
      </w:tr>
      <w:tr>
        <w:trPr>
          <w:trHeight w:val="318" w:hRule="exact"/>
        </w:trPr>
        <w:tc>
          <w:tcPr>
            <w:tcW w:w="7807" w:type="dxa"/>
          </w:tcPr>
          <w:p>
            <w:pPr>
              <w:pStyle w:val="TableParagraph"/>
              <w:spacing w:before="9"/>
              <w:ind w:left="200"/>
              <w:rPr>
                <w:sz w:val="24"/>
              </w:rPr>
            </w:pPr>
            <w:r>
              <w:rPr>
                <w:sz w:val="24"/>
              </w:rPr>
              <w:t>2.5 Microscopía electrónica de barrido</w:t>
            </w:r>
          </w:p>
        </w:tc>
        <w:tc>
          <w:tcPr>
            <w:tcW w:w="1302" w:type="dxa"/>
          </w:tcPr>
          <w:p>
            <w:pPr>
              <w:pStyle w:val="TableParagraph"/>
              <w:spacing w:before="9"/>
              <w:ind w:left="334" w:right="178"/>
              <w:jc w:val="center"/>
              <w:rPr>
                <w:sz w:val="24"/>
              </w:rPr>
            </w:pPr>
            <w:r>
              <w:rPr>
                <w:sz w:val="24"/>
              </w:rPr>
              <w:t>43</w:t>
            </w:r>
          </w:p>
        </w:tc>
      </w:tr>
      <w:tr>
        <w:trPr>
          <w:trHeight w:val="475" w:hRule="exact"/>
        </w:trPr>
        <w:tc>
          <w:tcPr>
            <w:tcW w:w="7807" w:type="dxa"/>
          </w:tcPr>
          <w:p>
            <w:pPr>
              <w:pStyle w:val="TableParagraph"/>
              <w:ind w:left="200"/>
              <w:rPr>
                <w:sz w:val="24"/>
              </w:rPr>
            </w:pPr>
            <w:r>
              <w:rPr>
                <w:sz w:val="24"/>
              </w:rPr>
              <w:t>2.6 Difracción de Rayos-X</w:t>
            </w:r>
          </w:p>
        </w:tc>
        <w:tc>
          <w:tcPr>
            <w:tcW w:w="1302" w:type="dxa"/>
          </w:tcPr>
          <w:p>
            <w:pPr>
              <w:pStyle w:val="TableParagraph"/>
              <w:ind w:left="334" w:right="178"/>
              <w:jc w:val="center"/>
              <w:rPr>
                <w:sz w:val="24"/>
              </w:rPr>
            </w:pPr>
            <w:r>
              <w:rPr>
                <w:sz w:val="24"/>
              </w:rPr>
              <w:t>44</w:t>
            </w:r>
          </w:p>
        </w:tc>
      </w:tr>
      <w:tr>
        <w:trPr>
          <w:trHeight w:val="476" w:hRule="exact"/>
        </w:trPr>
        <w:tc>
          <w:tcPr>
            <w:tcW w:w="7807" w:type="dxa"/>
          </w:tcPr>
          <w:p>
            <w:pPr>
              <w:pStyle w:val="TableParagraph"/>
              <w:spacing w:before="166"/>
              <w:ind w:left="200"/>
              <w:rPr>
                <w:b/>
                <w:sz w:val="24"/>
              </w:rPr>
            </w:pPr>
            <w:r>
              <w:rPr>
                <w:b/>
                <w:sz w:val="24"/>
              </w:rPr>
              <w:t>Capítulo 3. ANÁLISIS DE RESULTADOS</w:t>
            </w:r>
          </w:p>
        </w:tc>
        <w:tc>
          <w:tcPr>
            <w:tcW w:w="1302" w:type="dxa"/>
          </w:tcPr>
          <w:p>
            <w:pPr>
              <w:pStyle w:val="TableParagraph"/>
              <w:spacing w:before="166"/>
              <w:ind w:left="334" w:right="179"/>
              <w:jc w:val="center"/>
              <w:rPr>
                <w:sz w:val="24"/>
              </w:rPr>
            </w:pPr>
            <w:r>
              <w:rPr>
                <w:sz w:val="24"/>
              </w:rPr>
              <w:t>45</w:t>
            </w:r>
          </w:p>
        </w:tc>
      </w:tr>
      <w:tr>
        <w:trPr>
          <w:trHeight w:val="318" w:hRule="exact"/>
        </w:trPr>
        <w:tc>
          <w:tcPr>
            <w:tcW w:w="7807" w:type="dxa"/>
          </w:tcPr>
          <w:p>
            <w:pPr>
              <w:pStyle w:val="TableParagraph"/>
              <w:spacing w:before="9"/>
              <w:ind w:left="200"/>
              <w:rPr>
                <w:sz w:val="24"/>
              </w:rPr>
            </w:pPr>
            <w:r>
              <w:rPr>
                <w:sz w:val="24"/>
              </w:rPr>
              <w:t>3.1 Evaluación de propiedades mecánicas</w:t>
            </w:r>
          </w:p>
        </w:tc>
        <w:tc>
          <w:tcPr>
            <w:tcW w:w="1302" w:type="dxa"/>
          </w:tcPr>
          <w:p>
            <w:pPr>
              <w:pStyle w:val="TableParagraph"/>
              <w:spacing w:before="9"/>
              <w:ind w:left="334" w:right="178"/>
              <w:jc w:val="center"/>
              <w:rPr>
                <w:sz w:val="24"/>
              </w:rPr>
            </w:pPr>
            <w:r>
              <w:rPr>
                <w:sz w:val="24"/>
              </w:rPr>
              <w:t>46</w:t>
            </w:r>
          </w:p>
        </w:tc>
      </w:tr>
      <w:tr>
        <w:trPr>
          <w:trHeight w:val="317" w:hRule="exact"/>
        </w:trPr>
        <w:tc>
          <w:tcPr>
            <w:tcW w:w="7807" w:type="dxa"/>
          </w:tcPr>
          <w:p>
            <w:pPr>
              <w:pStyle w:val="TableParagraph"/>
              <w:ind w:left="468"/>
              <w:rPr>
                <w:sz w:val="24"/>
              </w:rPr>
            </w:pPr>
            <w:r>
              <w:rPr>
                <w:sz w:val="24"/>
              </w:rPr>
              <w:t>I. Resistencia a la compresión</w:t>
            </w:r>
          </w:p>
        </w:tc>
        <w:tc>
          <w:tcPr>
            <w:tcW w:w="1302" w:type="dxa"/>
          </w:tcPr>
          <w:p>
            <w:pPr>
              <w:pStyle w:val="TableParagraph"/>
              <w:ind w:left="334" w:right="179"/>
              <w:jc w:val="center"/>
              <w:rPr>
                <w:sz w:val="24"/>
              </w:rPr>
            </w:pPr>
            <w:r>
              <w:rPr>
                <w:sz w:val="24"/>
              </w:rPr>
              <w:t>46</w:t>
            </w:r>
          </w:p>
        </w:tc>
      </w:tr>
      <w:tr>
        <w:trPr>
          <w:trHeight w:val="317" w:hRule="exact"/>
        </w:trPr>
        <w:tc>
          <w:tcPr>
            <w:tcW w:w="7807" w:type="dxa"/>
          </w:tcPr>
          <w:p>
            <w:pPr>
              <w:pStyle w:val="TableParagraph"/>
              <w:ind w:left="468"/>
              <w:rPr>
                <w:sz w:val="24"/>
              </w:rPr>
            </w:pPr>
            <w:r>
              <w:rPr>
                <w:sz w:val="24"/>
              </w:rPr>
              <w:t>II. Deformación en el punto de máximo esfuerzo en compresión</w:t>
            </w:r>
          </w:p>
        </w:tc>
        <w:tc>
          <w:tcPr>
            <w:tcW w:w="1302" w:type="dxa"/>
          </w:tcPr>
          <w:p>
            <w:pPr>
              <w:pStyle w:val="TableParagraph"/>
              <w:ind w:left="334" w:right="179"/>
              <w:jc w:val="center"/>
              <w:rPr>
                <w:sz w:val="24"/>
              </w:rPr>
            </w:pPr>
            <w:r>
              <w:rPr>
                <w:sz w:val="24"/>
              </w:rPr>
              <w:t>50</w:t>
            </w:r>
          </w:p>
        </w:tc>
      </w:tr>
      <w:tr>
        <w:trPr>
          <w:trHeight w:val="318" w:hRule="exact"/>
        </w:trPr>
        <w:tc>
          <w:tcPr>
            <w:tcW w:w="7807" w:type="dxa"/>
          </w:tcPr>
          <w:p>
            <w:pPr>
              <w:pStyle w:val="TableParagraph"/>
              <w:ind w:left="468"/>
              <w:rPr>
                <w:sz w:val="24"/>
              </w:rPr>
            </w:pPr>
            <w:r>
              <w:rPr>
                <w:sz w:val="24"/>
              </w:rPr>
              <w:t>III. Resistencia a la flexión</w:t>
            </w:r>
          </w:p>
        </w:tc>
        <w:tc>
          <w:tcPr>
            <w:tcW w:w="1302" w:type="dxa"/>
          </w:tcPr>
          <w:p>
            <w:pPr>
              <w:pStyle w:val="TableParagraph"/>
              <w:ind w:left="334" w:right="179"/>
              <w:jc w:val="center"/>
              <w:rPr>
                <w:sz w:val="24"/>
              </w:rPr>
            </w:pPr>
            <w:r>
              <w:rPr>
                <w:sz w:val="24"/>
              </w:rPr>
              <w:t>52</w:t>
            </w:r>
          </w:p>
        </w:tc>
      </w:tr>
      <w:tr>
        <w:trPr>
          <w:trHeight w:val="318" w:hRule="exact"/>
        </w:trPr>
        <w:tc>
          <w:tcPr>
            <w:tcW w:w="7807" w:type="dxa"/>
          </w:tcPr>
          <w:p>
            <w:pPr>
              <w:pStyle w:val="TableParagraph"/>
              <w:spacing w:before="9"/>
              <w:ind w:left="468"/>
              <w:rPr>
                <w:sz w:val="24"/>
              </w:rPr>
            </w:pPr>
            <w:r>
              <w:rPr>
                <w:sz w:val="24"/>
              </w:rPr>
              <w:t>IV. Deformación en el punto de máximo esfuerzo en flexión</w:t>
            </w:r>
          </w:p>
        </w:tc>
        <w:tc>
          <w:tcPr>
            <w:tcW w:w="1302" w:type="dxa"/>
          </w:tcPr>
          <w:p>
            <w:pPr>
              <w:pStyle w:val="TableParagraph"/>
              <w:spacing w:before="9"/>
              <w:ind w:left="334" w:right="179"/>
              <w:jc w:val="center"/>
              <w:rPr>
                <w:sz w:val="24"/>
              </w:rPr>
            </w:pPr>
            <w:r>
              <w:rPr>
                <w:sz w:val="24"/>
              </w:rPr>
              <w:t>54</w:t>
            </w:r>
          </w:p>
        </w:tc>
      </w:tr>
      <w:tr>
        <w:trPr>
          <w:trHeight w:val="317" w:hRule="exact"/>
        </w:trPr>
        <w:tc>
          <w:tcPr>
            <w:tcW w:w="7807" w:type="dxa"/>
          </w:tcPr>
          <w:p>
            <w:pPr>
              <w:pStyle w:val="TableParagraph"/>
              <w:ind w:left="468"/>
              <w:rPr>
                <w:sz w:val="24"/>
              </w:rPr>
            </w:pPr>
            <w:r>
              <w:rPr>
                <w:sz w:val="24"/>
              </w:rPr>
              <w:t>V. Módulo de Young</w:t>
            </w:r>
          </w:p>
        </w:tc>
        <w:tc>
          <w:tcPr>
            <w:tcW w:w="1302" w:type="dxa"/>
          </w:tcPr>
          <w:p>
            <w:pPr>
              <w:pStyle w:val="TableParagraph"/>
              <w:ind w:left="334" w:right="179"/>
              <w:jc w:val="center"/>
              <w:rPr>
                <w:sz w:val="24"/>
              </w:rPr>
            </w:pPr>
            <w:r>
              <w:rPr>
                <w:sz w:val="24"/>
              </w:rPr>
              <w:t>55</w:t>
            </w:r>
          </w:p>
        </w:tc>
      </w:tr>
      <w:tr>
        <w:trPr>
          <w:trHeight w:val="477" w:hRule="exact"/>
        </w:trPr>
        <w:tc>
          <w:tcPr>
            <w:tcW w:w="7807" w:type="dxa"/>
          </w:tcPr>
          <w:p>
            <w:pPr>
              <w:pStyle w:val="TableParagraph"/>
              <w:spacing w:before="8"/>
              <w:ind w:left="468"/>
              <w:rPr>
                <w:sz w:val="24"/>
              </w:rPr>
            </w:pPr>
            <w:r>
              <w:rPr>
                <w:sz w:val="24"/>
              </w:rPr>
              <w:t>VI. Módulo de Elasticidad Dinámico</w:t>
            </w:r>
          </w:p>
        </w:tc>
        <w:tc>
          <w:tcPr>
            <w:tcW w:w="1302" w:type="dxa"/>
          </w:tcPr>
          <w:p>
            <w:pPr>
              <w:pStyle w:val="TableParagraph"/>
              <w:spacing w:before="8"/>
              <w:ind w:left="334" w:right="179"/>
              <w:jc w:val="center"/>
              <w:rPr>
                <w:sz w:val="24"/>
              </w:rPr>
            </w:pPr>
            <w:r>
              <w:rPr>
                <w:sz w:val="24"/>
              </w:rPr>
              <w:t>56</w:t>
            </w:r>
          </w:p>
        </w:tc>
      </w:tr>
      <w:tr>
        <w:trPr>
          <w:trHeight w:val="476" w:hRule="exact"/>
        </w:trPr>
        <w:tc>
          <w:tcPr>
            <w:tcW w:w="7807" w:type="dxa"/>
          </w:tcPr>
          <w:p>
            <w:pPr>
              <w:pStyle w:val="TableParagraph"/>
              <w:spacing w:before="167"/>
              <w:ind w:left="200"/>
              <w:rPr>
                <w:sz w:val="24"/>
              </w:rPr>
            </w:pPr>
            <w:r>
              <w:rPr>
                <w:sz w:val="24"/>
              </w:rPr>
              <w:t>3.2 Difracción de Rayos X de fibras sin irradiar e irradiadas</w:t>
            </w:r>
          </w:p>
        </w:tc>
        <w:tc>
          <w:tcPr>
            <w:tcW w:w="1302" w:type="dxa"/>
          </w:tcPr>
          <w:p>
            <w:pPr>
              <w:pStyle w:val="TableParagraph"/>
              <w:spacing w:before="167"/>
              <w:ind w:left="334" w:right="178"/>
              <w:jc w:val="center"/>
              <w:rPr>
                <w:sz w:val="24"/>
              </w:rPr>
            </w:pPr>
            <w:r>
              <w:rPr>
                <w:sz w:val="24"/>
              </w:rPr>
              <w:t>58</w:t>
            </w:r>
          </w:p>
        </w:tc>
      </w:tr>
      <w:tr>
        <w:trPr>
          <w:trHeight w:val="475" w:hRule="exact"/>
        </w:trPr>
        <w:tc>
          <w:tcPr>
            <w:tcW w:w="7807" w:type="dxa"/>
          </w:tcPr>
          <w:p>
            <w:pPr>
              <w:pStyle w:val="TableParagraph"/>
              <w:ind w:left="200"/>
              <w:rPr>
                <w:sz w:val="24"/>
              </w:rPr>
            </w:pPr>
            <w:r>
              <w:rPr>
                <w:sz w:val="24"/>
              </w:rPr>
              <w:t>3.3 Espectroscopia Infrarroja de fibras sin irradiar e irradiadas</w:t>
            </w:r>
          </w:p>
        </w:tc>
        <w:tc>
          <w:tcPr>
            <w:tcW w:w="1302" w:type="dxa"/>
          </w:tcPr>
          <w:p>
            <w:pPr>
              <w:pStyle w:val="TableParagraph"/>
              <w:ind w:left="334" w:right="179"/>
              <w:jc w:val="center"/>
              <w:rPr>
                <w:sz w:val="24"/>
              </w:rPr>
            </w:pPr>
            <w:r>
              <w:rPr>
                <w:sz w:val="24"/>
              </w:rPr>
              <w:t>62</w:t>
            </w:r>
          </w:p>
        </w:tc>
      </w:tr>
      <w:tr>
        <w:trPr>
          <w:trHeight w:val="635" w:hRule="exact"/>
        </w:trPr>
        <w:tc>
          <w:tcPr>
            <w:tcW w:w="7807" w:type="dxa"/>
          </w:tcPr>
          <w:p>
            <w:pPr>
              <w:pStyle w:val="TableParagraph"/>
              <w:spacing w:before="166"/>
              <w:ind w:left="200"/>
              <w:rPr>
                <w:b/>
                <w:sz w:val="24"/>
              </w:rPr>
            </w:pPr>
            <w:r>
              <w:rPr>
                <w:b/>
                <w:sz w:val="24"/>
              </w:rPr>
              <w:t>CONCLUSIONES</w:t>
            </w:r>
          </w:p>
        </w:tc>
        <w:tc>
          <w:tcPr>
            <w:tcW w:w="1302" w:type="dxa"/>
          </w:tcPr>
          <w:p>
            <w:pPr>
              <w:pStyle w:val="TableParagraph"/>
              <w:spacing w:before="166"/>
              <w:ind w:left="334" w:right="178"/>
              <w:jc w:val="center"/>
              <w:rPr>
                <w:sz w:val="24"/>
              </w:rPr>
            </w:pPr>
            <w:r>
              <w:rPr>
                <w:sz w:val="24"/>
              </w:rPr>
              <w:t>64</w:t>
            </w:r>
          </w:p>
        </w:tc>
      </w:tr>
      <w:tr>
        <w:trPr>
          <w:trHeight w:val="438" w:hRule="exact"/>
        </w:trPr>
        <w:tc>
          <w:tcPr>
            <w:tcW w:w="7807" w:type="dxa"/>
          </w:tcPr>
          <w:p>
            <w:pPr>
              <w:pStyle w:val="TableParagraph"/>
              <w:spacing w:before="167"/>
              <w:ind w:left="200"/>
              <w:rPr>
                <w:b/>
                <w:sz w:val="24"/>
              </w:rPr>
            </w:pPr>
            <w:r>
              <w:rPr>
                <w:b/>
                <w:sz w:val="24"/>
              </w:rPr>
              <w:t>BIBLIOGRAFÍA</w:t>
            </w:r>
          </w:p>
        </w:tc>
        <w:tc>
          <w:tcPr>
            <w:tcW w:w="1302" w:type="dxa"/>
          </w:tcPr>
          <w:p>
            <w:pPr>
              <w:pStyle w:val="TableParagraph"/>
              <w:spacing w:before="167"/>
              <w:ind w:left="334" w:right="179"/>
              <w:jc w:val="center"/>
              <w:rPr>
                <w:sz w:val="24"/>
              </w:rPr>
            </w:pPr>
            <w:r>
              <w:rPr>
                <w:sz w:val="24"/>
              </w:rPr>
              <w:t>67</w:t>
            </w:r>
          </w:p>
        </w:tc>
      </w:tr>
    </w:tbl>
    <w:p>
      <w:pPr>
        <w:tabs>
          <w:tab w:pos="8787" w:val="right" w:leader="none"/>
        </w:tabs>
        <w:spacing w:before="46"/>
        <w:ind w:left="302" w:right="0" w:firstLine="0"/>
        <w:jc w:val="left"/>
        <w:rPr>
          <w:sz w:val="24"/>
        </w:rPr>
      </w:pPr>
      <w:r>
        <w:rPr>
          <w:b/>
          <w:sz w:val="24"/>
        </w:rPr>
        <w:t>ANEXOS</w:t>
      </w:r>
      <w:r>
        <w:rPr>
          <w:sz w:val="24"/>
        </w:rPr>
        <w:tab/>
        <w:t>72</w:t>
      </w:r>
    </w:p>
    <w:p>
      <w:pPr>
        <w:spacing w:after="0"/>
        <w:jc w:val="left"/>
        <w:rPr>
          <w:sz w:val="24"/>
        </w:rPr>
        <w:sectPr>
          <w:pgSz w:w="12240" w:h="15840"/>
          <w:pgMar w:header="747" w:footer="0" w:top="940" w:bottom="280" w:left="1400" w:right="1520"/>
        </w:sectPr>
      </w:pPr>
    </w:p>
    <w:p>
      <w:pPr>
        <w:pStyle w:val="Heading2"/>
        <w:spacing w:before="466"/>
        <w:ind w:left="382"/>
        <w:jc w:val="left"/>
      </w:pPr>
      <w:r>
        <w:rPr/>
        <w:t>RELACIÓN DE FIGURAS</w:t>
      </w:r>
    </w:p>
    <w:p>
      <w:pPr>
        <w:pStyle w:val="BodyText"/>
        <w:spacing w:before="9"/>
        <w:rPr>
          <w:b/>
          <w:sz w:val="2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28"/>
        <w:gridCol w:w="7700"/>
      </w:tblGrid>
      <w:tr>
        <w:trPr>
          <w:trHeight w:val="278" w:hRule="exact"/>
        </w:trPr>
        <w:tc>
          <w:tcPr>
            <w:tcW w:w="1528" w:type="dxa"/>
          </w:tcPr>
          <w:p>
            <w:pPr>
              <w:pStyle w:val="TableParagraph"/>
              <w:spacing w:line="245" w:lineRule="exact" w:before="0"/>
              <w:ind w:left="200"/>
              <w:rPr>
                <w:sz w:val="24"/>
              </w:rPr>
            </w:pPr>
            <w:r>
              <w:rPr>
                <w:sz w:val="24"/>
              </w:rPr>
              <w:t>Figura 1.1</w:t>
            </w:r>
          </w:p>
        </w:tc>
        <w:tc>
          <w:tcPr>
            <w:tcW w:w="7700" w:type="dxa"/>
          </w:tcPr>
          <w:p>
            <w:pPr>
              <w:pStyle w:val="TableParagraph"/>
              <w:spacing w:line="245" w:lineRule="exact" w:before="0"/>
              <w:ind w:left="112" w:right="1498"/>
              <w:rPr>
                <w:sz w:val="24"/>
              </w:rPr>
            </w:pPr>
            <w:r>
              <w:rPr>
                <w:sz w:val="24"/>
              </w:rPr>
              <w:t>Resina poliéster insaturada.</w:t>
            </w:r>
          </w:p>
        </w:tc>
      </w:tr>
      <w:tr>
        <w:trPr>
          <w:trHeight w:val="309" w:hRule="exact"/>
        </w:trPr>
        <w:tc>
          <w:tcPr>
            <w:tcW w:w="1528" w:type="dxa"/>
          </w:tcPr>
          <w:p>
            <w:pPr>
              <w:pStyle w:val="TableParagraph"/>
              <w:ind w:left="200"/>
              <w:rPr>
                <w:sz w:val="24"/>
              </w:rPr>
            </w:pPr>
            <w:r>
              <w:rPr>
                <w:sz w:val="24"/>
              </w:rPr>
              <w:t>Figura 1.2</w:t>
            </w:r>
          </w:p>
        </w:tc>
        <w:tc>
          <w:tcPr>
            <w:tcW w:w="7700" w:type="dxa"/>
          </w:tcPr>
          <w:p>
            <w:pPr>
              <w:pStyle w:val="TableParagraph"/>
              <w:ind w:left="112" w:right="1498"/>
              <w:rPr>
                <w:sz w:val="24"/>
              </w:rPr>
            </w:pPr>
            <w:r>
              <w:rPr>
                <w:sz w:val="24"/>
              </w:rPr>
              <w:t>Fibras de Luffa.</w:t>
            </w:r>
          </w:p>
        </w:tc>
      </w:tr>
      <w:tr>
        <w:trPr>
          <w:trHeight w:val="326" w:hRule="exact"/>
        </w:trPr>
        <w:tc>
          <w:tcPr>
            <w:tcW w:w="1528" w:type="dxa"/>
          </w:tcPr>
          <w:p>
            <w:pPr>
              <w:pStyle w:val="TableParagraph"/>
              <w:spacing w:before="15"/>
              <w:ind w:left="200"/>
              <w:rPr>
                <w:sz w:val="24"/>
              </w:rPr>
            </w:pPr>
            <w:r>
              <w:rPr>
                <w:sz w:val="24"/>
              </w:rPr>
              <w:t>Figura 1.3</w:t>
            </w:r>
          </w:p>
        </w:tc>
        <w:tc>
          <w:tcPr>
            <w:tcW w:w="7700" w:type="dxa"/>
          </w:tcPr>
          <w:p>
            <w:pPr>
              <w:pStyle w:val="TableParagraph"/>
              <w:spacing w:before="10"/>
              <w:ind w:left="112" w:right="1498"/>
              <w:rPr>
                <w:sz w:val="24"/>
              </w:rPr>
            </w:pPr>
            <w:r>
              <w:rPr>
                <w:sz w:val="24"/>
              </w:rPr>
              <w:t>Esquema de desintegración radiactiva del </w:t>
            </w:r>
            <w:r>
              <w:rPr>
                <w:position w:val="8"/>
                <w:sz w:val="16"/>
              </w:rPr>
              <w:t>60</w:t>
            </w:r>
            <w:r>
              <w:rPr>
                <w:sz w:val="24"/>
              </w:rPr>
              <w:t>Co.</w:t>
            </w:r>
          </w:p>
        </w:tc>
      </w:tr>
      <w:tr>
        <w:trPr>
          <w:trHeight w:val="318" w:hRule="exact"/>
        </w:trPr>
        <w:tc>
          <w:tcPr>
            <w:tcW w:w="1528" w:type="dxa"/>
          </w:tcPr>
          <w:p>
            <w:pPr>
              <w:pStyle w:val="TableParagraph"/>
              <w:spacing w:before="9"/>
              <w:ind w:left="200"/>
              <w:rPr>
                <w:sz w:val="24"/>
              </w:rPr>
            </w:pPr>
            <w:r>
              <w:rPr>
                <w:sz w:val="24"/>
              </w:rPr>
              <w:t>Figura 1.4</w:t>
            </w:r>
          </w:p>
        </w:tc>
        <w:tc>
          <w:tcPr>
            <w:tcW w:w="7700" w:type="dxa"/>
          </w:tcPr>
          <w:p>
            <w:pPr>
              <w:pStyle w:val="TableParagraph"/>
              <w:spacing w:before="9"/>
              <w:ind w:left="112" w:right="1498"/>
              <w:rPr>
                <w:sz w:val="24"/>
              </w:rPr>
            </w:pPr>
            <w:r>
              <w:rPr>
                <w:sz w:val="24"/>
              </w:rPr>
              <w:t>Efecto fotoeléctrico.</w:t>
            </w:r>
          </w:p>
        </w:tc>
      </w:tr>
      <w:tr>
        <w:trPr>
          <w:trHeight w:val="317" w:hRule="exact"/>
        </w:trPr>
        <w:tc>
          <w:tcPr>
            <w:tcW w:w="1528" w:type="dxa"/>
          </w:tcPr>
          <w:p>
            <w:pPr>
              <w:pStyle w:val="TableParagraph"/>
              <w:ind w:left="200"/>
              <w:rPr>
                <w:sz w:val="24"/>
              </w:rPr>
            </w:pPr>
            <w:r>
              <w:rPr>
                <w:sz w:val="24"/>
              </w:rPr>
              <w:t>Figura 1.5</w:t>
            </w:r>
          </w:p>
        </w:tc>
        <w:tc>
          <w:tcPr>
            <w:tcW w:w="7700" w:type="dxa"/>
          </w:tcPr>
          <w:p>
            <w:pPr>
              <w:pStyle w:val="TableParagraph"/>
              <w:ind w:left="112" w:right="1498"/>
              <w:rPr>
                <w:sz w:val="24"/>
              </w:rPr>
            </w:pPr>
            <w:r>
              <w:rPr>
                <w:sz w:val="24"/>
              </w:rPr>
              <w:t>Efecto Compton.</w:t>
            </w:r>
          </w:p>
        </w:tc>
      </w:tr>
      <w:tr>
        <w:trPr>
          <w:trHeight w:val="317" w:hRule="exact"/>
        </w:trPr>
        <w:tc>
          <w:tcPr>
            <w:tcW w:w="1528" w:type="dxa"/>
          </w:tcPr>
          <w:p>
            <w:pPr>
              <w:pStyle w:val="TableParagraph"/>
              <w:ind w:left="200"/>
              <w:rPr>
                <w:sz w:val="24"/>
              </w:rPr>
            </w:pPr>
            <w:r>
              <w:rPr>
                <w:sz w:val="24"/>
              </w:rPr>
              <w:t>Figura 1.6</w:t>
            </w:r>
          </w:p>
        </w:tc>
        <w:tc>
          <w:tcPr>
            <w:tcW w:w="7700" w:type="dxa"/>
          </w:tcPr>
          <w:p>
            <w:pPr>
              <w:pStyle w:val="TableParagraph"/>
              <w:ind w:left="112" w:right="1498"/>
              <w:rPr>
                <w:sz w:val="24"/>
              </w:rPr>
            </w:pPr>
            <w:r>
              <w:rPr>
                <w:sz w:val="24"/>
              </w:rPr>
              <w:t>Formación de pares.</w:t>
            </w:r>
          </w:p>
        </w:tc>
      </w:tr>
      <w:tr>
        <w:trPr>
          <w:trHeight w:val="318" w:hRule="exact"/>
        </w:trPr>
        <w:tc>
          <w:tcPr>
            <w:tcW w:w="1528" w:type="dxa"/>
          </w:tcPr>
          <w:p>
            <w:pPr>
              <w:pStyle w:val="TableParagraph"/>
              <w:ind w:left="200"/>
              <w:rPr>
                <w:sz w:val="24"/>
              </w:rPr>
            </w:pPr>
            <w:r>
              <w:rPr>
                <w:sz w:val="24"/>
              </w:rPr>
              <w:t>Figura 1.7</w:t>
            </w:r>
          </w:p>
        </w:tc>
        <w:tc>
          <w:tcPr>
            <w:tcW w:w="7700" w:type="dxa"/>
          </w:tcPr>
          <w:p>
            <w:pPr>
              <w:pStyle w:val="TableParagraph"/>
              <w:ind w:left="112" w:right="1498"/>
              <w:rPr>
                <w:sz w:val="24"/>
              </w:rPr>
            </w:pPr>
            <w:r>
              <w:rPr>
                <w:sz w:val="24"/>
              </w:rPr>
              <w:t>Comportamiento elástico y plástico de un material.</w:t>
            </w:r>
          </w:p>
        </w:tc>
      </w:tr>
      <w:tr>
        <w:trPr>
          <w:trHeight w:val="318" w:hRule="exact"/>
        </w:trPr>
        <w:tc>
          <w:tcPr>
            <w:tcW w:w="1528" w:type="dxa"/>
          </w:tcPr>
          <w:p>
            <w:pPr>
              <w:pStyle w:val="TableParagraph"/>
              <w:spacing w:before="9"/>
              <w:ind w:left="200"/>
              <w:rPr>
                <w:sz w:val="24"/>
              </w:rPr>
            </w:pPr>
            <w:r>
              <w:rPr>
                <w:sz w:val="24"/>
              </w:rPr>
              <w:t>Figura 1.8</w:t>
            </w:r>
          </w:p>
        </w:tc>
        <w:tc>
          <w:tcPr>
            <w:tcW w:w="7700" w:type="dxa"/>
          </w:tcPr>
          <w:p>
            <w:pPr>
              <w:pStyle w:val="TableParagraph"/>
              <w:spacing w:before="9"/>
              <w:ind w:left="112" w:right="1498"/>
              <w:rPr>
                <w:sz w:val="24"/>
              </w:rPr>
            </w:pPr>
            <w:r>
              <w:rPr>
                <w:sz w:val="24"/>
              </w:rPr>
              <w:t>Curva esfuerzo vs deformación.</w:t>
            </w:r>
          </w:p>
        </w:tc>
      </w:tr>
      <w:tr>
        <w:trPr>
          <w:trHeight w:val="317" w:hRule="exact"/>
        </w:trPr>
        <w:tc>
          <w:tcPr>
            <w:tcW w:w="1528" w:type="dxa"/>
          </w:tcPr>
          <w:p>
            <w:pPr>
              <w:pStyle w:val="TableParagraph"/>
              <w:ind w:left="200"/>
              <w:rPr>
                <w:sz w:val="24"/>
              </w:rPr>
            </w:pPr>
            <w:r>
              <w:rPr>
                <w:sz w:val="24"/>
              </w:rPr>
              <w:t>Figura 1.9</w:t>
            </w:r>
          </w:p>
        </w:tc>
        <w:tc>
          <w:tcPr>
            <w:tcW w:w="7700" w:type="dxa"/>
          </w:tcPr>
          <w:p>
            <w:pPr>
              <w:pStyle w:val="TableParagraph"/>
              <w:ind w:left="112" w:right="1498"/>
              <w:rPr>
                <w:sz w:val="24"/>
              </w:rPr>
            </w:pPr>
            <w:r>
              <w:rPr>
                <w:sz w:val="24"/>
              </w:rPr>
              <w:t>Interacción del haz de electrones con la muestra.</w:t>
            </w:r>
          </w:p>
        </w:tc>
      </w:tr>
      <w:tr>
        <w:trPr>
          <w:trHeight w:val="317" w:hRule="exact"/>
        </w:trPr>
        <w:tc>
          <w:tcPr>
            <w:tcW w:w="1528" w:type="dxa"/>
          </w:tcPr>
          <w:p>
            <w:pPr>
              <w:pStyle w:val="TableParagraph"/>
              <w:ind w:left="200"/>
              <w:rPr>
                <w:sz w:val="24"/>
              </w:rPr>
            </w:pPr>
            <w:r>
              <w:rPr>
                <w:sz w:val="24"/>
              </w:rPr>
              <w:t>Figura 1.10</w:t>
            </w:r>
          </w:p>
        </w:tc>
        <w:tc>
          <w:tcPr>
            <w:tcW w:w="7700" w:type="dxa"/>
          </w:tcPr>
          <w:p>
            <w:pPr>
              <w:pStyle w:val="TableParagraph"/>
              <w:ind w:left="112" w:right="1498"/>
              <w:rPr>
                <w:sz w:val="24"/>
              </w:rPr>
            </w:pPr>
            <w:r>
              <w:rPr>
                <w:sz w:val="24"/>
              </w:rPr>
              <w:t>Difracción de los rayos X por los planos de un cristal.</w:t>
            </w:r>
          </w:p>
        </w:tc>
      </w:tr>
      <w:tr>
        <w:trPr>
          <w:trHeight w:val="318" w:hRule="exact"/>
        </w:trPr>
        <w:tc>
          <w:tcPr>
            <w:tcW w:w="1528" w:type="dxa"/>
          </w:tcPr>
          <w:p>
            <w:pPr>
              <w:pStyle w:val="TableParagraph"/>
              <w:spacing w:before="8"/>
              <w:ind w:left="200"/>
              <w:rPr>
                <w:sz w:val="24"/>
              </w:rPr>
            </w:pPr>
            <w:r>
              <w:rPr>
                <w:sz w:val="24"/>
              </w:rPr>
              <w:t>Figura 1.11</w:t>
            </w:r>
          </w:p>
        </w:tc>
        <w:tc>
          <w:tcPr>
            <w:tcW w:w="7700" w:type="dxa"/>
          </w:tcPr>
          <w:p>
            <w:pPr>
              <w:pStyle w:val="TableParagraph"/>
              <w:spacing w:before="8"/>
              <w:ind w:left="112" w:right="1498"/>
              <w:rPr>
                <w:sz w:val="24"/>
              </w:rPr>
            </w:pPr>
            <w:r>
              <w:rPr>
                <w:sz w:val="24"/>
              </w:rPr>
              <w:t>Tensión simétrica y asimétrica.</w:t>
            </w:r>
          </w:p>
        </w:tc>
      </w:tr>
      <w:tr>
        <w:trPr>
          <w:trHeight w:val="318" w:hRule="exact"/>
        </w:trPr>
        <w:tc>
          <w:tcPr>
            <w:tcW w:w="1528" w:type="dxa"/>
          </w:tcPr>
          <w:p>
            <w:pPr>
              <w:pStyle w:val="TableParagraph"/>
              <w:spacing w:before="9"/>
              <w:ind w:left="200"/>
              <w:rPr>
                <w:sz w:val="24"/>
              </w:rPr>
            </w:pPr>
            <w:r>
              <w:rPr>
                <w:sz w:val="24"/>
              </w:rPr>
              <w:t>Figura 1.12</w:t>
            </w:r>
          </w:p>
        </w:tc>
        <w:tc>
          <w:tcPr>
            <w:tcW w:w="7700" w:type="dxa"/>
          </w:tcPr>
          <w:p>
            <w:pPr>
              <w:pStyle w:val="TableParagraph"/>
              <w:spacing w:before="9"/>
              <w:ind w:left="112" w:right="1498"/>
              <w:rPr>
                <w:sz w:val="24"/>
              </w:rPr>
            </w:pPr>
            <w:r>
              <w:rPr>
                <w:sz w:val="24"/>
              </w:rPr>
              <w:t>Flexión simétrica y asimétrica en el plano.</w:t>
            </w:r>
          </w:p>
        </w:tc>
      </w:tr>
      <w:tr>
        <w:trPr>
          <w:trHeight w:val="475" w:hRule="exact"/>
        </w:trPr>
        <w:tc>
          <w:tcPr>
            <w:tcW w:w="1528" w:type="dxa"/>
          </w:tcPr>
          <w:p>
            <w:pPr>
              <w:pStyle w:val="TableParagraph"/>
              <w:ind w:left="200"/>
              <w:rPr>
                <w:sz w:val="24"/>
              </w:rPr>
            </w:pPr>
            <w:r>
              <w:rPr>
                <w:sz w:val="24"/>
              </w:rPr>
              <w:t>Figura 1.13</w:t>
            </w:r>
          </w:p>
        </w:tc>
        <w:tc>
          <w:tcPr>
            <w:tcW w:w="7700" w:type="dxa"/>
          </w:tcPr>
          <w:p>
            <w:pPr>
              <w:pStyle w:val="TableParagraph"/>
              <w:ind w:left="112" w:right="1498"/>
              <w:rPr>
                <w:sz w:val="24"/>
              </w:rPr>
            </w:pPr>
            <w:r>
              <w:rPr>
                <w:sz w:val="24"/>
              </w:rPr>
              <w:t>Flexiones fuera del plano.</w:t>
            </w:r>
          </w:p>
        </w:tc>
      </w:tr>
      <w:tr>
        <w:trPr>
          <w:trHeight w:val="476" w:hRule="exact"/>
        </w:trPr>
        <w:tc>
          <w:tcPr>
            <w:tcW w:w="1528" w:type="dxa"/>
          </w:tcPr>
          <w:p>
            <w:pPr>
              <w:pStyle w:val="TableParagraph"/>
              <w:spacing w:before="166"/>
              <w:ind w:left="200"/>
              <w:rPr>
                <w:sz w:val="24"/>
              </w:rPr>
            </w:pPr>
            <w:r>
              <w:rPr>
                <w:sz w:val="24"/>
              </w:rPr>
              <w:t>Figura 2.1</w:t>
            </w:r>
          </w:p>
        </w:tc>
        <w:tc>
          <w:tcPr>
            <w:tcW w:w="7700" w:type="dxa"/>
          </w:tcPr>
          <w:p>
            <w:pPr>
              <w:pStyle w:val="TableParagraph"/>
              <w:spacing w:before="166"/>
              <w:ind w:left="112" w:right="1498"/>
              <w:rPr>
                <w:sz w:val="24"/>
              </w:rPr>
            </w:pPr>
            <w:r>
              <w:rPr>
                <w:sz w:val="24"/>
              </w:rPr>
              <w:t>Fibras de Luffa irradiadas.</w:t>
            </w:r>
          </w:p>
        </w:tc>
      </w:tr>
      <w:tr>
        <w:trPr>
          <w:trHeight w:val="318" w:hRule="exact"/>
        </w:trPr>
        <w:tc>
          <w:tcPr>
            <w:tcW w:w="1528" w:type="dxa"/>
          </w:tcPr>
          <w:p>
            <w:pPr>
              <w:pStyle w:val="TableParagraph"/>
              <w:spacing w:before="9"/>
              <w:ind w:left="200"/>
              <w:rPr>
                <w:sz w:val="24"/>
              </w:rPr>
            </w:pPr>
            <w:r>
              <w:rPr>
                <w:sz w:val="24"/>
              </w:rPr>
              <w:t>Figura 2.2</w:t>
            </w:r>
          </w:p>
        </w:tc>
        <w:tc>
          <w:tcPr>
            <w:tcW w:w="7700" w:type="dxa"/>
          </w:tcPr>
          <w:p>
            <w:pPr>
              <w:pStyle w:val="TableParagraph"/>
              <w:spacing w:before="9"/>
              <w:ind w:left="112" w:right="1498"/>
              <w:rPr>
                <w:sz w:val="24"/>
              </w:rPr>
            </w:pPr>
            <w:r>
              <w:rPr>
                <w:sz w:val="24"/>
              </w:rPr>
              <w:t>Maquina Universal de pruebas.</w:t>
            </w:r>
          </w:p>
        </w:tc>
      </w:tr>
      <w:tr>
        <w:trPr>
          <w:trHeight w:val="634" w:hRule="exact"/>
        </w:trPr>
        <w:tc>
          <w:tcPr>
            <w:tcW w:w="1528" w:type="dxa"/>
          </w:tcPr>
          <w:p>
            <w:pPr>
              <w:pStyle w:val="TableParagraph"/>
              <w:ind w:left="200"/>
              <w:rPr>
                <w:sz w:val="24"/>
              </w:rPr>
            </w:pPr>
            <w:r>
              <w:rPr>
                <w:sz w:val="24"/>
              </w:rPr>
              <w:t>Figura 2.3</w:t>
            </w:r>
          </w:p>
        </w:tc>
        <w:tc>
          <w:tcPr>
            <w:tcW w:w="7700" w:type="dxa"/>
          </w:tcPr>
          <w:p>
            <w:pPr>
              <w:pStyle w:val="TableParagraph"/>
              <w:spacing w:line="276" w:lineRule="auto"/>
              <w:ind w:left="112" w:right="1498"/>
              <w:rPr>
                <w:sz w:val="24"/>
              </w:rPr>
            </w:pPr>
            <w:r>
              <w:rPr>
                <w:sz w:val="24"/>
              </w:rPr>
              <w:t>Probeta de concreto polimérico sometida a un ensayo de compresión.</w:t>
            </w:r>
          </w:p>
        </w:tc>
      </w:tr>
      <w:tr>
        <w:trPr>
          <w:trHeight w:val="318" w:hRule="exact"/>
        </w:trPr>
        <w:tc>
          <w:tcPr>
            <w:tcW w:w="1528" w:type="dxa"/>
          </w:tcPr>
          <w:p>
            <w:pPr>
              <w:pStyle w:val="TableParagraph"/>
              <w:ind w:left="200"/>
              <w:rPr>
                <w:sz w:val="24"/>
              </w:rPr>
            </w:pPr>
            <w:r>
              <w:rPr>
                <w:sz w:val="24"/>
              </w:rPr>
              <w:t>Figura 2.4</w:t>
            </w:r>
          </w:p>
        </w:tc>
        <w:tc>
          <w:tcPr>
            <w:tcW w:w="7700" w:type="dxa"/>
          </w:tcPr>
          <w:p>
            <w:pPr>
              <w:pStyle w:val="TableParagraph"/>
              <w:ind w:left="112" w:right="1498"/>
              <w:rPr>
                <w:sz w:val="24"/>
              </w:rPr>
            </w:pPr>
            <w:r>
              <w:rPr>
                <w:sz w:val="24"/>
              </w:rPr>
              <w:t>Panel de control de Maquina Universal de pruebas.</w:t>
            </w:r>
          </w:p>
        </w:tc>
      </w:tr>
      <w:tr>
        <w:trPr>
          <w:trHeight w:val="635" w:hRule="exact"/>
        </w:trPr>
        <w:tc>
          <w:tcPr>
            <w:tcW w:w="1528" w:type="dxa"/>
          </w:tcPr>
          <w:p>
            <w:pPr>
              <w:pStyle w:val="TableParagraph"/>
              <w:spacing w:before="9"/>
              <w:ind w:left="200"/>
              <w:rPr>
                <w:sz w:val="24"/>
              </w:rPr>
            </w:pPr>
            <w:r>
              <w:rPr>
                <w:sz w:val="24"/>
              </w:rPr>
              <w:t>Figura 2.5</w:t>
            </w:r>
          </w:p>
        </w:tc>
        <w:tc>
          <w:tcPr>
            <w:tcW w:w="7700" w:type="dxa"/>
          </w:tcPr>
          <w:p>
            <w:pPr>
              <w:pStyle w:val="TableParagraph"/>
              <w:spacing w:line="276" w:lineRule="auto" w:before="9"/>
              <w:ind w:left="112" w:right="1032"/>
              <w:rPr>
                <w:sz w:val="24"/>
              </w:rPr>
            </w:pPr>
            <w:r>
              <w:rPr>
                <w:sz w:val="24"/>
              </w:rPr>
              <w:t>Microscopio electrónico de barrido Marca JEOL Modelo JSM- 6510LV.</w:t>
            </w:r>
          </w:p>
        </w:tc>
      </w:tr>
      <w:tr>
        <w:trPr>
          <w:trHeight w:val="475" w:hRule="exact"/>
        </w:trPr>
        <w:tc>
          <w:tcPr>
            <w:tcW w:w="1528" w:type="dxa"/>
          </w:tcPr>
          <w:p>
            <w:pPr>
              <w:pStyle w:val="TableParagraph"/>
              <w:ind w:left="200"/>
              <w:rPr>
                <w:sz w:val="24"/>
              </w:rPr>
            </w:pPr>
            <w:r>
              <w:rPr>
                <w:sz w:val="24"/>
              </w:rPr>
              <w:t>Figura 2.6.</w:t>
            </w:r>
          </w:p>
        </w:tc>
        <w:tc>
          <w:tcPr>
            <w:tcW w:w="7700" w:type="dxa"/>
          </w:tcPr>
          <w:p>
            <w:pPr>
              <w:pStyle w:val="TableParagraph"/>
              <w:ind w:left="112" w:right="1498"/>
              <w:rPr>
                <w:sz w:val="24"/>
              </w:rPr>
            </w:pPr>
            <w:r>
              <w:rPr>
                <w:sz w:val="24"/>
              </w:rPr>
              <w:t>Difractómetro BRUKER  D8 ADVANCE.</w:t>
            </w:r>
          </w:p>
        </w:tc>
      </w:tr>
      <w:tr>
        <w:trPr>
          <w:trHeight w:val="476" w:hRule="exact"/>
        </w:trPr>
        <w:tc>
          <w:tcPr>
            <w:tcW w:w="1528" w:type="dxa"/>
          </w:tcPr>
          <w:p>
            <w:pPr>
              <w:pStyle w:val="TableParagraph"/>
              <w:spacing w:before="166"/>
              <w:ind w:left="200"/>
              <w:rPr>
                <w:sz w:val="24"/>
              </w:rPr>
            </w:pPr>
            <w:r>
              <w:rPr>
                <w:sz w:val="24"/>
              </w:rPr>
              <w:t>Figura 3.1</w:t>
            </w:r>
          </w:p>
        </w:tc>
        <w:tc>
          <w:tcPr>
            <w:tcW w:w="7700" w:type="dxa"/>
          </w:tcPr>
          <w:p>
            <w:pPr>
              <w:pStyle w:val="TableParagraph"/>
              <w:spacing w:before="166"/>
              <w:ind w:left="112" w:right="1032"/>
              <w:rPr>
                <w:sz w:val="24"/>
              </w:rPr>
            </w:pPr>
            <w:r>
              <w:rPr>
                <w:sz w:val="24"/>
              </w:rPr>
              <w:t>Curvas esfuerzo – deformación de concretos poliméricos.</w:t>
            </w:r>
          </w:p>
        </w:tc>
      </w:tr>
      <w:tr>
        <w:trPr>
          <w:trHeight w:val="318" w:hRule="exact"/>
        </w:trPr>
        <w:tc>
          <w:tcPr>
            <w:tcW w:w="1528" w:type="dxa"/>
          </w:tcPr>
          <w:p>
            <w:pPr>
              <w:pStyle w:val="TableParagraph"/>
              <w:spacing w:before="9"/>
              <w:ind w:left="200"/>
              <w:rPr>
                <w:sz w:val="24"/>
              </w:rPr>
            </w:pPr>
            <w:r>
              <w:rPr>
                <w:sz w:val="24"/>
              </w:rPr>
              <w:t>Figura 3.2</w:t>
            </w:r>
          </w:p>
        </w:tc>
        <w:tc>
          <w:tcPr>
            <w:tcW w:w="7700" w:type="dxa"/>
          </w:tcPr>
          <w:p>
            <w:pPr>
              <w:pStyle w:val="TableParagraph"/>
              <w:spacing w:before="9"/>
              <w:ind w:left="112" w:right="1498"/>
              <w:rPr>
                <w:sz w:val="24"/>
              </w:rPr>
            </w:pPr>
            <w:r>
              <w:rPr>
                <w:sz w:val="24"/>
              </w:rPr>
              <w:t>Resistencia a la compresión de concretos poliméricos.</w:t>
            </w:r>
          </w:p>
        </w:tc>
      </w:tr>
      <w:tr>
        <w:trPr>
          <w:trHeight w:val="317" w:hRule="exact"/>
        </w:trPr>
        <w:tc>
          <w:tcPr>
            <w:tcW w:w="1528" w:type="dxa"/>
          </w:tcPr>
          <w:p>
            <w:pPr>
              <w:pStyle w:val="TableParagraph"/>
              <w:ind w:left="200"/>
              <w:rPr>
                <w:sz w:val="24"/>
              </w:rPr>
            </w:pPr>
            <w:r>
              <w:rPr>
                <w:sz w:val="24"/>
              </w:rPr>
              <w:t>Figura 3.3</w:t>
            </w:r>
          </w:p>
        </w:tc>
        <w:tc>
          <w:tcPr>
            <w:tcW w:w="7700" w:type="dxa"/>
          </w:tcPr>
          <w:p>
            <w:pPr>
              <w:pStyle w:val="TableParagraph"/>
              <w:ind w:left="112" w:right="1498"/>
              <w:rPr>
                <w:sz w:val="24"/>
              </w:rPr>
            </w:pPr>
            <w:r>
              <w:rPr>
                <w:sz w:val="24"/>
              </w:rPr>
              <w:t>Imágenes de SEM de fibras de luffa sin irradiar.</w:t>
            </w:r>
          </w:p>
        </w:tc>
      </w:tr>
      <w:tr>
        <w:trPr>
          <w:trHeight w:val="317" w:hRule="exact"/>
        </w:trPr>
        <w:tc>
          <w:tcPr>
            <w:tcW w:w="1528" w:type="dxa"/>
          </w:tcPr>
          <w:p>
            <w:pPr>
              <w:pStyle w:val="TableParagraph"/>
              <w:ind w:left="200"/>
              <w:rPr>
                <w:sz w:val="24"/>
              </w:rPr>
            </w:pPr>
            <w:r>
              <w:rPr>
                <w:sz w:val="24"/>
              </w:rPr>
              <w:t>Figura 3.4</w:t>
            </w:r>
          </w:p>
        </w:tc>
        <w:tc>
          <w:tcPr>
            <w:tcW w:w="7700" w:type="dxa"/>
          </w:tcPr>
          <w:p>
            <w:pPr>
              <w:pStyle w:val="TableParagraph"/>
              <w:ind w:left="112" w:right="751"/>
              <w:rPr>
                <w:sz w:val="24"/>
              </w:rPr>
            </w:pPr>
            <w:r>
              <w:rPr>
                <w:sz w:val="24"/>
              </w:rPr>
              <w:t>Imágenes de SEM de fibras de luffa irradiadas a 50 y 100 kGy.</w:t>
            </w:r>
          </w:p>
        </w:tc>
      </w:tr>
      <w:tr>
        <w:trPr>
          <w:trHeight w:val="636" w:hRule="exact"/>
        </w:trPr>
        <w:tc>
          <w:tcPr>
            <w:tcW w:w="1528" w:type="dxa"/>
          </w:tcPr>
          <w:p>
            <w:pPr>
              <w:pStyle w:val="TableParagraph"/>
              <w:ind w:left="200"/>
              <w:rPr>
                <w:sz w:val="24"/>
              </w:rPr>
            </w:pPr>
            <w:r>
              <w:rPr>
                <w:sz w:val="24"/>
              </w:rPr>
              <w:t>Figura 3.5</w:t>
            </w:r>
          </w:p>
        </w:tc>
        <w:tc>
          <w:tcPr>
            <w:tcW w:w="7700" w:type="dxa"/>
          </w:tcPr>
          <w:p>
            <w:pPr>
              <w:pStyle w:val="TableParagraph"/>
              <w:spacing w:line="278" w:lineRule="auto"/>
              <w:ind w:left="112" w:right="751"/>
              <w:rPr>
                <w:sz w:val="24"/>
              </w:rPr>
            </w:pPr>
            <w:r>
              <w:rPr>
                <w:sz w:val="24"/>
              </w:rPr>
              <w:t>Deformación en el punto de máximo esfuerzo en compresión de concretos poliméricos.</w:t>
            </w:r>
          </w:p>
        </w:tc>
      </w:tr>
      <w:tr>
        <w:trPr>
          <w:trHeight w:val="317" w:hRule="exact"/>
        </w:trPr>
        <w:tc>
          <w:tcPr>
            <w:tcW w:w="1528" w:type="dxa"/>
          </w:tcPr>
          <w:p>
            <w:pPr>
              <w:pStyle w:val="TableParagraph"/>
              <w:ind w:left="200"/>
              <w:rPr>
                <w:sz w:val="24"/>
              </w:rPr>
            </w:pPr>
            <w:r>
              <w:rPr>
                <w:sz w:val="24"/>
              </w:rPr>
              <w:t>Figura 3.6</w:t>
            </w:r>
          </w:p>
        </w:tc>
        <w:tc>
          <w:tcPr>
            <w:tcW w:w="7700" w:type="dxa"/>
          </w:tcPr>
          <w:p>
            <w:pPr>
              <w:pStyle w:val="TableParagraph"/>
              <w:ind w:left="112" w:right="1498"/>
              <w:rPr>
                <w:sz w:val="24"/>
              </w:rPr>
            </w:pPr>
            <w:r>
              <w:rPr>
                <w:sz w:val="24"/>
              </w:rPr>
              <w:t>Resistencia a la flexión de concretos poliméricos</w:t>
            </w:r>
          </w:p>
        </w:tc>
      </w:tr>
      <w:tr>
        <w:trPr>
          <w:trHeight w:val="635" w:hRule="exact"/>
        </w:trPr>
        <w:tc>
          <w:tcPr>
            <w:tcW w:w="1528" w:type="dxa"/>
          </w:tcPr>
          <w:p>
            <w:pPr>
              <w:pStyle w:val="TableParagraph"/>
              <w:ind w:left="200"/>
              <w:rPr>
                <w:sz w:val="24"/>
              </w:rPr>
            </w:pPr>
            <w:r>
              <w:rPr>
                <w:sz w:val="24"/>
              </w:rPr>
              <w:t>Figura 3.7</w:t>
            </w:r>
          </w:p>
        </w:tc>
        <w:tc>
          <w:tcPr>
            <w:tcW w:w="7700" w:type="dxa"/>
          </w:tcPr>
          <w:p>
            <w:pPr>
              <w:pStyle w:val="TableParagraph"/>
              <w:spacing w:line="276" w:lineRule="auto"/>
              <w:ind w:left="112" w:right="190"/>
              <w:rPr>
                <w:sz w:val="24"/>
              </w:rPr>
            </w:pPr>
            <w:r>
              <w:rPr>
                <w:sz w:val="24"/>
              </w:rPr>
              <w:t>Deformación en el punto de máximo esfuerzo en flexión de concretos poliméricos.</w:t>
            </w:r>
          </w:p>
        </w:tc>
      </w:tr>
      <w:tr>
        <w:trPr>
          <w:trHeight w:val="318" w:hRule="exact"/>
        </w:trPr>
        <w:tc>
          <w:tcPr>
            <w:tcW w:w="1528" w:type="dxa"/>
          </w:tcPr>
          <w:p>
            <w:pPr>
              <w:pStyle w:val="TableParagraph"/>
              <w:spacing w:before="9"/>
              <w:ind w:left="200"/>
              <w:rPr>
                <w:sz w:val="24"/>
              </w:rPr>
            </w:pPr>
            <w:r>
              <w:rPr>
                <w:sz w:val="24"/>
              </w:rPr>
              <w:t>Figura 3.8</w:t>
            </w:r>
          </w:p>
        </w:tc>
        <w:tc>
          <w:tcPr>
            <w:tcW w:w="7700" w:type="dxa"/>
          </w:tcPr>
          <w:p>
            <w:pPr>
              <w:pStyle w:val="TableParagraph"/>
              <w:spacing w:before="9"/>
              <w:ind w:left="112" w:right="1498"/>
              <w:rPr>
                <w:sz w:val="24"/>
              </w:rPr>
            </w:pPr>
            <w:r>
              <w:rPr>
                <w:sz w:val="24"/>
              </w:rPr>
              <w:t>Módulo de elasticidad de concretos poliméricos</w:t>
            </w:r>
          </w:p>
        </w:tc>
      </w:tr>
      <w:tr>
        <w:trPr>
          <w:trHeight w:val="317" w:hRule="exact"/>
        </w:trPr>
        <w:tc>
          <w:tcPr>
            <w:tcW w:w="1528" w:type="dxa"/>
          </w:tcPr>
          <w:p>
            <w:pPr>
              <w:pStyle w:val="TableParagraph"/>
              <w:ind w:left="200"/>
              <w:rPr>
                <w:sz w:val="24"/>
              </w:rPr>
            </w:pPr>
            <w:r>
              <w:rPr>
                <w:sz w:val="24"/>
              </w:rPr>
              <w:t>Figura 3.9</w:t>
            </w:r>
          </w:p>
        </w:tc>
        <w:tc>
          <w:tcPr>
            <w:tcW w:w="7700" w:type="dxa"/>
          </w:tcPr>
          <w:p>
            <w:pPr>
              <w:pStyle w:val="TableParagraph"/>
              <w:ind w:left="112" w:right="1032"/>
              <w:rPr>
                <w:sz w:val="24"/>
              </w:rPr>
            </w:pPr>
            <w:r>
              <w:rPr>
                <w:sz w:val="24"/>
              </w:rPr>
              <w:t>Módulo de elasticidad dinámico de los concretos poliméricos.</w:t>
            </w:r>
          </w:p>
        </w:tc>
      </w:tr>
      <w:tr>
        <w:trPr>
          <w:trHeight w:val="952" w:hRule="exact"/>
        </w:trPr>
        <w:tc>
          <w:tcPr>
            <w:tcW w:w="1528" w:type="dxa"/>
          </w:tcPr>
          <w:p>
            <w:pPr>
              <w:pStyle w:val="TableParagraph"/>
              <w:ind w:left="200"/>
              <w:rPr>
                <w:sz w:val="24"/>
              </w:rPr>
            </w:pPr>
            <w:r>
              <w:rPr>
                <w:sz w:val="24"/>
              </w:rPr>
              <w:t>Figura 3.10</w:t>
            </w:r>
          </w:p>
        </w:tc>
        <w:tc>
          <w:tcPr>
            <w:tcW w:w="7700" w:type="dxa"/>
          </w:tcPr>
          <w:p>
            <w:pPr>
              <w:pStyle w:val="TableParagraph"/>
              <w:spacing w:line="276" w:lineRule="auto"/>
              <w:ind w:left="112" w:right="190"/>
              <w:rPr>
                <w:sz w:val="24"/>
              </w:rPr>
            </w:pPr>
            <w:r>
              <w:rPr>
                <w:sz w:val="24"/>
              </w:rPr>
              <w:t>Imágenes SEM de fibras de Luffa: a) sin irradiar, b) irradiada a 100 kGy..</w:t>
            </w:r>
          </w:p>
        </w:tc>
      </w:tr>
      <w:tr>
        <w:trPr>
          <w:trHeight w:val="596" w:hRule="exact"/>
        </w:trPr>
        <w:tc>
          <w:tcPr>
            <w:tcW w:w="1528" w:type="dxa"/>
          </w:tcPr>
          <w:p>
            <w:pPr>
              <w:pStyle w:val="TableParagraph"/>
              <w:spacing w:before="3"/>
              <w:ind w:left="0"/>
              <w:rPr>
                <w:b/>
                <w:sz w:val="28"/>
              </w:rPr>
            </w:pPr>
          </w:p>
          <w:p>
            <w:pPr>
              <w:pStyle w:val="TableParagraph"/>
              <w:spacing w:before="0"/>
              <w:ind w:left="200"/>
              <w:rPr>
                <w:sz w:val="24"/>
              </w:rPr>
            </w:pPr>
            <w:r>
              <w:rPr>
                <w:sz w:val="24"/>
              </w:rPr>
              <w:t>Figura 3.11</w:t>
            </w:r>
          </w:p>
        </w:tc>
        <w:tc>
          <w:tcPr>
            <w:tcW w:w="7700" w:type="dxa"/>
          </w:tcPr>
          <w:p>
            <w:pPr>
              <w:pStyle w:val="TableParagraph"/>
              <w:spacing w:before="3"/>
              <w:ind w:left="0"/>
              <w:rPr>
                <w:b/>
                <w:sz w:val="28"/>
              </w:rPr>
            </w:pPr>
          </w:p>
          <w:p>
            <w:pPr>
              <w:pStyle w:val="TableParagraph"/>
              <w:spacing w:before="0"/>
              <w:ind w:left="112" w:right="1032"/>
              <w:rPr>
                <w:sz w:val="24"/>
              </w:rPr>
            </w:pPr>
            <w:r>
              <w:rPr>
                <w:sz w:val="24"/>
              </w:rPr>
              <w:t>Difractograma de fibras de Luffa sin irradiación e irradiadas.</w:t>
            </w:r>
          </w:p>
        </w:tc>
      </w:tr>
    </w:tbl>
    <w:p>
      <w:pPr>
        <w:spacing w:after="0"/>
        <w:rPr>
          <w:sz w:val="24"/>
        </w:rPr>
        <w:sectPr>
          <w:pgSz w:w="12240" w:h="15840"/>
          <w:pgMar w:header="747" w:footer="0" w:top="940" w:bottom="280" w:left="1320" w:right="1480"/>
        </w:sectPr>
      </w:pPr>
    </w:p>
    <w:p>
      <w:pPr>
        <w:pStyle w:val="BodyText"/>
        <w:rPr>
          <w:b/>
          <w:sz w:val="20"/>
        </w:rPr>
      </w:pPr>
    </w:p>
    <w:p>
      <w:pPr>
        <w:pStyle w:val="BodyText"/>
        <w:spacing w:before="2" w:after="1"/>
        <w:rPr>
          <w:b/>
          <w:sz w:val="2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28"/>
        <w:gridCol w:w="7699"/>
      </w:tblGrid>
      <w:tr>
        <w:trPr>
          <w:trHeight w:val="598" w:hRule="exact"/>
        </w:trPr>
        <w:tc>
          <w:tcPr>
            <w:tcW w:w="1528" w:type="dxa"/>
          </w:tcPr>
          <w:p>
            <w:pPr>
              <w:pStyle w:val="TableParagraph"/>
              <w:spacing w:line="245" w:lineRule="exact" w:before="0"/>
              <w:ind w:left="0" w:right="110"/>
              <w:jc w:val="right"/>
              <w:rPr>
                <w:sz w:val="24"/>
              </w:rPr>
            </w:pPr>
            <w:r>
              <w:rPr>
                <w:sz w:val="24"/>
              </w:rPr>
              <w:t>Figura 3.12</w:t>
            </w:r>
          </w:p>
        </w:tc>
        <w:tc>
          <w:tcPr>
            <w:tcW w:w="7699" w:type="dxa"/>
          </w:tcPr>
          <w:p>
            <w:pPr>
              <w:pStyle w:val="TableParagraph"/>
              <w:spacing w:line="245" w:lineRule="exact" w:before="0"/>
              <w:ind w:left="112"/>
              <w:rPr>
                <w:sz w:val="24"/>
              </w:rPr>
            </w:pPr>
            <w:r>
              <w:rPr>
                <w:sz w:val="24"/>
              </w:rPr>
              <w:t>Distancia interplanar de los picos conforme varía la dosis de</w:t>
            </w:r>
          </w:p>
          <w:p>
            <w:pPr>
              <w:pStyle w:val="TableParagraph"/>
              <w:spacing w:before="43"/>
              <w:ind w:left="112"/>
              <w:rPr>
                <w:sz w:val="24"/>
              </w:rPr>
            </w:pPr>
            <w:r>
              <w:rPr>
                <w:sz w:val="24"/>
              </w:rPr>
              <w:t>radiación gamma.</w:t>
            </w:r>
          </w:p>
        </w:tc>
      </w:tr>
      <w:tr>
        <w:trPr>
          <w:trHeight w:val="309" w:hRule="exact"/>
        </w:trPr>
        <w:tc>
          <w:tcPr>
            <w:tcW w:w="1528" w:type="dxa"/>
          </w:tcPr>
          <w:p>
            <w:pPr>
              <w:pStyle w:val="TableParagraph"/>
              <w:ind w:left="0" w:right="110"/>
              <w:jc w:val="right"/>
              <w:rPr>
                <w:sz w:val="24"/>
              </w:rPr>
            </w:pPr>
            <w:r>
              <w:rPr>
                <w:sz w:val="24"/>
              </w:rPr>
              <w:t>Figura 3.13</w:t>
            </w:r>
          </w:p>
        </w:tc>
        <w:tc>
          <w:tcPr>
            <w:tcW w:w="7699" w:type="dxa"/>
          </w:tcPr>
          <w:p>
            <w:pPr>
              <w:pStyle w:val="TableParagraph"/>
              <w:ind w:left="112"/>
              <w:rPr>
                <w:sz w:val="24"/>
              </w:rPr>
            </w:pPr>
            <w:r>
              <w:rPr>
                <w:sz w:val="24"/>
              </w:rPr>
              <w:t>Intensidad de los picos conforme varia la dosis de radiación gamma.</w:t>
            </w:r>
          </w:p>
        </w:tc>
      </w:tr>
      <w:tr>
        <w:trPr>
          <w:trHeight w:val="324" w:hRule="exact"/>
        </w:trPr>
        <w:tc>
          <w:tcPr>
            <w:tcW w:w="1528" w:type="dxa"/>
          </w:tcPr>
          <w:p>
            <w:pPr>
              <w:pStyle w:val="TableParagraph"/>
              <w:spacing w:before="15"/>
              <w:ind w:left="0" w:right="110"/>
              <w:jc w:val="right"/>
              <w:rPr>
                <w:sz w:val="24"/>
              </w:rPr>
            </w:pPr>
            <w:r>
              <w:rPr>
                <w:sz w:val="24"/>
              </w:rPr>
              <w:t>Figura 3.14</w:t>
            </w:r>
          </w:p>
        </w:tc>
        <w:tc>
          <w:tcPr>
            <w:tcW w:w="7699" w:type="dxa"/>
          </w:tcPr>
          <w:p>
            <w:pPr>
              <w:pStyle w:val="TableParagraph"/>
              <w:spacing w:before="10"/>
              <w:ind w:left="112"/>
              <w:rPr>
                <w:sz w:val="24"/>
              </w:rPr>
            </w:pPr>
            <w:r>
              <w:rPr>
                <w:sz w:val="24"/>
              </w:rPr>
              <w:t>Difractogramas de los picos: a) 15</w:t>
            </w:r>
            <w:r>
              <w:rPr>
                <w:position w:val="8"/>
                <w:sz w:val="16"/>
              </w:rPr>
              <w:t>0</w:t>
            </w:r>
            <w:r>
              <w:rPr>
                <w:sz w:val="24"/>
              </w:rPr>
              <w:t>, b) 22</w:t>
            </w:r>
            <w:r>
              <w:rPr>
                <w:position w:val="8"/>
                <w:sz w:val="16"/>
              </w:rPr>
              <w:t>o </w:t>
            </w:r>
            <w:r>
              <w:rPr>
                <w:sz w:val="24"/>
              </w:rPr>
              <w:t>y c) 34</w:t>
            </w:r>
            <w:r>
              <w:rPr>
                <w:position w:val="8"/>
                <w:sz w:val="16"/>
              </w:rPr>
              <w:t>o </w:t>
            </w:r>
            <w:r>
              <w:rPr>
                <w:sz w:val="24"/>
              </w:rPr>
              <w:t>de fibras de Luffa.</w:t>
            </w:r>
          </w:p>
        </w:tc>
      </w:tr>
      <w:tr>
        <w:trPr>
          <w:trHeight w:val="598" w:hRule="exact"/>
        </w:trPr>
        <w:tc>
          <w:tcPr>
            <w:tcW w:w="1528" w:type="dxa"/>
          </w:tcPr>
          <w:p>
            <w:pPr>
              <w:pStyle w:val="TableParagraph"/>
              <w:ind w:left="0" w:right="110"/>
              <w:jc w:val="right"/>
              <w:rPr>
                <w:sz w:val="24"/>
              </w:rPr>
            </w:pPr>
            <w:r>
              <w:rPr>
                <w:sz w:val="24"/>
              </w:rPr>
              <w:t>Figura 3.15</w:t>
            </w:r>
          </w:p>
        </w:tc>
        <w:tc>
          <w:tcPr>
            <w:tcW w:w="7699" w:type="dxa"/>
          </w:tcPr>
          <w:p>
            <w:pPr>
              <w:pStyle w:val="TableParagraph"/>
              <w:spacing w:line="278" w:lineRule="auto"/>
              <w:ind w:left="112"/>
              <w:rPr>
                <w:sz w:val="24"/>
              </w:rPr>
            </w:pPr>
            <w:r>
              <w:rPr>
                <w:sz w:val="24"/>
              </w:rPr>
              <w:t>Espectro infrarrojo de fibra de luffa sin irradiar e irradiada a diferentes dosis.</w:t>
            </w:r>
          </w:p>
        </w:tc>
      </w:tr>
    </w:tbl>
    <w:p>
      <w:pPr>
        <w:pStyle w:val="BodyText"/>
        <w:rPr>
          <w:b/>
          <w:sz w:val="20"/>
        </w:rPr>
      </w:pPr>
    </w:p>
    <w:p>
      <w:pPr>
        <w:pStyle w:val="BodyText"/>
        <w:rPr>
          <w:b/>
          <w:sz w:val="20"/>
        </w:rPr>
      </w:pPr>
    </w:p>
    <w:p>
      <w:pPr>
        <w:pStyle w:val="BodyText"/>
        <w:rPr>
          <w:b/>
          <w:sz w:val="20"/>
        </w:rPr>
      </w:pPr>
    </w:p>
    <w:p>
      <w:pPr>
        <w:pStyle w:val="BodyText"/>
        <w:spacing w:before="9"/>
        <w:rPr>
          <w:b/>
          <w:sz w:val="20"/>
        </w:rPr>
      </w:pPr>
    </w:p>
    <w:p>
      <w:pPr>
        <w:spacing w:before="70"/>
        <w:ind w:left="382" w:right="0" w:firstLine="0"/>
        <w:jc w:val="left"/>
        <w:rPr>
          <w:b/>
          <w:sz w:val="24"/>
        </w:rPr>
      </w:pPr>
      <w:r>
        <w:rPr>
          <w:b/>
          <w:sz w:val="24"/>
        </w:rPr>
        <w:t>RELACIÓN DE TABLAS</w:t>
      </w:r>
    </w:p>
    <w:p>
      <w:pPr>
        <w:pStyle w:val="BodyText"/>
        <w:spacing w:before="6"/>
        <w:rPr>
          <w:b/>
          <w:sz w:val="23"/>
        </w:rPr>
      </w:pPr>
    </w:p>
    <w:tbl>
      <w:tblPr>
        <w:tblW w:w="0" w:type="auto"/>
        <w:jc w:val="left"/>
        <w:tblInd w:w="1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2"/>
        <w:gridCol w:w="7625"/>
      </w:tblGrid>
      <w:tr>
        <w:trPr>
          <w:trHeight w:val="279" w:hRule="exact"/>
        </w:trPr>
        <w:tc>
          <w:tcPr>
            <w:tcW w:w="1392" w:type="dxa"/>
          </w:tcPr>
          <w:p>
            <w:pPr>
              <w:pStyle w:val="TableParagraph"/>
              <w:spacing w:line="245" w:lineRule="exact" w:before="0"/>
              <w:ind w:left="180" w:right="171"/>
              <w:jc w:val="center"/>
              <w:rPr>
                <w:sz w:val="24"/>
              </w:rPr>
            </w:pPr>
            <w:r>
              <w:rPr>
                <w:sz w:val="24"/>
              </w:rPr>
              <w:t>Tabla 1.1</w:t>
            </w:r>
          </w:p>
        </w:tc>
        <w:tc>
          <w:tcPr>
            <w:tcW w:w="7625" w:type="dxa"/>
          </w:tcPr>
          <w:p>
            <w:pPr>
              <w:pStyle w:val="TableParagraph"/>
              <w:spacing w:line="245" w:lineRule="exact" w:before="0"/>
              <w:ind w:left="190"/>
              <w:rPr>
                <w:sz w:val="24"/>
              </w:rPr>
            </w:pPr>
            <w:r>
              <w:rPr>
                <w:sz w:val="24"/>
              </w:rPr>
              <w:t>Propiedades del concreto polimérico e hidráulico.</w:t>
            </w:r>
          </w:p>
        </w:tc>
      </w:tr>
      <w:tr>
        <w:trPr>
          <w:trHeight w:val="318" w:hRule="exact"/>
        </w:trPr>
        <w:tc>
          <w:tcPr>
            <w:tcW w:w="1392" w:type="dxa"/>
          </w:tcPr>
          <w:p>
            <w:pPr>
              <w:pStyle w:val="TableParagraph"/>
              <w:spacing w:before="8"/>
              <w:ind w:left="180" w:right="171"/>
              <w:jc w:val="center"/>
              <w:rPr>
                <w:sz w:val="24"/>
              </w:rPr>
            </w:pPr>
            <w:r>
              <w:rPr>
                <w:sz w:val="24"/>
              </w:rPr>
              <w:t>Tabla 1.2</w:t>
            </w:r>
          </w:p>
        </w:tc>
        <w:tc>
          <w:tcPr>
            <w:tcW w:w="7625" w:type="dxa"/>
          </w:tcPr>
          <w:p>
            <w:pPr>
              <w:pStyle w:val="TableParagraph"/>
              <w:spacing w:before="8"/>
              <w:ind w:left="190"/>
              <w:rPr>
                <w:sz w:val="24"/>
              </w:rPr>
            </w:pPr>
            <w:r>
              <w:rPr>
                <w:sz w:val="24"/>
              </w:rPr>
              <w:t>Propiedades mecánicas de resinas de poliéster.</w:t>
            </w:r>
          </w:p>
        </w:tc>
      </w:tr>
      <w:tr>
        <w:trPr>
          <w:trHeight w:val="476" w:hRule="exact"/>
        </w:trPr>
        <w:tc>
          <w:tcPr>
            <w:tcW w:w="1392" w:type="dxa"/>
          </w:tcPr>
          <w:p>
            <w:pPr>
              <w:pStyle w:val="TableParagraph"/>
              <w:spacing w:before="9"/>
              <w:ind w:left="180" w:right="171"/>
              <w:jc w:val="center"/>
              <w:rPr>
                <w:sz w:val="24"/>
              </w:rPr>
            </w:pPr>
            <w:r>
              <w:rPr>
                <w:sz w:val="24"/>
              </w:rPr>
              <w:t>Tabla 1.3</w:t>
            </w:r>
          </w:p>
        </w:tc>
        <w:tc>
          <w:tcPr>
            <w:tcW w:w="7625" w:type="dxa"/>
          </w:tcPr>
          <w:p>
            <w:pPr>
              <w:pStyle w:val="TableParagraph"/>
              <w:spacing w:before="9"/>
              <w:ind w:left="190"/>
              <w:rPr>
                <w:sz w:val="24"/>
              </w:rPr>
            </w:pPr>
            <w:r>
              <w:rPr>
                <w:sz w:val="24"/>
              </w:rPr>
              <w:t>Propiedades de fibra de luffa.</w:t>
            </w:r>
          </w:p>
        </w:tc>
      </w:tr>
      <w:tr>
        <w:trPr>
          <w:trHeight w:val="475" w:hRule="exact"/>
        </w:trPr>
        <w:tc>
          <w:tcPr>
            <w:tcW w:w="1392" w:type="dxa"/>
          </w:tcPr>
          <w:p>
            <w:pPr>
              <w:pStyle w:val="TableParagraph"/>
              <w:spacing w:before="166"/>
              <w:ind w:left="180" w:right="171"/>
              <w:jc w:val="center"/>
              <w:rPr>
                <w:sz w:val="24"/>
              </w:rPr>
            </w:pPr>
            <w:r>
              <w:rPr>
                <w:sz w:val="24"/>
              </w:rPr>
              <w:t>Tabla 2.1</w:t>
            </w:r>
          </w:p>
        </w:tc>
        <w:tc>
          <w:tcPr>
            <w:tcW w:w="7625" w:type="dxa"/>
          </w:tcPr>
          <w:p>
            <w:pPr>
              <w:pStyle w:val="TableParagraph"/>
              <w:spacing w:before="166"/>
              <w:ind w:left="190"/>
              <w:rPr>
                <w:sz w:val="24"/>
              </w:rPr>
            </w:pPr>
            <w:r>
              <w:rPr>
                <w:sz w:val="24"/>
              </w:rPr>
              <w:t>Propiedades de resina poliéster insaturado.</w:t>
            </w:r>
          </w:p>
        </w:tc>
      </w:tr>
      <w:tr>
        <w:trPr>
          <w:trHeight w:val="318" w:hRule="exact"/>
        </w:trPr>
        <w:tc>
          <w:tcPr>
            <w:tcW w:w="1392" w:type="dxa"/>
          </w:tcPr>
          <w:p>
            <w:pPr>
              <w:pStyle w:val="TableParagraph"/>
              <w:ind w:left="180" w:right="171"/>
              <w:jc w:val="center"/>
              <w:rPr>
                <w:sz w:val="24"/>
              </w:rPr>
            </w:pPr>
            <w:r>
              <w:rPr>
                <w:sz w:val="24"/>
              </w:rPr>
              <w:t>Tabla 2.2</w:t>
            </w:r>
          </w:p>
        </w:tc>
        <w:tc>
          <w:tcPr>
            <w:tcW w:w="7625" w:type="dxa"/>
          </w:tcPr>
          <w:p>
            <w:pPr>
              <w:pStyle w:val="TableParagraph"/>
              <w:ind w:left="190"/>
              <w:rPr>
                <w:sz w:val="24"/>
              </w:rPr>
            </w:pPr>
            <w:r>
              <w:rPr>
                <w:sz w:val="24"/>
              </w:rPr>
              <w:t>Composición de la arena sílice.</w:t>
            </w:r>
          </w:p>
        </w:tc>
      </w:tr>
      <w:tr>
        <w:trPr>
          <w:trHeight w:val="318" w:hRule="exact"/>
        </w:trPr>
        <w:tc>
          <w:tcPr>
            <w:tcW w:w="1392" w:type="dxa"/>
          </w:tcPr>
          <w:p>
            <w:pPr>
              <w:pStyle w:val="TableParagraph"/>
              <w:spacing w:before="9"/>
              <w:ind w:left="180" w:right="171"/>
              <w:jc w:val="center"/>
              <w:rPr>
                <w:sz w:val="24"/>
              </w:rPr>
            </w:pPr>
            <w:r>
              <w:rPr>
                <w:sz w:val="24"/>
              </w:rPr>
              <w:t>Tabla 2.3</w:t>
            </w:r>
          </w:p>
        </w:tc>
        <w:tc>
          <w:tcPr>
            <w:tcW w:w="7625" w:type="dxa"/>
          </w:tcPr>
          <w:p>
            <w:pPr>
              <w:pStyle w:val="TableParagraph"/>
              <w:spacing w:before="9"/>
              <w:ind w:left="190"/>
              <w:rPr>
                <w:sz w:val="24"/>
              </w:rPr>
            </w:pPr>
            <w:r>
              <w:rPr>
                <w:sz w:val="24"/>
              </w:rPr>
              <w:t>Propiedades físicas de la arena sílice.</w:t>
            </w:r>
          </w:p>
        </w:tc>
      </w:tr>
      <w:tr>
        <w:trPr>
          <w:trHeight w:val="317" w:hRule="exact"/>
        </w:trPr>
        <w:tc>
          <w:tcPr>
            <w:tcW w:w="1392" w:type="dxa"/>
          </w:tcPr>
          <w:p>
            <w:pPr>
              <w:pStyle w:val="TableParagraph"/>
              <w:ind w:left="180" w:right="171"/>
              <w:jc w:val="center"/>
              <w:rPr>
                <w:sz w:val="24"/>
              </w:rPr>
            </w:pPr>
            <w:r>
              <w:rPr>
                <w:sz w:val="24"/>
              </w:rPr>
              <w:t>Tabla 2.4</w:t>
            </w:r>
          </w:p>
        </w:tc>
        <w:tc>
          <w:tcPr>
            <w:tcW w:w="7625" w:type="dxa"/>
          </w:tcPr>
          <w:p>
            <w:pPr>
              <w:pStyle w:val="TableParagraph"/>
              <w:ind w:left="190"/>
              <w:rPr>
                <w:sz w:val="24"/>
              </w:rPr>
            </w:pPr>
            <w:r>
              <w:rPr>
                <w:sz w:val="24"/>
              </w:rPr>
              <w:t>Propiedades de fibra de luffa.</w:t>
            </w:r>
          </w:p>
        </w:tc>
      </w:tr>
      <w:tr>
        <w:trPr>
          <w:trHeight w:val="317" w:hRule="exact"/>
        </w:trPr>
        <w:tc>
          <w:tcPr>
            <w:tcW w:w="1392" w:type="dxa"/>
          </w:tcPr>
          <w:p>
            <w:pPr>
              <w:pStyle w:val="TableParagraph"/>
              <w:ind w:left="180" w:right="171"/>
              <w:jc w:val="center"/>
              <w:rPr>
                <w:sz w:val="24"/>
              </w:rPr>
            </w:pPr>
            <w:r>
              <w:rPr>
                <w:sz w:val="24"/>
              </w:rPr>
              <w:t>Tabla 2.5</w:t>
            </w:r>
          </w:p>
        </w:tc>
        <w:tc>
          <w:tcPr>
            <w:tcW w:w="7625" w:type="dxa"/>
          </w:tcPr>
          <w:p>
            <w:pPr>
              <w:pStyle w:val="TableParagraph"/>
              <w:ind w:left="190"/>
              <w:rPr>
                <w:sz w:val="24"/>
              </w:rPr>
            </w:pPr>
            <w:r>
              <w:rPr>
                <w:sz w:val="24"/>
              </w:rPr>
              <w:t>Composición de las mezclas de concreto polimérico en volumen.</w:t>
            </w:r>
          </w:p>
        </w:tc>
      </w:tr>
      <w:tr>
        <w:trPr>
          <w:trHeight w:val="636" w:hRule="exact"/>
        </w:trPr>
        <w:tc>
          <w:tcPr>
            <w:tcW w:w="1392" w:type="dxa"/>
          </w:tcPr>
          <w:p>
            <w:pPr>
              <w:pStyle w:val="TableParagraph"/>
              <w:ind w:left="180" w:right="171"/>
              <w:jc w:val="center"/>
              <w:rPr>
                <w:sz w:val="24"/>
              </w:rPr>
            </w:pPr>
            <w:r>
              <w:rPr>
                <w:sz w:val="24"/>
              </w:rPr>
              <w:t>Tabla 2.6</w:t>
            </w:r>
          </w:p>
        </w:tc>
        <w:tc>
          <w:tcPr>
            <w:tcW w:w="7625" w:type="dxa"/>
          </w:tcPr>
          <w:p>
            <w:pPr>
              <w:pStyle w:val="TableParagraph"/>
              <w:spacing w:line="278" w:lineRule="auto"/>
              <w:ind w:left="190"/>
              <w:rPr>
                <w:sz w:val="24"/>
              </w:rPr>
            </w:pPr>
            <w:r>
              <w:rPr>
                <w:sz w:val="24"/>
              </w:rPr>
              <w:t>Composición de las mezclas de concreto polimérico en peso (gramos).</w:t>
            </w:r>
          </w:p>
        </w:tc>
      </w:tr>
      <w:tr>
        <w:trPr>
          <w:trHeight w:val="317" w:hRule="exact"/>
        </w:trPr>
        <w:tc>
          <w:tcPr>
            <w:tcW w:w="1392" w:type="dxa"/>
          </w:tcPr>
          <w:p>
            <w:pPr>
              <w:pStyle w:val="TableParagraph"/>
              <w:spacing w:before="8"/>
              <w:ind w:left="180" w:right="171"/>
              <w:jc w:val="center"/>
              <w:rPr>
                <w:sz w:val="24"/>
              </w:rPr>
            </w:pPr>
            <w:r>
              <w:rPr>
                <w:sz w:val="24"/>
              </w:rPr>
              <w:t>Tabla 2.7</w:t>
            </w:r>
          </w:p>
        </w:tc>
        <w:tc>
          <w:tcPr>
            <w:tcW w:w="7625" w:type="dxa"/>
          </w:tcPr>
          <w:p>
            <w:pPr>
              <w:pStyle w:val="TableParagraph"/>
              <w:spacing w:before="8"/>
              <w:ind w:left="190"/>
              <w:rPr>
                <w:sz w:val="24"/>
              </w:rPr>
            </w:pPr>
            <w:r>
              <w:rPr>
                <w:sz w:val="24"/>
              </w:rPr>
              <w:t>Condiciones de trabajo del ensayo en compresión.</w:t>
            </w:r>
          </w:p>
        </w:tc>
      </w:tr>
      <w:tr>
        <w:trPr>
          <w:trHeight w:val="475" w:hRule="exact"/>
        </w:trPr>
        <w:tc>
          <w:tcPr>
            <w:tcW w:w="1392" w:type="dxa"/>
          </w:tcPr>
          <w:p>
            <w:pPr>
              <w:pStyle w:val="TableParagraph"/>
              <w:ind w:left="180" w:right="171"/>
              <w:jc w:val="center"/>
              <w:rPr>
                <w:sz w:val="24"/>
              </w:rPr>
            </w:pPr>
            <w:r>
              <w:rPr>
                <w:sz w:val="24"/>
              </w:rPr>
              <w:t>Tabla 2.8</w:t>
            </w:r>
          </w:p>
        </w:tc>
        <w:tc>
          <w:tcPr>
            <w:tcW w:w="7625" w:type="dxa"/>
          </w:tcPr>
          <w:p>
            <w:pPr>
              <w:pStyle w:val="TableParagraph"/>
              <w:ind w:left="190"/>
              <w:rPr>
                <w:sz w:val="24"/>
              </w:rPr>
            </w:pPr>
            <w:r>
              <w:rPr>
                <w:sz w:val="24"/>
              </w:rPr>
              <w:t>Condiciones de trabajo del ensayo en flexión.</w:t>
            </w:r>
          </w:p>
        </w:tc>
      </w:tr>
      <w:tr>
        <w:trPr>
          <w:trHeight w:val="476" w:hRule="exact"/>
        </w:trPr>
        <w:tc>
          <w:tcPr>
            <w:tcW w:w="1392" w:type="dxa"/>
          </w:tcPr>
          <w:p>
            <w:pPr>
              <w:pStyle w:val="TableParagraph"/>
              <w:spacing w:before="166"/>
              <w:ind w:left="180" w:right="171"/>
              <w:jc w:val="center"/>
              <w:rPr>
                <w:sz w:val="24"/>
              </w:rPr>
            </w:pPr>
            <w:r>
              <w:rPr>
                <w:sz w:val="24"/>
              </w:rPr>
              <w:t>Tabla 3.1</w:t>
            </w:r>
          </w:p>
        </w:tc>
        <w:tc>
          <w:tcPr>
            <w:tcW w:w="7625" w:type="dxa"/>
          </w:tcPr>
          <w:p>
            <w:pPr>
              <w:pStyle w:val="TableParagraph"/>
              <w:spacing w:before="166"/>
              <w:ind w:left="190"/>
              <w:rPr>
                <w:sz w:val="24"/>
              </w:rPr>
            </w:pPr>
            <w:r>
              <w:rPr>
                <w:sz w:val="24"/>
              </w:rPr>
              <w:t>Índice de cristalinidad (ICR) de fibras de luffa</w:t>
            </w:r>
          </w:p>
        </w:tc>
      </w:tr>
      <w:tr>
        <w:trPr>
          <w:trHeight w:val="635" w:hRule="exact"/>
        </w:trPr>
        <w:tc>
          <w:tcPr>
            <w:tcW w:w="1392" w:type="dxa"/>
          </w:tcPr>
          <w:p>
            <w:pPr>
              <w:pStyle w:val="TableParagraph"/>
              <w:spacing w:before="9"/>
              <w:ind w:left="180" w:right="171"/>
              <w:jc w:val="center"/>
              <w:rPr>
                <w:sz w:val="24"/>
              </w:rPr>
            </w:pPr>
            <w:r>
              <w:rPr>
                <w:sz w:val="24"/>
              </w:rPr>
              <w:t>Tabla 3.2</w:t>
            </w:r>
          </w:p>
        </w:tc>
        <w:tc>
          <w:tcPr>
            <w:tcW w:w="7625" w:type="dxa"/>
          </w:tcPr>
          <w:p>
            <w:pPr>
              <w:pStyle w:val="TableParagraph"/>
              <w:spacing w:line="276" w:lineRule="auto" w:before="9"/>
              <w:ind w:left="190" w:right="650"/>
              <w:rPr>
                <w:sz w:val="24"/>
              </w:rPr>
            </w:pPr>
            <w:r>
              <w:rPr>
                <w:sz w:val="24"/>
              </w:rPr>
              <w:t>Datos de los tres picos de la fibra de Luffa a diferentes dosis de radiación.</w:t>
            </w:r>
          </w:p>
        </w:tc>
      </w:tr>
      <w:tr>
        <w:trPr>
          <w:trHeight w:val="278" w:hRule="exact"/>
        </w:trPr>
        <w:tc>
          <w:tcPr>
            <w:tcW w:w="1392" w:type="dxa"/>
          </w:tcPr>
          <w:p>
            <w:pPr>
              <w:pStyle w:val="TableParagraph"/>
              <w:ind w:left="180" w:right="171"/>
              <w:jc w:val="center"/>
              <w:rPr>
                <w:sz w:val="24"/>
              </w:rPr>
            </w:pPr>
            <w:r>
              <w:rPr>
                <w:sz w:val="24"/>
              </w:rPr>
              <w:t>Tabla 3.3</w:t>
            </w:r>
          </w:p>
        </w:tc>
        <w:tc>
          <w:tcPr>
            <w:tcW w:w="7625" w:type="dxa"/>
          </w:tcPr>
          <w:p>
            <w:pPr>
              <w:pStyle w:val="TableParagraph"/>
              <w:ind w:left="190"/>
              <w:rPr>
                <w:sz w:val="24"/>
              </w:rPr>
            </w:pPr>
            <w:r>
              <w:rPr>
                <w:sz w:val="24"/>
              </w:rPr>
              <w:t>Bandas de absorción de fibras de luffa irradiadas a diferentes dosis.</w:t>
            </w:r>
          </w:p>
        </w:tc>
      </w:tr>
    </w:tbl>
    <w:p>
      <w:pPr>
        <w:spacing w:after="0"/>
        <w:rPr>
          <w:sz w:val="24"/>
        </w:rPr>
        <w:sectPr>
          <w:pgSz w:w="12240" w:h="15840"/>
          <w:pgMar w:header="747" w:footer="0" w:top="940" w:bottom="280" w:left="1320" w:right="1480"/>
        </w:sectPr>
      </w:pPr>
    </w:p>
    <w:p>
      <w:pPr>
        <w:pStyle w:val="BodyText"/>
        <w:rPr>
          <w:b/>
          <w:sz w:val="20"/>
        </w:rPr>
      </w:pPr>
    </w:p>
    <w:p>
      <w:pPr>
        <w:pStyle w:val="BodyText"/>
        <w:spacing w:before="6"/>
        <w:rPr>
          <w:b/>
          <w:sz w:val="20"/>
        </w:rPr>
      </w:pPr>
    </w:p>
    <w:p>
      <w:pPr>
        <w:spacing w:before="0"/>
        <w:ind w:left="136" w:right="153" w:firstLine="0"/>
        <w:jc w:val="center"/>
        <w:rPr>
          <w:b/>
          <w:sz w:val="24"/>
        </w:rPr>
      </w:pPr>
      <w:r>
        <w:rPr>
          <w:b/>
          <w:sz w:val="24"/>
        </w:rPr>
        <w:t>RESUMEN</w:t>
      </w:r>
    </w:p>
    <w:p>
      <w:pPr>
        <w:pStyle w:val="BodyText"/>
        <w:spacing w:before="3"/>
        <w:rPr>
          <w:b/>
          <w:sz w:val="31"/>
        </w:rPr>
      </w:pPr>
    </w:p>
    <w:p>
      <w:pPr>
        <w:pStyle w:val="BodyText"/>
        <w:spacing w:line="276" w:lineRule="auto" w:before="1"/>
        <w:ind w:left="102" w:right="116"/>
        <w:jc w:val="both"/>
      </w:pPr>
      <w:r>
        <w:rPr/>
        <w:t>En la actualidad se ha puesto de manifiesto la necesidad de producir materiales con propiedades mejoradas, incluidas altas resistencias en tiempos cortos, disminución de peso, tamaños y espesores, además de la durabilidad ante ambientes agresivos.</w:t>
      </w:r>
    </w:p>
    <w:p>
      <w:pPr>
        <w:pStyle w:val="BodyText"/>
        <w:spacing w:line="276" w:lineRule="auto" w:before="200"/>
        <w:ind w:left="102" w:right="115"/>
        <w:jc w:val="both"/>
      </w:pPr>
      <w:r>
        <w:rPr/>
        <w:t>A pesar de que el concreto convencional (elaborado con cemento Portland) es un material con gran versatilidad en cuanto a su funcionalidad y economía, presenta algunas limitaciones tales como: alta porosidad y baja resistencia a esfuerzos de flexión, tensión y a reactivos químicos altamente corrosivos. Algunas de estas limitaciones se han subsanado mediante la incorporación de fibras. Se han podido mejorar la resistencia a la tracción, compresión, durabilidad, resistencia a la fatiga, resistencia al impacto y a la abrasión, la contracción, la expansión, la estabilidad térmica, y resistencia al fuego. Sin embargo, muy pocas investigaciones ha abordado el efecto de fibras en concreto polimérico.</w:t>
      </w:r>
    </w:p>
    <w:p>
      <w:pPr>
        <w:pStyle w:val="BodyText"/>
        <w:spacing w:line="276" w:lineRule="auto" w:before="202"/>
        <w:ind w:left="102" w:right="117"/>
        <w:jc w:val="both"/>
      </w:pPr>
      <w:r>
        <w:rPr/>
        <w:t>El concreto polimérico (CP) es un material relativamente nuevo con excelente resistencia mecánica y durabilidad, que se elabora con agregados minerales y un polímero que normalmente es una resina termoestable. Actualmente el CP se emplea en el área de la construcción para la elaboración de pisos industriales, mesones para baños y cocinas, saunas, tanques para almacenamiento de agua, entre otras; en el área de la electricidad se utiliza como aislador en la transmisión de alta tensión o bien en soportes para el aislamiento de bujes.</w:t>
      </w:r>
    </w:p>
    <w:p>
      <w:pPr>
        <w:pStyle w:val="BodyText"/>
        <w:spacing w:line="276" w:lineRule="auto" w:before="202"/>
        <w:ind w:left="102" w:right="122"/>
        <w:jc w:val="both"/>
      </w:pPr>
      <w:r>
        <w:rPr/>
        <w:t>En el presente trabajo se estudian los efectos de la incorporación de fibras y de la radiación gamma en las propiedades mecánicas del concreto polimérico, en particular las resistencias a la compresión y a la flexión, la deformación mecánica  y los módulos de elasticidad. Los concretos son elaborados con resina de poliéster insaturada, arena sílice y fibras de Luffa como</w:t>
      </w:r>
      <w:r>
        <w:rPr>
          <w:spacing w:val="-20"/>
        </w:rPr>
        <w:t> </w:t>
      </w:r>
      <w:r>
        <w:rPr/>
        <w:t>agregados.</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Heading2"/>
        <w:ind w:left="134" w:right="153"/>
        <w:jc w:val="center"/>
      </w:pPr>
      <w:r>
        <w:rPr/>
        <w:t>ABSTRACT</w:t>
      </w:r>
    </w:p>
    <w:p>
      <w:pPr>
        <w:pStyle w:val="BodyText"/>
        <w:spacing w:before="3"/>
        <w:rPr>
          <w:b/>
          <w:sz w:val="31"/>
        </w:rPr>
      </w:pPr>
    </w:p>
    <w:p>
      <w:pPr>
        <w:pStyle w:val="BodyText"/>
        <w:spacing w:line="276" w:lineRule="auto" w:before="1"/>
        <w:ind w:left="102" w:right="115"/>
        <w:jc w:val="both"/>
      </w:pPr>
      <w:r>
        <w:rPr/>
        <w:t>At present it has highlighted the need to produce materials with improved properties which overcome the limitations. In particular, are required highest strengths developing in a short time, reductions on size, thickness and weight. Furthermore, the durability is required to prevent premature aging caused by degradation against aggressive environments. The polymer concrete (PC) is a relatively new material with excellent mechanical strength and durability. This consists of mineral aggregates and a polymer thermosetting resin. PC is currently used in the construction; developing industrial floors, countertops for bathrooms and kitchens, saunas, water storage tanks and prefabricated construction field, among others. PC has a great versatility in terms of functionality and economy, but some little limitations on mechanical properties are present. For to improve such problems, a wide range of engineering materials have been incorporated; including ceramics and polymer fibers. The improved properties include tensile, compressive and flexural strength; as well as fatigue and impact</w:t>
      </w:r>
      <w:r>
        <w:rPr>
          <w:spacing w:val="-24"/>
        </w:rPr>
        <w:t> </w:t>
      </w:r>
      <w:r>
        <w:rPr/>
        <w:t>resistance.</w:t>
      </w:r>
    </w:p>
    <w:p>
      <w:pPr>
        <w:pStyle w:val="BodyText"/>
        <w:spacing w:before="6"/>
        <w:rPr>
          <w:sz w:val="27"/>
        </w:rPr>
      </w:pPr>
    </w:p>
    <w:p>
      <w:pPr>
        <w:pStyle w:val="BodyText"/>
        <w:spacing w:line="276" w:lineRule="auto" w:before="1"/>
        <w:ind w:left="102" w:right="114"/>
        <w:jc w:val="both"/>
      </w:pPr>
      <w:r>
        <w:rPr/>
        <w:t>In recent years different types of fibers had been added to concrete with better results in compressive strength, flexural toughness and durability. In this research, we study the mechanical properties of polymer concrete, including compressive and flexural strength, as well as static and dynamic elastic modulus; taking two kind of PC specimens: a) non-irradiated, and b) gamma irradiated at doses varying from 50 to 100 kGy. The polymer concrete consist of a unsaturated polyester resin as matrix and silica sand particles as aggregates, as well as controlled luffa fibers concentrations. Moreover, the gamma radiation effects were evaluated and analyzed on luffa fibers by using by SEM, IR and XRD. The results show for </w:t>
      </w:r>
      <w:r>
        <w:rPr>
          <w:spacing w:val="2"/>
        </w:rPr>
        <w:t>non- </w:t>
      </w:r>
      <w:r>
        <w:rPr/>
        <w:t>irradiated PCs the compressive strength increase when gamma irradiation dose increase. Conversely irradiated PCs diminish the compressive strength according to the increment of luffa fiber concentrations. Finally, the static elastic modulus diminishes when increasing the luffa fiber concentrations and the dynamic elastic modulus is improved when the gamma dose is</w:t>
      </w:r>
      <w:r>
        <w:rPr>
          <w:spacing w:val="-19"/>
        </w:rPr>
        <w:t> </w:t>
      </w:r>
      <w:r>
        <w:rPr/>
        <w:t>increased.</w:t>
      </w:r>
    </w:p>
    <w:p>
      <w:pPr>
        <w:spacing w:after="0" w:line="276" w:lineRule="auto"/>
        <w:jc w:val="both"/>
        <w:sectPr>
          <w:headerReference w:type="default" r:id="rId8"/>
          <w:pgSz w:w="12240" w:h="15840"/>
          <w:pgMar w:header="747" w:footer="0" w:top="940" w:bottom="280" w:left="1600" w:right="1580"/>
        </w:sectPr>
      </w:pPr>
    </w:p>
    <w:p>
      <w:pPr>
        <w:pStyle w:val="BodyText"/>
        <w:rPr>
          <w:sz w:val="20"/>
        </w:rPr>
      </w:pPr>
    </w:p>
    <w:p>
      <w:pPr>
        <w:pStyle w:val="BodyText"/>
        <w:spacing w:before="6"/>
        <w:rPr>
          <w:sz w:val="20"/>
        </w:rPr>
      </w:pPr>
    </w:p>
    <w:p>
      <w:pPr>
        <w:pStyle w:val="Heading2"/>
        <w:ind w:left="102"/>
      </w:pPr>
      <w:r>
        <w:rPr/>
        <w:t>Objetivo</w:t>
      </w:r>
    </w:p>
    <w:p>
      <w:pPr>
        <w:pStyle w:val="BodyText"/>
        <w:spacing w:before="3"/>
        <w:rPr>
          <w:b/>
          <w:sz w:val="31"/>
        </w:rPr>
      </w:pPr>
    </w:p>
    <w:p>
      <w:pPr>
        <w:pStyle w:val="BodyText"/>
        <w:spacing w:line="276" w:lineRule="auto" w:before="1"/>
        <w:ind w:left="102" w:right="122"/>
        <w:jc w:val="both"/>
      </w:pPr>
      <w:r>
        <w:rPr/>
        <w:t>Obtener y caracterizar concretos poliméricos con valores superiores en propiedades mecánicas, que las de los concretos hidráulicos, mediante el reforzamiento con fibras de luffa y la aplicación de radiación gamma.</w:t>
      </w:r>
    </w:p>
    <w:p>
      <w:pPr>
        <w:pStyle w:val="BodyText"/>
      </w:pPr>
    </w:p>
    <w:p>
      <w:pPr>
        <w:pStyle w:val="BodyText"/>
        <w:spacing w:before="4"/>
        <w:rPr>
          <w:sz w:val="31"/>
        </w:rPr>
      </w:pPr>
    </w:p>
    <w:p>
      <w:pPr>
        <w:pStyle w:val="Heading2"/>
        <w:ind w:left="102"/>
      </w:pPr>
      <w:r>
        <w:rPr/>
        <w:t>Metas</w:t>
      </w:r>
    </w:p>
    <w:p>
      <w:pPr>
        <w:pStyle w:val="BodyText"/>
        <w:spacing w:before="1"/>
        <w:rPr>
          <w:b/>
          <w:sz w:val="31"/>
        </w:rPr>
      </w:pPr>
    </w:p>
    <w:p>
      <w:pPr>
        <w:pStyle w:val="ListParagraph"/>
        <w:numPr>
          <w:ilvl w:val="0"/>
          <w:numId w:val="1"/>
        </w:numPr>
        <w:tabs>
          <w:tab w:pos="810" w:val="left" w:leader="none"/>
        </w:tabs>
        <w:spacing w:line="273" w:lineRule="auto" w:before="0" w:after="0"/>
        <w:ind w:left="822" w:right="126" w:hanging="360"/>
        <w:jc w:val="both"/>
        <w:rPr>
          <w:sz w:val="24"/>
        </w:rPr>
      </w:pPr>
      <w:r>
        <w:rPr>
          <w:sz w:val="24"/>
        </w:rPr>
        <w:t>Elaborar probetas de concreto polimérico empleando resina poliéster, arena </w:t>
      </w:r>
      <w:r>
        <w:rPr>
          <w:position w:val="1"/>
          <w:sz w:val="24"/>
        </w:rPr>
        <w:t>sílice (SiO</w:t>
      </w:r>
      <w:r>
        <w:rPr>
          <w:sz w:val="16"/>
        </w:rPr>
        <w:t>2</w:t>
      </w:r>
      <w:r>
        <w:rPr>
          <w:position w:val="1"/>
          <w:sz w:val="24"/>
        </w:rPr>
        <w:t>) y fibras de luffa; variando la concentración de</w:t>
      </w:r>
      <w:r>
        <w:rPr>
          <w:spacing w:val="-19"/>
          <w:position w:val="1"/>
          <w:sz w:val="24"/>
        </w:rPr>
        <w:t> </w:t>
      </w:r>
      <w:r>
        <w:rPr>
          <w:position w:val="1"/>
          <w:sz w:val="24"/>
        </w:rPr>
        <w:t>fibras.</w:t>
      </w:r>
    </w:p>
    <w:p>
      <w:pPr>
        <w:pStyle w:val="ListParagraph"/>
        <w:numPr>
          <w:ilvl w:val="0"/>
          <w:numId w:val="1"/>
        </w:numPr>
        <w:tabs>
          <w:tab w:pos="810" w:val="left" w:leader="none"/>
        </w:tabs>
        <w:spacing w:line="273" w:lineRule="auto" w:before="2" w:after="0"/>
        <w:ind w:left="822" w:right="116" w:hanging="360"/>
        <w:jc w:val="both"/>
        <w:rPr>
          <w:sz w:val="24"/>
        </w:rPr>
      </w:pPr>
      <w:r>
        <w:rPr>
          <w:sz w:val="24"/>
        </w:rPr>
        <w:t>Irradiar fibras de luffa y probetas de concreto polimérico mediante radiación gamma (50 y 100</w:t>
      </w:r>
      <w:r>
        <w:rPr>
          <w:spacing w:val="-9"/>
          <w:sz w:val="24"/>
        </w:rPr>
        <w:t> </w:t>
      </w:r>
      <w:r>
        <w:rPr>
          <w:sz w:val="24"/>
        </w:rPr>
        <w:t>kGy).</w:t>
      </w:r>
    </w:p>
    <w:p>
      <w:pPr>
        <w:pStyle w:val="ListParagraph"/>
        <w:numPr>
          <w:ilvl w:val="0"/>
          <w:numId w:val="1"/>
        </w:numPr>
        <w:tabs>
          <w:tab w:pos="810" w:val="left" w:leader="none"/>
        </w:tabs>
        <w:spacing w:line="273" w:lineRule="auto" w:before="1" w:after="0"/>
        <w:ind w:left="822" w:right="125" w:hanging="360"/>
        <w:jc w:val="both"/>
        <w:rPr>
          <w:sz w:val="24"/>
        </w:rPr>
      </w:pPr>
      <w:r>
        <w:rPr>
          <w:sz w:val="24"/>
        </w:rPr>
        <w:t>Evaluar la resistencia a la compresión y a la flexión de los concretos poliméricos</w:t>
      </w:r>
      <w:r>
        <w:rPr>
          <w:spacing w:val="-10"/>
          <w:sz w:val="24"/>
        </w:rPr>
        <w:t> </w:t>
      </w:r>
      <w:r>
        <w:rPr>
          <w:sz w:val="24"/>
        </w:rPr>
        <w:t>elaborados.</w:t>
      </w:r>
    </w:p>
    <w:p>
      <w:pPr>
        <w:pStyle w:val="ListParagraph"/>
        <w:numPr>
          <w:ilvl w:val="0"/>
          <w:numId w:val="1"/>
        </w:numPr>
        <w:tabs>
          <w:tab w:pos="810" w:val="left" w:leader="none"/>
        </w:tabs>
        <w:spacing w:line="273" w:lineRule="auto" w:before="1" w:after="0"/>
        <w:ind w:left="822" w:right="116" w:hanging="360"/>
        <w:jc w:val="both"/>
        <w:rPr>
          <w:sz w:val="24"/>
        </w:rPr>
      </w:pPr>
      <w:r>
        <w:rPr>
          <w:sz w:val="24"/>
        </w:rPr>
        <w:t>Evaluar la deformación de concretos poliméricos sin irradiar e irradiados  con radiación gamma, mediante la medición de los módulos de elasticidad estático y</w:t>
      </w:r>
      <w:r>
        <w:rPr>
          <w:spacing w:val="-4"/>
          <w:sz w:val="24"/>
        </w:rPr>
        <w:t> </w:t>
      </w:r>
      <w:r>
        <w:rPr>
          <w:sz w:val="24"/>
        </w:rPr>
        <w:t>dinámico.</w:t>
      </w:r>
    </w:p>
    <w:p>
      <w:pPr>
        <w:pStyle w:val="ListParagraph"/>
        <w:numPr>
          <w:ilvl w:val="0"/>
          <w:numId w:val="1"/>
        </w:numPr>
        <w:tabs>
          <w:tab w:pos="810" w:val="left" w:leader="none"/>
        </w:tabs>
        <w:spacing w:line="273" w:lineRule="auto" w:before="4" w:after="0"/>
        <w:ind w:left="822" w:right="120" w:hanging="360"/>
        <w:jc w:val="both"/>
        <w:rPr>
          <w:sz w:val="24"/>
        </w:rPr>
      </w:pPr>
      <w:r>
        <w:rPr>
          <w:sz w:val="24"/>
        </w:rPr>
        <w:t>Estudiar la influencia que provocan las diferentes concentraciones de fibras de luffa y la dosis de 50 y 100 kGy en las propiedades de deformación mecánica del concreto</w:t>
      </w:r>
      <w:r>
        <w:rPr>
          <w:spacing w:val="-11"/>
          <w:sz w:val="24"/>
        </w:rPr>
        <w:t> </w:t>
      </w:r>
      <w:r>
        <w:rPr>
          <w:sz w:val="24"/>
        </w:rPr>
        <w:t>polimérico.</w:t>
      </w:r>
    </w:p>
    <w:p>
      <w:pPr>
        <w:pStyle w:val="ListParagraph"/>
        <w:numPr>
          <w:ilvl w:val="0"/>
          <w:numId w:val="1"/>
        </w:numPr>
        <w:tabs>
          <w:tab w:pos="810" w:val="left" w:leader="none"/>
        </w:tabs>
        <w:spacing w:line="273" w:lineRule="auto" w:before="2" w:after="0"/>
        <w:ind w:left="822" w:right="120" w:hanging="360"/>
        <w:jc w:val="both"/>
        <w:rPr>
          <w:sz w:val="24"/>
        </w:rPr>
      </w:pPr>
      <w:r>
        <w:rPr>
          <w:sz w:val="24"/>
        </w:rPr>
        <w:t>Caracterizar las fibras de luffa antes y después de ser irradiadas, mediante las técnicas de Microscopia Electrónica de Barrido (SEM), Espectroscopias Infrarroja (IR),  y de Difracción de Rayos X</w:t>
      </w:r>
      <w:r>
        <w:rPr>
          <w:spacing w:val="-14"/>
          <w:sz w:val="24"/>
        </w:rPr>
        <w:t> </w:t>
      </w:r>
      <w:r>
        <w:rPr>
          <w:sz w:val="24"/>
        </w:rPr>
        <w:t>(XRD).</w:t>
      </w:r>
    </w:p>
    <w:p>
      <w:pPr>
        <w:spacing w:after="0" w:line="273" w:lineRule="auto"/>
        <w:jc w:val="both"/>
        <w:rPr>
          <w:sz w:val="24"/>
        </w:rPr>
        <w:sectPr>
          <w:headerReference w:type="default" r:id="rId9"/>
          <w:pgSz w:w="12240" w:h="15840"/>
          <w:pgMar w:header="747" w:footer="0" w:top="940" w:bottom="280" w:left="1600" w:right="1580"/>
          <w:pgNumType w:start="1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1"/>
        <w:spacing w:line="276" w:lineRule="auto" w:before="28"/>
        <w:ind w:left="4245" w:right="100" w:firstLine="1090"/>
      </w:pPr>
      <w:r>
        <w:rPr/>
        <w:t>CAPÍTULO 1. </w:t>
      </w:r>
      <w:r>
        <w:rPr>
          <w:w w:val="95"/>
        </w:rPr>
        <w:t>ANTECEDENTES</w:t>
      </w:r>
    </w:p>
    <w:p>
      <w:pPr>
        <w:spacing w:after="0" w:line="276" w:lineRule="auto"/>
        <w:sectPr>
          <w:pgSz w:w="12240" w:h="15840"/>
          <w:pgMar w:header="747" w:footer="0" w:top="940" w:bottom="280" w:left="1720" w:right="1580"/>
        </w:sectPr>
      </w:pPr>
    </w:p>
    <w:p>
      <w:pPr>
        <w:pStyle w:val="BodyText"/>
        <w:rPr>
          <w:b/>
          <w:sz w:val="20"/>
        </w:rPr>
      </w:pPr>
    </w:p>
    <w:p>
      <w:pPr>
        <w:pStyle w:val="BodyText"/>
        <w:spacing w:before="6"/>
        <w:rPr>
          <w:b/>
          <w:sz w:val="20"/>
        </w:rPr>
      </w:pPr>
    </w:p>
    <w:p>
      <w:pPr>
        <w:pStyle w:val="Heading2"/>
        <w:numPr>
          <w:ilvl w:val="1"/>
          <w:numId w:val="2"/>
        </w:numPr>
        <w:tabs>
          <w:tab w:pos="505" w:val="left" w:leader="none"/>
        </w:tabs>
        <w:spacing w:line="240" w:lineRule="auto" w:before="0" w:after="0"/>
        <w:ind w:left="504" w:right="0" w:hanging="402"/>
        <w:jc w:val="both"/>
      </w:pPr>
      <w:r>
        <w:rPr/>
        <w:t>INTRODUCCIÓN</w:t>
      </w:r>
    </w:p>
    <w:p>
      <w:pPr>
        <w:pStyle w:val="BodyText"/>
        <w:spacing w:before="3"/>
        <w:rPr>
          <w:b/>
          <w:sz w:val="31"/>
        </w:rPr>
      </w:pPr>
    </w:p>
    <w:p>
      <w:pPr>
        <w:pStyle w:val="BodyText"/>
        <w:spacing w:line="276" w:lineRule="auto" w:before="1"/>
        <w:ind w:left="102" w:right="121"/>
        <w:jc w:val="both"/>
      </w:pPr>
      <w:r>
        <w:rPr/>
        <w:t>De los materiales de construcción existentes, el concreto hidráulico también llamado concreto convencional o concreto a base de cemento Pórtland (CCP), es el material más utilizado para estructuras en el mundo. Algunas de las razones  son su simplicidad en la preparación, la disponibilidad y bajo costo de sus componentes, y sobre todo, las propiedades finales de las</w:t>
      </w:r>
      <w:r>
        <w:rPr>
          <w:spacing w:val="-26"/>
        </w:rPr>
        <w:t> </w:t>
      </w:r>
      <w:r>
        <w:rPr/>
        <w:t>estructuras.</w:t>
      </w:r>
    </w:p>
    <w:p>
      <w:pPr>
        <w:pStyle w:val="BodyText"/>
        <w:spacing w:before="6"/>
        <w:rPr>
          <w:sz w:val="27"/>
        </w:rPr>
      </w:pPr>
    </w:p>
    <w:p>
      <w:pPr>
        <w:pStyle w:val="BodyText"/>
        <w:spacing w:line="276" w:lineRule="auto" w:before="1"/>
        <w:ind w:left="102" w:right="115"/>
        <w:jc w:val="both"/>
      </w:pPr>
      <w:r>
        <w:rPr/>
        <w:t>No obstante, presenta algunas desventajas como el grado de porosidad, que se trata de evitar con la extracción de aire al momento de su elaboración. Los poros se convierten en los puntos de entrada de agua líquida, vapor de agua, gases y sustancias químicas que pueden ser perjudiciales para el concreto. Otras desventajas que afectan directamente su rendimiento y limitan sus aplicaciones son la débil adherencia a ciertos materiales, la baja resistencia a medios agresivos y al agua salada, así como su resistencia al calor y pobre aislamiento eléctrico.</w:t>
      </w:r>
    </w:p>
    <w:p>
      <w:pPr>
        <w:pStyle w:val="BodyText"/>
        <w:spacing w:before="6"/>
        <w:rPr>
          <w:sz w:val="27"/>
        </w:rPr>
      </w:pPr>
    </w:p>
    <w:p>
      <w:pPr>
        <w:pStyle w:val="BodyText"/>
        <w:spacing w:line="276" w:lineRule="auto" w:before="1"/>
        <w:ind w:left="102" w:right="121"/>
        <w:jc w:val="both"/>
      </w:pPr>
      <w:r>
        <w:rPr/>
        <w:t>Debido a la demanda cada vez más frecuente en la tecnología del concreto, los expertos están respondiendo positivamente al proponer nuevas formulaciones que incorporan otros materiales, con el caso de materiales poliméricos. Se ha logrado mejoramiento cuando son sometidos a esfuerzos mecánicos, obteniéndose altas resistencias a la compresión, tensión y flexión en comparación con concretos hidráulicos sin polímeros.</w:t>
      </w:r>
    </w:p>
    <w:p>
      <w:pPr>
        <w:pStyle w:val="BodyText"/>
        <w:spacing w:before="9"/>
        <w:rPr>
          <w:sz w:val="27"/>
        </w:rPr>
      </w:pPr>
    </w:p>
    <w:p>
      <w:pPr>
        <w:pStyle w:val="BodyText"/>
        <w:spacing w:line="276" w:lineRule="auto"/>
        <w:ind w:left="102" w:right="118"/>
        <w:jc w:val="both"/>
      </w:pPr>
      <w:r>
        <w:rPr/>
        <w:t>Los concretos que utilizan polímeros se clasifican en: I) Concreto modificado con polímeros (CMP), que consiste en utilizar el polímero junto con el cemento; II) Concreto impregnado con polímeros (CIP), en el cual se introduce un monómero o polímero en la red de poros del concreto –ya endurecido– y posteriormente se polimeriza in situ; y el Concreto polimérico (CP), en el cual el aglutinante es un polímero que sustituye a la pasta de cemento [1, 2].</w:t>
      </w:r>
    </w:p>
    <w:p>
      <w:pPr>
        <w:pStyle w:val="BodyText"/>
        <w:spacing w:before="9"/>
        <w:rPr>
          <w:sz w:val="27"/>
        </w:rPr>
      </w:pPr>
    </w:p>
    <w:p>
      <w:pPr>
        <w:pStyle w:val="Heading2"/>
        <w:numPr>
          <w:ilvl w:val="1"/>
          <w:numId w:val="2"/>
        </w:numPr>
        <w:tabs>
          <w:tab w:pos="505" w:val="left" w:leader="none"/>
        </w:tabs>
        <w:spacing w:line="240" w:lineRule="auto" w:before="0" w:after="0"/>
        <w:ind w:left="504" w:right="0" w:hanging="402"/>
        <w:jc w:val="both"/>
      </w:pPr>
      <w:r>
        <w:rPr/>
        <w:t>CONCRETO</w:t>
      </w:r>
      <w:r>
        <w:rPr>
          <w:spacing w:val="-6"/>
        </w:rPr>
        <w:t> </w:t>
      </w:r>
      <w:r>
        <w:rPr/>
        <w:t>POLIMÉRICO</w:t>
      </w:r>
    </w:p>
    <w:p>
      <w:pPr>
        <w:pStyle w:val="BodyText"/>
        <w:spacing w:before="1"/>
        <w:rPr>
          <w:b/>
          <w:sz w:val="31"/>
        </w:rPr>
      </w:pPr>
    </w:p>
    <w:p>
      <w:pPr>
        <w:pStyle w:val="BodyText"/>
        <w:spacing w:line="276" w:lineRule="auto"/>
        <w:ind w:left="102" w:right="118"/>
        <w:jc w:val="both"/>
      </w:pPr>
      <w:r>
        <w:rPr/>
        <w:t>El concreto polimérico (CP) es un material compuesto, que consiste de una matriz de resina termoestable y de agregados minerales, más un catalizador que inicia el curado de la resina, a diferencia de los concretos hidráulicos que utilizan cemento tipo Portland y agua, como cementante. En el concreto polimérico la resina constituye la fase continua y determina el comportamiento del composito. Son de uso común las resinas de poliéster insaturado y peróxidos como agentes de curado; estos últimos han mostrado altas velocidades de reacción y ser eficientes para el entrecruzamiento de la resina. El concreto polimérico tienen ventajas en</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8" w:lineRule="auto"/>
        <w:ind w:left="102" w:right="126"/>
        <w:jc w:val="both"/>
      </w:pPr>
      <w:r>
        <w:rPr/>
        <w:t>comparación con el concreto hidráulico, tales como: endurecimiento rápido, alta resistencia mecánica, resistencia a ataques químicos, entre otras.</w:t>
      </w:r>
    </w:p>
    <w:p>
      <w:pPr>
        <w:pStyle w:val="BodyText"/>
        <w:spacing w:before="4"/>
        <w:rPr>
          <w:sz w:val="27"/>
        </w:rPr>
      </w:pPr>
    </w:p>
    <w:p>
      <w:pPr>
        <w:pStyle w:val="BodyText"/>
        <w:spacing w:line="276" w:lineRule="auto"/>
        <w:ind w:left="102" w:right="122"/>
        <w:jc w:val="both"/>
      </w:pPr>
      <w:r>
        <w:rPr/>
        <w:t>El comportamiento mecánico del concreto polimérico depende de las propiedades de la resina y los agregados, así como de las concentraciones de ambos [3, 4]. Las resinas de poliéster son las más utilizadas debido a sus bajos costos y su alta resistencia a la corrosión [3]. Los agregados minerales pueden ser silicatos, piedra de cuarzo, grava, piedra caliza, granito, arcilla, cenizas, arena sílice, entre otros. Los rellenos (fillers), especialmente las cenizas, pueden mejorar las propiedades del concreto polimérico [2</w:t>
      </w:r>
      <w:r>
        <w:rPr>
          <w:spacing w:val="-11"/>
        </w:rPr>
        <w:t> </w:t>
      </w:r>
      <w:r>
        <w:rPr/>
        <w:t>].</w:t>
      </w:r>
    </w:p>
    <w:p>
      <w:pPr>
        <w:pStyle w:val="BodyText"/>
        <w:spacing w:before="7"/>
        <w:rPr>
          <w:sz w:val="27"/>
        </w:rPr>
      </w:pPr>
    </w:p>
    <w:p>
      <w:pPr>
        <w:pStyle w:val="BodyText"/>
        <w:ind w:left="102"/>
        <w:jc w:val="both"/>
      </w:pPr>
      <w:r>
        <w:rPr/>
        <w:t>Las características de los concretos poliméricos son:</w:t>
      </w:r>
    </w:p>
    <w:p>
      <w:pPr>
        <w:pStyle w:val="ListParagraph"/>
        <w:numPr>
          <w:ilvl w:val="2"/>
          <w:numId w:val="2"/>
        </w:numPr>
        <w:tabs>
          <w:tab w:pos="809" w:val="left" w:leader="none"/>
          <w:tab w:pos="810" w:val="left" w:leader="none"/>
        </w:tabs>
        <w:spacing w:line="240" w:lineRule="auto" w:before="39" w:after="0"/>
        <w:ind w:left="822" w:right="0" w:hanging="360"/>
        <w:jc w:val="left"/>
        <w:rPr>
          <w:sz w:val="24"/>
        </w:rPr>
      </w:pPr>
      <w:r>
        <w:rPr>
          <w:sz w:val="24"/>
        </w:rPr>
        <w:t>Ligereza: 1/10 a 1/3 del peso del concreto</w:t>
      </w:r>
      <w:r>
        <w:rPr>
          <w:spacing w:val="-19"/>
          <w:sz w:val="24"/>
        </w:rPr>
        <w:t> </w:t>
      </w:r>
      <w:r>
        <w:rPr>
          <w:sz w:val="24"/>
        </w:rPr>
        <w:t>hidráulico.</w:t>
      </w:r>
    </w:p>
    <w:p>
      <w:pPr>
        <w:pStyle w:val="ListParagraph"/>
        <w:numPr>
          <w:ilvl w:val="2"/>
          <w:numId w:val="2"/>
        </w:numPr>
        <w:tabs>
          <w:tab w:pos="809" w:val="left" w:leader="none"/>
          <w:tab w:pos="810" w:val="left" w:leader="none"/>
        </w:tabs>
        <w:spacing w:line="273" w:lineRule="auto" w:before="39" w:after="0"/>
        <w:ind w:left="822" w:right="116" w:hanging="360"/>
        <w:jc w:val="left"/>
        <w:rPr>
          <w:sz w:val="24"/>
        </w:rPr>
      </w:pPr>
      <w:r>
        <w:rPr>
          <w:sz w:val="24"/>
        </w:rPr>
        <w:t>Alta resistencia: Resistencia a la compresión, flexión y tracción desde tres hasta cinco veces mayor que la del concreto</w:t>
      </w:r>
      <w:r>
        <w:rPr>
          <w:spacing w:val="-16"/>
          <w:sz w:val="24"/>
        </w:rPr>
        <w:t> </w:t>
      </w:r>
      <w:r>
        <w:rPr>
          <w:sz w:val="24"/>
        </w:rPr>
        <w:t>hidráulico.</w:t>
      </w:r>
    </w:p>
    <w:p>
      <w:pPr>
        <w:pStyle w:val="ListParagraph"/>
        <w:numPr>
          <w:ilvl w:val="2"/>
          <w:numId w:val="2"/>
        </w:numPr>
        <w:tabs>
          <w:tab w:pos="809" w:val="left" w:leader="none"/>
          <w:tab w:pos="810" w:val="left" w:leader="none"/>
        </w:tabs>
        <w:spacing w:line="273" w:lineRule="auto" w:before="1" w:after="0"/>
        <w:ind w:left="822" w:right="120" w:hanging="360"/>
        <w:jc w:val="left"/>
        <w:rPr>
          <w:sz w:val="24"/>
        </w:rPr>
      </w:pPr>
      <w:r>
        <w:rPr>
          <w:sz w:val="24"/>
        </w:rPr>
        <w:t>Menores costos de instalación - fácil de manejar, no son necesarios equipos especiales.</w:t>
      </w:r>
    </w:p>
    <w:p>
      <w:pPr>
        <w:pStyle w:val="ListParagraph"/>
        <w:numPr>
          <w:ilvl w:val="2"/>
          <w:numId w:val="2"/>
        </w:numPr>
        <w:tabs>
          <w:tab w:pos="809" w:val="left" w:leader="none"/>
          <w:tab w:pos="810" w:val="left" w:leader="none"/>
        </w:tabs>
        <w:spacing w:line="240" w:lineRule="auto" w:before="4" w:after="0"/>
        <w:ind w:left="810" w:right="0" w:hanging="348"/>
        <w:jc w:val="left"/>
        <w:rPr>
          <w:sz w:val="24"/>
        </w:rPr>
      </w:pPr>
      <w:r>
        <w:rPr>
          <w:sz w:val="24"/>
        </w:rPr>
        <w:t>Estable bajo condiciones de congelación /</w:t>
      </w:r>
      <w:r>
        <w:rPr>
          <w:spacing w:val="-19"/>
          <w:sz w:val="24"/>
        </w:rPr>
        <w:t> </w:t>
      </w:r>
      <w:r>
        <w:rPr>
          <w:sz w:val="24"/>
        </w:rPr>
        <w:t>descongelación.</w:t>
      </w:r>
    </w:p>
    <w:p>
      <w:pPr>
        <w:pStyle w:val="ListParagraph"/>
        <w:numPr>
          <w:ilvl w:val="2"/>
          <w:numId w:val="2"/>
        </w:numPr>
        <w:tabs>
          <w:tab w:pos="809" w:val="left" w:leader="none"/>
          <w:tab w:pos="810" w:val="left" w:leader="none"/>
        </w:tabs>
        <w:spacing w:line="240" w:lineRule="auto" w:before="39" w:after="0"/>
        <w:ind w:left="810" w:right="0" w:hanging="348"/>
        <w:jc w:val="left"/>
        <w:rPr>
          <w:sz w:val="24"/>
        </w:rPr>
      </w:pPr>
      <w:r>
        <w:rPr>
          <w:sz w:val="24"/>
        </w:rPr>
        <w:t>Baja absorción de agua: menor del 1% según la norma ASTM</w:t>
      </w:r>
      <w:r>
        <w:rPr>
          <w:spacing w:val="-22"/>
          <w:sz w:val="24"/>
        </w:rPr>
        <w:t> </w:t>
      </w:r>
      <w:r>
        <w:rPr>
          <w:sz w:val="24"/>
        </w:rPr>
        <w:t>D-570.</w:t>
      </w:r>
    </w:p>
    <w:p>
      <w:pPr>
        <w:pStyle w:val="ListParagraph"/>
        <w:numPr>
          <w:ilvl w:val="2"/>
          <w:numId w:val="2"/>
        </w:numPr>
        <w:tabs>
          <w:tab w:pos="809" w:val="left" w:leader="none"/>
          <w:tab w:pos="810" w:val="left" w:leader="none"/>
        </w:tabs>
        <w:spacing w:line="273" w:lineRule="auto" w:before="39" w:after="0"/>
        <w:ind w:left="822" w:right="124" w:hanging="360"/>
        <w:jc w:val="left"/>
        <w:rPr>
          <w:sz w:val="24"/>
        </w:rPr>
      </w:pPr>
      <w:r>
        <w:rPr>
          <w:sz w:val="24"/>
        </w:rPr>
        <w:t>Resistente a la corrosión: Resistente a ataques químicos, al ambiente y otras formas de</w:t>
      </w:r>
      <w:r>
        <w:rPr>
          <w:spacing w:val="-12"/>
          <w:sz w:val="24"/>
        </w:rPr>
        <w:t> </w:t>
      </w:r>
      <w:r>
        <w:rPr>
          <w:sz w:val="24"/>
        </w:rPr>
        <w:t>deterioro.</w:t>
      </w:r>
    </w:p>
    <w:p>
      <w:pPr>
        <w:pStyle w:val="ListParagraph"/>
        <w:numPr>
          <w:ilvl w:val="2"/>
          <w:numId w:val="2"/>
        </w:numPr>
        <w:tabs>
          <w:tab w:pos="809" w:val="left" w:leader="none"/>
          <w:tab w:pos="810" w:val="left" w:leader="none"/>
        </w:tabs>
        <w:spacing w:line="273" w:lineRule="auto" w:before="2" w:after="0"/>
        <w:ind w:left="822" w:right="128" w:hanging="360"/>
        <w:jc w:val="left"/>
        <w:rPr>
          <w:sz w:val="24"/>
        </w:rPr>
      </w:pPr>
      <w:r>
        <w:rPr>
          <w:sz w:val="24"/>
        </w:rPr>
        <w:t>Rentable: Supera a los materiales convencionales por más tiempo de vida útil.</w:t>
      </w:r>
    </w:p>
    <w:p>
      <w:pPr>
        <w:pStyle w:val="ListParagraph"/>
        <w:numPr>
          <w:ilvl w:val="2"/>
          <w:numId w:val="2"/>
        </w:numPr>
        <w:tabs>
          <w:tab w:pos="809" w:val="left" w:leader="none"/>
          <w:tab w:pos="810" w:val="left" w:leader="none"/>
        </w:tabs>
        <w:spacing w:line="240" w:lineRule="auto" w:before="1" w:after="0"/>
        <w:ind w:left="810" w:right="0" w:hanging="348"/>
        <w:jc w:val="left"/>
        <w:rPr>
          <w:sz w:val="24"/>
        </w:rPr>
      </w:pPr>
      <w:r>
        <w:rPr>
          <w:sz w:val="24"/>
        </w:rPr>
        <w:t>No conductor: No requieren de conexión a</w:t>
      </w:r>
      <w:r>
        <w:rPr>
          <w:spacing w:val="-18"/>
          <w:sz w:val="24"/>
        </w:rPr>
        <w:t> </w:t>
      </w:r>
      <w:r>
        <w:rPr>
          <w:sz w:val="24"/>
        </w:rPr>
        <w:t>tierra.</w:t>
      </w:r>
    </w:p>
    <w:p>
      <w:pPr>
        <w:pStyle w:val="BodyText"/>
        <w:spacing w:before="1"/>
        <w:rPr>
          <w:sz w:val="31"/>
        </w:rPr>
      </w:pPr>
    </w:p>
    <w:p>
      <w:pPr>
        <w:pStyle w:val="BodyText"/>
        <w:spacing w:line="276" w:lineRule="auto"/>
        <w:ind w:left="102" w:right="119"/>
        <w:jc w:val="both"/>
      </w:pPr>
      <w:r>
        <w:rPr/>
        <w:t>Debido a la rapidez de endurecimiento de los concretos poliméricos se pueden lograr altas resistencias en poco tiempo. Dado que el CP es más ligero que el concreto hidráulico los elementos prefabricados son favorecidos al tener menores tamaños y espesores. Esta ligereza los hace competitivos, compensando el mayor precio con menores costos de transporte y de colocación. No obstante, es importante tener en cuenta las posibles deformaciones residuales durante su endurecimiento, así como el tiempo de polimerización, que permita su colocación sobre todo en grandes cantidades [5].</w:t>
      </w:r>
    </w:p>
    <w:p>
      <w:pPr>
        <w:pStyle w:val="BodyText"/>
        <w:spacing w:before="6"/>
        <w:rPr>
          <w:sz w:val="27"/>
        </w:rPr>
      </w:pPr>
    </w:p>
    <w:p>
      <w:pPr>
        <w:pStyle w:val="BodyText"/>
        <w:spacing w:line="276" w:lineRule="auto" w:before="1"/>
        <w:ind w:left="102" w:right="125"/>
        <w:jc w:val="both"/>
      </w:pPr>
      <w:r>
        <w:rPr/>
        <w:t>La elaboración de concreto polimérico sigue los procedimientos estándar en cuanto a equipos de mezclado y compactación. En la Tabla 1.1 se muestran las propiedades del concreto polimérico y su comparación con el concreto</w:t>
      </w:r>
      <w:r>
        <w:rPr>
          <w:spacing w:val="-26"/>
        </w:rPr>
        <w:t> </w:t>
      </w:r>
      <w:r>
        <w:rPr/>
        <w:t>hidráulico.</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after="46"/>
        <w:ind w:left="1551" w:right="109"/>
      </w:pPr>
      <w:r>
        <w:rPr/>
        <w:t>Tabla 1.1 Propiedades del concreto polimérico e hidráulico [6].</w:t>
      </w:r>
    </w:p>
    <w:tbl>
      <w:tblPr>
        <w:tblW w:w="0" w:type="auto"/>
        <w:jc w:val="left"/>
        <w:tblInd w:w="6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42"/>
        <w:gridCol w:w="1727"/>
        <w:gridCol w:w="2556"/>
      </w:tblGrid>
      <w:tr>
        <w:trPr>
          <w:trHeight w:val="643" w:hRule="exact"/>
        </w:trPr>
        <w:tc>
          <w:tcPr>
            <w:tcW w:w="3542" w:type="dxa"/>
            <w:tcBorders>
              <w:left w:val="nil"/>
              <w:right w:val="nil"/>
            </w:tcBorders>
          </w:tcPr>
          <w:p>
            <w:pPr>
              <w:pStyle w:val="TableParagraph"/>
              <w:spacing w:before="156"/>
              <w:ind w:left="1202" w:right="413"/>
              <w:rPr>
                <w:b/>
                <w:sz w:val="24"/>
              </w:rPr>
            </w:pPr>
            <w:r>
              <w:rPr>
                <w:b/>
                <w:sz w:val="24"/>
              </w:rPr>
              <w:t>Propiedad</w:t>
            </w:r>
          </w:p>
        </w:tc>
        <w:tc>
          <w:tcPr>
            <w:tcW w:w="1727" w:type="dxa"/>
            <w:tcBorders>
              <w:left w:val="nil"/>
              <w:right w:val="nil"/>
            </w:tcBorders>
          </w:tcPr>
          <w:p>
            <w:pPr>
              <w:pStyle w:val="TableParagraph"/>
              <w:spacing w:line="276" w:lineRule="auto" w:before="0"/>
              <w:ind w:left="310" w:right="223" w:firstLine="60"/>
              <w:rPr>
                <w:b/>
                <w:sz w:val="24"/>
              </w:rPr>
            </w:pPr>
            <w:r>
              <w:rPr>
                <w:b/>
                <w:sz w:val="24"/>
              </w:rPr>
              <w:t>Concreto Hidráulico</w:t>
            </w:r>
          </w:p>
        </w:tc>
        <w:tc>
          <w:tcPr>
            <w:tcW w:w="2556" w:type="dxa"/>
            <w:tcBorders>
              <w:left w:val="nil"/>
              <w:right w:val="nil"/>
            </w:tcBorders>
          </w:tcPr>
          <w:p>
            <w:pPr>
              <w:pStyle w:val="TableParagraph"/>
              <w:spacing w:line="276" w:lineRule="auto" w:before="0"/>
              <w:ind w:left="681" w:right="627" w:firstLine="86"/>
              <w:rPr>
                <w:b/>
                <w:sz w:val="24"/>
              </w:rPr>
            </w:pPr>
            <w:r>
              <w:rPr>
                <w:b/>
                <w:sz w:val="24"/>
              </w:rPr>
              <w:t>Concreto Polimérico</w:t>
            </w:r>
          </w:p>
        </w:tc>
      </w:tr>
      <w:tr>
        <w:trPr>
          <w:trHeight w:val="408" w:hRule="exact"/>
        </w:trPr>
        <w:tc>
          <w:tcPr>
            <w:tcW w:w="3542" w:type="dxa"/>
            <w:tcBorders>
              <w:left w:val="nil"/>
              <w:bottom w:val="nil"/>
              <w:right w:val="nil"/>
            </w:tcBorders>
          </w:tcPr>
          <w:p>
            <w:pPr>
              <w:pStyle w:val="TableParagraph"/>
              <w:spacing w:before="58"/>
              <w:ind w:left="107" w:right="413"/>
              <w:rPr>
                <w:sz w:val="24"/>
              </w:rPr>
            </w:pPr>
            <w:r>
              <w:rPr>
                <w:sz w:val="24"/>
              </w:rPr>
              <w:t>Peso volumétrico (Kg/m</w:t>
            </w:r>
            <w:r>
              <w:rPr>
                <w:position w:val="8"/>
                <w:sz w:val="16"/>
              </w:rPr>
              <w:t>3</w:t>
            </w:r>
            <w:r>
              <w:rPr>
                <w:sz w:val="24"/>
              </w:rPr>
              <w:t>)</w:t>
            </w:r>
          </w:p>
        </w:tc>
        <w:tc>
          <w:tcPr>
            <w:tcW w:w="1727" w:type="dxa"/>
            <w:tcBorders>
              <w:left w:val="nil"/>
              <w:bottom w:val="nil"/>
              <w:right w:val="nil"/>
            </w:tcBorders>
          </w:tcPr>
          <w:p>
            <w:pPr>
              <w:pStyle w:val="TableParagraph"/>
              <w:spacing w:before="63"/>
              <w:ind w:left="0" w:right="158"/>
              <w:jc w:val="right"/>
              <w:rPr>
                <w:sz w:val="24"/>
              </w:rPr>
            </w:pPr>
            <w:r>
              <w:rPr>
                <w:sz w:val="24"/>
              </w:rPr>
              <w:t>2200 – 2400</w:t>
            </w:r>
          </w:p>
        </w:tc>
        <w:tc>
          <w:tcPr>
            <w:tcW w:w="2556" w:type="dxa"/>
            <w:tcBorders>
              <w:left w:val="nil"/>
              <w:bottom w:val="nil"/>
              <w:right w:val="nil"/>
            </w:tcBorders>
          </w:tcPr>
          <w:p>
            <w:pPr>
              <w:pStyle w:val="TableParagraph"/>
              <w:spacing w:before="63"/>
              <w:ind w:left="608" w:right="572"/>
              <w:jc w:val="center"/>
              <w:rPr>
                <w:sz w:val="24"/>
              </w:rPr>
            </w:pPr>
            <w:r>
              <w:rPr>
                <w:sz w:val="24"/>
              </w:rPr>
              <w:t>1500 – 2400</w:t>
            </w:r>
          </w:p>
        </w:tc>
      </w:tr>
      <w:tr>
        <w:trPr>
          <w:trHeight w:val="667" w:hRule="exact"/>
        </w:trPr>
        <w:tc>
          <w:tcPr>
            <w:tcW w:w="3542" w:type="dxa"/>
            <w:tcBorders>
              <w:top w:val="nil"/>
              <w:left w:val="nil"/>
              <w:bottom w:val="nil"/>
              <w:right w:val="nil"/>
            </w:tcBorders>
          </w:tcPr>
          <w:p>
            <w:pPr>
              <w:pStyle w:val="TableParagraph"/>
              <w:spacing w:line="273" w:lineRule="auto" w:before="39"/>
              <w:ind w:left="107" w:right="413"/>
              <w:rPr>
                <w:sz w:val="24"/>
              </w:rPr>
            </w:pPr>
            <w:r>
              <w:rPr>
                <w:sz w:val="24"/>
              </w:rPr>
              <w:t>Resistencia a la compresión (Kg/cm</w:t>
            </w:r>
            <w:r>
              <w:rPr>
                <w:position w:val="8"/>
                <w:sz w:val="16"/>
              </w:rPr>
              <w:t>2</w:t>
            </w:r>
            <w:r>
              <w:rPr>
                <w:sz w:val="24"/>
              </w:rPr>
              <w:t>)</w:t>
            </w:r>
          </w:p>
        </w:tc>
        <w:tc>
          <w:tcPr>
            <w:tcW w:w="1727" w:type="dxa"/>
            <w:tcBorders>
              <w:top w:val="nil"/>
              <w:left w:val="nil"/>
              <w:bottom w:val="nil"/>
              <w:right w:val="nil"/>
            </w:tcBorders>
          </w:tcPr>
          <w:p>
            <w:pPr>
              <w:pStyle w:val="TableParagraph"/>
              <w:spacing w:before="199"/>
              <w:ind w:left="363" w:right="223"/>
              <w:rPr>
                <w:sz w:val="24"/>
              </w:rPr>
            </w:pPr>
            <w:r>
              <w:rPr>
                <w:sz w:val="24"/>
              </w:rPr>
              <w:t>100 – 600</w:t>
            </w:r>
          </w:p>
        </w:tc>
        <w:tc>
          <w:tcPr>
            <w:tcW w:w="2556" w:type="dxa"/>
            <w:tcBorders>
              <w:top w:val="nil"/>
              <w:left w:val="nil"/>
              <w:bottom w:val="nil"/>
              <w:right w:val="nil"/>
            </w:tcBorders>
          </w:tcPr>
          <w:p>
            <w:pPr>
              <w:pStyle w:val="TableParagraph"/>
              <w:spacing w:before="199"/>
              <w:ind w:left="605" w:right="572"/>
              <w:jc w:val="center"/>
              <w:rPr>
                <w:sz w:val="24"/>
              </w:rPr>
            </w:pPr>
            <w:r>
              <w:rPr>
                <w:sz w:val="24"/>
              </w:rPr>
              <w:t>600 – 1800</w:t>
            </w:r>
          </w:p>
        </w:tc>
      </w:tr>
      <w:tr>
        <w:trPr>
          <w:trHeight w:val="634" w:hRule="exact"/>
        </w:trPr>
        <w:tc>
          <w:tcPr>
            <w:tcW w:w="3542" w:type="dxa"/>
            <w:tcBorders>
              <w:top w:val="nil"/>
              <w:left w:val="nil"/>
              <w:bottom w:val="nil"/>
              <w:right w:val="nil"/>
            </w:tcBorders>
          </w:tcPr>
          <w:p>
            <w:pPr>
              <w:pStyle w:val="TableParagraph"/>
              <w:spacing w:line="271" w:lineRule="auto"/>
              <w:ind w:left="107" w:right="960"/>
              <w:rPr>
                <w:sz w:val="24"/>
              </w:rPr>
            </w:pPr>
            <w:r>
              <w:rPr>
                <w:sz w:val="24"/>
              </w:rPr>
              <w:t>Resistencia a la flexión (Kg/cm</w:t>
            </w:r>
            <w:r>
              <w:rPr>
                <w:position w:val="8"/>
                <w:sz w:val="16"/>
              </w:rPr>
              <w:t>2</w:t>
            </w:r>
            <w:r>
              <w:rPr>
                <w:sz w:val="24"/>
              </w:rPr>
              <w:t>)</w:t>
            </w:r>
          </w:p>
        </w:tc>
        <w:tc>
          <w:tcPr>
            <w:tcW w:w="1727" w:type="dxa"/>
            <w:tcBorders>
              <w:top w:val="nil"/>
              <w:left w:val="nil"/>
              <w:bottom w:val="nil"/>
              <w:right w:val="nil"/>
            </w:tcBorders>
          </w:tcPr>
          <w:p>
            <w:pPr>
              <w:pStyle w:val="TableParagraph"/>
              <w:spacing w:before="166"/>
              <w:ind w:left="564" w:right="223"/>
              <w:rPr>
                <w:sz w:val="24"/>
              </w:rPr>
            </w:pPr>
            <w:r>
              <w:rPr>
                <w:sz w:val="24"/>
              </w:rPr>
              <w:t>6 – 43</w:t>
            </w:r>
          </w:p>
        </w:tc>
        <w:tc>
          <w:tcPr>
            <w:tcW w:w="2556" w:type="dxa"/>
            <w:tcBorders>
              <w:top w:val="nil"/>
              <w:left w:val="nil"/>
              <w:bottom w:val="nil"/>
              <w:right w:val="nil"/>
            </w:tcBorders>
          </w:tcPr>
          <w:p>
            <w:pPr>
              <w:pStyle w:val="TableParagraph"/>
              <w:spacing w:before="166"/>
              <w:ind w:left="605" w:right="572"/>
              <w:jc w:val="center"/>
              <w:rPr>
                <w:sz w:val="24"/>
              </w:rPr>
            </w:pPr>
            <w:r>
              <w:rPr>
                <w:sz w:val="24"/>
              </w:rPr>
              <w:t>140 – 280</w:t>
            </w:r>
          </w:p>
        </w:tc>
      </w:tr>
      <w:tr>
        <w:trPr>
          <w:trHeight w:val="636" w:hRule="exact"/>
        </w:trPr>
        <w:tc>
          <w:tcPr>
            <w:tcW w:w="3542" w:type="dxa"/>
            <w:tcBorders>
              <w:top w:val="nil"/>
              <w:left w:val="nil"/>
              <w:bottom w:val="nil"/>
              <w:right w:val="nil"/>
            </w:tcBorders>
          </w:tcPr>
          <w:p>
            <w:pPr>
              <w:pStyle w:val="TableParagraph"/>
              <w:spacing w:line="273" w:lineRule="auto"/>
              <w:ind w:left="107" w:right="880"/>
              <w:rPr>
                <w:sz w:val="24"/>
              </w:rPr>
            </w:pPr>
            <w:r>
              <w:rPr>
                <w:sz w:val="24"/>
              </w:rPr>
              <w:t>Resistencia a la tensión (Kg/cm</w:t>
            </w:r>
            <w:r>
              <w:rPr>
                <w:position w:val="8"/>
                <w:sz w:val="16"/>
              </w:rPr>
              <w:t>2</w:t>
            </w:r>
            <w:r>
              <w:rPr>
                <w:sz w:val="24"/>
              </w:rPr>
              <w:t>)</w:t>
            </w:r>
          </w:p>
        </w:tc>
        <w:tc>
          <w:tcPr>
            <w:tcW w:w="1727" w:type="dxa"/>
            <w:tcBorders>
              <w:top w:val="nil"/>
              <w:left w:val="nil"/>
              <w:bottom w:val="nil"/>
              <w:right w:val="nil"/>
            </w:tcBorders>
          </w:tcPr>
          <w:p>
            <w:pPr>
              <w:pStyle w:val="TableParagraph"/>
              <w:spacing w:before="168"/>
              <w:ind w:left="363" w:right="223"/>
              <w:rPr>
                <w:sz w:val="24"/>
              </w:rPr>
            </w:pPr>
            <w:r>
              <w:rPr>
                <w:sz w:val="24"/>
              </w:rPr>
              <w:t>6.1 – 42.8</w:t>
            </w:r>
          </w:p>
        </w:tc>
        <w:tc>
          <w:tcPr>
            <w:tcW w:w="2556" w:type="dxa"/>
            <w:tcBorders>
              <w:top w:val="nil"/>
              <w:left w:val="nil"/>
              <w:bottom w:val="nil"/>
              <w:right w:val="nil"/>
            </w:tcBorders>
          </w:tcPr>
          <w:p>
            <w:pPr>
              <w:pStyle w:val="TableParagraph"/>
              <w:spacing w:before="168"/>
              <w:ind w:left="605" w:right="572"/>
              <w:jc w:val="center"/>
              <w:rPr>
                <w:sz w:val="24"/>
              </w:rPr>
            </w:pPr>
            <w:r>
              <w:rPr>
                <w:sz w:val="24"/>
              </w:rPr>
              <w:t>103 – 172</w:t>
            </w:r>
          </w:p>
        </w:tc>
      </w:tr>
      <w:tr>
        <w:trPr>
          <w:trHeight w:val="634" w:hRule="exact"/>
        </w:trPr>
        <w:tc>
          <w:tcPr>
            <w:tcW w:w="3542" w:type="dxa"/>
            <w:tcBorders>
              <w:top w:val="nil"/>
              <w:left w:val="nil"/>
              <w:bottom w:val="nil"/>
              <w:right w:val="nil"/>
            </w:tcBorders>
          </w:tcPr>
          <w:p>
            <w:pPr>
              <w:pStyle w:val="TableParagraph"/>
              <w:spacing w:line="271" w:lineRule="auto"/>
              <w:ind w:left="107" w:right="1093"/>
              <w:rPr>
                <w:sz w:val="24"/>
              </w:rPr>
            </w:pPr>
            <w:r>
              <w:rPr>
                <w:sz w:val="24"/>
              </w:rPr>
              <w:t>Módulo de elasticidad (x10</w:t>
            </w:r>
            <w:r>
              <w:rPr>
                <w:position w:val="8"/>
                <w:sz w:val="16"/>
              </w:rPr>
              <w:t>6</w:t>
            </w:r>
            <w:r>
              <w:rPr>
                <w:sz w:val="24"/>
              </w:rPr>
              <w:t>Kg/cm</w:t>
            </w:r>
            <w:r>
              <w:rPr>
                <w:position w:val="8"/>
                <w:sz w:val="16"/>
              </w:rPr>
              <w:t>2</w:t>
            </w:r>
            <w:r>
              <w:rPr>
                <w:sz w:val="24"/>
              </w:rPr>
              <w:t>)</w:t>
            </w:r>
          </w:p>
        </w:tc>
        <w:tc>
          <w:tcPr>
            <w:tcW w:w="1727" w:type="dxa"/>
            <w:tcBorders>
              <w:top w:val="nil"/>
              <w:left w:val="nil"/>
              <w:bottom w:val="nil"/>
              <w:right w:val="nil"/>
            </w:tcBorders>
          </w:tcPr>
          <w:p>
            <w:pPr>
              <w:pStyle w:val="TableParagraph"/>
              <w:spacing w:before="166"/>
              <w:ind w:left="363" w:right="223"/>
              <w:rPr>
                <w:sz w:val="24"/>
              </w:rPr>
            </w:pPr>
            <w:r>
              <w:rPr>
                <w:sz w:val="24"/>
              </w:rPr>
              <w:t>0.05 – 0.3</w:t>
            </w:r>
          </w:p>
        </w:tc>
        <w:tc>
          <w:tcPr>
            <w:tcW w:w="2556" w:type="dxa"/>
            <w:tcBorders>
              <w:top w:val="nil"/>
              <w:left w:val="nil"/>
              <w:bottom w:val="nil"/>
              <w:right w:val="nil"/>
            </w:tcBorders>
          </w:tcPr>
          <w:p>
            <w:pPr>
              <w:pStyle w:val="TableParagraph"/>
              <w:spacing w:before="166"/>
              <w:ind w:left="605" w:right="572"/>
              <w:jc w:val="center"/>
              <w:rPr>
                <w:sz w:val="24"/>
              </w:rPr>
            </w:pPr>
            <w:r>
              <w:rPr>
                <w:sz w:val="24"/>
              </w:rPr>
              <w:t>0.4 – 0.45</w:t>
            </w:r>
          </w:p>
        </w:tc>
      </w:tr>
      <w:tr>
        <w:trPr>
          <w:trHeight w:val="636" w:hRule="exact"/>
        </w:trPr>
        <w:tc>
          <w:tcPr>
            <w:tcW w:w="3542" w:type="dxa"/>
            <w:tcBorders>
              <w:top w:val="nil"/>
              <w:left w:val="nil"/>
              <w:bottom w:val="nil"/>
              <w:right w:val="nil"/>
            </w:tcBorders>
          </w:tcPr>
          <w:p>
            <w:pPr>
              <w:pStyle w:val="TableParagraph"/>
              <w:spacing w:line="278" w:lineRule="auto"/>
              <w:ind w:left="107" w:right="720"/>
              <w:rPr>
                <w:sz w:val="24"/>
              </w:rPr>
            </w:pPr>
            <w:r>
              <w:rPr>
                <w:sz w:val="24"/>
              </w:rPr>
              <w:t>Absorción de agua (% en peso)</w:t>
            </w:r>
          </w:p>
        </w:tc>
        <w:tc>
          <w:tcPr>
            <w:tcW w:w="1727" w:type="dxa"/>
            <w:tcBorders>
              <w:top w:val="nil"/>
              <w:left w:val="nil"/>
              <w:bottom w:val="nil"/>
              <w:right w:val="nil"/>
            </w:tcBorders>
          </w:tcPr>
          <w:p>
            <w:pPr>
              <w:pStyle w:val="TableParagraph"/>
              <w:spacing w:before="166"/>
              <w:ind w:left="564" w:right="223"/>
              <w:rPr>
                <w:sz w:val="24"/>
              </w:rPr>
            </w:pPr>
            <w:r>
              <w:rPr>
                <w:sz w:val="24"/>
              </w:rPr>
              <w:t>4 – 10</w:t>
            </w:r>
          </w:p>
        </w:tc>
        <w:tc>
          <w:tcPr>
            <w:tcW w:w="2556" w:type="dxa"/>
            <w:tcBorders>
              <w:top w:val="nil"/>
              <w:left w:val="nil"/>
              <w:bottom w:val="nil"/>
              <w:right w:val="nil"/>
            </w:tcBorders>
          </w:tcPr>
          <w:p>
            <w:pPr>
              <w:pStyle w:val="TableParagraph"/>
              <w:spacing w:before="166"/>
              <w:ind w:left="608" w:right="571"/>
              <w:jc w:val="center"/>
              <w:rPr>
                <w:sz w:val="24"/>
              </w:rPr>
            </w:pPr>
            <w:r>
              <w:rPr>
                <w:sz w:val="24"/>
              </w:rPr>
              <w:t>0.3 – 1</w:t>
            </w:r>
          </w:p>
        </w:tc>
      </w:tr>
      <w:tr>
        <w:trPr>
          <w:trHeight w:val="309" w:hRule="exact"/>
        </w:trPr>
        <w:tc>
          <w:tcPr>
            <w:tcW w:w="3542" w:type="dxa"/>
            <w:tcBorders>
              <w:top w:val="nil"/>
              <w:left w:val="nil"/>
              <w:bottom w:val="nil"/>
              <w:right w:val="nil"/>
            </w:tcBorders>
          </w:tcPr>
          <w:p>
            <w:pPr>
              <w:pStyle w:val="TableParagraph"/>
              <w:ind w:left="107" w:right="413"/>
              <w:rPr>
                <w:sz w:val="24"/>
              </w:rPr>
            </w:pPr>
            <w:r>
              <w:rPr>
                <w:sz w:val="24"/>
              </w:rPr>
              <w:t>Relación de Poisson</w:t>
            </w:r>
          </w:p>
        </w:tc>
        <w:tc>
          <w:tcPr>
            <w:tcW w:w="1727" w:type="dxa"/>
            <w:tcBorders>
              <w:top w:val="nil"/>
              <w:left w:val="nil"/>
              <w:bottom w:val="nil"/>
              <w:right w:val="nil"/>
            </w:tcBorders>
          </w:tcPr>
          <w:p>
            <w:pPr>
              <w:pStyle w:val="TableParagraph"/>
              <w:ind w:left="0" w:right="225"/>
              <w:jc w:val="right"/>
              <w:rPr>
                <w:sz w:val="24"/>
              </w:rPr>
            </w:pPr>
            <w:r>
              <w:rPr>
                <w:sz w:val="24"/>
              </w:rPr>
              <w:t>0.10 – 0.20</w:t>
            </w:r>
          </w:p>
        </w:tc>
        <w:tc>
          <w:tcPr>
            <w:tcW w:w="2556" w:type="dxa"/>
            <w:tcBorders>
              <w:top w:val="nil"/>
              <w:left w:val="nil"/>
              <w:bottom w:val="nil"/>
              <w:right w:val="nil"/>
            </w:tcBorders>
          </w:tcPr>
          <w:p>
            <w:pPr>
              <w:pStyle w:val="TableParagraph"/>
              <w:ind w:left="605" w:right="572"/>
              <w:jc w:val="center"/>
              <w:rPr>
                <w:sz w:val="24"/>
              </w:rPr>
            </w:pPr>
            <w:r>
              <w:rPr>
                <w:sz w:val="24"/>
              </w:rPr>
              <w:t>0.35</w:t>
            </w:r>
          </w:p>
        </w:tc>
      </w:tr>
      <w:tr>
        <w:trPr>
          <w:trHeight w:val="658" w:hRule="exact"/>
        </w:trPr>
        <w:tc>
          <w:tcPr>
            <w:tcW w:w="3542" w:type="dxa"/>
            <w:tcBorders>
              <w:top w:val="nil"/>
              <w:left w:val="nil"/>
              <w:right w:val="nil"/>
            </w:tcBorders>
          </w:tcPr>
          <w:p>
            <w:pPr>
              <w:pStyle w:val="TableParagraph"/>
              <w:spacing w:before="10"/>
              <w:ind w:left="107"/>
              <w:rPr>
                <w:sz w:val="16"/>
              </w:rPr>
            </w:pPr>
            <w:r>
              <w:rPr>
                <w:sz w:val="24"/>
              </w:rPr>
              <w:t>Coeficiente de dilatación (x10</w:t>
            </w:r>
            <w:r>
              <w:rPr>
                <w:position w:val="8"/>
                <w:sz w:val="16"/>
              </w:rPr>
              <w:t>-</w:t>
            </w:r>
          </w:p>
          <w:p>
            <w:pPr>
              <w:pStyle w:val="TableParagraph"/>
              <w:spacing w:before="36"/>
              <w:ind w:left="107" w:right="413"/>
              <w:rPr>
                <w:sz w:val="24"/>
              </w:rPr>
            </w:pPr>
            <w:r>
              <w:rPr>
                <w:position w:val="8"/>
                <w:sz w:val="16"/>
              </w:rPr>
              <w:t>6</w:t>
            </w:r>
            <w:r>
              <w:rPr>
                <w:sz w:val="24"/>
              </w:rPr>
              <w:t>/°C)</w:t>
            </w:r>
          </w:p>
        </w:tc>
        <w:tc>
          <w:tcPr>
            <w:tcW w:w="1727" w:type="dxa"/>
            <w:tcBorders>
              <w:top w:val="nil"/>
              <w:left w:val="nil"/>
              <w:right w:val="nil"/>
            </w:tcBorders>
          </w:tcPr>
          <w:p>
            <w:pPr>
              <w:pStyle w:val="TableParagraph"/>
              <w:spacing w:before="173"/>
              <w:ind w:left="564" w:right="223"/>
              <w:rPr>
                <w:sz w:val="24"/>
              </w:rPr>
            </w:pPr>
            <w:r>
              <w:rPr>
                <w:sz w:val="24"/>
              </w:rPr>
              <w:t>7 – 14</w:t>
            </w:r>
          </w:p>
        </w:tc>
        <w:tc>
          <w:tcPr>
            <w:tcW w:w="2556" w:type="dxa"/>
            <w:tcBorders>
              <w:top w:val="nil"/>
              <w:left w:val="nil"/>
              <w:right w:val="nil"/>
            </w:tcBorders>
          </w:tcPr>
          <w:p>
            <w:pPr>
              <w:pStyle w:val="TableParagraph"/>
              <w:spacing w:line="276" w:lineRule="auto" w:before="15"/>
              <w:ind w:left="287" w:right="108" w:hanging="128"/>
              <w:rPr>
                <w:sz w:val="24"/>
              </w:rPr>
            </w:pPr>
            <w:r>
              <w:rPr>
                <w:sz w:val="24"/>
              </w:rPr>
              <w:t>1.5 a 2.5 veces el del concreto hidráulico</w:t>
            </w:r>
          </w:p>
        </w:tc>
      </w:tr>
    </w:tbl>
    <w:p>
      <w:pPr>
        <w:pStyle w:val="BodyText"/>
        <w:spacing w:before="4"/>
        <w:rPr>
          <w:sz w:val="21"/>
        </w:rPr>
      </w:pPr>
    </w:p>
    <w:p>
      <w:pPr>
        <w:pStyle w:val="BodyText"/>
        <w:spacing w:line="276" w:lineRule="auto" w:before="69"/>
        <w:ind w:left="102" w:right="123"/>
        <w:jc w:val="both"/>
      </w:pPr>
      <w:r>
        <w:rPr/>
        <w:t>Los valores de la resistencia a la compresión de concretos poliméricos han alcanzado 150 MPa. La variación de estos valores depende del tipo de resina utilizada (por ejemplo poliéster y epoxi) y del tipo de agregados utilizados en la elaboración (arena sílice, carbonato de calcio, mármol etc.) así como las concentraciones utilizados. Otra variable que afecta los valores de la resistencia a la compresión es el porcentaje y tipo de fibra de refuerzo, esto debido a la compatibilidad matriz-fibra.</w:t>
      </w:r>
    </w:p>
    <w:p>
      <w:pPr>
        <w:pStyle w:val="BodyText"/>
        <w:spacing w:before="9"/>
        <w:rPr>
          <w:sz w:val="27"/>
        </w:rPr>
      </w:pPr>
    </w:p>
    <w:p>
      <w:pPr>
        <w:pStyle w:val="BodyText"/>
        <w:spacing w:line="276" w:lineRule="auto"/>
        <w:ind w:left="102" w:right="123"/>
        <w:jc w:val="both"/>
      </w:pPr>
      <w:r>
        <w:rPr/>
        <w:t>La resistencia a la flexión también se ve afectada por las variables anteriormente mencionadas. Se han alcanzado valores de 45 y 50 MPa para concretos elaborados con resina epoxi y poliéster respectivamente. Estos valores dependen de la concentración y propiedades de los componentes utilizados (agregados minerales, fibras y resinas).</w:t>
      </w:r>
    </w:p>
    <w:p>
      <w:pPr>
        <w:pStyle w:val="BodyText"/>
      </w:pPr>
    </w:p>
    <w:p>
      <w:pPr>
        <w:pStyle w:val="BodyText"/>
        <w:spacing w:before="4"/>
        <w:rPr>
          <w:sz w:val="31"/>
        </w:rPr>
      </w:pPr>
    </w:p>
    <w:p>
      <w:pPr>
        <w:pStyle w:val="Heading2"/>
        <w:numPr>
          <w:ilvl w:val="1"/>
          <w:numId w:val="2"/>
        </w:numPr>
        <w:tabs>
          <w:tab w:pos="505" w:val="left" w:leader="none"/>
        </w:tabs>
        <w:spacing w:line="240" w:lineRule="auto" w:before="0" w:after="0"/>
        <w:ind w:left="504" w:right="0" w:hanging="402"/>
        <w:jc w:val="both"/>
      </w:pPr>
      <w:r>
        <w:rPr/>
        <w:t>CONCRETO REFORZADO CON</w:t>
      </w:r>
      <w:r>
        <w:rPr>
          <w:spacing w:val="-7"/>
        </w:rPr>
        <w:t> </w:t>
      </w:r>
      <w:r>
        <w:rPr/>
        <w:t>FIBRAS</w:t>
      </w:r>
    </w:p>
    <w:p>
      <w:pPr>
        <w:pStyle w:val="BodyText"/>
        <w:spacing w:before="1"/>
        <w:rPr>
          <w:b/>
          <w:sz w:val="31"/>
        </w:rPr>
      </w:pPr>
    </w:p>
    <w:p>
      <w:pPr>
        <w:pStyle w:val="BodyText"/>
        <w:spacing w:line="276" w:lineRule="auto"/>
        <w:ind w:left="102" w:right="118"/>
        <w:jc w:val="both"/>
      </w:pPr>
      <w:r>
        <w:rPr/>
        <w:t>Desde la antigüedad, las fibras se han utilizado para reforzar materiales frágiles. La paja se utilizó para reforzar ladrillos cocidos al sol, y el pelo de caballo para reforzar mortero de albañilería y yeso. En la actualidad el uso de fibras naturales como el sisal, coco, bagazo de caña, plátano, palma, etc., se limitan a la producción de telas, cuerdas, esteras, etc.</w:t>
      </w:r>
      <w:r>
        <w:rPr>
          <w:spacing w:val="-16"/>
        </w:rPr>
        <w:t> </w:t>
      </w:r>
      <w:r>
        <w:rPr/>
        <w:t>[7].</w:t>
      </w:r>
    </w:p>
    <w:p>
      <w:pPr>
        <w:spacing w:after="0" w:line="276" w:lineRule="auto"/>
        <w:jc w:val="both"/>
        <w:sectPr>
          <w:pgSz w:w="12240" w:h="15840"/>
          <w:pgMar w:header="747" w:footer="0" w:top="940" w:bottom="280" w:left="1600" w:right="1580"/>
        </w:sectPr>
      </w:pPr>
    </w:p>
    <w:p>
      <w:pPr>
        <w:pStyle w:val="BodyText"/>
        <w:rPr>
          <w:sz w:val="20"/>
        </w:rPr>
      </w:pPr>
    </w:p>
    <w:p>
      <w:pPr>
        <w:pStyle w:val="BodyText"/>
        <w:rPr>
          <w:sz w:val="20"/>
        </w:rPr>
      </w:pPr>
    </w:p>
    <w:p>
      <w:pPr>
        <w:pStyle w:val="BodyText"/>
        <w:spacing w:before="4"/>
        <w:rPr>
          <w:sz w:val="22"/>
        </w:rPr>
      </w:pPr>
    </w:p>
    <w:p>
      <w:pPr>
        <w:pStyle w:val="BodyText"/>
        <w:spacing w:line="276" w:lineRule="auto" w:before="69"/>
        <w:ind w:left="102" w:right="116"/>
        <w:jc w:val="both"/>
      </w:pPr>
      <w:r>
        <w:rPr/>
        <w:t>Las fibras naturales disponibles en determinadas áreas geográficas se pueden utilizar eficazmente como refuerzo del concreto. Existe una amplia gama de materiales de ingeniería (incluyendo cerámica, plásticos, cemento, yeso, concretos, etc.) que incorporan fibras para mejorar las propiedades. Las propiedades mejoradas incluyen resistencia a la tracción, control de la  compresión, durabilidad, resistencia a la fatiga, resistencia al impacto y a la abrasión, la contracción, la expansión, la estabilidad térmica, y resistencia  al fuego.</w:t>
      </w:r>
    </w:p>
    <w:p>
      <w:pPr>
        <w:pStyle w:val="BodyText"/>
        <w:spacing w:before="9"/>
        <w:rPr>
          <w:sz w:val="27"/>
        </w:rPr>
      </w:pPr>
    </w:p>
    <w:p>
      <w:pPr>
        <w:pStyle w:val="BodyText"/>
        <w:spacing w:line="276" w:lineRule="auto"/>
        <w:ind w:left="102" w:right="115"/>
        <w:jc w:val="both"/>
      </w:pPr>
      <w:r>
        <w:rPr/>
        <w:t>Algunas de las propiedades que se mejoran al adicionar fibras a los concretos hidráulicos son la resistencia a la tracción, a la compresión, módulo de elasticidad, durabilidad, fatiga, resistencia al impacto y a la abrasión, estabilidad térmica y la resistencia al fuego. Además, del mejoramiento en la tenacidad, principalmente después del agrietamiento. Se obtiene un mejor control y distribución de grietas, con reducciones en el ancho de la fisura [7]. Los beneficios que las fibras proporcionan en resistencia a la tensión y tenacidad, hacen que el concreto se utilice en losas de aeropuertos y carreteras, en la reparación de piezas con problemas de cavitación, en depósitos, muelles y rompeolas.</w:t>
      </w:r>
    </w:p>
    <w:p>
      <w:pPr>
        <w:pStyle w:val="BodyText"/>
        <w:spacing w:before="6"/>
        <w:rPr>
          <w:sz w:val="27"/>
        </w:rPr>
      </w:pPr>
    </w:p>
    <w:p>
      <w:pPr>
        <w:pStyle w:val="BodyText"/>
        <w:spacing w:line="276" w:lineRule="auto" w:before="1"/>
        <w:ind w:left="102" w:right="117"/>
        <w:jc w:val="both"/>
      </w:pPr>
      <w:r>
        <w:rPr/>
        <w:t>Las fibras se utilizan con éxito para hacer láminas delgadas de cemento, que son colocadas en paredes y techos. Cabe mencionar que los productos hechos con cemento Pórtland y fibras naturales, tales como la fibra de coco, sisal, bagazo de caña, bambú, yute, madera y fibras vegetales, han sido probados con éxito y utilizados en los edificios en al menos 40 países diferentes [10-12]. No obstante, una limitante es la durabilidad. Estudios recientes indican que la adición de fibras naturales a concretos hidráulicos disminuye ligeramente la resistencia a la compresión, pero la resistencia a la tracción, a la flexión y la tenacidad son sustancialmente incrementados [7].</w:t>
      </w:r>
    </w:p>
    <w:p>
      <w:pPr>
        <w:pStyle w:val="BodyText"/>
        <w:spacing w:before="9"/>
        <w:rPr>
          <w:sz w:val="27"/>
        </w:rPr>
      </w:pPr>
    </w:p>
    <w:p>
      <w:pPr>
        <w:pStyle w:val="BodyText"/>
        <w:spacing w:line="276" w:lineRule="auto"/>
        <w:ind w:left="102" w:right="116"/>
        <w:jc w:val="both"/>
      </w:pPr>
      <w:r>
        <w:rPr/>
        <w:t>Existe muy poca información sobre concretos poliméricos que incorporen fibras (naturales o sintéticas). Algunos estudios reportan el uso de fibras de vidrio, carbono, boro, así como de fibras naturales como coco o bagazo de caña [7, 8].  Se ha reportado que las fibras de vidrio cortas o las fibras de carbono mejoran las propiedades de</w:t>
      </w:r>
      <w:r>
        <w:rPr>
          <w:spacing w:val="-7"/>
        </w:rPr>
        <w:t> </w:t>
      </w:r>
      <w:r>
        <w:rPr/>
        <w:t>fractura.</w:t>
      </w:r>
    </w:p>
    <w:p>
      <w:pPr>
        <w:pStyle w:val="BodyText"/>
        <w:spacing w:before="6"/>
        <w:rPr>
          <w:sz w:val="27"/>
        </w:rPr>
      </w:pPr>
    </w:p>
    <w:p>
      <w:pPr>
        <w:pStyle w:val="BodyText"/>
        <w:spacing w:line="276" w:lineRule="auto" w:before="1"/>
        <w:ind w:left="102" w:right="115"/>
        <w:jc w:val="both"/>
      </w:pPr>
      <w:r>
        <w:rPr/>
        <w:t>Para concretos poliméricos que utilizan resina poliéster, el uso de pequeñas concentraciones de fibras asegura una mezcla con una distribución homogénea de las fibras. Se estima que hay una concentración óptima de fibra en función del contenido de resina. En concretos con fibras de vidrio como refuerzo y silano  como agente de acoplamiento se mejora en un 95% la resistencia a la</w:t>
      </w:r>
      <w:r>
        <w:rPr>
          <w:spacing w:val="-28"/>
        </w:rPr>
        <w:t> </w:t>
      </w:r>
      <w:r>
        <w:rPr/>
        <w:t>flexión.</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Heading2"/>
        <w:numPr>
          <w:ilvl w:val="1"/>
          <w:numId w:val="2"/>
        </w:numPr>
        <w:tabs>
          <w:tab w:pos="505" w:val="left" w:leader="none"/>
        </w:tabs>
        <w:spacing w:line="240" w:lineRule="auto" w:before="0" w:after="0"/>
        <w:ind w:left="504" w:right="0" w:hanging="402"/>
        <w:jc w:val="both"/>
      </w:pPr>
      <w:r>
        <w:rPr/>
        <w:t>RESINA POLIÉSTER</w:t>
      </w:r>
      <w:r>
        <w:rPr>
          <w:spacing w:val="-12"/>
        </w:rPr>
        <w:t> </w:t>
      </w:r>
      <w:r>
        <w:rPr/>
        <w:t>INSATURADA</w:t>
      </w:r>
    </w:p>
    <w:p>
      <w:pPr>
        <w:pStyle w:val="BodyText"/>
        <w:spacing w:before="3"/>
        <w:rPr>
          <w:b/>
          <w:sz w:val="31"/>
        </w:rPr>
      </w:pPr>
    </w:p>
    <w:p>
      <w:pPr>
        <w:pStyle w:val="BodyText"/>
        <w:spacing w:line="276" w:lineRule="auto" w:before="1"/>
        <w:ind w:left="102" w:right="114"/>
        <w:jc w:val="both"/>
      </w:pPr>
      <w:r>
        <w:rPr/>
        <w:t>La  matriz  de  un   material   compuesto   forma una fracción   del   volumen total de un compuesto de polímero y tiene una serie de funciones críticas; mantiene unidos a los refuerzos, da la forma al composito y transfiere la carga aplicada a las fibras o partículas de refuerzo, protege a las fibras  de  refuerzo de  la  degradación, debido a la abrasión o ataque del medio ambienta. Contribuye significativamente  a las  propiedades mecánicas  de  los compuestos  de polímeros estructurales, ya que actúa para resistir la deslaminación entre capas de refuerzos y para inhibir el pandeo de la fibra durante la compresión. Los termoplásticos solo  se  utilizan en  ciertas   aplicaciones,   por   lo   que  constituyen un sector relativamente pequeño del mercado de compuestos estructurales. Las matrices utilizadas para materiales compuestos estructurales son principalmente plásticos termoestables, tales como resinas de poliéster, resinas epoxi, resinas fenólicas y resinas de éster vinílico. Las  resinas  de poliéster son los sistemas de resina más ampliamente utilizados. Los sistemas termoplásticos generalmente consisten en mezclas líquidas de reactantes de masas molares relativamente bajas, tales como monómeros y/o  prepolímeros,  que polimerizan por calentamiento o por catálisis para formar polímeros altamente reticulados</w:t>
      </w:r>
      <w:r>
        <w:rPr>
          <w:spacing w:val="-3"/>
        </w:rPr>
        <w:t> </w:t>
      </w:r>
      <w:r>
        <w:rPr/>
        <w:t>[13].</w:t>
      </w:r>
    </w:p>
    <w:p>
      <w:pPr>
        <w:pStyle w:val="BodyText"/>
        <w:spacing w:line="276" w:lineRule="auto" w:before="202"/>
        <w:ind w:left="102" w:right="121"/>
        <w:jc w:val="both"/>
      </w:pPr>
      <w:r>
        <w:rPr/>
        <w:t>Para la polimerización del concreto se requiere de un iniciador de radicales libres, tal como un peróxido orgánico. Con el cual se lleva a cabo la reacción de reticulación entre el polímero insaturado y el monómero insaturado.</w:t>
      </w:r>
    </w:p>
    <w:p>
      <w:pPr>
        <w:pStyle w:val="BodyText"/>
        <w:spacing w:before="6"/>
        <w:rPr>
          <w:sz w:val="27"/>
        </w:rPr>
      </w:pPr>
    </w:p>
    <w:p>
      <w:pPr>
        <w:pStyle w:val="BodyText"/>
        <w:spacing w:line="276" w:lineRule="auto" w:before="1"/>
        <w:ind w:left="102" w:right="118"/>
        <w:jc w:val="both"/>
      </w:pPr>
      <w:r>
        <w:rPr/>
        <w:t>La resina poliéster está formada por cinco uniones: un propilenglicol unido a un ácido fumárico unido a un propilenglicol unido a un ácido ortoftálico y este a su vez unido a un propilenglicol (Figura 1.1).</w:t>
      </w:r>
    </w:p>
    <w:p>
      <w:pPr>
        <w:pStyle w:val="BodyText"/>
        <w:rPr>
          <w:sz w:val="20"/>
        </w:rPr>
      </w:pPr>
    </w:p>
    <w:p>
      <w:pPr>
        <w:pStyle w:val="BodyText"/>
        <w:spacing w:before="9"/>
        <w:rPr>
          <w:sz w:val="22"/>
        </w:rPr>
      </w:pPr>
    </w:p>
    <w:p>
      <w:pPr>
        <w:spacing w:after="0"/>
        <w:rPr>
          <w:sz w:val="22"/>
        </w:rPr>
        <w:sectPr>
          <w:pgSz w:w="12240" w:h="15840"/>
          <w:pgMar w:header="747" w:footer="0" w:top="940" w:bottom="280" w:left="1600" w:right="1580"/>
        </w:sectPr>
      </w:pPr>
    </w:p>
    <w:p>
      <w:pPr>
        <w:tabs>
          <w:tab w:pos="836" w:val="left" w:leader="none"/>
        </w:tabs>
        <w:spacing w:before="84"/>
        <w:ind w:left="0" w:right="0" w:firstLine="0"/>
        <w:jc w:val="right"/>
        <w:rPr>
          <w:b/>
          <w:sz w:val="12"/>
        </w:rPr>
      </w:pPr>
      <w:r>
        <w:rPr/>
        <w:pict>
          <v:shape style="position:absolute;margin-left:30.855pt;margin-top:156.481232pt;width:21.85pt;height:20.3pt;mso-position-horizontal-relative:page;mso-position-vertical-relative:paragraph;z-index:1240" coordorigin="617,3130" coordsize="437,406" path="m3834,434l3834,213m3876,434l3876,213m3570,496l3796,496e" filled="false" stroked="true" strokeweight=".590037pt" strokecolor="#000000">
            <v:path arrowok="t"/>
            <w10:wrap type="none"/>
          </v:shape>
        </w:pict>
      </w:r>
      <w:r>
        <w:rPr/>
        <w:pict>
          <v:shape style="position:absolute;margin-left:1.6866pt;margin-top:146.681244pt;width:20.4pt;height:105.95pt;mso-position-horizontal-relative:page;mso-position-vertical-relative:paragraph;z-index:1264" coordorigin="34,2934" coordsize="408,2119" path="m3446,496l3160,496m3409,1553l3316,1553,3316,77,3409,77e" filled="false" stroked="true" strokeweight=".590037pt" strokecolor="#000000">
            <v:path arrowok="t"/>
            <w10:wrap type="none"/>
          </v:shape>
        </w:pict>
      </w:r>
      <w:r>
        <w:rPr/>
        <w:pict>
          <v:shape style="position:absolute;margin-left:109.309998pt;margin-top:156.961243pt;width:21.7pt;height:19.850pt;mso-position-horizontal-relative:page;mso-position-vertical-relative:paragraph;z-index:-83560" coordorigin="2186,3139" coordsize="434,397" path="m4672,434l4672,220m4714,434l4714,220m4753,496l4977,496e" filled="false" stroked="true" strokeweight=".590037pt" strokecolor="#000000">
            <v:path arrowok="t"/>
            <w10:wrap type="none"/>
          </v:shape>
        </w:pict>
      </w:r>
      <w:r>
        <w:rPr>
          <w:b/>
          <w:sz w:val="12"/>
        </w:rPr>
        <w:t>O</w:t>
        <w:tab/>
        <w:t>O</w:t>
      </w:r>
    </w:p>
    <w:p>
      <w:pPr>
        <w:pStyle w:val="BodyText"/>
        <w:spacing w:before="9"/>
        <w:rPr>
          <w:b/>
          <w:sz w:val="17"/>
        </w:rPr>
      </w:pPr>
    </w:p>
    <w:p>
      <w:pPr>
        <w:tabs>
          <w:tab w:pos="348" w:val="left" w:leader="none"/>
          <w:tab w:pos="1186" w:val="left" w:leader="none"/>
        </w:tabs>
        <w:spacing w:before="1"/>
        <w:ind w:left="0" w:right="1" w:firstLine="0"/>
        <w:jc w:val="right"/>
        <w:rPr>
          <w:b/>
          <w:sz w:val="12"/>
        </w:rPr>
      </w:pPr>
      <w:r>
        <w:rPr/>
        <w:pict>
          <v:group style="position:absolute;margin-left:194.8564pt;margin-top:5.461548pt;width:37.8pt;height:40.2pt;mso-position-horizontal-relative:page;mso-position-vertical-relative:paragraph;z-index:-83632" coordorigin="3897,109" coordsize="756,804">
            <v:shape style="position:absolute;left:3921;top:305;width:706;height:608" type="#_x0000_t75" stroked="false">
              <v:imagedata r:id="rId10" o:title=""/>
            </v:shape>
            <v:shape style="position:absolute;left:1092;top:3174;width:1059;height:1042" coordorigin="1092,3174" coordsize="1059,1042" path="m4023,600l4030,655,4048,706,4077,751,4114,788,4159,816,4210,834,4266,841,4321,834,4372,816,4417,788,4455,751,4483,706,4501,655,4508,600,4501,545,4483,495,4455,451,4417,414,4372,385,4321,367,4266,361,4210,367,4159,385,4114,414,4077,451,4048,495,4030,545,4023,600xm4101,311l3903,115m4447,311l4647,115e" filled="false" stroked="true" strokeweight=".590037pt" strokecolor="#000000">
              <v:path arrowok="t"/>
            </v:shape>
            <w10:wrap type="none"/>
          </v:group>
        </w:pict>
      </w:r>
      <w:r>
        <w:rPr>
          <w:b/>
          <w:sz w:val="12"/>
        </w:rPr>
        <w:t>O</w:t>
        <w:tab/>
        <w:t>C</w:t>
        <w:tab/>
      </w:r>
      <w:r>
        <w:rPr>
          <w:b/>
          <w:spacing w:val="-1"/>
          <w:sz w:val="12"/>
        </w:rPr>
        <w:t>C</w:t>
      </w:r>
    </w:p>
    <w:p>
      <w:pPr>
        <w:tabs>
          <w:tab w:pos="807" w:val="left" w:leader="none"/>
        </w:tabs>
        <w:spacing w:before="121"/>
        <w:ind w:left="116" w:right="0" w:firstLine="0"/>
        <w:jc w:val="center"/>
        <w:rPr>
          <w:b/>
          <w:sz w:val="12"/>
        </w:rPr>
      </w:pPr>
      <w:r>
        <w:rPr/>
        <w:br w:type="column"/>
      </w:r>
      <w:r>
        <w:rPr>
          <w:b/>
          <w:spacing w:val="-4"/>
          <w:sz w:val="12"/>
        </w:rPr>
        <w:t>CH</w:t>
      </w:r>
      <w:r>
        <w:rPr>
          <w:b/>
          <w:spacing w:val="-4"/>
          <w:position w:val="-1"/>
          <w:sz w:val="9"/>
        </w:rPr>
        <w:t>3</w:t>
        <w:tab/>
      </w:r>
      <w:r>
        <w:rPr>
          <w:b/>
          <w:sz w:val="12"/>
        </w:rPr>
        <w:t>O</w:t>
      </w:r>
    </w:p>
    <w:p>
      <w:pPr>
        <w:pStyle w:val="BodyText"/>
        <w:spacing w:before="2"/>
        <w:rPr>
          <w:b/>
          <w:sz w:val="13"/>
        </w:rPr>
      </w:pPr>
    </w:p>
    <w:p>
      <w:pPr>
        <w:tabs>
          <w:tab w:pos="565" w:val="left" w:leader="none"/>
          <w:tab w:pos="1060" w:val="left" w:leader="none"/>
          <w:tab w:pos="1403" w:val="left" w:leader="none"/>
          <w:tab w:pos="2700" w:val="left" w:leader="none"/>
        </w:tabs>
        <w:spacing w:line="153" w:lineRule="exact" w:before="0"/>
        <w:ind w:left="213" w:right="0" w:firstLine="0"/>
        <w:jc w:val="center"/>
        <w:rPr>
          <w:b/>
          <w:sz w:val="12"/>
        </w:rPr>
      </w:pPr>
      <w:r>
        <w:rPr/>
        <w:pict>
          <v:line style="position:absolute;mso-position-horizontal-relative:page;mso-position-vertical-relative:paragraph;z-index:-83536" from="255.013184pt,3.601269pt" to="266.359542pt,3.601269pt" stroked="true" strokeweight=".587598pt" strokecolor="#000000">
            <w10:wrap type="none"/>
          </v:line>
        </w:pict>
      </w:r>
      <w:r>
        <w:rPr/>
        <w:pict>
          <v:shape style="position:absolute;margin-left:195.470001pt;margin-top:138.276718pt;width:20.25pt;height:40.25pt;mso-position-horizontal-relative:page;mso-position-vertical-relative:paragraph;z-index:-83512" coordorigin="3909,2766" coordsize="405,805" path="m5883,47l5883,-169m5883,175l5883,392m5942,107l6167,107e" filled="false" stroked="true" strokeweight=".590037pt" strokecolor="#000000">
            <v:path arrowok="t"/>
            <w10:wrap type="none"/>
          </v:shape>
        </w:pict>
      </w:r>
      <w:r>
        <w:rPr/>
        <w:pict>
          <v:group style="position:absolute;margin-left:314.24118pt;margin-top:-8.660969pt;width:27.3pt;height:29.85pt;mso-position-horizontal-relative:page;mso-position-vertical-relative:paragraph;z-index:-83464" coordorigin="6285,-173" coordsize="546,597">
            <v:shape style="position:absolute;left:4490;top:2768;width:760;height:839" coordorigin="4490,2768" coordsize="760,839" path="m6291,107l6518,107m6555,47l6555,-167m6597,47l6597,-167m6633,139l6824,249m6821,311l6636,417e" filled="false" stroked="true" strokeweight=".590037pt" strokecolor="#000000">
              <v:path arrowok="t"/>
            </v:shape>
            <v:shape style="position:absolute;left:6535;top:56;width:88;height:120" type="#_x0000_t202" filled="false" stroked="false">
              <v:textbox inset="0,0,0,0">
                <w:txbxContent>
                  <w:p>
                    <w:pPr>
                      <w:spacing w:line="120" w:lineRule="exact" w:before="0"/>
                      <w:ind w:left="0" w:right="0" w:firstLine="0"/>
                      <w:jc w:val="left"/>
                      <w:rPr>
                        <w:b/>
                        <w:sz w:val="12"/>
                      </w:rPr>
                    </w:pPr>
                    <w:r>
                      <w:rPr>
                        <w:b/>
                        <w:w w:val="100"/>
                        <w:sz w:val="12"/>
                      </w:rPr>
                      <w:t>C</w:t>
                    </w:r>
                  </w:p>
                </w:txbxContent>
              </v:textbox>
              <w10:wrap type="none"/>
            </v:shape>
            <w10:wrap type="none"/>
          </v:group>
        </w:pict>
      </w:r>
      <w:r>
        <w:rPr/>
        <w:pict>
          <v:shape style="position:absolute;margin-left:294.790009pt;margin-top:160.742722pt;width:13.9pt;height:19.850pt;mso-position-horizontal-relative:page;mso-position-vertical-relative:paragraph;z-index:-83440" coordorigin="5896,3215" coordsize="278,397" path="m7278,247l7459,144m7282,313l7473,420e" filled="false" stroked="true" strokeweight=".590037pt" strokecolor="#000000">
            <v:path arrowok="t"/>
            <w10:wrap type="none"/>
          </v:shape>
        </w:pict>
      </w:r>
      <w:r>
        <w:rPr>
          <w:b/>
          <w:position w:val="4"/>
          <w:sz w:val="12"/>
        </w:rPr>
        <w:t>O</w:t>
        <w:tab/>
      </w:r>
      <w:r>
        <w:rPr>
          <w:b/>
          <w:spacing w:val="-4"/>
          <w:position w:val="4"/>
          <w:sz w:val="12"/>
        </w:rPr>
        <w:t>CH</w:t>
      </w:r>
      <w:r>
        <w:rPr>
          <w:b/>
          <w:spacing w:val="-4"/>
          <w:position w:val="1"/>
          <w:sz w:val="9"/>
        </w:rPr>
        <w:t>2</w:t>
      </w:r>
      <w:r>
        <w:rPr>
          <w:b/>
          <w:spacing w:val="-4"/>
          <w:position w:val="1"/>
          <w:sz w:val="9"/>
          <w:u w:val="single"/>
        </w:rPr>
        <w:t> </w:t>
        <w:tab/>
      </w:r>
      <w:r>
        <w:rPr>
          <w:b/>
          <w:sz w:val="12"/>
        </w:rPr>
        <w:t>C</w:t>
        <w:tab/>
        <w:t>O</w:t>
        <w:tab/>
        <w:t>H</w:t>
      </w:r>
    </w:p>
    <w:p>
      <w:pPr>
        <w:tabs>
          <w:tab w:pos="249" w:val="left" w:leader="none"/>
        </w:tabs>
        <w:spacing w:line="69" w:lineRule="exact" w:before="0"/>
        <w:ind w:left="0" w:right="381" w:firstLine="0"/>
        <w:jc w:val="right"/>
        <w:rPr>
          <w:b/>
          <w:sz w:val="9"/>
        </w:rPr>
      </w:pPr>
      <w:r>
        <w:rPr>
          <w:b/>
          <w:w w:val="99"/>
          <w:sz w:val="9"/>
          <w:u w:val="single"/>
        </w:rPr>
        <w:t> </w:t>
      </w:r>
      <w:r>
        <w:rPr>
          <w:b/>
          <w:sz w:val="9"/>
          <w:u w:val="single"/>
        </w:rPr>
        <w:tab/>
      </w:r>
    </w:p>
    <w:p>
      <w:pPr>
        <w:tabs>
          <w:tab w:pos="345" w:val="left" w:leader="none"/>
        </w:tabs>
        <w:spacing w:line="128" w:lineRule="exact" w:before="0"/>
        <w:ind w:left="0" w:right="297" w:firstLine="0"/>
        <w:jc w:val="right"/>
        <w:rPr>
          <w:b/>
          <w:sz w:val="12"/>
        </w:rPr>
      </w:pPr>
      <w:r>
        <w:rPr>
          <w:b/>
          <w:sz w:val="12"/>
        </w:rPr>
        <w:t>C</w:t>
        <w:tab/>
      </w:r>
      <w:r>
        <w:rPr>
          <w:b/>
          <w:spacing w:val="-1"/>
          <w:sz w:val="12"/>
        </w:rPr>
        <w:t>C</w:t>
      </w:r>
    </w:p>
    <w:p>
      <w:pPr>
        <w:tabs>
          <w:tab w:pos="807" w:val="left" w:leader="none"/>
        </w:tabs>
        <w:spacing w:before="34"/>
        <w:ind w:left="113" w:right="0" w:firstLine="0"/>
        <w:jc w:val="center"/>
        <w:rPr>
          <w:b/>
          <w:sz w:val="12"/>
        </w:rPr>
      </w:pPr>
      <w:r>
        <w:rPr/>
        <w:pict>
          <v:group style="position:absolute;margin-left:374.865143pt;margin-top:4.746691pt;width:15.85pt;height:14.75pt;mso-position-horizontal-relative:page;mso-position-vertical-relative:paragraph;z-index:-83392" coordorigin="7497,95" coordsize="317,295">
            <v:shape style="position:absolute;left:6216;top:3305;width:434;height:406" coordorigin="6216,3305" coordsize="434,406" path="m7544,168l7544,384m7503,168l7503,384m7583,101l7808,101e" filled="false" stroked="true" strokeweight=".590037pt" strokecolor="#000000">
              <v:path arrowok="t"/>
            </v:shape>
            <v:shape style="position:absolute;left:7497;top:95;width:317;height:295" type="#_x0000_t202" filled="false" stroked="false">
              <v:textbox inset="0,0,0,0">
                <w:txbxContent>
                  <w:p>
                    <w:pPr>
                      <w:spacing w:line="77" w:lineRule="exact" w:before="0"/>
                      <w:ind w:left="-16" w:right="0" w:firstLine="0"/>
                      <w:jc w:val="left"/>
                      <w:rPr>
                        <w:b/>
                        <w:sz w:val="12"/>
                      </w:rPr>
                    </w:pPr>
                    <w:r>
                      <w:rPr>
                        <w:b/>
                        <w:w w:val="100"/>
                        <w:sz w:val="12"/>
                      </w:rPr>
                      <w:t>C</w:t>
                    </w:r>
                  </w:p>
                </w:txbxContent>
              </v:textbox>
              <w10:wrap type="none"/>
            </v:shape>
            <w10:wrap type="none"/>
          </v:group>
        </w:pict>
      </w:r>
      <w:r>
        <w:rPr>
          <w:b/>
          <w:sz w:val="12"/>
        </w:rPr>
        <w:t>H</w:t>
        <w:tab/>
        <w:t>H</w:t>
      </w:r>
    </w:p>
    <w:p>
      <w:pPr>
        <w:pStyle w:val="BodyText"/>
        <w:rPr>
          <w:b/>
          <w:sz w:val="14"/>
        </w:rPr>
      </w:pPr>
      <w:r>
        <w:rPr/>
        <w:br w:type="column"/>
      </w:r>
      <w:r>
        <w:rPr>
          <w:b/>
          <w:sz w:val="14"/>
        </w:rPr>
      </w:r>
    </w:p>
    <w:p>
      <w:pPr>
        <w:pStyle w:val="BodyText"/>
        <w:rPr>
          <w:b/>
          <w:sz w:val="14"/>
        </w:rPr>
      </w:pPr>
    </w:p>
    <w:p>
      <w:pPr>
        <w:pStyle w:val="BodyText"/>
        <w:rPr>
          <w:b/>
          <w:sz w:val="14"/>
        </w:rPr>
      </w:pPr>
    </w:p>
    <w:p>
      <w:pPr>
        <w:pStyle w:val="BodyText"/>
        <w:rPr>
          <w:b/>
          <w:sz w:val="14"/>
        </w:rPr>
      </w:pPr>
    </w:p>
    <w:p>
      <w:pPr>
        <w:pStyle w:val="BodyText"/>
        <w:spacing w:before="3"/>
        <w:rPr>
          <w:b/>
          <w:sz w:val="14"/>
        </w:rPr>
      </w:pPr>
    </w:p>
    <w:p>
      <w:pPr>
        <w:tabs>
          <w:tab w:pos="566" w:val="left" w:leader="none"/>
        </w:tabs>
        <w:spacing w:before="0"/>
        <w:ind w:left="218" w:right="0" w:firstLine="0"/>
        <w:jc w:val="left"/>
        <w:rPr>
          <w:b/>
          <w:sz w:val="9"/>
        </w:rPr>
      </w:pPr>
      <w:r>
        <w:rPr/>
        <w:pict>
          <v:line style="position:absolute;mso-position-horizontal-relative:page;mso-position-vertical-relative:paragraph;z-index:-83368" from="396.579224pt,3.346691pt" to="407.925582pt,3.346691pt" stroked="true" strokeweight=".587598pt" strokecolor="#000000">
            <w10:wrap type="none"/>
          </v:line>
        </w:pict>
      </w:r>
      <w:r>
        <w:rPr/>
        <w:pict>
          <v:group style="position:absolute;margin-left:420.08197pt;margin-top:-36.849270pt;width:35.85pt;height:76.4pt;mso-position-horizontal-relative:page;mso-position-vertical-relative:paragraph;z-index:1552" coordorigin="8402,-737" coordsize="717,1528">
            <v:shape style="position:absolute;left:7503;top:2126;width:933;height:2119" coordorigin="7503,2126" coordsize="933,2119" path="m8408,102l8655,102m8714,42l8714,-174m8714,170l8714,387m8772,102l9063,102m8875,-731l8970,-731,8970,745,8875,745e" filled="false" stroked="true" strokeweight=".590037pt" strokecolor="#000000">
              <v:path arrowok="t"/>
            </v:shape>
            <v:shape style="position:absolute;left:8672;top:-292;width:218;height:807" type="#_x0000_t202" filled="false" stroked="false">
              <v:textbox inset="0,0,0,0">
                <w:txbxContent>
                  <w:p>
                    <w:pPr>
                      <w:spacing w:line="146" w:lineRule="exact" w:before="0"/>
                      <w:ind w:left="0" w:right="-17" w:firstLine="0"/>
                      <w:jc w:val="left"/>
                      <w:rPr>
                        <w:b/>
                        <w:sz w:val="9"/>
                      </w:rPr>
                    </w:pPr>
                    <w:r>
                      <w:rPr>
                        <w:b/>
                        <w:spacing w:val="-3"/>
                        <w:sz w:val="12"/>
                      </w:rPr>
                      <w:t>CH</w:t>
                    </w:r>
                    <w:r>
                      <w:rPr>
                        <w:b/>
                        <w:spacing w:val="-3"/>
                        <w:position w:val="-2"/>
                        <w:sz w:val="9"/>
                      </w:rPr>
                      <w:t>3</w:t>
                    </w:r>
                  </w:p>
                  <w:p>
                    <w:pPr>
                      <w:spacing w:line="344" w:lineRule="exact" w:before="19"/>
                      <w:ind w:left="0" w:right="111" w:firstLine="0"/>
                      <w:jc w:val="left"/>
                      <w:rPr>
                        <w:b/>
                        <w:sz w:val="12"/>
                      </w:rPr>
                    </w:pPr>
                    <w:r>
                      <w:rPr>
                        <w:b/>
                        <w:sz w:val="12"/>
                      </w:rPr>
                      <w:t>C H</w:t>
                    </w:r>
                  </w:p>
                </w:txbxContent>
              </v:textbox>
              <w10:wrap type="none"/>
            </v:shape>
            <v:shape style="position:absolute;left:9012;top:602;width:106;height:190" type="#_x0000_t202" filled="false" stroked="false">
              <v:textbox inset="0,0,0,0">
                <w:txbxContent>
                  <w:p>
                    <w:pPr>
                      <w:spacing w:line="189" w:lineRule="exact" w:before="0"/>
                      <w:ind w:left="0" w:right="0" w:firstLine="0"/>
                      <w:jc w:val="left"/>
                      <w:rPr>
                        <w:rFonts w:ascii="Times New Roman"/>
                        <w:b/>
                        <w:sz w:val="19"/>
                      </w:rPr>
                    </w:pPr>
                    <w:r>
                      <w:rPr>
                        <w:rFonts w:ascii="Times New Roman"/>
                        <w:b/>
                        <w:w w:val="100"/>
                        <w:sz w:val="19"/>
                      </w:rPr>
                      <w:t>n</w:t>
                    </w:r>
                  </w:p>
                </w:txbxContent>
              </v:textbox>
              <w10:wrap type="none"/>
            </v:shape>
            <w10:wrap type="none"/>
          </v:group>
        </w:pict>
      </w:r>
      <w:r>
        <w:rPr>
          <w:b/>
          <w:sz w:val="12"/>
        </w:rPr>
        <w:t>O</w:t>
        <w:tab/>
      </w:r>
      <w:r>
        <w:rPr>
          <w:b/>
          <w:spacing w:val="-4"/>
          <w:sz w:val="12"/>
        </w:rPr>
        <w:t>CH</w:t>
      </w:r>
      <w:r>
        <w:rPr>
          <w:b/>
          <w:spacing w:val="-4"/>
          <w:position w:val="-2"/>
          <w:sz w:val="9"/>
        </w:rPr>
        <w:t>2</w:t>
      </w:r>
    </w:p>
    <w:p>
      <w:pPr>
        <w:spacing w:after="0"/>
        <w:jc w:val="left"/>
        <w:rPr>
          <w:sz w:val="9"/>
        </w:rPr>
        <w:sectPr>
          <w:type w:val="continuous"/>
          <w:pgSz w:w="12240" w:h="15840"/>
          <w:pgMar w:top="940" w:bottom="280" w:left="1600" w:right="1580"/>
          <w:cols w:num="3" w:equalWidth="0">
            <w:col w:w="3141" w:space="40"/>
            <w:col w:w="2789" w:space="40"/>
            <w:col w:w="3050"/>
          </w:cols>
        </w:sectPr>
      </w:pPr>
    </w:p>
    <w:p>
      <w:pPr>
        <w:pStyle w:val="BodyText"/>
        <w:spacing w:before="9"/>
        <w:rPr>
          <w:b/>
          <w:sz w:val="15"/>
        </w:rPr>
      </w:pPr>
    </w:p>
    <w:p>
      <w:pPr>
        <w:spacing w:before="0"/>
        <w:ind w:left="2792" w:right="0" w:firstLine="0"/>
        <w:jc w:val="center"/>
        <w:rPr>
          <w:b/>
          <w:sz w:val="12"/>
        </w:rPr>
      </w:pPr>
      <w:r>
        <w:rPr>
          <w:b/>
          <w:w w:val="100"/>
          <w:sz w:val="12"/>
        </w:rPr>
        <w:t>O</w:t>
      </w:r>
    </w:p>
    <w:p>
      <w:pPr>
        <w:pStyle w:val="BodyText"/>
        <w:spacing w:before="1"/>
        <w:rPr>
          <w:b/>
          <w:sz w:val="27"/>
        </w:rPr>
      </w:pPr>
    </w:p>
    <w:p>
      <w:pPr>
        <w:pStyle w:val="BodyText"/>
        <w:spacing w:before="70"/>
        <w:ind w:left="2425" w:right="2220"/>
      </w:pPr>
      <w:r>
        <w:rPr/>
        <w:t>Figura 1.1. Resina  poliéster insaturada</w:t>
      </w:r>
    </w:p>
    <w:p>
      <w:pPr>
        <w:pStyle w:val="BodyText"/>
        <w:rPr>
          <w:sz w:val="21"/>
        </w:rPr>
      </w:pPr>
    </w:p>
    <w:p>
      <w:pPr>
        <w:pStyle w:val="BodyText"/>
        <w:spacing w:line="276" w:lineRule="auto" w:before="1"/>
        <w:ind w:left="102" w:right="114"/>
        <w:jc w:val="both"/>
      </w:pPr>
      <w:r>
        <w:rPr/>
        <w:t>El anhídrido maleico se incorpora en la cadena principal de poliéster y, a continuación isomeriza para proporcionar ésteres fumarato (comúnmente conocido como poliésteres insaturados). En la mayoría de los casos, el polímero se disuelve en estireno para proporcionar una solución que tendrá una viscosidad entre 200- 2000 cP. Otros monómeros vinílicos reactivos, tales como vinil-tolueno, ftalato   de</w:t>
      </w:r>
    </w:p>
    <w:p>
      <w:pPr>
        <w:spacing w:after="0" w:line="276" w:lineRule="auto"/>
        <w:jc w:val="both"/>
        <w:sectPr>
          <w:type w:val="continuous"/>
          <w:pgSz w:w="12240" w:h="15840"/>
          <w:pgMar w:top="940" w:bottom="280" w:left="1600" w:right="1580"/>
        </w:sectPr>
      </w:pPr>
    </w:p>
    <w:p>
      <w:pPr>
        <w:pStyle w:val="BodyText"/>
        <w:rPr>
          <w:sz w:val="20"/>
        </w:rPr>
      </w:pPr>
    </w:p>
    <w:p>
      <w:pPr>
        <w:pStyle w:val="BodyText"/>
        <w:spacing w:before="6"/>
        <w:rPr>
          <w:sz w:val="20"/>
        </w:rPr>
      </w:pPr>
    </w:p>
    <w:p>
      <w:pPr>
        <w:pStyle w:val="BodyText"/>
        <w:spacing w:line="276" w:lineRule="auto"/>
        <w:ind w:left="102" w:right="117"/>
        <w:jc w:val="both"/>
      </w:pPr>
      <w:r>
        <w:rPr/>
        <w:t>dialilo, metacrilato de metilo puede ser utilizado para obtener las propiedades específicas. La viscosidad es de suma importancia para la polimerización a través de radicales libres. La resina se coloca en un molde antes de la reacción de reticulación entre el polímero insaturado y el monómero insaturado. El "curado" es una reacción de reticulación de la cadena, es decir, es la conversión de la solución de baja viscosidad en un plástico termoestable tridimensional. Esto se conoce como la cura de la resina.</w:t>
      </w:r>
    </w:p>
    <w:p>
      <w:pPr>
        <w:pStyle w:val="BodyText"/>
        <w:spacing w:line="276" w:lineRule="auto" w:before="200"/>
        <w:ind w:left="102" w:right="117"/>
        <w:jc w:val="both"/>
      </w:pPr>
      <w:r>
        <w:rPr/>
        <w:t>El uso de estas resinas es principalmente por su bajo costo. Mientras que los parámetros de procesamiento pueden afectar esto, los costos de las materias primas tienden a limitar el tipo de poliésteres insaturados seleccionados.</w:t>
      </w:r>
    </w:p>
    <w:p>
      <w:pPr>
        <w:pStyle w:val="BodyText"/>
        <w:spacing w:before="200"/>
        <w:ind w:left="102"/>
        <w:jc w:val="both"/>
      </w:pPr>
      <w:r>
        <w:rPr/>
        <w:t>De acuerdo con su origen químico las resinas se clasifican en:</w:t>
      </w:r>
    </w:p>
    <w:p>
      <w:pPr>
        <w:pStyle w:val="BodyText"/>
        <w:spacing w:before="10"/>
        <w:rPr>
          <w:sz w:val="20"/>
        </w:rPr>
      </w:pPr>
    </w:p>
    <w:p>
      <w:pPr>
        <w:pStyle w:val="ListParagraph"/>
        <w:numPr>
          <w:ilvl w:val="0"/>
          <w:numId w:val="3"/>
        </w:numPr>
        <w:tabs>
          <w:tab w:pos="810" w:val="left" w:leader="none"/>
        </w:tabs>
        <w:spacing w:line="273" w:lineRule="auto" w:before="0" w:after="0"/>
        <w:ind w:left="889" w:right="126" w:hanging="360"/>
        <w:jc w:val="both"/>
        <w:rPr>
          <w:sz w:val="24"/>
        </w:rPr>
      </w:pPr>
      <w:r>
        <w:rPr>
          <w:sz w:val="24"/>
        </w:rPr>
        <w:t>Resinas de poliéster ortoftálicas, a base de anhídrido ortoftálico. De uso general en ambientes no</w:t>
      </w:r>
      <w:r>
        <w:rPr>
          <w:spacing w:val="-12"/>
          <w:sz w:val="24"/>
        </w:rPr>
        <w:t> </w:t>
      </w:r>
      <w:r>
        <w:rPr>
          <w:sz w:val="24"/>
        </w:rPr>
        <w:t>agresivos.</w:t>
      </w:r>
    </w:p>
    <w:p>
      <w:pPr>
        <w:pStyle w:val="ListParagraph"/>
        <w:numPr>
          <w:ilvl w:val="0"/>
          <w:numId w:val="3"/>
        </w:numPr>
        <w:tabs>
          <w:tab w:pos="810" w:val="left" w:leader="none"/>
        </w:tabs>
        <w:spacing w:line="276" w:lineRule="auto" w:before="1" w:after="0"/>
        <w:ind w:left="889" w:right="118" w:hanging="360"/>
        <w:jc w:val="both"/>
        <w:rPr>
          <w:sz w:val="24"/>
        </w:rPr>
      </w:pPr>
      <w:r>
        <w:rPr>
          <w:sz w:val="24"/>
        </w:rPr>
        <w:t>Resinas de poliéster isoftálicas están basadas en ácido isoftálico y  anhídrido maléico. La incorporación de ácido isoftálico crea una resina de alto peso molecular con buena resistencia química y térmica, buen desempeño mecánico, son resistentes al agua y a agentes químicos, e inertes</w:t>
      </w:r>
      <w:r>
        <w:rPr>
          <w:spacing w:val="-5"/>
          <w:sz w:val="24"/>
        </w:rPr>
        <w:t> </w:t>
      </w:r>
      <w:r>
        <w:rPr>
          <w:sz w:val="24"/>
        </w:rPr>
        <w:t>biológicamente.</w:t>
      </w:r>
    </w:p>
    <w:p>
      <w:pPr>
        <w:pStyle w:val="ListParagraph"/>
        <w:numPr>
          <w:ilvl w:val="0"/>
          <w:numId w:val="3"/>
        </w:numPr>
        <w:tabs>
          <w:tab w:pos="810" w:val="left" w:leader="none"/>
        </w:tabs>
        <w:spacing w:line="273" w:lineRule="auto" w:before="0" w:after="0"/>
        <w:ind w:left="889" w:right="118" w:hanging="360"/>
        <w:jc w:val="both"/>
        <w:rPr>
          <w:sz w:val="24"/>
        </w:rPr>
      </w:pPr>
      <w:r>
        <w:rPr>
          <w:sz w:val="24"/>
        </w:rPr>
        <w:t>Resinas poliéster isoftálicas con neopentil glicol (ISO-NPG). Alta resistencia química y al</w:t>
      </w:r>
      <w:r>
        <w:rPr>
          <w:spacing w:val="-6"/>
          <w:sz w:val="24"/>
        </w:rPr>
        <w:t> </w:t>
      </w:r>
      <w:r>
        <w:rPr>
          <w:sz w:val="24"/>
        </w:rPr>
        <w:t>ambiente.</w:t>
      </w:r>
    </w:p>
    <w:p>
      <w:pPr>
        <w:pStyle w:val="ListParagraph"/>
        <w:numPr>
          <w:ilvl w:val="0"/>
          <w:numId w:val="3"/>
        </w:numPr>
        <w:tabs>
          <w:tab w:pos="810" w:val="left" w:leader="none"/>
        </w:tabs>
        <w:spacing w:line="276" w:lineRule="auto" w:before="2" w:after="0"/>
        <w:ind w:left="889" w:right="122" w:hanging="360"/>
        <w:jc w:val="both"/>
        <w:rPr>
          <w:sz w:val="24"/>
        </w:rPr>
      </w:pPr>
      <w:r>
        <w:rPr>
          <w:sz w:val="24"/>
        </w:rPr>
        <w:t>Resinas vinil éster, a base de resinas epóxicas modificadas con componentes vinílicos. De excelente resistencia química y a altas temperaturas.</w:t>
      </w:r>
    </w:p>
    <w:p>
      <w:pPr>
        <w:pStyle w:val="ListParagraph"/>
        <w:numPr>
          <w:ilvl w:val="0"/>
          <w:numId w:val="3"/>
        </w:numPr>
        <w:tabs>
          <w:tab w:pos="810" w:val="left" w:leader="none"/>
        </w:tabs>
        <w:spacing w:line="273" w:lineRule="auto" w:before="0" w:after="0"/>
        <w:ind w:left="889" w:right="124" w:hanging="360"/>
        <w:jc w:val="both"/>
        <w:rPr>
          <w:sz w:val="24"/>
        </w:rPr>
      </w:pPr>
      <w:r>
        <w:rPr>
          <w:sz w:val="24"/>
        </w:rPr>
        <w:t>Resinas bisfenólicas, modificadas con bisfenol. De muy alta resistencia química, excelente estabilidad hidrolítica y a altas</w:t>
      </w:r>
      <w:r>
        <w:rPr>
          <w:spacing w:val="-18"/>
          <w:sz w:val="24"/>
        </w:rPr>
        <w:t> </w:t>
      </w:r>
      <w:r>
        <w:rPr>
          <w:sz w:val="24"/>
        </w:rPr>
        <w:t>temperaturas.</w:t>
      </w:r>
    </w:p>
    <w:p>
      <w:pPr>
        <w:pStyle w:val="BodyText"/>
        <w:spacing w:before="9"/>
        <w:rPr>
          <w:sz w:val="27"/>
        </w:rPr>
      </w:pPr>
    </w:p>
    <w:p>
      <w:pPr>
        <w:pStyle w:val="BodyText"/>
        <w:spacing w:line="276" w:lineRule="auto"/>
        <w:ind w:left="102" w:right="123"/>
        <w:jc w:val="both"/>
      </w:pPr>
      <w:r>
        <w:rPr/>
        <w:t>Las propiedades específicas tales como la flexibilidad, propiedades térmicas, ignífuga, y la hidrofobicidad puede ser alteradas mediante la variación del tipo de alcohol dihídrico/resina epoxi utilizada o variando la proporción de ácido fumárico/saturados.</w:t>
      </w:r>
    </w:p>
    <w:p>
      <w:pPr>
        <w:pStyle w:val="BodyText"/>
        <w:spacing w:line="276" w:lineRule="auto" w:before="203"/>
        <w:ind w:left="102" w:right="123"/>
        <w:jc w:val="both"/>
      </w:pPr>
      <w:r>
        <w:rPr/>
        <w:t>Uno de los problemas asociados con el uso de resinas de poliéster es que se contraen volumétricamente aproximadamente 6 a 8% durante el curado. Esto crea problemas en la fabricación de una superficie de alta calidad y/o mantener la estabilidad dimensional. Aditivos de bajo perfil ofrecen una solución única para este problema en el tratamiento a temperaturas</w:t>
      </w:r>
      <w:r>
        <w:rPr>
          <w:spacing w:val="-15"/>
        </w:rPr>
        <w:t> </w:t>
      </w:r>
      <w:r>
        <w:rPr/>
        <w:t>elevadas.</w:t>
      </w:r>
    </w:p>
    <w:p>
      <w:pPr>
        <w:pStyle w:val="BodyText"/>
        <w:spacing w:line="276" w:lineRule="auto" w:before="200"/>
        <w:ind w:left="102" w:right="125"/>
        <w:jc w:val="both"/>
      </w:pPr>
      <w:r>
        <w:rPr/>
        <w:t>Las propiedades mecánicas son a menudo el factor crítico en la selección de una resina  de  poliéster  para  una  aplicación  específica.  Más  aun,  las</w:t>
      </w:r>
      <w:r>
        <w:rPr>
          <w:spacing w:val="65"/>
        </w:rPr>
        <w:t> </w:t>
      </w:r>
      <w:r>
        <w:rPr/>
        <w:t>propiedades</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6" w:lineRule="auto"/>
        <w:ind w:left="222" w:right="125"/>
        <w:jc w:val="both"/>
      </w:pPr>
      <w:r>
        <w:rPr/>
        <w:t>físicas de los compuestos de poliéster son predominantemente controladas por el refuerzo. Las propiedades físicas de la resina de poliéster no afectan el rendimiento, durabilidad y propiedades térmicas. Ejemplos representativos de resinas de poliéster se muestran en la Tabla 1.2 [14-16].</w:t>
      </w:r>
    </w:p>
    <w:p>
      <w:pPr>
        <w:pStyle w:val="BodyText"/>
        <w:spacing w:before="9"/>
        <w:rPr>
          <w:sz w:val="27"/>
        </w:rPr>
      </w:pPr>
    </w:p>
    <w:p>
      <w:pPr>
        <w:pStyle w:val="BodyText"/>
        <w:spacing w:after="43"/>
        <w:ind w:left="1518"/>
      </w:pPr>
      <w:r>
        <w:rPr/>
        <w:t>Tabla 1.2. Propiedades mecánicas de resinas de poliéster.</w:t>
      </w: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92"/>
        <w:gridCol w:w="857"/>
        <w:gridCol w:w="1301"/>
        <w:gridCol w:w="952"/>
        <w:gridCol w:w="1242"/>
        <w:gridCol w:w="1277"/>
        <w:gridCol w:w="910"/>
        <w:gridCol w:w="1327"/>
      </w:tblGrid>
      <w:tr>
        <w:trPr>
          <w:trHeight w:val="1171" w:hRule="exact"/>
        </w:trPr>
        <w:tc>
          <w:tcPr>
            <w:tcW w:w="1092" w:type="dxa"/>
            <w:tcBorders>
              <w:left w:val="nil"/>
              <w:right w:val="nil"/>
            </w:tcBorders>
          </w:tcPr>
          <w:p>
            <w:pPr>
              <w:pStyle w:val="TableParagraph"/>
              <w:spacing w:line="201" w:lineRule="exact" w:before="0"/>
              <w:ind w:left="199"/>
              <w:rPr>
                <w:b/>
                <w:sz w:val="18"/>
              </w:rPr>
            </w:pPr>
            <w:r>
              <w:rPr>
                <w:b/>
                <w:sz w:val="18"/>
              </w:rPr>
              <w:t>Material</w:t>
            </w:r>
          </w:p>
        </w:tc>
        <w:tc>
          <w:tcPr>
            <w:tcW w:w="857" w:type="dxa"/>
            <w:tcBorders>
              <w:left w:val="nil"/>
              <w:right w:val="nil"/>
            </w:tcBorders>
          </w:tcPr>
          <w:p>
            <w:pPr>
              <w:pStyle w:val="TableParagraph"/>
              <w:spacing w:line="276" w:lineRule="auto" w:before="0"/>
              <w:ind w:left="143" w:right="115" w:hanging="22"/>
              <w:rPr>
                <w:b/>
                <w:sz w:val="18"/>
              </w:rPr>
            </w:pPr>
            <w:r>
              <w:rPr>
                <w:b/>
                <w:sz w:val="18"/>
              </w:rPr>
              <w:t>Dureza Barcol</w:t>
            </w:r>
          </w:p>
        </w:tc>
        <w:tc>
          <w:tcPr>
            <w:tcW w:w="1301" w:type="dxa"/>
            <w:tcBorders>
              <w:left w:val="nil"/>
              <w:right w:val="nil"/>
            </w:tcBorders>
          </w:tcPr>
          <w:p>
            <w:pPr>
              <w:pStyle w:val="TableParagraph"/>
              <w:spacing w:line="276" w:lineRule="auto" w:before="0"/>
              <w:ind w:left="133" w:right="126" w:hanging="1"/>
              <w:jc w:val="center"/>
              <w:rPr>
                <w:b/>
                <w:sz w:val="18"/>
              </w:rPr>
            </w:pPr>
            <w:r>
              <w:rPr>
                <w:b/>
                <w:sz w:val="18"/>
              </w:rPr>
              <w:t>Resistencia a la Tensión (MPa)</w:t>
            </w:r>
          </w:p>
        </w:tc>
        <w:tc>
          <w:tcPr>
            <w:tcW w:w="952" w:type="dxa"/>
            <w:tcBorders>
              <w:left w:val="nil"/>
              <w:right w:val="nil"/>
            </w:tcBorders>
          </w:tcPr>
          <w:p>
            <w:pPr>
              <w:pStyle w:val="TableParagraph"/>
              <w:spacing w:line="276" w:lineRule="auto" w:before="0"/>
              <w:ind w:left="126" w:right="130" w:firstLine="2"/>
              <w:jc w:val="center"/>
              <w:rPr>
                <w:b/>
                <w:sz w:val="18"/>
              </w:rPr>
            </w:pPr>
            <w:r>
              <w:rPr>
                <w:b/>
                <w:sz w:val="18"/>
              </w:rPr>
              <w:t>Módulo de Tensión (GPa)</w:t>
            </w:r>
          </w:p>
        </w:tc>
        <w:tc>
          <w:tcPr>
            <w:tcW w:w="1242" w:type="dxa"/>
            <w:tcBorders>
              <w:left w:val="nil"/>
              <w:right w:val="nil"/>
            </w:tcBorders>
          </w:tcPr>
          <w:p>
            <w:pPr>
              <w:pStyle w:val="TableParagraph"/>
              <w:spacing w:line="508" w:lineRule="auto" w:before="0"/>
              <w:ind w:left="478" w:right="120" w:hanging="346"/>
              <w:rPr>
                <w:b/>
                <w:sz w:val="18"/>
              </w:rPr>
            </w:pPr>
            <w:r>
              <w:rPr>
                <w:b/>
                <w:sz w:val="18"/>
              </w:rPr>
              <w:t>Elongación (%)</w:t>
            </w:r>
          </w:p>
        </w:tc>
        <w:tc>
          <w:tcPr>
            <w:tcW w:w="1277" w:type="dxa"/>
            <w:tcBorders>
              <w:left w:val="nil"/>
              <w:right w:val="nil"/>
            </w:tcBorders>
          </w:tcPr>
          <w:p>
            <w:pPr>
              <w:pStyle w:val="TableParagraph"/>
              <w:spacing w:line="276" w:lineRule="auto" w:before="0"/>
              <w:ind w:left="138" w:right="134"/>
              <w:jc w:val="center"/>
              <w:rPr>
                <w:b/>
                <w:sz w:val="18"/>
              </w:rPr>
            </w:pPr>
            <w:r>
              <w:rPr>
                <w:b/>
                <w:sz w:val="18"/>
              </w:rPr>
              <w:t>Resistencia</w:t>
            </w:r>
            <w:r>
              <w:rPr>
                <w:b/>
                <w:w w:val="100"/>
                <w:sz w:val="18"/>
              </w:rPr>
              <w:t> </w:t>
            </w:r>
            <w:r>
              <w:rPr>
                <w:b/>
                <w:sz w:val="18"/>
              </w:rPr>
              <w:t>a la Flexión (MPa)</w:t>
            </w:r>
          </w:p>
        </w:tc>
        <w:tc>
          <w:tcPr>
            <w:tcW w:w="910" w:type="dxa"/>
            <w:tcBorders>
              <w:left w:val="nil"/>
              <w:right w:val="nil"/>
            </w:tcBorders>
          </w:tcPr>
          <w:p>
            <w:pPr>
              <w:pStyle w:val="TableParagraph"/>
              <w:spacing w:line="276" w:lineRule="auto" w:before="0"/>
              <w:ind w:left="136" w:right="129"/>
              <w:jc w:val="center"/>
              <w:rPr>
                <w:b/>
                <w:sz w:val="18"/>
              </w:rPr>
            </w:pPr>
            <w:r>
              <w:rPr>
                <w:b/>
                <w:sz w:val="18"/>
              </w:rPr>
              <w:t>Módulo de Flexión (GPa)</w:t>
            </w:r>
          </w:p>
        </w:tc>
        <w:tc>
          <w:tcPr>
            <w:tcW w:w="1327" w:type="dxa"/>
            <w:tcBorders>
              <w:left w:val="nil"/>
              <w:right w:val="nil"/>
            </w:tcBorders>
          </w:tcPr>
          <w:p>
            <w:pPr>
              <w:pStyle w:val="TableParagraph"/>
              <w:spacing w:line="276" w:lineRule="auto" w:before="0"/>
              <w:ind w:left="131" w:right="140" w:hanging="4"/>
              <w:jc w:val="center"/>
              <w:rPr>
                <w:b/>
                <w:sz w:val="18"/>
              </w:rPr>
            </w:pPr>
            <w:r>
              <w:rPr>
                <w:b/>
                <w:sz w:val="18"/>
              </w:rPr>
              <w:t>Resistencia a la  Compresión (MPa)</w:t>
            </w:r>
          </w:p>
        </w:tc>
      </w:tr>
      <w:tr>
        <w:trPr>
          <w:trHeight w:val="343" w:hRule="exact"/>
        </w:trPr>
        <w:tc>
          <w:tcPr>
            <w:tcW w:w="1092" w:type="dxa"/>
            <w:tcBorders>
              <w:left w:val="nil"/>
              <w:bottom w:val="nil"/>
              <w:right w:val="nil"/>
            </w:tcBorders>
          </w:tcPr>
          <w:p>
            <w:pPr>
              <w:pStyle w:val="TableParagraph"/>
              <w:spacing w:before="1"/>
              <w:ind w:left="0" w:right="141"/>
              <w:jc w:val="right"/>
              <w:rPr>
                <w:sz w:val="18"/>
              </w:rPr>
            </w:pPr>
            <w:r>
              <w:rPr>
                <w:sz w:val="18"/>
              </w:rPr>
              <w:t>Ortoftálica</w:t>
            </w:r>
          </w:p>
        </w:tc>
        <w:tc>
          <w:tcPr>
            <w:tcW w:w="857" w:type="dxa"/>
            <w:tcBorders>
              <w:left w:val="nil"/>
              <w:bottom w:val="nil"/>
              <w:right w:val="nil"/>
            </w:tcBorders>
          </w:tcPr>
          <w:p>
            <w:pPr>
              <w:pStyle w:val="TableParagraph"/>
              <w:spacing w:before="1"/>
              <w:ind w:left="0" w:right="8"/>
              <w:jc w:val="center"/>
              <w:rPr>
                <w:sz w:val="18"/>
              </w:rPr>
            </w:pPr>
            <w:r>
              <w:rPr>
                <w:sz w:val="18"/>
              </w:rPr>
              <w:t>…</w:t>
            </w:r>
          </w:p>
        </w:tc>
        <w:tc>
          <w:tcPr>
            <w:tcW w:w="1301" w:type="dxa"/>
            <w:tcBorders>
              <w:left w:val="nil"/>
              <w:bottom w:val="nil"/>
              <w:right w:val="nil"/>
            </w:tcBorders>
          </w:tcPr>
          <w:p>
            <w:pPr>
              <w:pStyle w:val="TableParagraph"/>
              <w:spacing w:before="1"/>
              <w:ind w:left="534" w:right="525"/>
              <w:jc w:val="center"/>
              <w:rPr>
                <w:sz w:val="18"/>
              </w:rPr>
            </w:pPr>
            <w:r>
              <w:rPr>
                <w:sz w:val="18"/>
              </w:rPr>
              <w:t>55</w:t>
            </w:r>
          </w:p>
        </w:tc>
        <w:tc>
          <w:tcPr>
            <w:tcW w:w="952" w:type="dxa"/>
            <w:tcBorders>
              <w:left w:val="nil"/>
              <w:bottom w:val="nil"/>
              <w:right w:val="nil"/>
            </w:tcBorders>
          </w:tcPr>
          <w:p>
            <w:pPr>
              <w:pStyle w:val="TableParagraph"/>
              <w:spacing w:before="1"/>
              <w:ind w:left="279" w:right="282"/>
              <w:jc w:val="center"/>
              <w:rPr>
                <w:sz w:val="18"/>
              </w:rPr>
            </w:pPr>
            <w:r>
              <w:rPr>
                <w:sz w:val="18"/>
              </w:rPr>
              <w:t>3.45</w:t>
            </w:r>
          </w:p>
        </w:tc>
        <w:tc>
          <w:tcPr>
            <w:tcW w:w="1242" w:type="dxa"/>
            <w:tcBorders>
              <w:left w:val="nil"/>
              <w:bottom w:val="nil"/>
              <w:right w:val="nil"/>
            </w:tcBorders>
          </w:tcPr>
          <w:p>
            <w:pPr>
              <w:pStyle w:val="TableParagraph"/>
              <w:spacing w:before="1"/>
              <w:ind w:left="473" w:right="477"/>
              <w:jc w:val="center"/>
              <w:rPr>
                <w:sz w:val="18"/>
              </w:rPr>
            </w:pPr>
            <w:r>
              <w:rPr>
                <w:sz w:val="18"/>
              </w:rPr>
              <w:t>2.1</w:t>
            </w:r>
          </w:p>
        </w:tc>
        <w:tc>
          <w:tcPr>
            <w:tcW w:w="1277" w:type="dxa"/>
            <w:tcBorders>
              <w:left w:val="nil"/>
              <w:bottom w:val="nil"/>
              <w:right w:val="nil"/>
            </w:tcBorders>
          </w:tcPr>
          <w:p>
            <w:pPr>
              <w:pStyle w:val="TableParagraph"/>
              <w:spacing w:before="1"/>
              <w:ind w:left="539"/>
              <w:rPr>
                <w:sz w:val="18"/>
              </w:rPr>
            </w:pPr>
            <w:r>
              <w:rPr>
                <w:sz w:val="18"/>
              </w:rPr>
              <w:t>80</w:t>
            </w:r>
          </w:p>
        </w:tc>
        <w:tc>
          <w:tcPr>
            <w:tcW w:w="910" w:type="dxa"/>
            <w:tcBorders>
              <w:left w:val="nil"/>
              <w:bottom w:val="nil"/>
              <w:right w:val="nil"/>
            </w:tcBorders>
          </w:tcPr>
          <w:p>
            <w:pPr>
              <w:pStyle w:val="TableParagraph"/>
              <w:spacing w:before="1"/>
              <w:ind w:left="131" w:right="129"/>
              <w:jc w:val="center"/>
              <w:rPr>
                <w:sz w:val="18"/>
              </w:rPr>
            </w:pPr>
            <w:r>
              <w:rPr>
                <w:sz w:val="18"/>
              </w:rPr>
              <w:t>3.45</w:t>
            </w:r>
          </w:p>
        </w:tc>
        <w:tc>
          <w:tcPr>
            <w:tcW w:w="1327" w:type="dxa"/>
            <w:tcBorders>
              <w:left w:val="nil"/>
              <w:bottom w:val="nil"/>
              <w:right w:val="nil"/>
            </w:tcBorders>
          </w:tcPr>
          <w:p>
            <w:pPr>
              <w:pStyle w:val="TableParagraph"/>
              <w:spacing w:before="1"/>
              <w:ind w:left="0" w:right="8"/>
              <w:jc w:val="center"/>
              <w:rPr>
                <w:sz w:val="18"/>
              </w:rPr>
            </w:pPr>
            <w:r>
              <w:rPr>
                <w:sz w:val="18"/>
              </w:rPr>
              <w:t>…</w:t>
            </w:r>
          </w:p>
        </w:tc>
      </w:tr>
      <w:tr>
        <w:trPr>
          <w:trHeight w:val="438" w:hRule="exact"/>
        </w:trPr>
        <w:tc>
          <w:tcPr>
            <w:tcW w:w="1092" w:type="dxa"/>
            <w:tcBorders>
              <w:top w:val="nil"/>
              <w:left w:val="nil"/>
              <w:bottom w:val="nil"/>
              <w:right w:val="nil"/>
            </w:tcBorders>
          </w:tcPr>
          <w:p>
            <w:pPr>
              <w:pStyle w:val="TableParagraph"/>
              <w:spacing w:before="105"/>
              <w:ind w:left="182"/>
              <w:rPr>
                <w:sz w:val="18"/>
              </w:rPr>
            </w:pPr>
            <w:r>
              <w:rPr>
                <w:sz w:val="18"/>
              </w:rPr>
              <w:t>Isoftálica</w:t>
            </w:r>
          </w:p>
        </w:tc>
        <w:tc>
          <w:tcPr>
            <w:tcW w:w="857" w:type="dxa"/>
            <w:tcBorders>
              <w:top w:val="nil"/>
              <w:left w:val="nil"/>
              <w:bottom w:val="nil"/>
              <w:right w:val="nil"/>
            </w:tcBorders>
          </w:tcPr>
          <w:p>
            <w:pPr>
              <w:pStyle w:val="TableParagraph"/>
              <w:spacing w:before="105"/>
              <w:ind w:left="305" w:right="311"/>
              <w:jc w:val="center"/>
              <w:rPr>
                <w:sz w:val="18"/>
              </w:rPr>
            </w:pPr>
            <w:r>
              <w:rPr>
                <w:sz w:val="18"/>
              </w:rPr>
              <w:t>40</w:t>
            </w:r>
          </w:p>
        </w:tc>
        <w:tc>
          <w:tcPr>
            <w:tcW w:w="1301" w:type="dxa"/>
            <w:tcBorders>
              <w:top w:val="nil"/>
              <w:left w:val="nil"/>
              <w:bottom w:val="nil"/>
              <w:right w:val="nil"/>
            </w:tcBorders>
          </w:tcPr>
          <w:p>
            <w:pPr>
              <w:pStyle w:val="TableParagraph"/>
              <w:spacing w:before="105"/>
              <w:ind w:left="534" w:right="525"/>
              <w:jc w:val="center"/>
              <w:rPr>
                <w:sz w:val="18"/>
              </w:rPr>
            </w:pPr>
            <w:r>
              <w:rPr>
                <w:sz w:val="18"/>
              </w:rPr>
              <w:t>75</w:t>
            </w:r>
          </w:p>
        </w:tc>
        <w:tc>
          <w:tcPr>
            <w:tcW w:w="952" w:type="dxa"/>
            <w:tcBorders>
              <w:top w:val="nil"/>
              <w:left w:val="nil"/>
              <w:bottom w:val="nil"/>
              <w:right w:val="nil"/>
            </w:tcBorders>
          </w:tcPr>
          <w:p>
            <w:pPr>
              <w:pStyle w:val="TableParagraph"/>
              <w:spacing w:before="105"/>
              <w:ind w:left="279" w:right="282"/>
              <w:jc w:val="center"/>
              <w:rPr>
                <w:sz w:val="18"/>
              </w:rPr>
            </w:pPr>
            <w:r>
              <w:rPr>
                <w:sz w:val="18"/>
              </w:rPr>
              <w:t>3.38</w:t>
            </w:r>
          </w:p>
        </w:tc>
        <w:tc>
          <w:tcPr>
            <w:tcW w:w="1242" w:type="dxa"/>
            <w:tcBorders>
              <w:top w:val="nil"/>
              <w:left w:val="nil"/>
              <w:bottom w:val="nil"/>
              <w:right w:val="nil"/>
            </w:tcBorders>
          </w:tcPr>
          <w:p>
            <w:pPr>
              <w:pStyle w:val="TableParagraph"/>
              <w:spacing w:before="105"/>
              <w:ind w:left="473" w:right="477"/>
              <w:jc w:val="center"/>
              <w:rPr>
                <w:sz w:val="18"/>
              </w:rPr>
            </w:pPr>
            <w:r>
              <w:rPr>
                <w:sz w:val="18"/>
              </w:rPr>
              <w:t>3.3</w:t>
            </w:r>
          </w:p>
        </w:tc>
        <w:tc>
          <w:tcPr>
            <w:tcW w:w="1277" w:type="dxa"/>
            <w:tcBorders>
              <w:top w:val="nil"/>
              <w:left w:val="nil"/>
              <w:bottom w:val="nil"/>
              <w:right w:val="nil"/>
            </w:tcBorders>
          </w:tcPr>
          <w:p>
            <w:pPr>
              <w:pStyle w:val="TableParagraph"/>
              <w:spacing w:before="105"/>
              <w:ind w:left="489"/>
              <w:rPr>
                <w:sz w:val="18"/>
              </w:rPr>
            </w:pPr>
            <w:r>
              <w:rPr>
                <w:sz w:val="18"/>
              </w:rPr>
              <w:t>130</w:t>
            </w:r>
          </w:p>
        </w:tc>
        <w:tc>
          <w:tcPr>
            <w:tcW w:w="910" w:type="dxa"/>
            <w:tcBorders>
              <w:top w:val="nil"/>
              <w:left w:val="nil"/>
              <w:bottom w:val="nil"/>
              <w:right w:val="nil"/>
            </w:tcBorders>
          </w:tcPr>
          <w:p>
            <w:pPr>
              <w:pStyle w:val="TableParagraph"/>
              <w:spacing w:before="105"/>
              <w:ind w:left="131" w:right="129"/>
              <w:jc w:val="center"/>
              <w:rPr>
                <w:sz w:val="18"/>
              </w:rPr>
            </w:pPr>
            <w:r>
              <w:rPr>
                <w:sz w:val="18"/>
              </w:rPr>
              <w:t>3.59</w:t>
            </w:r>
          </w:p>
        </w:tc>
        <w:tc>
          <w:tcPr>
            <w:tcW w:w="1327" w:type="dxa"/>
            <w:tcBorders>
              <w:top w:val="nil"/>
              <w:left w:val="nil"/>
              <w:bottom w:val="nil"/>
              <w:right w:val="nil"/>
            </w:tcBorders>
          </w:tcPr>
          <w:p>
            <w:pPr>
              <w:pStyle w:val="TableParagraph"/>
              <w:spacing w:before="105"/>
              <w:ind w:left="490" w:right="495"/>
              <w:jc w:val="center"/>
              <w:rPr>
                <w:sz w:val="18"/>
              </w:rPr>
            </w:pPr>
            <w:r>
              <w:rPr>
                <w:sz w:val="18"/>
              </w:rPr>
              <w:t>120</w:t>
            </w:r>
          </w:p>
        </w:tc>
      </w:tr>
      <w:tr>
        <w:trPr>
          <w:trHeight w:val="676" w:hRule="exact"/>
        </w:trPr>
        <w:tc>
          <w:tcPr>
            <w:tcW w:w="1092" w:type="dxa"/>
            <w:tcBorders>
              <w:top w:val="nil"/>
              <w:left w:val="nil"/>
              <w:bottom w:val="nil"/>
              <w:right w:val="nil"/>
            </w:tcBorders>
          </w:tcPr>
          <w:p>
            <w:pPr>
              <w:pStyle w:val="TableParagraph"/>
              <w:spacing w:before="106"/>
              <w:ind w:left="163" w:right="178"/>
              <w:jc w:val="center"/>
              <w:rPr>
                <w:sz w:val="18"/>
              </w:rPr>
            </w:pPr>
            <w:r>
              <w:rPr>
                <w:sz w:val="18"/>
              </w:rPr>
              <w:t>BPA</w:t>
            </w:r>
          </w:p>
          <w:p>
            <w:pPr>
              <w:pStyle w:val="TableParagraph"/>
              <w:spacing w:before="30"/>
              <w:ind w:left="164" w:right="178"/>
              <w:jc w:val="center"/>
              <w:rPr>
                <w:sz w:val="18"/>
              </w:rPr>
            </w:pPr>
            <w:r>
              <w:rPr>
                <w:sz w:val="18"/>
              </w:rPr>
              <w:t>fumarato</w:t>
            </w:r>
          </w:p>
        </w:tc>
        <w:tc>
          <w:tcPr>
            <w:tcW w:w="857" w:type="dxa"/>
            <w:tcBorders>
              <w:top w:val="nil"/>
              <w:left w:val="nil"/>
              <w:bottom w:val="nil"/>
              <w:right w:val="nil"/>
            </w:tcBorders>
          </w:tcPr>
          <w:p>
            <w:pPr>
              <w:pStyle w:val="TableParagraph"/>
              <w:spacing w:before="106"/>
              <w:ind w:left="305" w:right="311"/>
              <w:jc w:val="center"/>
              <w:rPr>
                <w:sz w:val="18"/>
              </w:rPr>
            </w:pPr>
            <w:r>
              <w:rPr>
                <w:sz w:val="18"/>
              </w:rPr>
              <w:t>34</w:t>
            </w:r>
          </w:p>
        </w:tc>
        <w:tc>
          <w:tcPr>
            <w:tcW w:w="1301" w:type="dxa"/>
            <w:tcBorders>
              <w:top w:val="nil"/>
              <w:left w:val="nil"/>
              <w:bottom w:val="nil"/>
              <w:right w:val="nil"/>
            </w:tcBorders>
          </w:tcPr>
          <w:p>
            <w:pPr>
              <w:pStyle w:val="TableParagraph"/>
              <w:spacing w:before="106"/>
              <w:ind w:left="534" w:right="525"/>
              <w:jc w:val="center"/>
              <w:rPr>
                <w:sz w:val="18"/>
              </w:rPr>
            </w:pPr>
            <w:r>
              <w:rPr>
                <w:sz w:val="18"/>
              </w:rPr>
              <w:t>40</w:t>
            </w:r>
          </w:p>
        </w:tc>
        <w:tc>
          <w:tcPr>
            <w:tcW w:w="952" w:type="dxa"/>
            <w:tcBorders>
              <w:top w:val="nil"/>
              <w:left w:val="nil"/>
              <w:bottom w:val="nil"/>
              <w:right w:val="nil"/>
            </w:tcBorders>
          </w:tcPr>
          <w:p>
            <w:pPr>
              <w:pStyle w:val="TableParagraph"/>
              <w:spacing w:before="106"/>
              <w:ind w:left="279" w:right="282"/>
              <w:jc w:val="center"/>
              <w:rPr>
                <w:sz w:val="18"/>
              </w:rPr>
            </w:pPr>
            <w:r>
              <w:rPr>
                <w:sz w:val="18"/>
              </w:rPr>
              <w:t>2.83</w:t>
            </w:r>
          </w:p>
        </w:tc>
        <w:tc>
          <w:tcPr>
            <w:tcW w:w="1242" w:type="dxa"/>
            <w:tcBorders>
              <w:top w:val="nil"/>
              <w:left w:val="nil"/>
              <w:bottom w:val="nil"/>
              <w:right w:val="nil"/>
            </w:tcBorders>
          </w:tcPr>
          <w:p>
            <w:pPr>
              <w:pStyle w:val="TableParagraph"/>
              <w:spacing w:before="106"/>
              <w:ind w:left="473" w:right="477"/>
              <w:jc w:val="center"/>
              <w:rPr>
                <w:sz w:val="18"/>
              </w:rPr>
            </w:pPr>
            <w:r>
              <w:rPr>
                <w:sz w:val="18"/>
              </w:rPr>
              <w:t>1.4</w:t>
            </w:r>
          </w:p>
        </w:tc>
        <w:tc>
          <w:tcPr>
            <w:tcW w:w="1277" w:type="dxa"/>
            <w:tcBorders>
              <w:top w:val="nil"/>
              <w:left w:val="nil"/>
              <w:bottom w:val="nil"/>
              <w:right w:val="nil"/>
            </w:tcBorders>
          </w:tcPr>
          <w:p>
            <w:pPr>
              <w:pStyle w:val="TableParagraph"/>
              <w:spacing w:before="106"/>
              <w:ind w:left="489"/>
              <w:rPr>
                <w:sz w:val="18"/>
              </w:rPr>
            </w:pPr>
            <w:r>
              <w:rPr>
                <w:sz w:val="18"/>
              </w:rPr>
              <w:t>110</w:t>
            </w:r>
          </w:p>
        </w:tc>
        <w:tc>
          <w:tcPr>
            <w:tcW w:w="910" w:type="dxa"/>
            <w:tcBorders>
              <w:top w:val="nil"/>
              <w:left w:val="nil"/>
              <w:bottom w:val="nil"/>
              <w:right w:val="nil"/>
            </w:tcBorders>
          </w:tcPr>
          <w:p>
            <w:pPr>
              <w:pStyle w:val="TableParagraph"/>
              <w:spacing w:before="106"/>
              <w:ind w:left="131" w:right="129"/>
              <w:jc w:val="center"/>
              <w:rPr>
                <w:sz w:val="18"/>
              </w:rPr>
            </w:pPr>
            <w:r>
              <w:rPr>
                <w:sz w:val="18"/>
              </w:rPr>
              <w:t>3.38</w:t>
            </w:r>
          </w:p>
        </w:tc>
        <w:tc>
          <w:tcPr>
            <w:tcW w:w="1327" w:type="dxa"/>
            <w:tcBorders>
              <w:top w:val="nil"/>
              <w:left w:val="nil"/>
              <w:bottom w:val="nil"/>
              <w:right w:val="nil"/>
            </w:tcBorders>
          </w:tcPr>
          <w:p>
            <w:pPr>
              <w:pStyle w:val="TableParagraph"/>
              <w:spacing w:before="106"/>
              <w:ind w:left="490" w:right="495"/>
              <w:jc w:val="center"/>
              <w:rPr>
                <w:sz w:val="18"/>
              </w:rPr>
            </w:pPr>
            <w:r>
              <w:rPr>
                <w:sz w:val="18"/>
              </w:rPr>
              <w:t>100</w:t>
            </w:r>
          </w:p>
        </w:tc>
      </w:tr>
      <w:tr>
        <w:trPr>
          <w:trHeight w:val="438" w:hRule="exact"/>
        </w:trPr>
        <w:tc>
          <w:tcPr>
            <w:tcW w:w="1092" w:type="dxa"/>
            <w:tcBorders>
              <w:top w:val="nil"/>
              <w:left w:val="nil"/>
              <w:bottom w:val="nil"/>
              <w:right w:val="nil"/>
            </w:tcBorders>
          </w:tcPr>
          <w:p>
            <w:pPr>
              <w:pStyle w:val="TableParagraph"/>
              <w:spacing w:before="105"/>
              <w:ind w:left="0" w:right="119"/>
              <w:jc w:val="right"/>
              <w:rPr>
                <w:sz w:val="18"/>
              </w:rPr>
            </w:pPr>
            <w:r>
              <w:rPr>
                <w:w w:val="95"/>
                <w:sz w:val="18"/>
              </w:rPr>
              <w:t>Cloréndico</w:t>
            </w:r>
          </w:p>
        </w:tc>
        <w:tc>
          <w:tcPr>
            <w:tcW w:w="857" w:type="dxa"/>
            <w:tcBorders>
              <w:top w:val="nil"/>
              <w:left w:val="nil"/>
              <w:bottom w:val="nil"/>
              <w:right w:val="nil"/>
            </w:tcBorders>
          </w:tcPr>
          <w:p>
            <w:pPr>
              <w:pStyle w:val="TableParagraph"/>
              <w:spacing w:before="105"/>
              <w:ind w:left="305" w:right="311"/>
              <w:jc w:val="center"/>
              <w:rPr>
                <w:sz w:val="18"/>
              </w:rPr>
            </w:pPr>
            <w:r>
              <w:rPr>
                <w:sz w:val="18"/>
              </w:rPr>
              <w:t>40</w:t>
            </w:r>
          </w:p>
        </w:tc>
        <w:tc>
          <w:tcPr>
            <w:tcW w:w="1301" w:type="dxa"/>
            <w:tcBorders>
              <w:top w:val="nil"/>
              <w:left w:val="nil"/>
              <w:bottom w:val="nil"/>
              <w:right w:val="nil"/>
            </w:tcBorders>
          </w:tcPr>
          <w:p>
            <w:pPr>
              <w:pStyle w:val="TableParagraph"/>
              <w:spacing w:before="105"/>
              <w:ind w:left="534" w:right="525"/>
              <w:jc w:val="center"/>
              <w:rPr>
                <w:sz w:val="18"/>
              </w:rPr>
            </w:pPr>
            <w:r>
              <w:rPr>
                <w:sz w:val="18"/>
              </w:rPr>
              <w:t>20</w:t>
            </w:r>
          </w:p>
        </w:tc>
        <w:tc>
          <w:tcPr>
            <w:tcW w:w="952" w:type="dxa"/>
            <w:tcBorders>
              <w:top w:val="nil"/>
              <w:left w:val="nil"/>
              <w:bottom w:val="nil"/>
              <w:right w:val="nil"/>
            </w:tcBorders>
          </w:tcPr>
          <w:p>
            <w:pPr>
              <w:pStyle w:val="TableParagraph"/>
              <w:spacing w:before="105"/>
              <w:ind w:left="279" w:right="282"/>
              <w:jc w:val="center"/>
              <w:rPr>
                <w:sz w:val="18"/>
              </w:rPr>
            </w:pPr>
            <w:r>
              <w:rPr>
                <w:sz w:val="18"/>
              </w:rPr>
              <w:t>3.38</w:t>
            </w:r>
          </w:p>
        </w:tc>
        <w:tc>
          <w:tcPr>
            <w:tcW w:w="1242" w:type="dxa"/>
            <w:tcBorders>
              <w:top w:val="nil"/>
              <w:left w:val="nil"/>
              <w:bottom w:val="nil"/>
              <w:right w:val="nil"/>
            </w:tcBorders>
          </w:tcPr>
          <w:p>
            <w:pPr>
              <w:pStyle w:val="TableParagraph"/>
              <w:spacing w:before="105"/>
              <w:ind w:left="0" w:right="2"/>
              <w:jc w:val="center"/>
              <w:rPr>
                <w:sz w:val="18"/>
              </w:rPr>
            </w:pPr>
            <w:r>
              <w:rPr>
                <w:sz w:val="18"/>
              </w:rPr>
              <w:t>…</w:t>
            </w:r>
          </w:p>
        </w:tc>
        <w:tc>
          <w:tcPr>
            <w:tcW w:w="1277" w:type="dxa"/>
            <w:tcBorders>
              <w:top w:val="nil"/>
              <w:left w:val="nil"/>
              <w:bottom w:val="nil"/>
              <w:right w:val="nil"/>
            </w:tcBorders>
          </w:tcPr>
          <w:p>
            <w:pPr>
              <w:pStyle w:val="TableParagraph"/>
              <w:spacing w:before="105"/>
              <w:ind w:left="489"/>
              <w:rPr>
                <w:sz w:val="18"/>
              </w:rPr>
            </w:pPr>
            <w:r>
              <w:rPr>
                <w:sz w:val="18"/>
              </w:rPr>
              <w:t>120</w:t>
            </w:r>
          </w:p>
        </w:tc>
        <w:tc>
          <w:tcPr>
            <w:tcW w:w="910" w:type="dxa"/>
            <w:tcBorders>
              <w:top w:val="nil"/>
              <w:left w:val="nil"/>
              <w:bottom w:val="nil"/>
              <w:right w:val="nil"/>
            </w:tcBorders>
          </w:tcPr>
          <w:p>
            <w:pPr>
              <w:pStyle w:val="TableParagraph"/>
              <w:spacing w:before="105"/>
              <w:ind w:left="131" w:right="129"/>
              <w:jc w:val="center"/>
              <w:rPr>
                <w:sz w:val="18"/>
              </w:rPr>
            </w:pPr>
            <w:r>
              <w:rPr>
                <w:sz w:val="18"/>
              </w:rPr>
              <w:t>3.93</w:t>
            </w:r>
          </w:p>
        </w:tc>
        <w:tc>
          <w:tcPr>
            <w:tcW w:w="1327" w:type="dxa"/>
            <w:tcBorders>
              <w:top w:val="nil"/>
              <w:left w:val="nil"/>
              <w:bottom w:val="nil"/>
              <w:right w:val="nil"/>
            </w:tcBorders>
          </w:tcPr>
          <w:p>
            <w:pPr>
              <w:pStyle w:val="TableParagraph"/>
              <w:spacing w:before="105"/>
              <w:ind w:left="490" w:right="495"/>
              <w:jc w:val="center"/>
              <w:rPr>
                <w:sz w:val="18"/>
              </w:rPr>
            </w:pPr>
            <w:r>
              <w:rPr>
                <w:sz w:val="18"/>
              </w:rPr>
              <w:t>100</w:t>
            </w:r>
          </w:p>
        </w:tc>
      </w:tr>
      <w:tr>
        <w:trPr>
          <w:trHeight w:val="556" w:hRule="exact"/>
        </w:trPr>
        <w:tc>
          <w:tcPr>
            <w:tcW w:w="1092" w:type="dxa"/>
            <w:tcBorders>
              <w:top w:val="nil"/>
              <w:left w:val="nil"/>
              <w:right w:val="nil"/>
            </w:tcBorders>
          </w:tcPr>
          <w:p>
            <w:pPr>
              <w:pStyle w:val="TableParagraph"/>
              <w:spacing w:before="106"/>
              <w:ind w:left="0" w:right="145"/>
              <w:jc w:val="right"/>
              <w:rPr>
                <w:sz w:val="18"/>
              </w:rPr>
            </w:pPr>
            <w:r>
              <w:rPr>
                <w:sz w:val="18"/>
              </w:rPr>
              <w:t>Vinil Ester</w:t>
            </w:r>
          </w:p>
        </w:tc>
        <w:tc>
          <w:tcPr>
            <w:tcW w:w="857" w:type="dxa"/>
            <w:tcBorders>
              <w:top w:val="nil"/>
              <w:left w:val="nil"/>
              <w:right w:val="nil"/>
            </w:tcBorders>
          </w:tcPr>
          <w:p>
            <w:pPr>
              <w:pStyle w:val="TableParagraph"/>
              <w:spacing w:before="106"/>
              <w:ind w:left="305" w:right="311"/>
              <w:jc w:val="center"/>
              <w:rPr>
                <w:sz w:val="18"/>
              </w:rPr>
            </w:pPr>
            <w:r>
              <w:rPr>
                <w:sz w:val="18"/>
              </w:rPr>
              <w:t>35</w:t>
            </w:r>
          </w:p>
        </w:tc>
        <w:tc>
          <w:tcPr>
            <w:tcW w:w="1301" w:type="dxa"/>
            <w:tcBorders>
              <w:top w:val="nil"/>
              <w:left w:val="nil"/>
              <w:right w:val="nil"/>
            </w:tcBorders>
          </w:tcPr>
          <w:p>
            <w:pPr>
              <w:pStyle w:val="TableParagraph"/>
              <w:spacing w:before="106"/>
              <w:ind w:left="534" w:right="525"/>
              <w:jc w:val="center"/>
              <w:rPr>
                <w:sz w:val="18"/>
              </w:rPr>
            </w:pPr>
            <w:r>
              <w:rPr>
                <w:sz w:val="18"/>
              </w:rPr>
              <w:t>80</w:t>
            </w:r>
          </w:p>
        </w:tc>
        <w:tc>
          <w:tcPr>
            <w:tcW w:w="952" w:type="dxa"/>
            <w:tcBorders>
              <w:top w:val="nil"/>
              <w:left w:val="nil"/>
              <w:right w:val="nil"/>
            </w:tcBorders>
          </w:tcPr>
          <w:p>
            <w:pPr>
              <w:pStyle w:val="TableParagraph"/>
              <w:spacing w:before="106"/>
              <w:ind w:left="279" w:right="282"/>
              <w:jc w:val="center"/>
              <w:rPr>
                <w:sz w:val="18"/>
              </w:rPr>
            </w:pPr>
            <w:r>
              <w:rPr>
                <w:sz w:val="18"/>
              </w:rPr>
              <w:t>3.59</w:t>
            </w:r>
          </w:p>
        </w:tc>
        <w:tc>
          <w:tcPr>
            <w:tcW w:w="1242" w:type="dxa"/>
            <w:tcBorders>
              <w:top w:val="nil"/>
              <w:left w:val="nil"/>
              <w:right w:val="nil"/>
            </w:tcBorders>
          </w:tcPr>
          <w:p>
            <w:pPr>
              <w:pStyle w:val="TableParagraph"/>
              <w:spacing w:before="106"/>
              <w:ind w:left="473" w:right="477"/>
              <w:jc w:val="center"/>
              <w:rPr>
                <w:sz w:val="18"/>
              </w:rPr>
            </w:pPr>
            <w:r>
              <w:rPr>
                <w:sz w:val="18"/>
              </w:rPr>
              <w:t>4.0</w:t>
            </w:r>
          </w:p>
        </w:tc>
        <w:tc>
          <w:tcPr>
            <w:tcW w:w="1277" w:type="dxa"/>
            <w:tcBorders>
              <w:top w:val="nil"/>
              <w:left w:val="nil"/>
              <w:right w:val="nil"/>
            </w:tcBorders>
          </w:tcPr>
          <w:p>
            <w:pPr>
              <w:pStyle w:val="TableParagraph"/>
              <w:spacing w:before="106"/>
              <w:ind w:left="489"/>
              <w:rPr>
                <w:sz w:val="18"/>
              </w:rPr>
            </w:pPr>
            <w:r>
              <w:rPr>
                <w:sz w:val="18"/>
              </w:rPr>
              <w:t>140</w:t>
            </w:r>
          </w:p>
        </w:tc>
        <w:tc>
          <w:tcPr>
            <w:tcW w:w="910" w:type="dxa"/>
            <w:tcBorders>
              <w:top w:val="nil"/>
              <w:left w:val="nil"/>
              <w:right w:val="nil"/>
            </w:tcBorders>
          </w:tcPr>
          <w:p>
            <w:pPr>
              <w:pStyle w:val="TableParagraph"/>
              <w:spacing w:before="106"/>
              <w:ind w:left="131" w:right="129"/>
              <w:jc w:val="center"/>
              <w:rPr>
                <w:sz w:val="18"/>
              </w:rPr>
            </w:pPr>
            <w:r>
              <w:rPr>
                <w:sz w:val="18"/>
              </w:rPr>
              <w:t>3.72</w:t>
            </w:r>
          </w:p>
        </w:tc>
        <w:tc>
          <w:tcPr>
            <w:tcW w:w="1327" w:type="dxa"/>
            <w:tcBorders>
              <w:top w:val="nil"/>
              <w:left w:val="nil"/>
              <w:right w:val="nil"/>
            </w:tcBorders>
          </w:tcPr>
          <w:p>
            <w:pPr>
              <w:pStyle w:val="TableParagraph"/>
              <w:spacing w:before="106"/>
              <w:ind w:left="0" w:right="8"/>
              <w:jc w:val="center"/>
              <w:rPr>
                <w:sz w:val="18"/>
              </w:rPr>
            </w:pPr>
            <w:r>
              <w:rPr>
                <w:sz w:val="18"/>
              </w:rPr>
              <w:t>…</w:t>
            </w:r>
          </w:p>
        </w:tc>
      </w:tr>
    </w:tbl>
    <w:p>
      <w:pPr>
        <w:pStyle w:val="BodyText"/>
        <w:spacing w:before="4"/>
        <w:rPr>
          <w:sz w:val="21"/>
        </w:rPr>
      </w:pPr>
    </w:p>
    <w:p>
      <w:pPr>
        <w:pStyle w:val="Heading2"/>
        <w:numPr>
          <w:ilvl w:val="1"/>
          <w:numId w:val="2"/>
        </w:numPr>
        <w:tabs>
          <w:tab w:pos="625" w:val="left" w:leader="none"/>
        </w:tabs>
        <w:spacing w:line="240" w:lineRule="auto" w:before="69" w:after="0"/>
        <w:ind w:left="624" w:right="0" w:hanging="402"/>
        <w:jc w:val="left"/>
      </w:pPr>
      <w:r>
        <w:rPr/>
        <w:t>FIBRAS DE</w:t>
      </w:r>
      <w:r>
        <w:rPr>
          <w:spacing w:val="-7"/>
        </w:rPr>
        <w:t> </w:t>
      </w:r>
      <w:r>
        <w:rPr/>
        <w:t>LUFFA</w:t>
      </w:r>
    </w:p>
    <w:p>
      <w:pPr>
        <w:pStyle w:val="BodyText"/>
        <w:rPr>
          <w:b/>
          <w:sz w:val="25"/>
        </w:rPr>
      </w:pPr>
    </w:p>
    <w:p>
      <w:pPr>
        <w:pStyle w:val="BodyText"/>
        <w:spacing w:line="276" w:lineRule="auto" w:before="70"/>
        <w:ind w:left="222" w:right="118"/>
        <w:jc w:val="both"/>
      </w:pPr>
      <w:r>
        <w:rPr>
          <w:shd w:fill="F5F5F5" w:color="auto" w:val="clear"/>
        </w:rPr>
        <w:t>Los materiales compuestos reforzados con fibras naturales son cada vez más estudiados por la ciencia e ingeniería de materiales, debido primordialmente a la sustitución de fibras sintéticas como las de vidrio, entre otras. </w:t>
      </w:r>
      <w:r>
        <w:rPr/>
        <w:t>Las fibras por su origen natural son un recurso ambientalmente limpio, renovable y biodegradable. Razón por la cual muchas industrias se están interesando en su uso, aunado a la presión por parte de los </w:t>
      </w:r>
      <w:r>
        <w:rPr>
          <w:shd w:fill="F5F5F5" w:color="auto" w:val="clear"/>
        </w:rPr>
        <w:t>legisladores para sustituir los refuerzos comunes como la fibra de vidrio [15].</w:t>
      </w:r>
    </w:p>
    <w:p>
      <w:pPr>
        <w:pStyle w:val="BodyText"/>
        <w:spacing w:before="6"/>
        <w:rPr>
          <w:sz w:val="27"/>
        </w:rPr>
      </w:pPr>
    </w:p>
    <w:p>
      <w:pPr>
        <w:pStyle w:val="BodyText"/>
        <w:spacing w:line="276" w:lineRule="auto" w:before="1"/>
        <w:ind w:left="222" w:right="117"/>
        <w:jc w:val="both"/>
      </w:pPr>
      <w:r>
        <w:rPr/>
        <w:t>Para el uso de fibras naturales como relleno en materiales compuestos se deben contemplar en primera instancia las propiedades fisicoquímicas de las fibras, incluidas la estructura química y la polaridad</w:t>
      </w:r>
      <w:r>
        <w:rPr>
          <w:shd w:fill="F5F5F5" w:color="auto" w:val="clear"/>
        </w:rPr>
        <w:t>. Las interfaces matriz-fibra que se desarrollan son por lo general débiles. Interfaces débiles generan una transferencia de carga deficiente a las fibras y, de hecho, el comportamiento mecánico de muchos materiales compuestos reforzados con fibras naturales se caracteriza por niveles de resistencia a la tensión por debajo de lo esperado teóricamente.</w:t>
      </w:r>
    </w:p>
    <w:p>
      <w:pPr>
        <w:pStyle w:val="BodyText"/>
        <w:spacing w:before="6"/>
        <w:rPr>
          <w:sz w:val="21"/>
        </w:rPr>
      </w:pPr>
    </w:p>
    <w:p>
      <w:pPr>
        <w:pStyle w:val="BodyText"/>
        <w:spacing w:line="276" w:lineRule="auto" w:before="70"/>
        <w:ind w:left="222" w:right="116"/>
        <w:jc w:val="both"/>
      </w:pPr>
      <w:r>
        <w:rPr>
          <w:shd w:fill="F5F5F5" w:color="auto" w:val="clear"/>
        </w:rPr>
        <w:t>Se pueden lograr mejores interfaces mediante la modificación química de las  fibras o por tratamiento químico de la superficie de las fibras. Estas opciones pueden</w:t>
      </w:r>
      <w:r>
        <w:rPr>
          <w:spacing w:val="48"/>
          <w:shd w:fill="F5F5F5" w:color="auto" w:val="clear"/>
        </w:rPr>
        <w:t> </w:t>
      </w:r>
      <w:r>
        <w:rPr>
          <w:shd w:fill="F5F5F5" w:color="auto" w:val="clear"/>
        </w:rPr>
        <w:t>ser</w:t>
      </w:r>
      <w:r>
        <w:rPr>
          <w:spacing w:val="49"/>
          <w:shd w:fill="F5F5F5" w:color="auto" w:val="clear"/>
        </w:rPr>
        <w:t> </w:t>
      </w:r>
      <w:r>
        <w:rPr>
          <w:shd w:fill="F5F5F5" w:color="auto" w:val="clear"/>
        </w:rPr>
        <w:t>poco</w:t>
      </w:r>
      <w:r>
        <w:rPr>
          <w:spacing w:val="48"/>
          <w:shd w:fill="F5F5F5" w:color="auto" w:val="clear"/>
        </w:rPr>
        <w:t> </w:t>
      </w:r>
      <w:r>
        <w:rPr>
          <w:shd w:fill="F5F5F5" w:color="auto" w:val="clear"/>
        </w:rPr>
        <w:t>atractivas,</w:t>
      </w:r>
      <w:r>
        <w:rPr>
          <w:spacing w:val="50"/>
          <w:shd w:fill="F5F5F5" w:color="auto" w:val="clear"/>
        </w:rPr>
        <w:t> </w:t>
      </w:r>
      <w:r>
        <w:rPr>
          <w:shd w:fill="F5F5F5" w:color="auto" w:val="clear"/>
        </w:rPr>
        <w:t>sobre</w:t>
      </w:r>
      <w:r>
        <w:rPr>
          <w:spacing w:val="50"/>
          <w:shd w:fill="F5F5F5" w:color="auto" w:val="clear"/>
        </w:rPr>
        <w:t> </w:t>
      </w:r>
      <w:r>
        <w:rPr>
          <w:shd w:fill="F5F5F5" w:color="auto" w:val="clear"/>
        </w:rPr>
        <w:t>una</w:t>
      </w:r>
      <w:r>
        <w:rPr>
          <w:spacing w:val="48"/>
          <w:shd w:fill="F5F5F5" w:color="auto" w:val="clear"/>
        </w:rPr>
        <w:t> </w:t>
      </w:r>
      <w:r>
        <w:rPr>
          <w:shd w:fill="F5F5F5" w:color="auto" w:val="clear"/>
        </w:rPr>
        <w:t>base</w:t>
      </w:r>
      <w:r>
        <w:rPr>
          <w:spacing w:val="51"/>
          <w:shd w:fill="F5F5F5" w:color="auto" w:val="clear"/>
        </w:rPr>
        <w:t> </w:t>
      </w:r>
      <w:r>
        <w:rPr>
          <w:shd w:fill="F5F5F5" w:color="auto" w:val="clear"/>
        </w:rPr>
        <w:t>de</w:t>
      </w:r>
      <w:r>
        <w:rPr>
          <w:spacing w:val="48"/>
          <w:shd w:fill="F5F5F5" w:color="auto" w:val="clear"/>
        </w:rPr>
        <w:t> </w:t>
      </w:r>
      <w:r>
        <w:rPr>
          <w:shd w:fill="F5F5F5" w:color="auto" w:val="clear"/>
        </w:rPr>
        <w:t>costos,</w:t>
      </w:r>
      <w:r>
        <w:rPr>
          <w:spacing w:val="50"/>
          <w:shd w:fill="F5F5F5" w:color="auto" w:val="clear"/>
        </w:rPr>
        <w:t> </w:t>
      </w:r>
      <w:r>
        <w:rPr>
          <w:shd w:fill="F5F5F5" w:color="auto" w:val="clear"/>
        </w:rPr>
        <w:t>debido</w:t>
      </w:r>
      <w:r>
        <w:rPr>
          <w:spacing w:val="48"/>
          <w:shd w:fill="F5F5F5" w:color="auto" w:val="clear"/>
        </w:rPr>
        <w:t> </w:t>
      </w:r>
      <w:r>
        <w:rPr>
          <w:shd w:fill="F5F5F5" w:color="auto" w:val="clear"/>
        </w:rPr>
        <w:t>al</w:t>
      </w:r>
      <w:r>
        <w:rPr>
          <w:spacing w:val="49"/>
          <w:shd w:fill="F5F5F5" w:color="auto" w:val="clear"/>
        </w:rPr>
        <w:t> </w:t>
      </w:r>
      <w:r>
        <w:rPr>
          <w:shd w:fill="F5F5F5" w:color="auto" w:val="clear"/>
        </w:rPr>
        <w:t>aumento</w:t>
      </w:r>
      <w:r>
        <w:rPr>
          <w:spacing w:val="49"/>
          <w:shd w:fill="F5F5F5" w:color="auto" w:val="clear"/>
        </w:rPr>
        <w:t> </w:t>
      </w:r>
      <w:r>
        <w:rPr>
          <w:shd w:fill="F5F5F5" w:color="auto" w:val="clear"/>
        </w:rPr>
        <w:t>de</w:t>
      </w:r>
    </w:p>
    <w:p>
      <w:pPr>
        <w:spacing w:after="0" w:line="276" w:lineRule="auto"/>
        <w:jc w:val="both"/>
        <w:sectPr>
          <w:pgSz w:w="12240" w:h="15840"/>
          <w:pgMar w:header="747" w:footer="0" w:top="940" w:bottom="280" w:left="1480" w:right="1580"/>
        </w:sectPr>
      </w:pPr>
    </w:p>
    <w:p>
      <w:pPr>
        <w:pStyle w:val="BodyText"/>
        <w:rPr>
          <w:sz w:val="20"/>
        </w:rPr>
      </w:pPr>
    </w:p>
    <w:p>
      <w:pPr>
        <w:pStyle w:val="BodyText"/>
        <w:spacing w:before="6"/>
        <w:rPr>
          <w:sz w:val="20"/>
        </w:rPr>
      </w:pPr>
    </w:p>
    <w:p>
      <w:pPr>
        <w:pStyle w:val="BodyText"/>
        <w:spacing w:line="276" w:lineRule="auto"/>
        <w:ind w:left="102" w:right="125"/>
        <w:jc w:val="both"/>
      </w:pPr>
      <w:r>
        <w:rPr>
          <w:shd w:fill="F5F5F5" w:color="auto" w:val="clear"/>
        </w:rPr>
        <w:t>costo significativo que puede resultar de la utilización de productos químicos en la fabricación de estos compuestos. Sin embargo, los beneficios del uso de fibras naturales en materiales compuestos podrían superar cualquier desventaja.</w:t>
      </w:r>
    </w:p>
    <w:p>
      <w:pPr>
        <w:pStyle w:val="BodyText"/>
        <w:spacing w:before="6"/>
        <w:rPr>
          <w:sz w:val="21"/>
        </w:rPr>
      </w:pPr>
    </w:p>
    <w:p>
      <w:pPr>
        <w:pStyle w:val="BodyText"/>
        <w:spacing w:line="276" w:lineRule="auto" w:before="70"/>
        <w:ind w:left="102" w:right="118"/>
        <w:jc w:val="both"/>
      </w:pPr>
      <w:r>
        <w:rPr>
          <w:shd w:fill="F5F5F5" w:color="auto" w:val="clear"/>
        </w:rPr>
        <w:t>Diversas fibras naturales y su influencia en las propiedades mecánicas de materiales compuestos han sido estudiadas. Una fibra natural que ha captado la atención de los investigadores es la de Luffa, esto debido a las propiedades fisicoquímicas que presenta. Las fibras de Luffa se componen principalmente de celulosa (54.2%) y lignina (15.1%), proviene de una planta subtropical de la familia Cucurbitacea, que produce una fruta con un sistema vascular fibroso de tamaños entre 15 cm y 1.5 m, y con un diámetro promedio de 8 a 10 cm. [15]. Es abundante en China, Japón y otros países de Asia, América Central y del Sur.</w:t>
      </w:r>
    </w:p>
    <w:p>
      <w:pPr>
        <w:pStyle w:val="BodyText"/>
        <w:spacing w:line="276" w:lineRule="auto"/>
        <w:ind w:left="102" w:right="116"/>
        <w:jc w:val="both"/>
      </w:pPr>
      <w:r>
        <w:rPr/>
        <w:pict>
          <v:line style="position:absolute;mso-position-horizontal-relative:page;mso-position-vertical-relative:paragraph;z-index:-83248" from="114.199997pt,63.575848pt" to="114.199997pt,77.375848pt" stroked="true" strokeweight="3.24pt" strokecolor="#f5f5f5">
            <w10:wrap type="none"/>
          </v:line>
        </w:pict>
      </w:r>
      <w:r>
        <w:rPr>
          <w:shd w:fill="F5F5F5" w:color="auto" w:val="clear"/>
        </w:rPr>
        <w:t>La estructura del sistema fibroso vascular de las esponjas secas se puede dividir en dos regiones muy diferentes. Un núcleo central con una estructura parecida a un nido de abeja </w:t>
      </w:r>
      <w:r>
        <w:rPr/>
        <w:t>(Figura 1.2a) </w:t>
      </w:r>
      <w:r>
        <w:rPr>
          <w:shd w:fill="F5F5F5" w:color="auto" w:val="clear"/>
        </w:rPr>
        <w:t>y las partes exteriores en las que las fibras están dispuestas en una matriz multidireccional que forman una estera natural </w:t>
      </w:r>
      <w:r>
        <w:rPr/>
        <w:t>(Figura 1.2b).</w:t>
      </w:r>
    </w:p>
    <w:p>
      <w:pPr>
        <w:pStyle w:val="BodyText"/>
        <w:spacing w:before="5"/>
      </w:pPr>
      <w:r>
        <w:rPr/>
        <w:drawing>
          <wp:anchor distT="0" distB="0" distL="0" distR="0" allowOverlap="1" layoutInCell="1" locked="0" behindDoc="0" simplePos="0" relativeHeight="1576">
            <wp:simplePos x="0" y="0"/>
            <wp:positionH relativeFrom="page">
              <wp:posOffset>1359535</wp:posOffset>
            </wp:positionH>
            <wp:positionV relativeFrom="paragraph">
              <wp:posOffset>203404</wp:posOffset>
            </wp:positionV>
            <wp:extent cx="5044853" cy="1866900"/>
            <wp:effectExtent l="0" t="0" r="0" b="0"/>
            <wp:wrapTopAndBottom/>
            <wp:docPr id="5" name="image4.png" descr=""/>
            <wp:cNvGraphicFramePr>
              <a:graphicFrameLocks noChangeAspect="1"/>
            </wp:cNvGraphicFramePr>
            <a:graphic>
              <a:graphicData uri="http://schemas.openxmlformats.org/drawingml/2006/picture">
                <pic:pic>
                  <pic:nvPicPr>
                    <pic:cNvPr id="6" name="image4.png"/>
                    <pic:cNvPicPr/>
                  </pic:nvPicPr>
                  <pic:blipFill>
                    <a:blip r:embed="rId12" cstate="print"/>
                    <a:stretch>
                      <a:fillRect/>
                    </a:stretch>
                  </pic:blipFill>
                  <pic:spPr>
                    <a:xfrm>
                      <a:off x="0" y="0"/>
                      <a:ext cx="5044853" cy="1866900"/>
                    </a:xfrm>
                    <a:prstGeom prst="rect">
                      <a:avLst/>
                    </a:prstGeom>
                  </pic:spPr>
                </pic:pic>
              </a:graphicData>
            </a:graphic>
          </wp:anchor>
        </w:drawing>
      </w:r>
    </w:p>
    <w:p>
      <w:pPr>
        <w:pStyle w:val="BodyText"/>
        <w:tabs>
          <w:tab w:pos="6263" w:val="left" w:leader="none"/>
        </w:tabs>
        <w:spacing w:before="14"/>
        <w:ind w:left="2233" w:right="2220"/>
      </w:pPr>
      <w:r>
        <w:rPr/>
        <w:t>a)</w:t>
        <w:tab/>
        <w:t>b)</w:t>
      </w:r>
    </w:p>
    <w:p>
      <w:pPr>
        <w:pStyle w:val="BodyText"/>
        <w:spacing w:line="552" w:lineRule="auto" w:before="41"/>
        <w:ind w:left="102" w:right="2920" w:firstLine="2976"/>
      </w:pPr>
      <w:r>
        <w:rPr/>
        <w:t>Figura 1.2. Fibras de Luffa. En la Tabla 1.3 se muestran las propiedades de la Luffa.</w:t>
      </w:r>
    </w:p>
    <w:p>
      <w:pPr>
        <w:pStyle w:val="BodyText"/>
        <w:spacing w:before="9" w:after="45"/>
        <w:ind w:left="1518" w:right="2220"/>
      </w:pPr>
      <w:r>
        <w:rPr/>
        <w:t>Tabla 1.3. Propiedades de fibra de luffa.</w:t>
      </w:r>
    </w:p>
    <w:tbl>
      <w:tblPr>
        <w:tblW w:w="0" w:type="auto"/>
        <w:jc w:val="left"/>
        <w:tblInd w:w="14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75"/>
        <w:gridCol w:w="1944"/>
      </w:tblGrid>
      <w:tr>
        <w:trPr>
          <w:trHeight w:val="326" w:hRule="exact"/>
        </w:trPr>
        <w:tc>
          <w:tcPr>
            <w:tcW w:w="4175" w:type="dxa"/>
            <w:tcBorders>
              <w:left w:val="nil"/>
              <w:right w:val="nil"/>
            </w:tcBorders>
          </w:tcPr>
          <w:p>
            <w:pPr>
              <w:pStyle w:val="TableParagraph"/>
              <w:spacing w:line="274" w:lineRule="exact" w:before="0"/>
              <w:ind w:left="105"/>
              <w:rPr>
                <w:b/>
                <w:sz w:val="24"/>
              </w:rPr>
            </w:pPr>
            <w:r>
              <w:rPr>
                <w:b/>
                <w:sz w:val="24"/>
              </w:rPr>
              <w:t>Propiedad</w:t>
            </w:r>
          </w:p>
        </w:tc>
        <w:tc>
          <w:tcPr>
            <w:tcW w:w="1944" w:type="dxa"/>
            <w:tcBorders>
              <w:left w:val="nil"/>
              <w:right w:val="nil"/>
            </w:tcBorders>
          </w:tcPr>
          <w:p>
            <w:pPr>
              <w:pStyle w:val="TableParagraph"/>
              <w:spacing w:line="274" w:lineRule="exact" w:before="0"/>
              <w:ind w:left="310" w:right="526"/>
              <w:jc w:val="center"/>
              <w:rPr>
                <w:b/>
                <w:sz w:val="24"/>
              </w:rPr>
            </w:pPr>
            <w:r>
              <w:rPr>
                <w:b/>
                <w:sz w:val="24"/>
              </w:rPr>
              <w:t>Valores</w:t>
            </w:r>
          </w:p>
        </w:tc>
      </w:tr>
      <w:tr>
        <w:trPr>
          <w:trHeight w:val="622" w:hRule="exact"/>
        </w:trPr>
        <w:tc>
          <w:tcPr>
            <w:tcW w:w="4175" w:type="dxa"/>
            <w:tcBorders>
              <w:left w:val="nil"/>
              <w:bottom w:val="nil"/>
              <w:right w:val="nil"/>
            </w:tcBorders>
          </w:tcPr>
          <w:p>
            <w:pPr>
              <w:pStyle w:val="TableParagraph"/>
              <w:spacing w:line="276" w:lineRule="auto" w:before="0"/>
              <w:ind w:left="105"/>
              <w:rPr>
                <w:sz w:val="24"/>
              </w:rPr>
            </w:pPr>
            <w:r>
              <w:rPr>
                <w:sz w:val="24"/>
              </w:rPr>
              <w:t>Capacidad de absorción de agua desionizada (g/g)</w:t>
            </w:r>
          </w:p>
        </w:tc>
        <w:tc>
          <w:tcPr>
            <w:tcW w:w="1944" w:type="dxa"/>
            <w:tcBorders>
              <w:left w:val="nil"/>
              <w:bottom w:val="nil"/>
              <w:right w:val="nil"/>
            </w:tcBorders>
          </w:tcPr>
          <w:p>
            <w:pPr>
              <w:pStyle w:val="TableParagraph"/>
              <w:spacing w:line="274" w:lineRule="exact" w:before="0"/>
              <w:ind w:left="310" w:right="526"/>
              <w:jc w:val="center"/>
              <w:rPr>
                <w:sz w:val="24"/>
              </w:rPr>
            </w:pPr>
            <w:r>
              <w:rPr>
                <w:sz w:val="24"/>
              </w:rPr>
              <w:t>13.6</w:t>
            </w:r>
          </w:p>
        </w:tc>
      </w:tr>
      <w:tr>
        <w:trPr>
          <w:trHeight w:val="326" w:hRule="exact"/>
        </w:trPr>
        <w:tc>
          <w:tcPr>
            <w:tcW w:w="4175" w:type="dxa"/>
            <w:tcBorders>
              <w:top w:val="nil"/>
              <w:left w:val="nil"/>
              <w:bottom w:val="nil"/>
              <w:right w:val="nil"/>
            </w:tcBorders>
          </w:tcPr>
          <w:p>
            <w:pPr>
              <w:pStyle w:val="TableParagraph"/>
              <w:spacing w:before="11"/>
              <w:ind w:left="105"/>
              <w:rPr>
                <w:sz w:val="24"/>
              </w:rPr>
            </w:pPr>
            <w:r>
              <w:rPr>
                <w:sz w:val="24"/>
              </w:rPr>
              <w:t>Área superficial (m</w:t>
            </w:r>
            <w:r>
              <w:rPr>
                <w:position w:val="8"/>
                <w:sz w:val="16"/>
              </w:rPr>
              <w:t>2</w:t>
            </w:r>
            <w:r>
              <w:rPr>
                <w:sz w:val="24"/>
              </w:rPr>
              <w:t>/g)</w:t>
            </w:r>
          </w:p>
        </w:tc>
        <w:tc>
          <w:tcPr>
            <w:tcW w:w="1944" w:type="dxa"/>
            <w:tcBorders>
              <w:top w:val="nil"/>
              <w:left w:val="nil"/>
              <w:bottom w:val="nil"/>
              <w:right w:val="nil"/>
            </w:tcBorders>
          </w:tcPr>
          <w:p>
            <w:pPr>
              <w:pStyle w:val="TableParagraph"/>
              <w:spacing w:before="16"/>
              <w:ind w:left="312" w:right="526"/>
              <w:jc w:val="center"/>
              <w:rPr>
                <w:sz w:val="24"/>
              </w:rPr>
            </w:pPr>
            <w:r>
              <w:rPr>
                <w:sz w:val="24"/>
              </w:rPr>
              <w:t>123.0</w:t>
            </w:r>
          </w:p>
        </w:tc>
      </w:tr>
      <w:tr>
        <w:trPr>
          <w:trHeight w:val="317" w:hRule="exact"/>
        </w:trPr>
        <w:tc>
          <w:tcPr>
            <w:tcW w:w="4175" w:type="dxa"/>
            <w:tcBorders>
              <w:top w:val="nil"/>
              <w:left w:val="nil"/>
              <w:bottom w:val="nil"/>
              <w:right w:val="nil"/>
            </w:tcBorders>
          </w:tcPr>
          <w:p>
            <w:pPr>
              <w:pStyle w:val="TableParagraph"/>
              <w:ind w:left="105"/>
              <w:rPr>
                <w:sz w:val="24"/>
              </w:rPr>
            </w:pPr>
            <w:r>
              <w:rPr>
                <w:sz w:val="24"/>
              </w:rPr>
              <w:t>Resistencia a la tensión (MPa)</w:t>
            </w:r>
          </w:p>
        </w:tc>
        <w:tc>
          <w:tcPr>
            <w:tcW w:w="1944" w:type="dxa"/>
            <w:tcBorders>
              <w:top w:val="nil"/>
              <w:left w:val="nil"/>
              <w:bottom w:val="nil"/>
              <w:right w:val="nil"/>
            </w:tcBorders>
          </w:tcPr>
          <w:p>
            <w:pPr>
              <w:pStyle w:val="TableParagraph"/>
              <w:ind w:left="312" w:right="526"/>
              <w:jc w:val="center"/>
              <w:rPr>
                <w:sz w:val="24"/>
              </w:rPr>
            </w:pPr>
            <w:r>
              <w:rPr>
                <w:sz w:val="24"/>
              </w:rPr>
              <w:t>21.3 ± 6.6</w:t>
            </w:r>
          </w:p>
        </w:tc>
      </w:tr>
      <w:tr>
        <w:trPr>
          <w:trHeight w:val="317" w:hRule="exact"/>
        </w:trPr>
        <w:tc>
          <w:tcPr>
            <w:tcW w:w="4175" w:type="dxa"/>
            <w:tcBorders>
              <w:top w:val="nil"/>
              <w:left w:val="nil"/>
              <w:bottom w:val="nil"/>
              <w:right w:val="nil"/>
            </w:tcBorders>
          </w:tcPr>
          <w:p>
            <w:pPr>
              <w:pStyle w:val="TableParagraph"/>
              <w:ind w:left="105"/>
              <w:rPr>
                <w:sz w:val="24"/>
              </w:rPr>
            </w:pPr>
            <w:r>
              <w:rPr>
                <w:sz w:val="24"/>
              </w:rPr>
              <w:t>Módulo de elasticidad (GPa)</w:t>
            </w:r>
          </w:p>
        </w:tc>
        <w:tc>
          <w:tcPr>
            <w:tcW w:w="1944" w:type="dxa"/>
            <w:tcBorders>
              <w:top w:val="nil"/>
              <w:left w:val="nil"/>
              <w:bottom w:val="nil"/>
              <w:right w:val="nil"/>
            </w:tcBorders>
          </w:tcPr>
          <w:p>
            <w:pPr>
              <w:pStyle w:val="TableParagraph"/>
              <w:ind w:left="309" w:right="526"/>
              <w:jc w:val="center"/>
              <w:rPr>
                <w:sz w:val="24"/>
              </w:rPr>
            </w:pPr>
            <w:r>
              <w:rPr>
                <w:sz w:val="24"/>
              </w:rPr>
              <w:t>0.8 ± 0.3</w:t>
            </w:r>
          </w:p>
        </w:tc>
      </w:tr>
      <w:tr>
        <w:trPr>
          <w:trHeight w:val="334" w:hRule="exact"/>
        </w:trPr>
        <w:tc>
          <w:tcPr>
            <w:tcW w:w="4175" w:type="dxa"/>
            <w:tcBorders>
              <w:top w:val="nil"/>
              <w:left w:val="nil"/>
              <w:right w:val="nil"/>
            </w:tcBorders>
          </w:tcPr>
          <w:p>
            <w:pPr>
              <w:pStyle w:val="TableParagraph"/>
              <w:ind w:left="105"/>
              <w:rPr>
                <w:sz w:val="24"/>
              </w:rPr>
            </w:pPr>
            <w:r>
              <w:rPr>
                <w:sz w:val="24"/>
              </w:rPr>
              <w:t>Porcentaje de elongación (%)</w:t>
            </w:r>
          </w:p>
        </w:tc>
        <w:tc>
          <w:tcPr>
            <w:tcW w:w="1944" w:type="dxa"/>
            <w:tcBorders>
              <w:top w:val="nil"/>
              <w:left w:val="nil"/>
              <w:right w:val="nil"/>
            </w:tcBorders>
          </w:tcPr>
          <w:p>
            <w:pPr>
              <w:pStyle w:val="TableParagraph"/>
              <w:ind w:left="309" w:right="526"/>
              <w:jc w:val="center"/>
              <w:rPr>
                <w:sz w:val="24"/>
              </w:rPr>
            </w:pPr>
            <w:r>
              <w:rPr>
                <w:sz w:val="24"/>
              </w:rPr>
              <w:t>4.5 ± 0.4</w:t>
            </w:r>
          </w:p>
        </w:tc>
      </w:tr>
    </w:tbl>
    <w:p>
      <w:pPr>
        <w:spacing w:after="0"/>
        <w:jc w:val="center"/>
        <w:rPr>
          <w:sz w:val="24"/>
        </w:rPr>
        <w:sectPr>
          <w:headerReference w:type="default" r:id="rId11"/>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6" w:lineRule="auto"/>
        <w:ind w:left="102" w:right="116"/>
        <w:jc w:val="both"/>
      </w:pPr>
      <w:r>
        <w:rPr>
          <w:shd w:fill="F5F5F5" w:color="auto" w:val="clear"/>
        </w:rPr>
        <w:t>El estudio de la influencia de fibras naturales en las propiedades de materiales compuestos a base de resina se encuentra en sus primeras etapas. </w:t>
      </w:r>
      <w:r>
        <w:rPr>
          <w:spacing w:val="3"/>
          <w:shd w:fill="F5F5F5" w:color="auto" w:val="clear"/>
        </w:rPr>
        <w:t>Una </w:t>
      </w:r>
      <w:r>
        <w:rPr>
          <w:shd w:fill="F5F5F5" w:color="auto" w:val="clear"/>
        </w:rPr>
        <w:t>de las principales características que se estudia es el comportamiento frente a la intemperie, </w:t>
      </w:r>
      <w:r>
        <w:rPr/>
        <w:t>ya que las fibras naturales absorben fácilmente humedad. Los resultados y los valores obtenidos de distintos ensayos mecánicos muestran </w:t>
      </w:r>
      <w:r>
        <w:rPr>
          <w:spacing w:val="-2"/>
        </w:rPr>
        <w:t>que</w:t>
      </w:r>
      <w:r>
        <w:rPr>
          <w:spacing w:val="62"/>
        </w:rPr>
        <w:t> </w:t>
      </w:r>
      <w:r>
        <w:rPr/>
        <w:t>la fibra de Luffa (sin tratamiento superficial) tiene un </w:t>
      </w:r>
      <w:r>
        <w:rPr>
          <w:shd w:fill="F5F5F5" w:color="auto" w:val="clear"/>
        </w:rPr>
        <w:t>alto potencial como material de refuerzo en materiales compuestos híbridos</w:t>
      </w:r>
      <w:r>
        <w:rPr>
          <w:spacing w:val="-21"/>
          <w:shd w:fill="F5F5F5" w:color="auto" w:val="clear"/>
        </w:rPr>
        <w:t> </w:t>
      </w:r>
      <w:r>
        <w:rPr>
          <w:shd w:fill="F5F5F5" w:color="auto" w:val="clear"/>
        </w:rPr>
        <w:t>[16].</w:t>
      </w:r>
    </w:p>
    <w:p>
      <w:pPr>
        <w:pStyle w:val="BodyText"/>
      </w:pPr>
    </w:p>
    <w:p>
      <w:pPr>
        <w:pStyle w:val="BodyText"/>
        <w:spacing w:before="4"/>
        <w:rPr>
          <w:sz w:val="31"/>
        </w:rPr>
      </w:pPr>
    </w:p>
    <w:p>
      <w:pPr>
        <w:pStyle w:val="Heading2"/>
        <w:numPr>
          <w:ilvl w:val="1"/>
          <w:numId w:val="2"/>
        </w:numPr>
        <w:tabs>
          <w:tab w:pos="506" w:val="left" w:leader="none"/>
        </w:tabs>
        <w:spacing w:line="240" w:lineRule="auto" w:before="0" w:after="0"/>
        <w:ind w:left="505" w:right="0" w:hanging="403"/>
        <w:jc w:val="both"/>
      </w:pPr>
      <w:r>
        <w:rPr/>
        <w:t>RADIACIÓN</w:t>
      </w:r>
      <w:r>
        <w:rPr>
          <w:spacing w:val="-6"/>
        </w:rPr>
        <w:t> </w:t>
      </w:r>
      <w:r>
        <w:rPr/>
        <w:t>GAMMA</w:t>
      </w:r>
    </w:p>
    <w:p>
      <w:pPr>
        <w:pStyle w:val="BodyText"/>
        <w:spacing w:before="1"/>
        <w:rPr>
          <w:b/>
          <w:sz w:val="31"/>
        </w:rPr>
      </w:pPr>
    </w:p>
    <w:p>
      <w:pPr>
        <w:pStyle w:val="BodyText"/>
        <w:spacing w:line="276" w:lineRule="auto"/>
        <w:ind w:left="102" w:right="125"/>
        <w:jc w:val="both"/>
      </w:pPr>
      <w:r>
        <w:rPr/>
        <w:t>La radiación ionizante directa consta de partículas cargadas, como los electrones energéticos, positrones, protones, partículas alfa, mesones cargados, muones y iones pesados. El límite energético inferior para la radiación ionizante suele situarse en 10 keV. Este tipo de radiación ionizante interactúa con la materia sobre todo mediante la fuerza de Coulomb, que les hace repeler o atraer electrones de átomos y moléculas en función de sus cargas.</w:t>
      </w:r>
    </w:p>
    <w:p>
      <w:pPr>
        <w:pStyle w:val="BodyText"/>
        <w:spacing w:before="9"/>
        <w:rPr>
          <w:sz w:val="27"/>
        </w:rPr>
      </w:pPr>
    </w:p>
    <w:p>
      <w:pPr>
        <w:pStyle w:val="BodyText"/>
        <w:spacing w:line="276" w:lineRule="auto"/>
        <w:ind w:left="102" w:right="119"/>
        <w:jc w:val="both"/>
      </w:pPr>
      <w:r>
        <w:rPr/>
        <w:t>La radiación ionizante indirecta es producida por partículas sin carga. Los tipos más comunes de radiación ionizante indirecta son los generados por fotones con energía superior a 10 keV (rayos X y rayos gamma) y todos los neutrones.</w:t>
      </w:r>
    </w:p>
    <w:p>
      <w:pPr>
        <w:pStyle w:val="BodyText"/>
        <w:spacing w:before="9"/>
        <w:rPr>
          <w:sz w:val="27"/>
        </w:rPr>
      </w:pPr>
    </w:p>
    <w:p>
      <w:pPr>
        <w:pStyle w:val="BodyText"/>
        <w:spacing w:line="276" w:lineRule="auto"/>
        <w:ind w:left="102" w:right="117"/>
        <w:jc w:val="both"/>
      </w:pPr>
      <w:r>
        <w:rPr/>
        <w:t>La radiación gamma es radiación electromagnética emitida por un núcleo cuando experimenta una transición de un estado de energía más alta a un estado energético más bajo. El número de protones y neutrones del núcleo no varía en estas transiciones. Los rayos gamma se emiten a menudo inmediatamente después de una desintegración alfa o beta.</w:t>
      </w:r>
    </w:p>
    <w:p>
      <w:pPr>
        <w:pStyle w:val="BodyText"/>
        <w:spacing w:before="6"/>
        <w:rPr>
          <w:sz w:val="27"/>
        </w:rPr>
      </w:pPr>
    </w:p>
    <w:p>
      <w:pPr>
        <w:pStyle w:val="BodyText"/>
        <w:spacing w:line="276" w:lineRule="auto" w:before="1"/>
        <w:ind w:left="102" w:right="125"/>
        <w:jc w:val="both"/>
      </w:pPr>
      <w:r>
        <w:rPr/>
        <w:t>Los rayos gamma también pueden ser el resultado de la captura de un neutrón y de la dispersión inelástica de partículas subatómicas por núcleos. Los rayos gamma más energéticos se han observado en los rayos cósmicos. En la Figura</w:t>
      </w:r>
    </w:p>
    <w:p>
      <w:pPr>
        <w:pStyle w:val="BodyText"/>
        <w:spacing w:line="273" w:lineRule="auto"/>
        <w:ind w:left="102" w:right="116"/>
        <w:jc w:val="both"/>
      </w:pPr>
      <w:r>
        <w:rPr/>
        <w:t>1.3 se representa el esquema de desintegración del cobalto 60 (</w:t>
      </w:r>
      <w:r>
        <w:rPr>
          <w:position w:val="8"/>
          <w:sz w:val="16"/>
        </w:rPr>
        <w:t>60</w:t>
      </w:r>
      <w:r>
        <w:rPr/>
        <w:t>Co). Muestra  una cascada de dos rayos gamma emitidos para transformarse en níquel 60 (</w:t>
      </w:r>
      <w:r>
        <w:rPr>
          <w:position w:val="8"/>
          <w:sz w:val="16"/>
        </w:rPr>
        <w:t>60</w:t>
      </w:r>
      <w:r>
        <w:rPr/>
        <w:t>Ni), con</w:t>
      </w:r>
      <w:r>
        <w:rPr>
          <w:spacing w:val="41"/>
        </w:rPr>
        <w:t> </w:t>
      </w:r>
      <w:r>
        <w:rPr/>
        <w:t>energías</w:t>
      </w:r>
      <w:r>
        <w:rPr>
          <w:spacing w:val="40"/>
        </w:rPr>
        <w:t> </w:t>
      </w:r>
      <w:r>
        <w:rPr/>
        <w:t>de</w:t>
      </w:r>
      <w:r>
        <w:rPr>
          <w:spacing w:val="41"/>
        </w:rPr>
        <w:t> </w:t>
      </w:r>
      <w:r>
        <w:rPr/>
        <w:t>1,17</w:t>
      </w:r>
      <w:r>
        <w:rPr>
          <w:spacing w:val="39"/>
        </w:rPr>
        <w:t> </w:t>
      </w:r>
      <w:r>
        <w:rPr/>
        <w:t>MeV</w:t>
      </w:r>
      <w:r>
        <w:rPr>
          <w:spacing w:val="41"/>
        </w:rPr>
        <w:t> </w:t>
      </w:r>
      <w:r>
        <w:rPr/>
        <w:t>y</w:t>
      </w:r>
      <w:r>
        <w:rPr>
          <w:spacing w:val="38"/>
        </w:rPr>
        <w:t> </w:t>
      </w:r>
      <w:r>
        <w:rPr/>
        <w:t>1,33</w:t>
      </w:r>
      <w:r>
        <w:rPr>
          <w:spacing w:val="41"/>
        </w:rPr>
        <w:t> </w:t>
      </w:r>
      <w:r>
        <w:rPr/>
        <w:t>MeV,</w:t>
      </w:r>
      <w:r>
        <w:rPr>
          <w:spacing w:val="41"/>
        </w:rPr>
        <w:t> </w:t>
      </w:r>
      <w:r>
        <w:rPr/>
        <w:t>después</w:t>
      </w:r>
      <w:r>
        <w:rPr>
          <w:spacing w:val="40"/>
        </w:rPr>
        <w:t> </w:t>
      </w:r>
      <w:r>
        <w:rPr/>
        <w:t>de</w:t>
      </w:r>
      <w:r>
        <w:rPr>
          <w:spacing w:val="41"/>
        </w:rPr>
        <w:t> </w:t>
      </w:r>
      <w:r>
        <w:rPr/>
        <w:t>la</w:t>
      </w:r>
      <w:r>
        <w:rPr>
          <w:spacing w:val="41"/>
        </w:rPr>
        <w:t> </w:t>
      </w:r>
      <w:r>
        <w:rPr/>
        <w:t>desintegración</w:t>
      </w:r>
      <w:r>
        <w:rPr>
          <w:spacing w:val="41"/>
        </w:rPr>
        <w:t> </w:t>
      </w:r>
      <w:r>
        <w:rPr/>
        <w:t>beta</w:t>
      </w:r>
      <w:r>
        <w:rPr>
          <w:spacing w:val="39"/>
        </w:rPr>
        <w:t> </w:t>
      </w:r>
      <w:r>
        <w:rPr/>
        <w:t>del</w:t>
      </w:r>
    </w:p>
    <w:p>
      <w:pPr>
        <w:spacing w:before="0"/>
        <w:ind w:left="102" w:right="0" w:firstLine="0"/>
        <w:jc w:val="both"/>
        <w:rPr>
          <w:sz w:val="24"/>
        </w:rPr>
      </w:pPr>
      <w:r>
        <w:rPr>
          <w:position w:val="8"/>
          <w:sz w:val="16"/>
        </w:rPr>
        <w:t>60</w:t>
      </w:r>
      <w:r>
        <w:rPr>
          <w:sz w:val="24"/>
        </w:rPr>
        <w:t>Co.</w:t>
      </w:r>
    </w:p>
    <w:p>
      <w:pPr>
        <w:spacing w:after="0"/>
        <w:jc w:val="both"/>
        <w:rPr>
          <w:sz w:val="24"/>
        </w:rPr>
        <w:sectPr>
          <w:headerReference w:type="default" r:id="rId13"/>
          <w:pgSz w:w="12240" w:h="15840"/>
          <w:pgMar w:header="747" w:footer="0" w:top="940" w:bottom="280" w:left="1600" w:right="1580"/>
          <w:pgNumType w:start="21"/>
        </w:sectPr>
      </w:pPr>
    </w:p>
    <w:p>
      <w:pPr>
        <w:pStyle w:val="BodyText"/>
        <w:rPr>
          <w:sz w:val="20"/>
        </w:rPr>
      </w:pPr>
    </w:p>
    <w:p>
      <w:pPr>
        <w:pStyle w:val="BodyText"/>
        <w:spacing w:before="8"/>
        <w:rPr>
          <w:sz w:val="20"/>
        </w:rPr>
      </w:pPr>
    </w:p>
    <w:p>
      <w:pPr>
        <w:pStyle w:val="BodyText"/>
        <w:ind w:left="2684"/>
        <w:rPr>
          <w:sz w:val="20"/>
        </w:rPr>
      </w:pPr>
      <w:r>
        <w:rPr>
          <w:sz w:val="20"/>
        </w:rPr>
        <w:drawing>
          <wp:inline distT="0" distB="0" distL="0" distR="0">
            <wp:extent cx="2351857" cy="2132171"/>
            <wp:effectExtent l="0" t="0" r="0" b="0"/>
            <wp:docPr id="7" name="image5.jpeg" descr=""/>
            <wp:cNvGraphicFramePr>
              <a:graphicFrameLocks noChangeAspect="1"/>
            </wp:cNvGraphicFramePr>
            <a:graphic>
              <a:graphicData uri="http://schemas.openxmlformats.org/drawingml/2006/picture">
                <pic:pic>
                  <pic:nvPicPr>
                    <pic:cNvPr id="8" name="image5.jpeg"/>
                    <pic:cNvPicPr/>
                  </pic:nvPicPr>
                  <pic:blipFill>
                    <a:blip r:embed="rId14" cstate="print"/>
                    <a:stretch>
                      <a:fillRect/>
                    </a:stretch>
                  </pic:blipFill>
                  <pic:spPr>
                    <a:xfrm>
                      <a:off x="0" y="0"/>
                      <a:ext cx="2351857" cy="2132171"/>
                    </a:xfrm>
                    <a:prstGeom prst="rect">
                      <a:avLst/>
                    </a:prstGeom>
                  </pic:spPr>
                </pic:pic>
              </a:graphicData>
            </a:graphic>
          </wp:inline>
        </w:drawing>
      </w:r>
      <w:r>
        <w:rPr>
          <w:sz w:val="20"/>
        </w:rPr>
      </w:r>
    </w:p>
    <w:p>
      <w:pPr>
        <w:pStyle w:val="BodyText"/>
        <w:spacing w:before="7"/>
        <w:ind w:left="139" w:right="153"/>
        <w:jc w:val="center"/>
      </w:pPr>
      <w:r>
        <w:rPr/>
        <w:t>Figura 1.3. Esquema de desintegración radiactiva del </w:t>
      </w:r>
      <w:r>
        <w:rPr>
          <w:position w:val="8"/>
          <w:sz w:val="16"/>
        </w:rPr>
        <w:t>60</w:t>
      </w:r>
      <w:r>
        <w:rPr/>
        <w:t>Co.</w:t>
      </w:r>
    </w:p>
    <w:p>
      <w:pPr>
        <w:pStyle w:val="BodyText"/>
        <w:spacing w:before="1"/>
        <w:rPr>
          <w:sz w:val="31"/>
        </w:rPr>
      </w:pPr>
    </w:p>
    <w:p>
      <w:pPr>
        <w:pStyle w:val="BodyText"/>
        <w:spacing w:line="278" w:lineRule="auto"/>
        <w:ind w:left="102" w:right="153"/>
      </w:pPr>
      <w:r>
        <w:rPr/>
        <w:t>Los fotones de los rayos X y gamma interactúan con la materia y causan  ionización de tres maneras diferentes, como</w:t>
      </w:r>
      <w:r>
        <w:rPr>
          <w:spacing w:val="-19"/>
        </w:rPr>
        <w:t> </w:t>
      </w:r>
      <w:r>
        <w:rPr/>
        <w:t>mínimo:</w:t>
      </w:r>
    </w:p>
    <w:p>
      <w:pPr>
        <w:pStyle w:val="BodyText"/>
        <w:spacing w:before="4"/>
        <w:rPr>
          <w:sz w:val="27"/>
        </w:rPr>
      </w:pPr>
    </w:p>
    <w:p>
      <w:pPr>
        <w:pStyle w:val="ListParagraph"/>
        <w:numPr>
          <w:ilvl w:val="0"/>
          <w:numId w:val="4"/>
        </w:numPr>
        <w:tabs>
          <w:tab w:pos="462" w:val="left" w:leader="none"/>
        </w:tabs>
        <w:spacing w:line="276" w:lineRule="auto" w:before="0" w:after="0"/>
        <w:ind w:left="462" w:right="127" w:hanging="360"/>
        <w:jc w:val="both"/>
        <w:rPr>
          <w:sz w:val="24"/>
        </w:rPr>
      </w:pPr>
      <w:r>
        <w:rPr>
          <w:sz w:val="24"/>
        </w:rPr>
        <w:t>Los fotones de energía más baja interactúan sobre todo el material mediante el efecto fotoeléctrico (Figura 1.4), por el que el fotón cede toda su energía a un electrón, que entonces abandona el átomo o molécula. El fotón</w:t>
      </w:r>
      <w:r>
        <w:rPr>
          <w:spacing w:val="-34"/>
          <w:sz w:val="24"/>
        </w:rPr>
        <w:t> </w:t>
      </w:r>
      <w:r>
        <w:rPr>
          <w:sz w:val="24"/>
        </w:rPr>
        <w:t>desaparece.</w:t>
      </w:r>
    </w:p>
    <w:p>
      <w:pPr>
        <w:pStyle w:val="BodyText"/>
        <w:ind w:left="2794"/>
        <w:rPr>
          <w:sz w:val="20"/>
        </w:rPr>
      </w:pPr>
      <w:r>
        <w:rPr>
          <w:sz w:val="20"/>
        </w:rPr>
        <w:drawing>
          <wp:inline distT="0" distB="0" distL="0" distR="0">
            <wp:extent cx="2194350" cy="1554861"/>
            <wp:effectExtent l="0" t="0" r="0" b="0"/>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5" cstate="print"/>
                    <a:stretch>
                      <a:fillRect/>
                    </a:stretch>
                  </pic:blipFill>
                  <pic:spPr>
                    <a:xfrm>
                      <a:off x="0" y="0"/>
                      <a:ext cx="2194350" cy="1554861"/>
                    </a:xfrm>
                    <a:prstGeom prst="rect">
                      <a:avLst/>
                    </a:prstGeom>
                  </pic:spPr>
                </pic:pic>
              </a:graphicData>
            </a:graphic>
          </wp:inline>
        </w:drawing>
      </w:r>
      <w:r>
        <w:rPr>
          <w:sz w:val="20"/>
        </w:rPr>
      </w:r>
    </w:p>
    <w:p>
      <w:pPr>
        <w:pStyle w:val="BodyText"/>
        <w:spacing w:before="37"/>
        <w:ind w:left="140" w:right="153"/>
        <w:jc w:val="center"/>
      </w:pPr>
      <w:r>
        <w:rPr/>
        <w:t>Figura 1.4. Efecto fotoeléctrico.</w:t>
      </w:r>
    </w:p>
    <w:p>
      <w:pPr>
        <w:pStyle w:val="BodyText"/>
        <w:spacing w:before="1"/>
        <w:rPr>
          <w:sz w:val="31"/>
        </w:rPr>
      </w:pPr>
    </w:p>
    <w:p>
      <w:pPr>
        <w:pStyle w:val="ListParagraph"/>
        <w:numPr>
          <w:ilvl w:val="0"/>
          <w:numId w:val="4"/>
        </w:numPr>
        <w:tabs>
          <w:tab w:pos="462" w:val="left" w:leader="none"/>
        </w:tabs>
        <w:spacing w:line="276" w:lineRule="auto" w:before="0" w:after="0"/>
        <w:ind w:left="462" w:right="123" w:hanging="360"/>
        <w:jc w:val="both"/>
        <w:rPr>
          <w:sz w:val="24"/>
        </w:rPr>
      </w:pPr>
      <w:r>
        <w:rPr>
          <w:sz w:val="24"/>
        </w:rPr>
        <w:t>Los fotones de energía intermedia interactúan fundamentalmente mediante el efecto Compton (Figura 1.5), en virtud del cual el fotón y un electrón colisionan esencialmente como partículas. El fotón continúa su trayectoria en una nueva dirección con su energía disminuida, mientras que el electrón liberado parte con el resto de la energía entrante (menos la energía de unión del electrón al átomo o a la</w:t>
      </w:r>
      <w:r>
        <w:rPr>
          <w:spacing w:val="-8"/>
          <w:sz w:val="24"/>
        </w:rPr>
        <w:t> </w:t>
      </w:r>
      <w:r>
        <w:rPr>
          <w:sz w:val="24"/>
        </w:rPr>
        <w:t>molécula).</w:t>
      </w:r>
    </w:p>
    <w:p>
      <w:pPr>
        <w:spacing w:after="0" w:line="276" w:lineRule="auto"/>
        <w:jc w:val="both"/>
        <w:rPr>
          <w:sz w:val="24"/>
        </w:rPr>
        <w:sectPr>
          <w:pgSz w:w="12240" w:h="15840"/>
          <w:pgMar w:header="747" w:footer="0" w:top="940" w:bottom="280" w:left="1600" w:right="1580"/>
        </w:sectPr>
      </w:pPr>
    </w:p>
    <w:p>
      <w:pPr>
        <w:pStyle w:val="BodyText"/>
        <w:rPr>
          <w:sz w:val="20"/>
        </w:rPr>
      </w:pPr>
    </w:p>
    <w:p>
      <w:pPr>
        <w:pStyle w:val="BodyText"/>
        <w:spacing w:before="6"/>
        <w:rPr>
          <w:sz w:val="20"/>
        </w:rPr>
      </w:pPr>
    </w:p>
    <w:p>
      <w:pPr>
        <w:pStyle w:val="BodyText"/>
        <w:ind w:left="3193"/>
        <w:rPr>
          <w:sz w:val="20"/>
        </w:rPr>
      </w:pPr>
      <w:r>
        <w:rPr>
          <w:sz w:val="20"/>
        </w:rPr>
        <w:drawing>
          <wp:inline distT="0" distB="0" distL="0" distR="0">
            <wp:extent cx="1684797" cy="1410557"/>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6" cstate="print"/>
                    <a:stretch>
                      <a:fillRect/>
                    </a:stretch>
                  </pic:blipFill>
                  <pic:spPr>
                    <a:xfrm>
                      <a:off x="0" y="0"/>
                      <a:ext cx="1684797" cy="1410557"/>
                    </a:xfrm>
                    <a:prstGeom prst="rect">
                      <a:avLst/>
                    </a:prstGeom>
                  </pic:spPr>
                </pic:pic>
              </a:graphicData>
            </a:graphic>
          </wp:inline>
        </w:drawing>
      </w:r>
      <w:r>
        <w:rPr>
          <w:sz w:val="20"/>
        </w:rPr>
      </w:r>
    </w:p>
    <w:p>
      <w:pPr>
        <w:pStyle w:val="BodyText"/>
        <w:spacing w:before="41"/>
        <w:ind w:left="136" w:right="153"/>
        <w:jc w:val="center"/>
      </w:pPr>
      <w:r>
        <w:rPr/>
        <w:t>Figura 1.5. Efecto Compton.</w:t>
      </w:r>
    </w:p>
    <w:p>
      <w:pPr>
        <w:pStyle w:val="BodyText"/>
        <w:spacing w:before="3"/>
        <w:rPr>
          <w:sz w:val="31"/>
        </w:rPr>
      </w:pPr>
    </w:p>
    <w:p>
      <w:pPr>
        <w:pStyle w:val="ListParagraph"/>
        <w:numPr>
          <w:ilvl w:val="0"/>
          <w:numId w:val="4"/>
        </w:numPr>
        <w:tabs>
          <w:tab w:pos="462" w:val="left" w:leader="none"/>
        </w:tabs>
        <w:spacing w:line="276" w:lineRule="auto" w:before="0" w:after="0"/>
        <w:ind w:left="462" w:right="122" w:hanging="360"/>
        <w:jc w:val="both"/>
        <w:rPr>
          <w:sz w:val="24"/>
        </w:rPr>
      </w:pPr>
      <w:r>
        <w:rPr>
          <w:sz w:val="24"/>
        </w:rPr>
        <w:t>La producción de pares (Figura 1.6) sólo es posible con fotones cuya energía sea superior a 1,02 MeV. El fotón desaparece, y en su lugar aparece una pareja electrón-positrón (este fenómeno sólo ocurre en la proximidad de un núcleo, por consideraciones de conservación del momento cinético y de la energía). La energía cinética total del par electrón-positrón es igual a la energía del fotón menos la suma de las energías de la masa residual de electrón y positrón (1,02</w:t>
      </w:r>
      <w:r>
        <w:rPr>
          <w:spacing w:val="-4"/>
          <w:sz w:val="24"/>
        </w:rPr>
        <w:t> </w:t>
      </w:r>
      <w:r>
        <w:rPr>
          <w:sz w:val="24"/>
        </w:rPr>
        <w:t>MeV).</w:t>
      </w:r>
    </w:p>
    <w:p>
      <w:pPr>
        <w:pStyle w:val="BodyText"/>
        <w:spacing w:before="9"/>
        <w:rPr>
          <w:sz w:val="27"/>
        </w:rPr>
      </w:pPr>
    </w:p>
    <w:p>
      <w:pPr>
        <w:pStyle w:val="BodyText"/>
        <w:spacing w:line="276" w:lineRule="auto"/>
        <w:ind w:left="529" w:right="118"/>
        <w:jc w:val="both"/>
      </w:pPr>
      <w:r>
        <w:rPr/>
        <w:t>Estos electrones y positrones energéticos se comportan entonces como radiación ionizante directa. A medida que pierde energía cinética, un positrón puede llegar a encontrarse con un electrón, y las partículas se aniquilarán entre sí. Entonces se emiten dos fotones de 0,511 MeV (por lo general) desde el punto de aniquilación, a 180 grados uno de otro. Con un fotón dado puede ocurrir cualquiera de estos supuestos, salvo que la producción de pares sólo es posible con fotones de energía superior a 1,022 MeV. La energía del fotón  y el material con el que interactúa determinan qué interacción es la más probable</w:t>
      </w:r>
      <w:r>
        <w:rPr>
          <w:spacing w:val="-6"/>
        </w:rPr>
        <w:t> </w:t>
      </w:r>
      <w:r>
        <w:rPr/>
        <w:t>[22-26].</w:t>
      </w:r>
    </w:p>
    <w:p>
      <w:pPr>
        <w:pStyle w:val="BodyText"/>
        <w:rPr>
          <w:sz w:val="20"/>
        </w:rPr>
      </w:pPr>
    </w:p>
    <w:p>
      <w:pPr>
        <w:pStyle w:val="BodyText"/>
        <w:spacing w:before="8"/>
        <w:rPr>
          <w:sz w:val="10"/>
        </w:rPr>
      </w:pPr>
      <w:r>
        <w:rPr/>
        <w:pict>
          <v:group style="position:absolute;margin-left:152.5pt;margin-top:8.117062pt;width:204.2pt;height:120.1pt;mso-position-horizontal-relative:page;mso-position-vertical-relative:paragraph;z-index:1696;mso-wrap-distance-left:0;mso-wrap-distance-right:0" coordorigin="3050,162" coordsize="4084,2402">
            <v:shape style="position:absolute;left:6145;top:793;width:253;height:236" type="#_x0000_t75" stroked="false">
              <v:imagedata r:id="rId17" o:title=""/>
            </v:shape>
            <v:shape style="position:absolute;left:5949;top:612;width:680;height:629" coordorigin="5949,612" coordsize="680,629" path="m6289,612l6211,620,6139,644,6076,681,6024,730,5984,788,5958,854,5949,927,5958,999,5984,1065,6024,1123,6076,1172,6139,1209,6211,1233,6289,1241,6367,1233,6439,1209,6502,1172,6554,1123,6594,1065,6620,999,6629,927,6620,854,6594,788,6554,730,6502,681,6439,644,6367,620,6289,612xe" filled="false" stroked="true" strokeweight=".75pt" strokecolor="#000000">
              <v:path arrowok="t"/>
            </v:shape>
            <v:shape style="position:absolute;left:5746;top:455;width:1052;height:943" coordorigin="5746,455" coordsize="1052,943" path="m6272,455l6194,460,6120,475,6050,499,5986,531,5927,571,5875,617,5831,670,5795,728,5768,790,5752,857,5746,927,5752,996,5768,1063,5795,1125,5831,1183,5875,1236,5927,1283,5986,1322,6050,1354,6120,1378,6194,1393,6272,1398,6350,1393,6424,1378,6494,1354,6558,1322,6617,1283,6669,1236,6713,1183,6749,1125,6776,1063,6792,996,6798,927,6792,857,6776,790,6749,728,6713,670,6669,617,6617,571,6558,531,6494,499,6424,475,6350,460,6272,455xe" filled="false" stroked="true" strokeweight=".75pt" strokecolor="#000000">
              <v:path arrowok="t"/>
            </v:shape>
            <v:shape style="position:absolute;left:5610;top:298;width:1359;height:1257" coordorigin="5610,298" coordsize="1359,1257" path="m6290,298l6210,302,6134,315,6060,335,5991,362,5925,396,5865,436,5809,482,5759,534,5716,590,5679,650,5650,715,5628,782,5615,853,5610,927,5615,1000,5628,1071,5650,1139,5679,1203,5716,1264,5759,1320,5809,1371,5865,1417,5925,1457,5991,1491,6060,1518,6134,1539,6210,1551,6290,1555,6369,1551,6445,1539,6519,1518,6588,1491,6654,1457,6715,1417,6770,1371,6820,1320,6863,1264,6900,1203,6929,1139,6951,1071,6964,1000,6969,927,6964,853,6951,782,6929,715,6900,650,6863,590,6820,534,6770,482,6715,436,6654,396,6588,362,6519,335,6445,315,6369,302,6290,298xe" filled="false" stroked="true" strokeweight=".75pt" strokecolor="#000000">
              <v:path arrowok="t"/>
            </v:shape>
            <v:shape style="position:absolute;left:5970;top:783;width:22;height:21" coordorigin="5970,783" coordsize="22,21" path="m5987,783l5975,783,5970,788,5970,799,5975,804,5987,804,5992,799,5992,788,5987,783xe" filled="true" fillcolor="#000000" stroked="false">
              <v:path arrowok="t"/>
              <v:fill type="solid"/>
            </v:shape>
            <v:shape style="position:absolute;left:5970;top:783;width:22;height:21" coordorigin="5970,783" coordsize="22,21" path="m5981,783l5975,783,5970,788,5970,794,5970,799,5975,804,5981,804,5987,804,5992,799,5992,794,5992,788,5987,783,5981,783xe" filled="false" stroked="true" strokeweight=".75pt" strokecolor="#000000">
              <v:path arrowok="t"/>
            </v:shape>
            <v:shape style="position:absolute;left:6630;top:936;width:22;height:21" coordorigin="6630,936" coordsize="22,21" path="m6647,936l6635,936,6630,941,6630,952,6635,957,6647,957,6652,952,6652,941,6647,936xe" filled="true" fillcolor="#000000" stroked="false">
              <v:path arrowok="t"/>
              <v:fill type="solid"/>
            </v:shape>
            <v:shape style="position:absolute;left:6630;top:936;width:22;height:21" coordorigin="6630,936" coordsize="22,21" path="m6641,936l6635,936,6630,941,6630,947,6630,952,6635,957,6641,957,6647,957,6652,952,6652,947,6652,941,6647,936,6641,936xe" filled="false" stroked="true" strokeweight=".75pt" strokecolor="#000000">
              <v:path arrowok="t"/>
            </v:shape>
            <v:shape style="position:absolute;left:5746;top:800;width:22;height:21" coordorigin="5746,800" coordsize="22,21" path="m5763,800l5751,800,5746,805,5746,816,5751,821,5763,821,5768,816,5768,805,5763,800xe" filled="true" fillcolor="#000000" stroked="false">
              <v:path arrowok="t"/>
              <v:fill type="solid"/>
            </v:shape>
            <v:shape style="position:absolute;left:5746;top:800;width:22;height:21" coordorigin="5746,800" coordsize="22,21" path="m5757,800l5751,800,5746,805,5746,811,5746,816,5751,821,5757,821,5763,821,5768,816,5768,811,5768,805,5763,800,5757,800xe" filled="false" stroked="true" strokeweight=".75pt" strokecolor="#000000">
              <v:path arrowok="t"/>
            </v:shape>
            <v:shape style="position:absolute;left:5949;top:549;width:22;height:20" coordorigin="5949,549" coordsize="22,20" path="m5966,549l5954,549,5949,554,5949,565,5954,569,5966,569,5971,565,5971,554,5966,549xe" filled="true" fillcolor="#000000" stroked="false">
              <v:path arrowok="t"/>
              <v:fill type="solid"/>
            </v:shape>
            <v:shape style="position:absolute;left:5949;top:549;width:22;height:20" coordorigin="5949,549" coordsize="22,20" path="m5960,549l5954,549,5949,554,5949,559,5949,565,5954,569,5960,569,5966,569,5971,565,5971,559,5971,554,5966,549,5960,549xe" filled="false" stroked="true" strokeweight=".75pt" strokecolor="#000000">
              <v:path arrowok="t"/>
            </v:shape>
            <v:shape style="position:absolute;left:6493;top:486;width:22;height:21" coordorigin="6493,486" coordsize="22,21" path="m6510,486l6498,486,6493,491,6493,502,6498,507,6510,507,6515,502,6515,491,6510,486xe" filled="true" fillcolor="#000000" stroked="false">
              <v:path arrowok="t"/>
              <v:fill type="solid"/>
            </v:shape>
            <v:shape style="position:absolute;left:6493;top:486;width:22;height:21" coordorigin="6493,486" coordsize="22,21" path="m6504,486l6498,486,6493,491,6493,497,6493,502,6498,507,6504,507,6510,507,6515,502,6515,497,6515,491,6510,486,6504,486xe" filled="false" stroked="true" strokeweight=".75pt" strokecolor="#000000">
              <v:path arrowok="t"/>
            </v:shape>
            <v:shape style="position:absolute;left:6764;top:800;width:22;height:21" coordorigin="6764,800" coordsize="22,21" path="m6781,800l6769,800,6764,805,6764,816,6769,821,6781,821,6786,816,6786,805,6781,800xe" filled="true" fillcolor="#000000" stroked="false">
              <v:path arrowok="t"/>
              <v:fill type="solid"/>
            </v:shape>
            <v:shape style="position:absolute;left:6764;top:800;width:22;height:21" coordorigin="6764,800" coordsize="22,21" path="m6775,800l6769,800,6764,805,6764,811,6764,816,6769,821,6775,821,6781,821,6786,816,6786,811,6786,805,6781,800,6775,800xe" filled="false" stroked="true" strokeweight=".75pt" strokecolor="#000000">
              <v:path arrowok="t"/>
            </v:shape>
            <v:shape style="position:absolute;left:6696;top:1178;width:23;height:20" coordorigin="6696,1178" coordsize="23,20" path="m6714,1178l6701,1178,6696,1183,6696,1194,6701,1198,6714,1198,6719,1194,6719,1183,6714,1178xe" filled="true" fillcolor="#000000" stroked="false">
              <v:path arrowok="t"/>
              <v:fill type="solid"/>
            </v:shape>
            <v:shape style="position:absolute;left:6696;top:1178;width:23;height:20" coordorigin="6696,1178" coordsize="23,20" path="m6708,1178l6701,1178,6696,1183,6696,1188,6696,1194,6701,1198,6708,1198,6714,1198,6719,1194,6719,1188,6719,1183,6714,1178,6708,1178xe" filled="false" stroked="true" strokeweight=".75pt" strokecolor="#000000">
              <v:path arrowok="t"/>
            </v:shape>
            <v:shape style="position:absolute;left:6425;top:1367;width:22;height:19" coordorigin="6425,1367" coordsize="22,19" path="m6442,1367l6430,1367,6425,1371,6425,1382,6430,1386,6442,1386,6447,1382,6447,1371,6442,1367xe" filled="true" fillcolor="#000000" stroked="false">
              <v:path arrowok="t"/>
              <v:fill type="solid"/>
            </v:shape>
            <v:shape style="position:absolute;left:6425;top:1367;width:22;height:19" coordorigin="6425,1367" coordsize="22,19" path="m6436,1367l6430,1367,6425,1371,6425,1377,6425,1382,6430,1386,6436,1386,6442,1386,6447,1382,6447,1377,6447,1371,6442,1367,6436,1367xe" filled="false" stroked="true" strokeweight=".75pt" strokecolor="#000000">
              <v:path arrowok="t"/>
            </v:shape>
            <v:shape style="position:absolute;left:5949;top:1304;width:22;height:19" coordorigin="5949,1304" coordsize="22,19" path="m5966,1304l5954,1304,5949,1308,5949,1319,5954,1323,5966,1323,5971,1319,5971,1308,5966,1304xe" filled="true" fillcolor="#000000" stroked="false">
              <v:path arrowok="t"/>
              <v:fill type="solid"/>
            </v:shape>
            <v:shape style="position:absolute;left:5949;top:1304;width:22;height:19" coordorigin="5949,1304" coordsize="22,19" path="m5960,1304l5954,1304,5949,1308,5949,1314,5949,1319,5954,1323,5960,1323,5966,1323,5971,1319,5971,1314,5971,1308,5966,1304,5960,1304xe" filled="false" stroked="true" strokeweight=".75pt" strokecolor="#000000">
              <v:path arrowok="t"/>
            </v:shape>
            <v:shape style="position:absolute;left:5746;top:1053;width:22;height:19" coordorigin="5746,1053" coordsize="22,19" path="m5763,1053l5751,1053,5746,1057,5746,1068,5751,1072,5763,1072,5768,1068,5768,1057,5763,1053xe" filled="true" fillcolor="#000000" stroked="false">
              <v:path arrowok="t"/>
              <v:fill type="solid"/>
            </v:shape>
            <v:shape style="position:absolute;left:5746;top:1053;width:22;height:19" coordorigin="5746,1053" coordsize="22,19" path="m5757,1053l5751,1053,5746,1057,5746,1063,5746,1068,5751,1072,5757,1072,5763,1072,5768,1068,5768,1063,5768,1057,5763,1053,5757,1053xe" filled="false" stroked="true" strokeweight=".75pt" strokecolor="#000000">
              <v:path arrowok="t"/>
            </v:shape>
            <v:shape style="position:absolute;left:5746;top:1304;width:22;height:19" coordorigin="5746,1304" coordsize="22,19" path="m5763,1304l5751,1304,5746,1308,5746,1319,5751,1323,5763,1323,5768,1319,5768,1308,5763,1304xe" filled="true" fillcolor="#000000" stroked="false">
              <v:path arrowok="t"/>
              <v:fill type="solid"/>
            </v:shape>
            <v:shape style="position:absolute;left:5746;top:1304;width:22;height:19" coordorigin="5746,1304" coordsize="22,19" path="m5757,1304l5751,1304,5746,1308,5746,1314,5746,1319,5751,1323,5757,1323,5763,1323,5768,1319,5768,1314,5768,1308,5763,1304,5757,1304xe" filled="false" stroked="true" strokeweight=".75pt" strokecolor="#000000">
              <v:path arrowok="t"/>
            </v:shape>
            <v:shape style="position:absolute;left:5610;top:800;width:21;height:21" coordorigin="5610,800" coordsize="21,21" path="m5626,800l5615,800,5610,805,5610,816,5615,821,5626,821,5631,816,5631,805,5626,800xe" filled="true" fillcolor="#000000" stroked="false">
              <v:path arrowok="t"/>
              <v:fill type="solid"/>
            </v:shape>
            <v:shape style="position:absolute;left:5610;top:800;width:21;height:21" coordorigin="5610,800" coordsize="21,21" path="m5620,800l5615,800,5610,805,5610,811,5610,816,5615,821,5620,821,5626,821,5631,816,5631,811,5631,805,5626,800,5620,800xe" filled="false" stroked="true" strokeweight=".75pt" strokecolor="#000000">
              <v:path arrowok="t"/>
            </v:shape>
            <v:shape style="position:absolute;left:5881;top:423;width:23;height:21" coordorigin="5881,423" coordsize="23,21" path="m5899,423l5886,423,5881,428,5881,439,5886,444,5899,444,5904,439,5904,428,5899,423xe" filled="true" fillcolor="#000000" stroked="false">
              <v:path arrowok="t"/>
              <v:fill type="solid"/>
            </v:shape>
            <v:shape style="position:absolute;left:5881;top:423;width:23;height:21" coordorigin="5881,423" coordsize="23,21" path="m5893,423l5886,423,5881,428,5881,434,5881,439,5886,444,5893,444,5899,444,5904,439,5904,434,5904,428,5899,423,5893,423xe" filled="false" stroked="true" strokeweight=".75pt" strokecolor="#000000">
              <v:path arrowok="t"/>
            </v:shape>
            <v:shape style="position:absolute;left:6425;top:298;width:22;height:20" coordorigin="6425,298" coordsize="22,20" path="m6442,298l6430,298,6425,303,6425,314,6430,318,6442,318,6447,314,6447,303,6442,298xe" filled="true" fillcolor="#000000" stroked="false">
              <v:path arrowok="t"/>
              <v:fill type="solid"/>
            </v:shape>
            <v:shape style="position:absolute;left:6425;top:298;width:22;height:20" coordorigin="6425,298" coordsize="22,20" path="m6436,298l6430,298,6425,303,6425,308,6425,314,6430,318,6436,318,6442,318,6447,314,6447,308,6447,303,6442,298,6436,298xe" filled="false" stroked="true" strokeweight=".75pt" strokecolor="#000000">
              <v:path arrowok="t"/>
            </v:shape>
            <v:shape style="position:absolute;left:6832;top:549;width:22;height:20" coordorigin="6832,549" coordsize="22,20" path="m6849,549l6837,549,6832,554,6832,565,6837,569,6849,569,6854,565,6854,554,6849,549xe" filled="true" fillcolor="#000000" stroked="false">
              <v:path arrowok="t"/>
              <v:fill type="solid"/>
            </v:shape>
            <v:shape style="position:absolute;left:6832;top:549;width:22;height:20" coordorigin="6832,549" coordsize="22,20" path="m6843,549l6837,549,6832,554,6832,559,6832,565,6837,569,6843,569,6849,569,6854,565,6854,559,6854,554,6849,549,6843,549xe" filled="false" stroked="true" strokeweight=".75pt" strokecolor="#000000">
              <v:path arrowok="t"/>
            </v:shape>
            <v:shape style="position:absolute;left:6969;top:990;width:21;height:19" coordorigin="6969,990" coordsize="21,19" path="m6985,990l6974,990,6969,994,6969,1005,6974,1009,6985,1009,6990,1005,6990,994,6985,990xe" filled="true" fillcolor="#000000" stroked="false">
              <v:path arrowok="t"/>
              <v:fill type="solid"/>
            </v:shape>
            <v:shape style="position:absolute;left:6969;top:990;width:21;height:19" coordorigin="6969,990" coordsize="21,19" path="m6980,990l6974,990,6969,994,6969,1000,6969,1005,6974,1009,6980,1009,6985,1009,6990,1005,6990,1000,6990,994,6985,990,6980,990xe" filled="false" stroked="true" strokeweight=".75pt" strokecolor="#000000">
              <v:path arrowok="t"/>
            </v:shape>
            <v:shape style="position:absolute;left:6764;top:1367;width:22;height:19" coordorigin="6764,1367" coordsize="22,19" path="m6781,1367l6769,1367,6764,1371,6764,1382,6769,1386,6781,1386,6786,1382,6786,1371,6781,1367xe" filled="true" fillcolor="#000000" stroked="false">
              <v:path arrowok="t"/>
              <v:fill type="solid"/>
            </v:shape>
            <v:shape style="position:absolute;left:6764;top:1367;width:22;height:19" coordorigin="6764,1367" coordsize="22,19" path="m6775,1367l6769,1367,6764,1371,6764,1377,6764,1382,6769,1386,6775,1386,6781,1386,6786,1382,6786,1377,6786,1371,6781,1367,6775,1367xe" filled="false" stroked="true" strokeweight=".75pt" strokecolor="#000000">
              <v:path arrowok="t"/>
            </v:shape>
            <v:shape style="position:absolute;left:6153;top:1555;width:22;height:20" coordorigin="6153,1555" coordsize="22,20" path="m6170,1555l6158,1555,6153,1560,6153,1571,6158,1575,6170,1575,6175,1571,6175,1560,6170,1555xe" filled="true" fillcolor="#000000" stroked="false">
              <v:path arrowok="t"/>
              <v:fill type="solid"/>
            </v:shape>
            <v:shape style="position:absolute;left:6153;top:1555;width:22;height:20" coordorigin="6153,1555" coordsize="22,20" path="m6164,1555l6158,1555,6153,1560,6153,1565,6153,1571,6158,1575,6164,1575,6170,1575,6175,1571,6175,1565,6175,1560,6170,1555,6164,1555xe" filled="false" stroked="true" strokeweight=".75pt" strokecolor="#000000">
              <v:path arrowok="t"/>
            </v:shape>
            <v:shape style="position:absolute;left:7105;top:863;width:21;height:21" coordorigin="7105,863" coordsize="21,21" path="m7121,863l7110,863,7105,868,7105,879,7110,884,7121,884,7126,879,7126,868,7121,863xe" filled="true" fillcolor="#000000" stroked="false">
              <v:path arrowok="t"/>
              <v:fill type="solid"/>
            </v:shape>
            <v:shape style="position:absolute;left:7105;top:863;width:21;height:21" coordorigin="7105,863" coordsize="21,21" path="m7115,863l7110,863,7105,868,7105,874,7105,879,7110,884,7115,884,7121,884,7126,879,7126,874,7126,868,7121,863,7115,863xe" filled="false" stroked="true" strokeweight=".75pt" strokecolor="#000000">
              <v:path arrowok="t"/>
            </v:shape>
            <v:shape style="position:absolute;left:5474;top:990;width:21;height:19" coordorigin="5474,990" coordsize="21,19" path="m5490,990l5479,990,5474,994,5474,1005,5479,1009,5490,1009,5495,1005,5495,994,5490,990xe" filled="true" fillcolor="#000000" stroked="false">
              <v:path arrowok="t"/>
              <v:fill type="solid"/>
            </v:shape>
            <v:shape style="position:absolute;left:5474;top:990;width:21;height:19" coordorigin="5474,990" coordsize="21,19" path="m5484,990l5479,990,5474,994,5474,1000,5474,1005,5479,1009,5484,1009,5490,1009,5495,1005,5495,1000,5495,994,5490,990,5484,990xe" filled="false" stroked="true" strokeweight=".75pt" strokecolor="#000000">
              <v:path arrowok="t"/>
            </v:shape>
            <v:shape style="position:absolute;left:5474;top:172;width:1631;height:1509" coordorigin="5474,172" coordsize="1631,1509" path="m6290,172l6211,176,6135,186,6061,202,5989,225,5921,253,5857,287,5796,326,5739,370,5687,418,5640,470,5598,526,5562,586,5531,649,5507,715,5489,783,5478,854,5474,927,5478,999,5489,1070,5507,1138,5531,1204,5562,1267,5598,1327,5640,1383,5687,1436,5739,1484,5796,1527,5857,1566,5921,1600,5989,1628,6061,1651,6135,1668,6211,1678,6290,1681,6368,1678,6445,1668,6519,1651,6590,1628,6658,1600,6722,1566,6783,1527,6840,1484,6892,1436,6939,1383,6981,1327,7017,1267,7048,1204,7072,1138,7090,1070,7101,999,7105,927,7101,854,7090,783,7072,715,7048,649,7017,586,6981,526,6939,470,6892,418,6840,370,6783,326,6722,287,6658,253,6590,225,6519,202,6445,186,6368,176,6290,172xe" filled="false" stroked="true" strokeweight=".75pt" strokecolor="#000000">
              <v:path arrowok="t"/>
            </v:shape>
            <v:shape style="position:absolute;left:3050;top:904;width:3056;height:123" coordorigin="3050,904" coordsize="3056,123" path="m3130,955l3050,955,3050,975,3130,975,3130,955xm3270,955l3190,955,3190,975,3270,975,3270,955xm3410,955l3330,955,3330,975,3410,975,3410,955xm3550,955l3470,955,3470,975,3550,975,3550,955xm3690,955l3610,955,3610,975,3690,975,3690,955xm3830,955l3750,955,3750,975,3830,975,3830,955xm3970,955l3890,955,3890,975,3970,975,3970,955xm4110,955l4030,955,4030,975,4110,975,4110,955xm4250,955l4170,955,4170,975,4250,975,4250,955xm4390,955l4310,955,4310,975,4390,975,4390,955xm4530,955l4450,955,4450,975,4530,975,4530,955xm4670,955l4590,955,4590,975,4670,975,4670,955xm4810,955l4730,955,4730,975,4810,975,4810,955xm4950,955l4870,955,4870,975,4950,975,4950,955xm5090,955l5010,955,5010,975,5090,975,5090,955xm5230,955l5150,955,5150,975,5230,975,5230,955xm5370,955l5290,955,5290,975,5370,975,5370,955xm5510,955l5430,955,5430,975,5510,975,5510,955xm5650,955l5570,955,5570,975,5650,975,5650,955xm5790,955l5710,955,5710,975,5790,975,5790,955xm5930,955l5850,955,5850,975,5930,975,5930,955xm6054,965l5956,1006,5951,1008,5949,1014,5951,1019,5953,1024,5959,1027,5964,1024,6082,975,6070,975,6070,972,6054,965xm6030,955l5990,955,5990,975,6030,975,6054,965,6030,955xm6070,972l6070,975,6082,975,6084,974,6076,974,6070,972xm6076,956l6070,959,6070,972,6076,974,6076,956xm6084,956l6076,956,6076,974,6084,974,6106,965,6084,956xm6070,959l6054,965,6070,972,6070,959xm5959,904l5953,906,5951,911,5949,916,5951,922,5956,924,6054,965,6070,959,6070,955,6082,955,5964,906,5959,904xm6082,955l6070,955,6070,959,6076,956,6084,956,6082,955xe" filled="true" fillcolor="#000000" stroked="false">
              <v:path arrowok="t"/>
              <v:fill type="solid"/>
            </v:shape>
            <v:shape style="position:absolute;left:6166;top:162;width:690;height:884" coordorigin="6166,162" coordsize="690,884" path="m6824,203l6801,216,6166,1034,6182,1046,6817,229,6824,203xm6851,177l6832,177,6847,189,6817,229,6796,306,6794,311,6797,317,6803,318,6808,320,6814,316,6815,311,6851,177xm6855,162l6721,238,6717,241,6715,247,6718,252,6720,257,6726,259,6731,256,6801,216,6832,177,6851,177,6855,162xm6836,180l6830,180,6844,192,6824,203,6817,229,6847,189,6836,180xm6832,177l6801,216,6824,203,6830,180,6836,180,6832,177xm6830,180l6824,203,6844,192,6830,180xe" filled="true" fillcolor="#000000" stroked="false">
              <v:path arrowok="t"/>
              <v:fill type="solid"/>
            </v:shape>
            <v:shape style="position:absolute;left:5526;top:923;width:738;height:818" coordorigin="5526,923" coordsize="738,818" path="m5611,1529l5605,1531,5604,1537,5526,1741,5553,1727,5552,1727,5537,1714,5573,1674,5622,1544,5624,1538,5622,1533,5616,1531,5611,1529xm5573,1674l5537,1714,5552,1727,5555,1724,5554,1724,5540,1712,5563,1700,5573,1674xm5717,1622l5712,1625,5587,1688,5552,1727,5553,1727,5721,1643,5726,1640,5728,1634,5726,1629,5723,1624,5717,1622xm5563,1700l5540,1712,5554,1724,5563,1700xm5587,1688l5563,1700,5554,1724,5555,1724,5587,1688xm6249,923l5573,1674,5563,1700,5587,1688,6264,937,6249,923xe" filled="true" fillcolor="#000000" stroked="false">
              <v:path arrowok="t"/>
              <v:fill type="solid"/>
            </v:shape>
            <v:shape style="position:absolute;left:4539;top:1668;width:253;height:236" type="#_x0000_t75" stroked="false">
              <v:imagedata r:id="rId18" o:title=""/>
            </v:shape>
            <v:shape style="position:absolute;left:3859;top:1040;width:1857;height:1524" type="#_x0000_t75" stroked="false">
              <v:imagedata r:id="rId19" o:title=""/>
            </v:shape>
            <v:shape style="position:absolute;left:3332;top:795;width:443;height:221" type="#_x0000_t202" filled="false" stroked="false">
              <v:textbox inset="0,0,0,0">
                <w:txbxContent>
                  <w:p>
                    <w:pPr>
                      <w:spacing w:line="221" w:lineRule="exact" w:before="0"/>
                      <w:ind w:left="0" w:right="-18" w:firstLine="0"/>
                      <w:jc w:val="left"/>
                      <w:rPr>
                        <w:rFonts w:ascii="Calibri"/>
                        <w:sz w:val="22"/>
                      </w:rPr>
                    </w:pPr>
                    <w:r>
                      <w:rPr>
                        <w:rFonts w:ascii="Calibri"/>
                        <w:sz w:val="22"/>
                      </w:rPr>
                      <w:t>Rayo</w:t>
                    </w:r>
                  </w:p>
                </w:txbxContent>
              </v:textbox>
              <w10:wrap type="none"/>
            </v:shape>
            <v:shape style="position:absolute;left:5355;top:1037;width:99;height:221" type="#_x0000_t202" filled="false" stroked="false">
              <v:textbox inset="0,0,0,0">
                <w:txbxContent>
                  <w:p>
                    <w:pPr>
                      <w:spacing w:line="221" w:lineRule="exact" w:before="0"/>
                      <w:ind w:left="0" w:right="0" w:firstLine="0"/>
                      <w:jc w:val="left"/>
                      <w:rPr>
                        <w:rFonts w:ascii="Calibri" w:hAnsi="Calibri"/>
                        <w:sz w:val="22"/>
                      </w:rPr>
                    </w:pPr>
                    <w:r>
                      <w:rPr>
                        <w:rFonts w:ascii="Calibri" w:hAnsi="Calibri"/>
                        <w:w w:val="100"/>
                        <w:sz w:val="22"/>
                      </w:rPr>
                      <w:t>γ</w:t>
                    </w:r>
                  </w:p>
                </w:txbxContent>
              </v:textbox>
              <w10:wrap type="none"/>
            </v:shape>
            <v:shape style="position:absolute;left:5895;top:1672;width:161;height:713" type="#_x0000_t202" filled="false" stroked="false">
              <v:textbox inset="0,0,0,0">
                <w:txbxContent>
                  <w:p>
                    <w:pPr>
                      <w:spacing w:line="235" w:lineRule="exact" w:before="0"/>
                      <w:ind w:left="45" w:right="0" w:firstLine="0"/>
                      <w:jc w:val="left"/>
                      <w:rPr>
                        <w:rFonts w:ascii="Calibri"/>
                        <w:sz w:val="23"/>
                      </w:rPr>
                    </w:pPr>
                    <w:r>
                      <w:rPr>
                        <w:rFonts w:ascii="Calibri"/>
                        <w:w w:val="100"/>
                        <w:sz w:val="23"/>
                      </w:rPr>
                      <w:t>+</w:t>
                    </w:r>
                  </w:p>
                  <w:p>
                    <w:pPr>
                      <w:spacing w:line="240" w:lineRule="auto" w:before="6"/>
                      <w:rPr>
                        <w:sz w:val="18"/>
                      </w:rPr>
                    </w:pPr>
                  </w:p>
                  <w:p>
                    <w:pPr>
                      <w:spacing w:line="265" w:lineRule="exact" w:before="0"/>
                      <w:ind w:left="0" w:right="0" w:firstLine="0"/>
                      <w:jc w:val="left"/>
                      <w:rPr>
                        <w:rFonts w:ascii="Calibri" w:hAnsi="Calibri"/>
                        <w:sz w:val="22"/>
                      </w:rPr>
                    </w:pPr>
                    <w:r>
                      <w:rPr>
                        <w:rFonts w:ascii="Calibri" w:hAnsi="Calibri"/>
                        <w:w w:val="100"/>
                        <w:sz w:val="22"/>
                      </w:rPr>
                      <w:t>γ</w:t>
                    </w:r>
                  </w:p>
                </w:txbxContent>
              </v:textbox>
              <w10:wrap type="none"/>
            </v:shape>
            <w10:wrap type="topAndBottom"/>
          </v:group>
        </w:pict>
      </w:r>
    </w:p>
    <w:p>
      <w:pPr>
        <w:pStyle w:val="BodyText"/>
      </w:pPr>
    </w:p>
    <w:p>
      <w:pPr>
        <w:pStyle w:val="BodyText"/>
        <w:spacing w:before="3"/>
        <w:rPr>
          <w:sz w:val="34"/>
        </w:rPr>
      </w:pPr>
    </w:p>
    <w:p>
      <w:pPr>
        <w:pStyle w:val="BodyText"/>
        <w:ind w:left="134" w:right="153"/>
        <w:jc w:val="center"/>
      </w:pPr>
      <w:r>
        <w:rPr/>
        <w:t>Figura 1.6. Formación de pares.</w:t>
      </w:r>
    </w:p>
    <w:p>
      <w:pPr>
        <w:spacing w:after="0"/>
        <w:jc w:val="center"/>
        <w:sectPr>
          <w:pgSz w:w="12240" w:h="15840"/>
          <w:pgMar w:header="747" w:footer="0" w:top="940" w:bottom="280" w:left="1600" w:right="1580"/>
        </w:sectPr>
      </w:pPr>
    </w:p>
    <w:p>
      <w:pPr>
        <w:pStyle w:val="BodyText"/>
        <w:rPr>
          <w:sz w:val="20"/>
        </w:rPr>
      </w:pPr>
    </w:p>
    <w:p>
      <w:pPr>
        <w:pStyle w:val="BodyText"/>
        <w:spacing w:before="6"/>
        <w:rPr>
          <w:sz w:val="20"/>
        </w:rPr>
      </w:pPr>
    </w:p>
    <w:p>
      <w:pPr>
        <w:pStyle w:val="Heading2"/>
        <w:ind w:left="102"/>
      </w:pPr>
      <w:r>
        <w:rPr/>
        <w:t>1.6.1 Efectos de la radiación gamma en polímeros</w:t>
      </w:r>
    </w:p>
    <w:p>
      <w:pPr>
        <w:pStyle w:val="BodyText"/>
        <w:spacing w:before="3"/>
        <w:rPr>
          <w:b/>
          <w:sz w:val="31"/>
        </w:rPr>
      </w:pPr>
    </w:p>
    <w:p>
      <w:pPr>
        <w:pStyle w:val="BodyText"/>
        <w:spacing w:line="276" w:lineRule="auto" w:before="1"/>
        <w:ind w:left="102" w:right="116"/>
        <w:jc w:val="both"/>
      </w:pPr>
      <w:r>
        <w:rPr/>
        <w:t>Cuando se somete un polímero a la acción de radiaciones ionizantes se producen efectos físicos y químicos que dependen en su intensidad de la dosis aplicada y  de la naturaleza de los polímeros en cuestión. La ventaja de trabajar con  polímeros es la gran sensibilidad a cambios en los enlaces químicos, obteniéndose materiales con propiedades diferentes en: cristalinidad, densidad, coeficiente de expansión térmica, módulo de elasticidad, permeabilidad, así como la resistencia a la corrosión, a la abrasión y a</w:t>
      </w:r>
      <w:r>
        <w:rPr>
          <w:spacing w:val="-13"/>
        </w:rPr>
        <w:t> </w:t>
      </w:r>
      <w:r>
        <w:rPr/>
        <w:t>disolventes.</w:t>
      </w:r>
    </w:p>
    <w:p>
      <w:pPr>
        <w:pStyle w:val="BodyText"/>
        <w:spacing w:before="9"/>
        <w:rPr>
          <w:sz w:val="27"/>
        </w:rPr>
      </w:pPr>
    </w:p>
    <w:p>
      <w:pPr>
        <w:pStyle w:val="BodyText"/>
        <w:spacing w:line="276" w:lineRule="auto"/>
        <w:ind w:left="102" w:right="112"/>
        <w:jc w:val="both"/>
      </w:pPr>
      <w:r>
        <w:rPr/>
        <w:t>La irradiación de polímeros por rayos gamma, produce diferentes efectos en las cadenas que los constituyen, como la formación de enlaces entre cadenas (cross- linking), rotura de cadenas (chain scission), daño en regiones cristalinas, desprendimiento de radicales que integran las unidades monoméricas u oxidación e inclusive la modificación del peso molecular de algunos polímeros por cambios en propiedades físicas y químicas. En general, todos estos mecanismos contribuyen, en mayor o en menor medida, a modificar el comportamiento mecánico de los polímeros. La influencia de cada proceso depende no sólo de la estructura química de la muestra y la dosis de radiación absorbida por ella, sino también de la tasa de dosis, de la atmósfera y la temperatura a la cual se realiza la irradiación y del tratamiento post-irradiación [27-28].</w:t>
      </w:r>
    </w:p>
    <w:p>
      <w:pPr>
        <w:pStyle w:val="BodyText"/>
        <w:spacing w:before="9"/>
        <w:rPr>
          <w:sz w:val="27"/>
        </w:rPr>
      </w:pPr>
    </w:p>
    <w:p>
      <w:pPr>
        <w:pStyle w:val="BodyText"/>
        <w:spacing w:line="276" w:lineRule="auto"/>
        <w:ind w:left="102" w:right="116"/>
        <w:jc w:val="both"/>
      </w:pPr>
      <w:r>
        <w:rPr/>
        <w:t>Los efectos de la irradiación sobre los polímeros suelen evaluarse a través de la estructura química de la muestra irradiada (mediante el análisis de la distribución de pesos moleculares, el aumento de las ramificaciones de las cadenas, del mayor reticulado de la muestra, etc.), y de su comportamiento mecánico.  Las propiedades mecánicas que suelen consignarse como parámetros característicos de las modificaciones microestructurales debidas a la irradiación son la tensión, la deformación máxima y la deformación a la ruptura.</w:t>
      </w:r>
    </w:p>
    <w:p>
      <w:pPr>
        <w:pStyle w:val="BodyText"/>
        <w:spacing w:before="9"/>
        <w:rPr>
          <w:sz w:val="27"/>
        </w:rPr>
      </w:pPr>
    </w:p>
    <w:p>
      <w:pPr>
        <w:pStyle w:val="BodyText"/>
        <w:spacing w:line="276" w:lineRule="auto"/>
        <w:ind w:left="102" w:right="118"/>
        <w:jc w:val="both"/>
      </w:pPr>
      <w:r>
        <w:rPr/>
        <w:t>Los cambios en las propiedades de un polímero después de la irradiación, se deben primeramente a la reordenación geométrica de su estructura de enlace. Algunas propiedades mecánicas se pueden explicar en función de la rigidez de las cadenas que tiende a evitar que estas se deslicen sobre otras como consecuencia de la orientación de las cadenas laterales, induciendo un cierto grado de cristalinidad.</w:t>
      </w:r>
    </w:p>
    <w:p>
      <w:pPr>
        <w:pStyle w:val="BodyText"/>
        <w:spacing w:before="6"/>
        <w:rPr>
          <w:sz w:val="27"/>
        </w:rPr>
      </w:pPr>
    </w:p>
    <w:p>
      <w:pPr>
        <w:pStyle w:val="BodyText"/>
        <w:spacing w:line="276" w:lineRule="auto" w:before="1"/>
        <w:ind w:left="102" w:right="117"/>
        <w:jc w:val="both"/>
      </w:pPr>
      <w:r>
        <w:rPr/>
        <w:t>La irradiación puede constituir un efecto beneficioso para un polímero si se desea incrementar el grado de polimerización o el reticulado de la estructura macromolecular [29-31].</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Heading2"/>
        <w:numPr>
          <w:ilvl w:val="1"/>
          <w:numId w:val="5"/>
        </w:numPr>
        <w:tabs>
          <w:tab w:pos="505" w:val="left" w:leader="none"/>
        </w:tabs>
        <w:spacing w:line="240" w:lineRule="auto" w:before="0" w:after="0"/>
        <w:ind w:left="504" w:right="0" w:hanging="402"/>
        <w:jc w:val="both"/>
      </w:pPr>
      <w:r>
        <w:rPr/>
        <w:t>PROPIEDADES DE RESISTENCIA EN COMPRESIÓN Y EN</w:t>
      </w:r>
      <w:r>
        <w:rPr>
          <w:spacing w:val="-23"/>
        </w:rPr>
        <w:t> </w:t>
      </w:r>
      <w:r>
        <w:rPr/>
        <w:t>FLEXIÓN</w:t>
      </w:r>
    </w:p>
    <w:p>
      <w:pPr>
        <w:pStyle w:val="BodyText"/>
        <w:spacing w:before="3"/>
        <w:rPr>
          <w:b/>
          <w:sz w:val="31"/>
        </w:rPr>
      </w:pPr>
    </w:p>
    <w:p>
      <w:pPr>
        <w:pStyle w:val="BodyText"/>
        <w:spacing w:line="276" w:lineRule="auto" w:before="1"/>
        <w:ind w:left="102" w:right="124"/>
        <w:jc w:val="both"/>
      </w:pPr>
      <w:r>
        <w:rPr/>
        <w:t>Cuando un material se somete a esfuerzos o cargas se recomienda conocer sus propiedades, de tal forma que los esfuerzos no sean excesivos y no llegue a fracturarse. Se pueden aplicar cargas de: Tensión, compresión y de corte (Cizalladura).</w:t>
      </w:r>
    </w:p>
    <w:p>
      <w:pPr>
        <w:pStyle w:val="BodyText"/>
        <w:spacing w:before="6"/>
        <w:rPr>
          <w:sz w:val="27"/>
        </w:rPr>
      </w:pPr>
    </w:p>
    <w:p>
      <w:pPr>
        <w:pStyle w:val="BodyText"/>
        <w:spacing w:line="276" w:lineRule="auto" w:before="1"/>
        <w:ind w:left="102" w:right="120"/>
        <w:jc w:val="both"/>
      </w:pPr>
      <w:r>
        <w:rPr/>
        <w:t>La resistencia de un material depende de su capacidad para soportar una carga sin deformación excesiva o falla. Con la aplicación de fuerzas de compresión se pueden determinar la relación entre el esfuerzo normal promedio y la deformación normal unitaria. Para esto se prepara una probeta de tamaño estándar y se le aplica una fuerza compresiva que contrae a la probeta a lo largo de la dirección de la fuerza. La resistencia a la compresión se lleva a cabo en cubos de 5 cm y se expresa en kilogramos por centímetro cuadrado</w:t>
      </w:r>
      <w:r>
        <w:rPr>
          <w:spacing w:val="-9"/>
        </w:rPr>
        <w:t> </w:t>
      </w:r>
      <w:r>
        <w:rPr/>
        <w:t>(Kg/cm</w:t>
      </w:r>
      <w:r>
        <w:rPr>
          <w:position w:val="8"/>
          <w:sz w:val="16"/>
        </w:rPr>
        <w:t>2</w:t>
      </w:r>
      <w:r>
        <w:rPr/>
        <w:t>).</w:t>
      </w:r>
    </w:p>
    <w:p>
      <w:pPr>
        <w:pStyle w:val="BodyText"/>
        <w:spacing w:before="5"/>
        <w:rPr>
          <w:sz w:val="27"/>
        </w:rPr>
      </w:pPr>
    </w:p>
    <w:p>
      <w:pPr>
        <w:pStyle w:val="BodyText"/>
        <w:spacing w:line="276" w:lineRule="auto"/>
        <w:ind w:left="102" w:right="126"/>
        <w:jc w:val="both"/>
      </w:pPr>
      <w:r>
        <w:rPr/>
        <w:t>La resistencia a la flexión es una medida de la resistencia a la falla por momento de una viga. Se mide mediante la aplicación de cargas a vigas de sección transversal. La resistencia a la flexión (también llamado módulo de rotura) es entre 10 y 20% de la resistencia a la compresión.</w:t>
      </w:r>
    </w:p>
    <w:p>
      <w:pPr>
        <w:pStyle w:val="BodyText"/>
        <w:spacing w:before="6"/>
        <w:rPr>
          <w:sz w:val="27"/>
        </w:rPr>
      </w:pPr>
    </w:p>
    <w:p>
      <w:pPr>
        <w:pStyle w:val="BodyText"/>
        <w:spacing w:line="276" w:lineRule="auto" w:before="1"/>
        <w:ind w:left="102" w:right="114"/>
        <w:jc w:val="both"/>
      </w:pPr>
      <w:r>
        <w:rPr/>
        <w:t>Los conceptos de esfuerzo y deformación dan cuenta de las propiedades elásticas de los sólidos. El esfuerzo es la fuerza que actúa sobre el objeto por unidad de área transversal. La deformación es una medida del grado en que se deforma el cuerpo. Se ha encontrado que para esfuerzos lo suficientemente pequeños, el esfuerzo es proporcional a la deformación.</w:t>
      </w:r>
    </w:p>
    <w:p>
      <w:pPr>
        <w:pStyle w:val="BodyText"/>
        <w:spacing w:before="9"/>
        <w:rPr>
          <w:sz w:val="27"/>
        </w:rPr>
      </w:pPr>
    </w:p>
    <w:p>
      <w:pPr>
        <w:pStyle w:val="BodyText"/>
        <w:spacing w:line="276" w:lineRule="auto"/>
        <w:ind w:left="102" w:right="119"/>
        <w:jc w:val="both"/>
      </w:pPr>
      <w:r>
        <w:rPr/>
        <w:t>Cuando un material se somete a una fuerza de tensión uniaxial, se puede o no producir una deformación. Si el material vuelve a sus dimensiones originales cuando se deja de aplicar la fuerza se dice que el material ha sufrido una deformación elástica. Si el material es deformado hasta el punto que no se pueden recuperar sus posiciones originales, se dice que ha experimentado una deformación plástica [20].</w:t>
      </w:r>
    </w:p>
    <w:p>
      <w:pPr>
        <w:pStyle w:val="BodyText"/>
        <w:spacing w:before="7"/>
        <w:rPr>
          <w:sz w:val="27"/>
        </w:rPr>
      </w:pPr>
    </w:p>
    <w:p>
      <w:pPr>
        <w:pStyle w:val="BodyText"/>
        <w:spacing w:line="276" w:lineRule="auto"/>
        <w:ind w:left="102" w:right="118"/>
        <w:jc w:val="both"/>
      </w:pPr>
      <w:r>
        <w:rPr/>
        <w:t>La constante de proporcionalidad depende del material deformado y de la naturaleza de la deformación. Dicha constante de proporcionalidad es el Módulo de Elasticidad, definido</w:t>
      </w:r>
      <w:r>
        <w:rPr>
          <w:spacing w:val="-8"/>
        </w:rPr>
        <w:t> </w:t>
      </w:r>
      <w:r>
        <w:rPr/>
        <w:t>como:</w:t>
      </w:r>
    </w:p>
    <w:p>
      <w:pPr>
        <w:pStyle w:val="BodyText"/>
        <w:spacing w:before="9"/>
        <w:rPr>
          <w:sz w:val="32"/>
        </w:rPr>
      </w:pPr>
    </w:p>
    <w:p>
      <w:pPr>
        <w:pStyle w:val="BodyText"/>
        <w:ind w:right="1557"/>
        <w:jc w:val="right"/>
      </w:pPr>
      <w:r>
        <w:rPr/>
        <w:drawing>
          <wp:anchor distT="0" distB="0" distL="0" distR="0" allowOverlap="1" layoutInCell="1" locked="0" behindDoc="0" simplePos="0" relativeHeight="1720">
            <wp:simplePos x="0" y="0"/>
            <wp:positionH relativeFrom="page">
              <wp:posOffset>1995170</wp:posOffset>
            </wp:positionH>
            <wp:positionV relativeFrom="paragraph">
              <wp:posOffset>-38279</wp:posOffset>
            </wp:positionV>
            <wp:extent cx="2038984" cy="314325"/>
            <wp:effectExtent l="0" t="0" r="0" b="0"/>
            <wp:wrapNone/>
            <wp:docPr id="13" name="image11.png" descr=""/>
            <wp:cNvGraphicFramePr>
              <a:graphicFrameLocks noChangeAspect="1"/>
            </wp:cNvGraphicFramePr>
            <a:graphic>
              <a:graphicData uri="http://schemas.openxmlformats.org/drawingml/2006/picture">
                <pic:pic>
                  <pic:nvPicPr>
                    <pic:cNvPr id="14" name="image11.png"/>
                    <pic:cNvPicPr/>
                  </pic:nvPicPr>
                  <pic:blipFill>
                    <a:blip r:embed="rId20" cstate="print"/>
                    <a:stretch>
                      <a:fillRect/>
                    </a:stretch>
                  </pic:blipFill>
                  <pic:spPr>
                    <a:xfrm>
                      <a:off x="0" y="0"/>
                      <a:ext cx="2038984" cy="314325"/>
                    </a:xfrm>
                    <a:prstGeom prst="rect">
                      <a:avLst/>
                    </a:prstGeom>
                  </pic:spPr>
                </pic:pic>
              </a:graphicData>
            </a:graphic>
          </wp:anchor>
        </w:drawing>
      </w:r>
      <w:r>
        <w:rPr/>
        <w:t>(1)</w:t>
      </w:r>
    </w:p>
    <w:p>
      <w:pPr>
        <w:spacing w:after="0"/>
        <w:jc w:val="right"/>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6" w:lineRule="auto"/>
        <w:ind w:left="102" w:right="125"/>
        <w:jc w:val="both"/>
      </w:pPr>
      <w:r>
        <w:rPr/>
        <w:t>Definiendo el esfuerzo como la razón de la fuerza externa (F) y área de la sección transversal (Ao), y la deformación como la razón de cambio en la longitud (ΔL) y la longitud inicial (Lo). Entonces el Módulo de Young (γ) se define como:</w:t>
      </w:r>
    </w:p>
    <w:p>
      <w:pPr>
        <w:spacing w:before="2"/>
        <w:ind w:left="1893" w:right="109" w:firstLine="0"/>
        <w:jc w:val="left"/>
        <w:rPr>
          <w:sz w:val="24"/>
        </w:rPr>
      </w:pPr>
      <w:r>
        <w:rPr>
          <w:position w:val="-26"/>
        </w:rPr>
        <w:drawing>
          <wp:inline distT="0" distB="0" distL="0" distR="0">
            <wp:extent cx="2048510" cy="419100"/>
            <wp:effectExtent l="0" t="0" r="0" b="0"/>
            <wp:docPr id="15" name="image12.png" descr=""/>
            <wp:cNvGraphicFramePr>
              <a:graphicFrameLocks noChangeAspect="1"/>
            </wp:cNvGraphicFramePr>
            <a:graphic>
              <a:graphicData uri="http://schemas.openxmlformats.org/drawingml/2006/picture">
                <pic:pic>
                  <pic:nvPicPr>
                    <pic:cNvPr id="16" name="image12.png"/>
                    <pic:cNvPicPr/>
                  </pic:nvPicPr>
                  <pic:blipFill>
                    <a:blip r:embed="rId21" cstate="print"/>
                    <a:stretch>
                      <a:fillRect/>
                    </a:stretch>
                  </pic:blipFill>
                  <pic:spPr>
                    <a:xfrm>
                      <a:off x="0" y="0"/>
                      <a:ext cx="2048510" cy="419100"/>
                    </a:xfrm>
                    <a:prstGeom prst="rect">
                      <a:avLst/>
                    </a:prstGeom>
                  </pic:spPr>
                </pic:pic>
              </a:graphicData>
            </a:graphic>
          </wp:inline>
        </w:drawing>
      </w:r>
      <w:r>
        <w:rPr>
          <w:position w:val="-26"/>
        </w:rPr>
      </w:r>
      <w:r>
        <w:rPr>
          <w:rFonts w:ascii="Times New Roman"/>
          <w:sz w:val="20"/>
        </w:rPr>
        <w:t>                                  </w:t>
      </w:r>
      <w:r>
        <w:rPr>
          <w:sz w:val="24"/>
        </w:rPr>
        <w:t>(2)</w:t>
      </w:r>
    </w:p>
    <w:p>
      <w:pPr>
        <w:pStyle w:val="BodyText"/>
        <w:spacing w:line="276" w:lineRule="auto" w:before="358"/>
        <w:ind w:left="102" w:right="126"/>
        <w:jc w:val="both"/>
      </w:pPr>
      <w:r>
        <w:rPr/>
        <w:t>Las ecuaciones (3) y (4) se utilizan para calcular el esfuerzo de compresión (σ) y  la deformación (ε)</w:t>
      </w:r>
      <w:r>
        <w:rPr>
          <w:spacing w:val="-11"/>
        </w:rPr>
        <w:t> </w:t>
      </w:r>
      <w:r>
        <w:rPr/>
        <w:t>respectivamente.</w:t>
      </w:r>
    </w:p>
    <w:p>
      <w:pPr>
        <w:pStyle w:val="BodyText"/>
        <w:spacing w:before="1"/>
        <w:ind w:left="135" w:right="153"/>
        <w:jc w:val="center"/>
      </w:pPr>
      <w:r>
        <w:rPr>
          <w:position w:val="-20"/>
        </w:rPr>
        <w:drawing>
          <wp:inline distT="0" distB="0" distL="0" distR="0">
            <wp:extent cx="419100" cy="304800"/>
            <wp:effectExtent l="0" t="0" r="0" b="0"/>
            <wp:docPr id="17" name="image13.png" descr=""/>
            <wp:cNvGraphicFramePr>
              <a:graphicFrameLocks noChangeAspect="1"/>
            </wp:cNvGraphicFramePr>
            <a:graphic>
              <a:graphicData uri="http://schemas.openxmlformats.org/drawingml/2006/picture">
                <pic:pic>
                  <pic:nvPicPr>
                    <pic:cNvPr id="18" name="image13.png"/>
                    <pic:cNvPicPr/>
                  </pic:nvPicPr>
                  <pic:blipFill>
                    <a:blip r:embed="rId22" cstate="print"/>
                    <a:stretch>
                      <a:fillRect/>
                    </a:stretch>
                  </pic:blipFill>
                  <pic:spPr>
                    <a:xfrm>
                      <a:off x="0" y="0"/>
                      <a:ext cx="419100" cy="304800"/>
                    </a:xfrm>
                    <a:prstGeom prst="rect">
                      <a:avLst/>
                    </a:prstGeom>
                  </pic:spPr>
                </pic:pic>
              </a:graphicData>
            </a:graphic>
          </wp:inline>
        </w:drawing>
      </w:r>
      <w:r>
        <w:rPr>
          <w:position w:val="-20"/>
        </w:rPr>
      </w:r>
      <w:r>
        <w:rPr/>
        <w:t>…. (3)</w:t>
      </w:r>
    </w:p>
    <w:p>
      <w:pPr>
        <w:pStyle w:val="BodyText"/>
        <w:spacing w:before="419"/>
        <w:ind w:left="960" w:right="153"/>
        <w:jc w:val="center"/>
      </w:pPr>
      <w:r>
        <w:rPr/>
        <w:drawing>
          <wp:anchor distT="0" distB="0" distL="0" distR="0" allowOverlap="1" layoutInCell="1" locked="0" behindDoc="0" simplePos="0" relativeHeight="1792">
            <wp:simplePos x="0" y="0"/>
            <wp:positionH relativeFrom="page">
              <wp:posOffset>3412490</wp:posOffset>
            </wp:positionH>
            <wp:positionV relativeFrom="paragraph">
              <wp:posOffset>228293</wp:posOffset>
            </wp:positionV>
            <wp:extent cx="523875" cy="314325"/>
            <wp:effectExtent l="0" t="0" r="0" b="0"/>
            <wp:wrapNone/>
            <wp:docPr id="19" name="image14.png" descr=""/>
            <wp:cNvGraphicFramePr>
              <a:graphicFrameLocks noChangeAspect="1"/>
            </wp:cNvGraphicFramePr>
            <a:graphic>
              <a:graphicData uri="http://schemas.openxmlformats.org/drawingml/2006/picture">
                <pic:pic>
                  <pic:nvPicPr>
                    <pic:cNvPr id="20" name="image14.png"/>
                    <pic:cNvPicPr/>
                  </pic:nvPicPr>
                  <pic:blipFill>
                    <a:blip r:embed="rId23" cstate="print"/>
                    <a:stretch>
                      <a:fillRect/>
                    </a:stretch>
                  </pic:blipFill>
                  <pic:spPr>
                    <a:xfrm>
                      <a:off x="0" y="0"/>
                      <a:ext cx="523875" cy="314325"/>
                    </a:xfrm>
                    <a:prstGeom prst="rect">
                      <a:avLst/>
                    </a:prstGeom>
                  </pic:spPr>
                </pic:pic>
              </a:graphicData>
            </a:graphic>
          </wp:anchor>
        </w:drawing>
      </w:r>
      <w:r>
        <w:rPr/>
        <w:t>…. (4)</w:t>
      </w:r>
    </w:p>
    <w:p>
      <w:pPr>
        <w:pStyle w:val="BodyText"/>
        <w:rPr>
          <w:sz w:val="20"/>
        </w:rPr>
      </w:pPr>
    </w:p>
    <w:p>
      <w:pPr>
        <w:pStyle w:val="BodyText"/>
        <w:spacing w:before="9"/>
        <w:rPr>
          <w:sz w:val="18"/>
        </w:rPr>
      </w:pPr>
    </w:p>
    <w:p>
      <w:pPr>
        <w:pStyle w:val="BodyText"/>
        <w:spacing w:line="276" w:lineRule="auto" w:before="70"/>
        <w:ind w:left="102" w:right="118"/>
        <w:jc w:val="both"/>
      </w:pPr>
      <w:r>
        <w:rPr/>
        <w:t>Debido a que la deformación es una cantidad adimensional, entonces el Módulo  de Young tiene unidades de fuerza por unidades de área. Si se aplica un esfuerzo lo suficientemente grande, es posible exceder el límite elástico. Cuando el esfuerzo excede el límite elástico, el cuerpo se deforma permanentemente y no regresará a su forma original después de quitar el esfuerzo. El material se deforma hasta un máximo, denominado punto de ruptura (Figura 1.7). Entre el límite elástico y el punto de ruptura tiene lugar la deformación</w:t>
      </w:r>
      <w:r>
        <w:rPr>
          <w:spacing w:val="-22"/>
        </w:rPr>
        <w:t> </w:t>
      </w:r>
      <w:r>
        <w:rPr/>
        <w:t>plástica.</w:t>
      </w:r>
    </w:p>
    <w:p>
      <w:pPr>
        <w:pStyle w:val="BodyText"/>
        <w:spacing w:before="7"/>
        <w:rPr>
          <w:sz w:val="27"/>
        </w:rPr>
      </w:pPr>
    </w:p>
    <w:p>
      <w:pPr>
        <w:pStyle w:val="BodyText"/>
        <w:spacing w:line="276" w:lineRule="auto" w:after="4"/>
        <w:ind w:left="102" w:right="122"/>
        <w:jc w:val="both"/>
      </w:pPr>
      <w:r>
        <w:rPr/>
        <w:t>Un material es dúctil si soporta una gran deformación plástica. Un material es frágil cuando el punto de ruptura ocurre poco después del límite elástico [21].</w:t>
      </w:r>
    </w:p>
    <w:p>
      <w:pPr>
        <w:pStyle w:val="BodyText"/>
        <w:ind w:left="1995"/>
        <w:rPr>
          <w:sz w:val="20"/>
        </w:rPr>
      </w:pPr>
      <w:r>
        <w:rPr>
          <w:sz w:val="20"/>
        </w:rPr>
        <w:pict>
          <v:group style="width:253.15pt;height:135.6pt;mso-position-horizontal-relative:char;mso-position-vertical-relative:line" coordorigin="0,0" coordsize="5063,2712">
            <v:shape style="position:absolute;left:0;top:0;width:5050;height:2712" type="#_x0000_t75" stroked="false">
              <v:imagedata r:id="rId24" o:title=""/>
            </v:shape>
            <v:rect style="position:absolute;left:3262;top:1447;width:1793;height:393" filled="true" fillcolor="#ffffff" stroked="false">
              <v:fill type="solid"/>
            </v:rect>
            <v:rect style="position:absolute;left:3262;top:1447;width:1793;height:393" filled="false" stroked="true" strokeweight=".75pt" strokecolor="#ffffff"/>
            <v:shape style="position:absolute;left:3414;top:1558;width:1116;height:161" type="#_x0000_t202" filled="false" stroked="false">
              <v:textbox inset="0,0,0,0">
                <w:txbxContent>
                  <w:p>
                    <w:pPr>
                      <w:spacing w:line="161" w:lineRule="exact" w:before="0"/>
                      <w:ind w:left="0" w:right="-12" w:firstLine="0"/>
                      <w:jc w:val="left"/>
                      <w:rPr>
                        <w:rFonts w:ascii="Calibri"/>
                        <w:sz w:val="16"/>
                      </w:rPr>
                    </w:pPr>
                    <w:r>
                      <w:rPr>
                        <w:rFonts w:ascii="Calibri"/>
                        <w:sz w:val="16"/>
                      </w:rPr>
                      <w:t>Punto de</w:t>
                    </w:r>
                    <w:r>
                      <w:rPr>
                        <w:rFonts w:ascii="Calibri"/>
                        <w:spacing w:val="-11"/>
                        <w:sz w:val="16"/>
                      </w:rPr>
                      <w:t> </w:t>
                    </w:r>
                    <w:r>
                      <w:rPr>
                        <w:rFonts w:ascii="Calibri"/>
                        <w:sz w:val="16"/>
                      </w:rPr>
                      <w:t>ruptura</w:t>
                    </w:r>
                  </w:p>
                </w:txbxContent>
              </v:textbox>
              <w10:wrap type="none"/>
            </v:shape>
          </v:group>
        </w:pict>
      </w:r>
      <w:r>
        <w:rPr>
          <w:sz w:val="20"/>
        </w:rPr>
      </w:r>
    </w:p>
    <w:p>
      <w:pPr>
        <w:pStyle w:val="BodyText"/>
        <w:spacing w:before="17"/>
        <w:ind w:left="1225" w:right="109"/>
      </w:pPr>
      <w:r>
        <w:rPr/>
        <w:t>Figura 1.7. Comportamiento elástico y plástico de un material.</w:t>
      </w:r>
    </w:p>
    <w:p>
      <w:pPr>
        <w:pStyle w:val="BodyText"/>
        <w:spacing w:before="1"/>
        <w:rPr>
          <w:sz w:val="31"/>
        </w:rPr>
      </w:pPr>
    </w:p>
    <w:p>
      <w:pPr>
        <w:pStyle w:val="BodyText"/>
        <w:spacing w:line="278" w:lineRule="auto"/>
        <w:ind w:left="102" w:right="109"/>
      </w:pPr>
      <w:r>
        <w:rPr/>
        <w:t>En un diagrama esfuerzo vs deformación (Figura 1.8) se presentan las siguientes zonas:</w:t>
      </w:r>
    </w:p>
    <w:p>
      <w:pPr>
        <w:spacing w:after="0" w:line="278" w:lineRule="auto"/>
        <w:sectPr>
          <w:pgSz w:w="12240" w:h="15840"/>
          <w:pgMar w:header="747" w:footer="0" w:top="940" w:bottom="280" w:left="1600" w:right="1580"/>
        </w:sectPr>
      </w:pPr>
    </w:p>
    <w:p>
      <w:pPr>
        <w:pStyle w:val="BodyText"/>
        <w:rPr>
          <w:sz w:val="20"/>
        </w:rPr>
      </w:pPr>
    </w:p>
    <w:p>
      <w:pPr>
        <w:pStyle w:val="BodyText"/>
        <w:spacing w:before="8"/>
        <w:rPr>
          <w:sz w:val="20"/>
        </w:rPr>
      </w:pPr>
    </w:p>
    <w:p>
      <w:pPr>
        <w:pStyle w:val="BodyText"/>
        <w:ind w:left="2310"/>
        <w:rPr>
          <w:sz w:val="20"/>
        </w:rPr>
      </w:pPr>
      <w:r>
        <w:rPr>
          <w:sz w:val="20"/>
        </w:rPr>
        <w:drawing>
          <wp:inline distT="0" distB="0" distL="0" distR="0">
            <wp:extent cx="2823239" cy="2157031"/>
            <wp:effectExtent l="0" t="0" r="0" b="0"/>
            <wp:docPr id="21" name="image16.png" descr=""/>
            <wp:cNvGraphicFramePr>
              <a:graphicFrameLocks noChangeAspect="1"/>
            </wp:cNvGraphicFramePr>
            <a:graphic>
              <a:graphicData uri="http://schemas.openxmlformats.org/drawingml/2006/picture">
                <pic:pic>
                  <pic:nvPicPr>
                    <pic:cNvPr id="22" name="image16.png"/>
                    <pic:cNvPicPr/>
                  </pic:nvPicPr>
                  <pic:blipFill>
                    <a:blip r:embed="rId25" cstate="print"/>
                    <a:stretch>
                      <a:fillRect/>
                    </a:stretch>
                  </pic:blipFill>
                  <pic:spPr>
                    <a:xfrm>
                      <a:off x="0" y="0"/>
                      <a:ext cx="2823239" cy="2157031"/>
                    </a:xfrm>
                    <a:prstGeom prst="rect">
                      <a:avLst/>
                    </a:prstGeom>
                  </pic:spPr>
                </pic:pic>
              </a:graphicData>
            </a:graphic>
          </wp:inline>
        </w:drawing>
      </w:r>
      <w:r>
        <w:rPr>
          <w:sz w:val="20"/>
        </w:rPr>
      </w:r>
    </w:p>
    <w:p>
      <w:pPr>
        <w:pStyle w:val="BodyText"/>
        <w:spacing w:before="22"/>
        <w:ind w:left="2218" w:right="109"/>
      </w:pPr>
      <w:r>
        <w:rPr/>
        <w:t>Figura 1.8. Curva esfuerzo vs deformación.</w:t>
      </w:r>
    </w:p>
    <w:p>
      <w:pPr>
        <w:pStyle w:val="BodyText"/>
        <w:spacing w:before="10"/>
        <w:rPr>
          <w:sz w:val="30"/>
        </w:rPr>
      </w:pPr>
    </w:p>
    <w:p>
      <w:pPr>
        <w:pStyle w:val="ListParagraph"/>
        <w:numPr>
          <w:ilvl w:val="0"/>
          <w:numId w:val="6"/>
        </w:numPr>
        <w:tabs>
          <w:tab w:pos="462" w:val="left" w:leader="none"/>
        </w:tabs>
        <w:spacing w:line="276" w:lineRule="auto" w:before="1" w:after="0"/>
        <w:ind w:left="462" w:right="117" w:hanging="360"/>
        <w:jc w:val="both"/>
        <w:rPr>
          <w:sz w:val="24"/>
        </w:rPr>
      </w:pPr>
      <w:r>
        <w:rPr>
          <w:sz w:val="24"/>
        </w:rPr>
        <w:t>El límite de proporcionalidad: corresponde al máximo esfuerzo aplicado hasta que la deformación deja de ser lineal al esfuerzo, indicada en la Figura 1.8 por la ordenada del punto</w:t>
      </w:r>
      <w:r>
        <w:rPr>
          <w:spacing w:val="-11"/>
          <w:sz w:val="24"/>
        </w:rPr>
        <w:t> </w:t>
      </w:r>
      <w:r>
        <w:rPr>
          <w:sz w:val="24"/>
        </w:rPr>
        <w:t>P.</w:t>
      </w:r>
    </w:p>
    <w:p>
      <w:pPr>
        <w:pStyle w:val="ListParagraph"/>
        <w:numPr>
          <w:ilvl w:val="0"/>
          <w:numId w:val="6"/>
        </w:numPr>
        <w:tabs>
          <w:tab w:pos="462" w:val="left" w:leader="none"/>
        </w:tabs>
        <w:spacing w:line="276" w:lineRule="auto" w:before="0" w:after="0"/>
        <w:ind w:left="462" w:right="117" w:hanging="360"/>
        <w:jc w:val="both"/>
        <w:rPr>
          <w:sz w:val="24"/>
        </w:rPr>
      </w:pPr>
      <w:r>
        <w:rPr>
          <w:sz w:val="24"/>
        </w:rPr>
        <w:t>El límite elástico: se conoce como el esfuerzo máximo para el que no existe deformación permanente en un material, éste valor corresponde a la ordenada de un punto que es casi coincidente con P, dado que para muchos materiales estos dos valores son casi idénticos, el límite de proporcionalidad y el de elasticidad se consideran sinónimos. Cuando estos valores son apreciablemente diferentes, con frecuencia el límite elástico es mayor al de proporcionalidad.</w:t>
      </w:r>
    </w:p>
    <w:p>
      <w:pPr>
        <w:pStyle w:val="ListParagraph"/>
        <w:numPr>
          <w:ilvl w:val="0"/>
          <w:numId w:val="6"/>
        </w:numPr>
        <w:tabs>
          <w:tab w:pos="462" w:val="left" w:leader="none"/>
        </w:tabs>
        <w:spacing w:line="273" w:lineRule="auto" w:before="0" w:after="0"/>
        <w:ind w:left="462" w:right="126" w:hanging="360"/>
        <w:jc w:val="both"/>
        <w:rPr>
          <w:sz w:val="24"/>
        </w:rPr>
      </w:pPr>
      <w:r>
        <w:rPr>
          <w:sz w:val="24"/>
        </w:rPr>
        <w:t>La zona elástica: es aquella área de la curva que va desde el origen hasta el límite de proporcionalidad, indicada en el grafico como zona sombreada. La pendiente de la línea en esta región, se denomina el módulo de</w:t>
      </w:r>
      <w:r>
        <w:rPr>
          <w:spacing w:val="-24"/>
          <w:sz w:val="24"/>
        </w:rPr>
        <w:t> </w:t>
      </w:r>
      <w:r>
        <w:rPr>
          <w:sz w:val="24"/>
        </w:rPr>
        <w:t>elasticidad.</w:t>
      </w:r>
    </w:p>
    <w:p>
      <w:pPr>
        <w:pStyle w:val="ListParagraph"/>
        <w:numPr>
          <w:ilvl w:val="0"/>
          <w:numId w:val="6"/>
        </w:numPr>
        <w:tabs>
          <w:tab w:pos="462" w:val="left" w:leader="none"/>
        </w:tabs>
        <w:spacing w:line="273" w:lineRule="auto" w:before="4" w:after="0"/>
        <w:ind w:left="462" w:right="128" w:hanging="360"/>
        <w:jc w:val="both"/>
        <w:rPr>
          <w:sz w:val="24"/>
        </w:rPr>
      </w:pPr>
      <w:r>
        <w:rPr>
          <w:sz w:val="24"/>
        </w:rPr>
        <w:t>La zona plástica: es aquella área de la curva que va desde el límite de proporcionalidad hasta el punto de</w:t>
      </w:r>
      <w:r>
        <w:rPr>
          <w:spacing w:val="-15"/>
          <w:sz w:val="24"/>
        </w:rPr>
        <w:t> </w:t>
      </w:r>
      <w:r>
        <w:rPr>
          <w:sz w:val="24"/>
        </w:rPr>
        <w:t>ruptura.</w:t>
      </w:r>
    </w:p>
    <w:p>
      <w:pPr>
        <w:pStyle w:val="ListParagraph"/>
        <w:numPr>
          <w:ilvl w:val="0"/>
          <w:numId w:val="6"/>
        </w:numPr>
        <w:tabs>
          <w:tab w:pos="462" w:val="left" w:leader="none"/>
        </w:tabs>
        <w:spacing w:line="273" w:lineRule="auto" w:before="1" w:after="0"/>
        <w:ind w:left="462" w:right="127" w:hanging="360"/>
        <w:jc w:val="both"/>
        <w:rPr>
          <w:sz w:val="24"/>
        </w:rPr>
      </w:pPr>
      <w:r>
        <w:rPr>
          <w:sz w:val="24"/>
        </w:rPr>
        <w:t>La resistencia de ruptura corresponde al esfuerzo en el que el material se fractura, indicado en el grafico por la ordenada del punto R</w:t>
      </w:r>
      <w:r>
        <w:rPr>
          <w:spacing w:val="-20"/>
          <w:sz w:val="24"/>
        </w:rPr>
        <w:t> </w:t>
      </w:r>
      <w:r>
        <w:rPr>
          <w:sz w:val="24"/>
        </w:rPr>
        <w:t>[22].</w:t>
      </w:r>
    </w:p>
    <w:p>
      <w:pPr>
        <w:pStyle w:val="BodyText"/>
      </w:pPr>
    </w:p>
    <w:p>
      <w:pPr>
        <w:pStyle w:val="BodyText"/>
        <w:spacing w:before="7"/>
        <w:rPr>
          <w:sz w:val="31"/>
        </w:rPr>
      </w:pPr>
    </w:p>
    <w:p>
      <w:pPr>
        <w:pStyle w:val="Heading2"/>
        <w:numPr>
          <w:ilvl w:val="1"/>
          <w:numId w:val="5"/>
        </w:numPr>
        <w:tabs>
          <w:tab w:pos="505" w:val="left" w:leader="none"/>
        </w:tabs>
        <w:spacing w:line="240" w:lineRule="auto" w:before="0" w:after="0"/>
        <w:ind w:left="504" w:right="0" w:hanging="402"/>
        <w:jc w:val="left"/>
      </w:pPr>
      <w:r>
        <w:rPr/>
        <w:t>MICROSCOPÍA ELECTRÓNICA DE</w:t>
      </w:r>
      <w:r>
        <w:rPr>
          <w:spacing w:val="-9"/>
        </w:rPr>
        <w:t> </w:t>
      </w:r>
      <w:r>
        <w:rPr/>
        <w:t>BARRIDO</w:t>
      </w:r>
    </w:p>
    <w:p>
      <w:pPr>
        <w:pStyle w:val="BodyText"/>
        <w:spacing w:before="1"/>
        <w:rPr>
          <w:b/>
          <w:sz w:val="31"/>
        </w:rPr>
      </w:pPr>
    </w:p>
    <w:p>
      <w:pPr>
        <w:pStyle w:val="BodyText"/>
        <w:spacing w:line="276" w:lineRule="auto"/>
        <w:ind w:left="102" w:right="117"/>
        <w:jc w:val="both"/>
      </w:pPr>
      <w:r>
        <w:rPr/>
        <w:t>La microscopía electrónica de barrido (SEM) es utilizada como una de las técnicas más versátiles en el estudio y análisis de las características micro-estructurales de objetos sólidos. La microscopía electrónica debe trabajar en un sistema de vacío tal que permita el viaje del haz de electrones a través de la columna. Las interacciones del haz de electrones en la muestra (Figura 1.9) pueden dar información   sobre   la   composición   del   espécimen,   topografía, cristalografía,</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8" w:lineRule="auto"/>
        <w:ind w:left="102" w:right="126"/>
        <w:jc w:val="both"/>
      </w:pPr>
      <w:r>
        <w:rPr/>
        <w:t>potencial eléctrico, campo magnético local, etc. En el SEM las interacciones con la muestra puede dar lugar a:</w:t>
      </w:r>
    </w:p>
    <w:p>
      <w:pPr>
        <w:pStyle w:val="ListParagraph"/>
        <w:numPr>
          <w:ilvl w:val="2"/>
          <w:numId w:val="5"/>
        </w:numPr>
        <w:tabs>
          <w:tab w:pos="1105" w:val="left" w:leader="none"/>
        </w:tabs>
        <w:spacing w:line="276" w:lineRule="auto" w:before="0" w:after="0"/>
        <w:ind w:left="822" w:right="120" w:firstLine="0"/>
        <w:jc w:val="both"/>
        <w:rPr>
          <w:sz w:val="24"/>
        </w:rPr>
      </w:pPr>
      <w:r>
        <w:rPr>
          <w:sz w:val="24"/>
        </w:rPr>
        <w:t>Fenómenos de dispersión elástica que afectan las trayectorias del haz de electrones dentro del espécimen sin alterar la energía cinética de los electrones. La dispersión elástica es responsable del fenómeno de retrodispersión</w:t>
      </w:r>
      <w:r>
        <w:rPr>
          <w:spacing w:val="-9"/>
          <w:sz w:val="24"/>
        </w:rPr>
        <w:t> </w:t>
      </w:r>
      <w:r>
        <w:rPr>
          <w:sz w:val="24"/>
        </w:rPr>
        <w:t>electrónica.</w:t>
      </w:r>
    </w:p>
    <w:p>
      <w:pPr>
        <w:pStyle w:val="BodyText"/>
        <w:spacing w:before="6"/>
        <w:rPr>
          <w:sz w:val="27"/>
        </w:rPr>
      </w:pPr>
    </w:p>
    <w:p>
      <w:pPr>
        <w:pStyle w:val="ListParagraph"/>
        <w:numPr>
          <w:ilvl w:val="2"/>
          <w:numId w:val="5"/>
        </w:numPr>
        <w:tabs>
          <w:tab w:pos="1144" w:val="left" w:leader="none"/>
        </w:tabs>
        <w:spacing w:line="276" w:lineRule="auto" w:before="1" w:after="0"/>
        <w:ind w:left="822" w:right="119" w:firstLine="0"/>
        <w:jc w:val="both"/>
        <w:rPr>
          <w:sz w:val="24"/>
        </w:rPr>
      </w:pPr>
      <w:r>
        <w:rPr>
          <w:sz w:val="24"/>
        </w:rPr>
        <w:t>Eventos de dispersión inelástica, provocan diferentes tipos de señales como resultado de la pérdida de energía o transferencia de energía a los átomos de la muestra que conducen señales como electrones secundarios, electrones Auger, rayos</w:t>
      </w:r>
      <w:r>
        <w:rPr>
          <w:spacing w:val="-11"/>
          <w:sz w:val="24"/>
        </w:rPr>
        <w:t> </w:t>
      </w:r>
      <w:r>
        <w:rPr>
          <w:sz w:val="24"/>
        </w:rPr>
        <w:t>X.</w:t>
      </w:r>
    </w:p>
    <w:p>
      <w:pPr>
        <w:pStyle w:val="BodyText"/>
        <w:spacing w:before="1"/>
      </w:pPr>
      <w:r>
        <w:rPr/>
        <w:drawing>
          <wp:anchor distT="0" distB="0" distL="0" distR="0" allowOverlap="1" layoutInCell="1" locked="0" behindDoc="0" simplePos="0" relativeHeight="1816">
            <wp:simplePos x="0" y="0"/>
            <wp:positionH relativeFrom="page">
              <wp:posOffset>1722120</wp:posOffset>
            </wp:positionH>
            <wp:positionV relativeFrom="paragraph">
              <wp:posOffset>200737</wp:posOffset>
            </wp:positionV>
            <wp:extent cx="4353853" cy="3050381"/>
            <wp:effectExtent l="0" t="0" r="0" b="0"/>
            <wp:wrapTopAndBottom/>
            <wp:docPr id="23" name="image17.jpeg" descr=""/>
            <wp:cNvGraphicFramePr>
              <a:graphicFrameLocks noChangeAspect="1"/>
            </wp:cNvGraphicFramePr>
            <a:graphic>
              <a:graphicData uri="http://schemas.openxmlformats.org/drawingml/2006/picture">
                <pic:pic>
                  <pic:nvPicPr>
                    <pic:cNvPr id="24" name="image17.jpeg"/>
                    <pic:cNvPicPr/>
                  </pic:nvPicPr>
                  <pic:blipFill>
                    <a:blip r:embed="rId26" cstate="print"/>
                    <a:stretch>
                      <a:fillRect/>
                    </a:stretch>
                  </pic:blipFill>
                  <pic:spPr>
                    <a:xfrm>
                      <a:off x="0" y="0"/>
                      <a:ext cx="4353853" cy="3050381"/>
                    </a:xfrm>
                    <a:prstGeom prst="rect">
                      <a:avLst/>
                    </a:prstGeom>
                  </pic:spPr>
                </pic:pic>
              </a:graphicData>
            </a:graphic>
          </wp:anchor>
        </w:drawing>
      </w:r>
    </w:p>
    <w:p>
      <w:pPr>
        <w:pStyle w:val="BodyText"/>
        <w:ind w:left="131" w:right="153"/>
        <w:jc w:val="center"/>
      </w:pPr>
      <w:r>
        <w:rPr/>
        <w:t>Figura 1.9. Interacción del haz de electrones con la muestra.</w:t>
      </w:r>
    </w:p>
    <w:p>
      <w:pPr>
        <w:pStyle w:val="BodyText"/>
        <w:spacing w:before="5"/>
        <w:rPr>
          <w:sz w:val="26"/>
        </w:rPr>
      </w:pPr>
    </w:p>
    <w:p>
      <w:pPr>
        <w:pStyle w:val="BodyText"/>
        <w:spacing w:line="276" w:lineRule="auto" w:before="1"/>
        <w:ind w:left="102" w:right="115"/>
        <w:jc w:val="both"/>
      </w:pPr>
      <w:r>
        <w:rPr/>
        <w:t>La imagen topográfica es una contribución principalmente de los electrones secundarios los cuales cuentan con una energía menor a 50 eV [35] La señal de electrones retrodispersos (BSE) son una respuesta a dispersiones elásticas. Una fracción de ellos al incidir en una superficie plana son expulsados a través de la misma superficie por la que penetraron. Los electrones BSE responden a la composición elemental de la muestra (contraste por número atómico), superficial local de diversos ángulos (topografía o contraste de la forma), cristalografía (conducción de electrones), y campos magnéticos internos (contraste magnético)[35-37].</w:t>
      </w:r>
    </w:p>
    <w:p>
      <w:pPr>
        <w:pStyle w:val="BodyText"/>
        <w:spacing w:before="9"/>
        <w:rPr>
          <w:sz w:val="27"/>
        </w:rPr>
      </w:pPr>
    </w:p>
    <w:p>
      <w:pPr>
        <w:pStyle w:val="BodyText"/>
        <w:spacing w:line="276" w:lineRule="auto"/>
        <w:ind w:left="102" w:right="116"/>
        <w:jc w:val="both"/>
      </w:pPr>
      <w:r>
        <w:rPr/>
        <w:t>Durante la dispersión inelástica del haz de electrones, los rayos X pueden estar presentes   por   dos   procesos   distintos:   a)   proceso   continuo   de   R-X       o</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8" w:lineRule="auto"/>
        <w:ind w:left="102" w:right="120"/>
        <w:jc w:val="both"/>
      </w:pPr>
      <w:r>
        <w:rPr/>
        <w:t>Bremsstrahlung y b) procesos de ionización de las capas internas. Los niveles de energía de las capas varían en una forma discreta respecto al número atómico.</w:t>
      </w:r>
    </w:p>
    <w:p>
      <w:pPr>
        <w:pStyle w:val="BodyText"/>
        <w:spacing w:before="4"/>
        <w:rPr>
          <w:sz w:val="27"/>
        </w:rPr>
      </w:pPr>
    </w:p>
    <w:p>
      <w:pPr>
        <w:pStyle w:val="BodyText"/>
        <w:spacing w:line="276" w:lineRule="auto"/>
        <w:ind w:left="102" w:right="117"/>
        <w:jc w:val="both"/>
      </w:pPr>
      <w:r>
        <w:rPr/>
        <w:t>Los electrones Auger son parte de la emisión del espectro de los electrones secundarios. Cuando la capa interna de una átomo es ionizada, la siguiente capa de transición baja su excitación emitiendo un rayo –X característico ó provoca la salida de otro electrón de una capa más externa, éste será designado como un electrón Auger [37,38].</w:t>
      </w:r>
    </w:p>
    <w:p>
      <w:pPr>
        <w:pStyle w:val="BodyText"/>
      </w:pPr>
    </w:p>
    <w:p>
      <w:pPr>
        <w:pStyle w:val="BodyText"/>
        <w:spacing w:before="4"/>
        <w:rPr>
          <w:sz w:val="31"/>
        </w:rPr>
      </w:pPr>
    </w:p>
    <w:p>
      <w:pPr>
        <w:pStyle w:val="Heading2"/>
        <w:numPr>
          <w:ilvl w:val="1"/>
          <w:numId w:val="5"/>
        </w:numPr>
        <w:tabs>
          <w:tab w:pos="505" w:val="left" w:leader="none"/>
        </w:tabs>
        <w:spacing w:line="240" w:lineRule="auto" w:before="0" w:after="0"/>
        <w:ind w:left="504" w:right="0" w:hanging="402"/>
        <w:jc w:val="both"/>
      </w:pPr>
      <w:r>
        <w:rPr/>
        <w:t>DIFRACCIÓN DE RAYOS</w:t>
      </w:r>
      <w:r>
        <w:rPr>
          <w:spacing w:val="-11"/>
        </w:rPr>
        <w:t> </w:t>
      </w:r>
      <w:r>
        <w:rPr/>
        <w:t>X</w:t>
      </w:r>
    </w:p>
    <w:p>
      <w:pPr>
        <w:pStyle w:val="BodyText"/>
        <w:spacing w:before="1"/>
        <w:rPr>
          <w:b/>
          <w:sz w:val="31"/>
        </w:rPr>
      </w:pPr>
    </w:p>
    <w:p>
      <w:pPr>
        <w:pStyle w:val="BodyText"/>
        <w:spacing w:line="278" w:lineRule="auto"/>
        <w:ind w:left="102" w:right="118"/>
        <w:jc w:val="both"/>
      </w:pPr>
      <w:r>
        <w:rPr/>
        <w:t>Los rayos X son radiación electromagnética de la misma naturaleza que la luz  pero de longitud de onda mucho más corta. Tienen longitudes de onda en el</w:t>
      </w:r>
      <w:r>
        <w:rPr>
          <w:spacing w:val="4"/>
        </w:rPr>
        <w:t> </w:t>
      </w:r>
      <w:r>
        <w:rPr/>
        <w:t>rango</w:t>
      </w:r>
    </w:p>
    <w:p>
      <w:pPr>
        <w:pStyle w:val="ListParagraph"/>
        <w:numPr>
          <w:ilvl w:val="1"/>
          <w:numId w:val="7"/>
        </w:numPr>
        <w:tabs>
          <w:tab w:pos="527" w:val="left" w:leader="none"/>
        </w:tabs>
        <w:spacing w:line="276" w:lineRule="auto" w:before="0" w:after="0"/>
        <w:ind w:left="102" w:right="115" w:firstLine="0"/>
        <w:jc w:val="both"/>
        <w:rPr>
          <w:sz w:val="24"/>
        </w:rPr>
      </w:pPr>
      <w:r>
        <w:rPr>
          <w:sz w:val="24"/>
        </w:rPr>
        <w:t>- 2.5 Å mientras que la luz visible en el de 6000 Å. Los rayos X se producen cuando una partícula cargada eléctricamente con suficiente energía cinética es frenada. Los electrones son las partículas utilizadas habitualmente y la radiación se obtiene en un dispositivo conocido como tubo de rayos X que contiene una fuente de electrones y dos electrodos metálicos. El alto voltaje entre los electrodos dirige los electrones hacia el ánodo, o blanco, y al golpear sobre él con una elevada velocidad producen R-x en el punto de impacto que se irradian en todas direcciones. La mayor parte de la energía cinética de los electrones que golpean el blanco se convierte en calor y únicamente menos de un 1% se transforma en</w:t>
      </w:r>
      <w:r>
        <w:rPr>
          <w:spacing w:val="-20"/>
          <w:sz w:val="24"/>
        </w:rPr>
        <w:t> </w:t>
      </w:r>
      <w:r>
        <w:rPr>
          <w:sz w:val="24"/>
        </w:rPr>
        <w:t>R-X.</w:t>
      </w:r>
    </w:p>
    <w:p>
      <w:pPr>
        <w:pStyle w:val="BodyText"/>
        <w:spacing w:before="6"/>
        <w:rPr>
          <w:sz w:val="27"/>
        </w:rPr>
      </w:pPr>
    </w:p>
    <w:p>
      <w:pPr>
        <w:pStyle w:val="BodyText"/>
        <w:spacing w:line="276" w:lineRule="auto" w:before="1"/>
        <w:ind w:left="102" w:right="123"/>
        <w:jc w:val="both"/>
      </w:pPr>
      <w:r>
        <w:rPr/>
        <w:t>Algunos fotones del haz incidente son desviados sin pérdida de energía, constituyen la radiación dispersada exactamente con la misma longitud de onda que la radiación incidente (es la que origina el fenómeno de la difracción). Otros fotones son dispersados con una pequeña pérdida de energía: constituyen la radiación Compton con una longitud de onda ligeramente mayor que la radiación incidente.</w:t>
      </w:r>
    </w:p>
    <w:p>
      <w:pPr>
        <w:pStyle w:val="BodyText"/>
        <w:spacing w:before="9"/>
        <w:rPr>
          <w:sz w:val="27"/>
        </w:rPr>
      </w:pPr>
    </w:p>
    <w:p>
      <w:pPr>
        <w:pStyle w:val="BodyText"/>
        <w:spacing w:line="276" w:lineRule="auto"/>
        <w:ind w:left="102" w:right="119"/>
        <w:jc w:val="both"/>
      </w:pPr>
      <w:r>
        <w:rPr/>
        <w:t>Los fotones pueden sufrir una serie de choques inelásticos al incidir sobre un blanco y su energía incrementa la temperatura de la muestra. Además la energía de un fotón de R-X puede arrancar un electrón de las capas internas de un átomo en la muestra. La fluorescencia sucede cuando este átomo puede volver a su estado de mínima energía emitiendo un fotón de R-X con una longitud de onda característica de ese elemento [39].</w:t>
      </w:r>
    </w:p>
    <w:p>
      <w:pPr>
        <w:pStyle w:val="BodyText"/>
        <w:spacing w:before="6"/>
        <w:rPr>
          <w:sz w:val="27"/>
        </w:rPr>
      </w:pPr>
    </w:p>
    <w:p>
      <w:pPr>
        <w:pStyle w:val="BodyText"/>
        <w:spacing w:line="276" w:lineRule="auto" w:before="1"/>
        <w:ind w:left="102" w:right="121"/>
        <w:jc w:val="both"/>
      </w:pPr>
      <w:r>
        <w:rPr/>
        <w:t>Una red cristalina se puede considerar como una familia de planos que se extiende a través de los átomos que la forman. Estos planos se especifican cristalográficamente mediante un conjunto de tres números (hkl), llamados</w:t>
      </w:r>
      <w:r>
        <w:rPr>
          <w:spacing w:val="44"/>
        </w:rPr>
        <w:t> </w:t>
      </w:r>
      <w:r>
        <w:rPr/>
        <w:t>índices</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6" w:lineRule="auto"/>
        <w:ind w:left="102" w:right="126"/>
        <w:jc w:val="both"/>
      </w:pPr>
      <w:r>
        <w:rPr/>
        <w:t>de Miller. La radiación ondulatoria incidente se supone que es reflejada por estos planos. El espaciado entre un conjunto de planos adyacentes, dhkl [con índices de Miller (hkl)], se puede calcular a partir de la relación de Bragg:</w:t>
      </w:r>
    </w:p>
    <w:p>
      <w:pPr>
        <w:pStyle w:val="BodyText"/>
        <w:spacing w:before="6"/>
        <w:rPr>
          <w:sz w:val="27"/>
        </w:rPr>
      </w:pPr>
    </w:p>
    <w:p>
      <w:pPr>
        <w:pStyle w:val="BodyText"/>
        <w:tabs>
          <w:tab w:pos="2731" w:val="left" w:leader="none"/>
        </w:tabs>
        <w:spacing w:before="1"/>
        <w:ind w:right="15"/>
        <w:jc w:val="center"/>
      </w:pPr>
      <w:r>
        <w:rPr/>
        <w:t>n·λ=</w:t>
      </w:r>
      <w:r>
        <w:rPr>
          <w:spacing w:val="-2"/>
        </w:rPr>
        <w:t> </w:t>
      </w:r>
      <w:r>
        <w:rPr/>
        <w:t>2·dhkl·sen</w:t>
      </w:r>
      <w:r>
        <w:rPr>
          <w:spacing w:val="-2"/>
        </w:rPr>
        <w:t> </w:t>
      </w:r>
      <w:r>
        <w:rPr/>
        <w:t>θ</w:t>
        <w:tab/>
        <w:t>(5)</w:t>
      </w:r>
    </w:p>
    <w:p>
      <w:pPr>
        <w:pStyle w:val="BodyText"/>
        <w:spacing w:before="3"/>
        <w:rPr>
          <w:sz w:val="31"/>
        </w:rPr>
      </w:pPr>
    </w:p>
    <w:p>
      <w:pPr>
        <w:pStyle w:val="BodyText"/>
        <w:spacing w:line="276" w:lineRule="auto"/>
        <w:ind w:left="102" w:right="127"/>
        <w:jc w:val="both"/>
      </w:pPr>
      <w:r>
        <w:rPr/>
        <w:t>donde n es el número de orden (0, 1, 2, 3, ..), λ es la longitud de onda de los rayos X y θ es la mitad del ángulo que forman el haz incidente y el difractado (Figura 1.10).</w:t>
      </w:r>
    </w:p>
    <w:p>
      <w:pPr>
        <w:pStyle w:val="BodyText"/>
        <w:spacing w:before="7"/>
      </w:pPr>
      <w:r>
        <w:rPr/>
        <w:drawing>
          <wp:anchor distT="0" distB="0" distL="0" distR="0" allowOverlap="1" layoutInCell="1" locked="0" behindDoc="0" simplePos="0" relativeHeight="1840">
            <wp:simplePos x="0" y="0"/>
            <wp:positionH relativeFrom="page">
              <wp:posOffset>1843531</wp:posOffset>
            </wp:positionH>
            <wp:positionV relativeFrom="paragraph">
              <wp:posOffset>204752</wp:posOffset>
            </wp:positionV>
            <wp:extent cx="4049734" cy="2005964"/>
            <wp:effectExtent l="0" t="0" r="0" b="0"/>
            <wp:wrapTopAndBottom/>
            <wp:docPr id="25" name="image18.jpeg" descr=""/>
            <wp:cNvGraphicFramePr>
              <a:graphicFrameLocks noChangeAspect="1"/>
            </wp:cNvGraphicFramePr>
            <a:graphic>
              <a:graphicData uri="http://schemas.openxmlformats.org/drawingml/2006/picture">
                <pic:pic>
                  <pic:nvPicPr>
                    <pic:cNvPr id="26" name="image18.jpeg"/>
                    <pic:cNvPicPr/>
                  </pic:nvPicPr>
                  <pic:blipFill>
                    <a:blip r:embed="rId28" cstate="print"/>
                    <a:stretch>
                      <a:fillRect/>
                    </a:stretch>
                  </pic:blipFill>
                  <pic:spPr>
                    <a:xfrm>
                      <a:off x="0" y="0"/>
                      <a:ext cx="4049734" cy="2005964"/>
                    </a:xfrm>
                    <a:prstGeom prst="rect">
                      <a:avLst/>
                    </a:prstGeom>
                  </pic:spPr>
                </pic:pic>
              </a:graphicData>
            </a:graphic>
          </wp:anchor>
        </w:drawing>
      </w:r>
    </w:p>
    <w:p>
      <w:pPr>
        <w:pStyle w:val="BodyText"/>
        <w:spacing w:before="28"/>
        <w:ind w:left="138" w:right="153"/>
        <w:jc w:val="center"/>
      </w:pPr>
      <w:r>
        <w:rPr/>
        <w:t>Figura 1.10. Difracción de los rayos X por los planos de un cristal.</w:t>
      </w:r>
    </w:p>
    <w:p>
      <w:pPr>
        <w:pStyle w:val="BodyText"/>
        <w:spacing w:before="3"/>
        <w:rPr>
          <w:sz w:val="31"/>
        </w:rPr>
      </w:pPr>
    </w:p>
    <w:p>
      <w:pPr>
        <w:pStyle w:val="BodyText"/>
        <w:spacing w:line="276" w:lineRule="auto" w:before="1"/>
        <w:ind w:left="102" w:right="127"/>
        <w:jc w:val="both"/>
      </w:pPr>
      <w:r>
        <w:rPr/>
        <w:t>Cada conjunto de planos da lugar a una serie de datos de difracción, a partir de  los cuales pueden determinarse las distancias entre ellos</w:t>
      </w:r>
      <w:r>
        <w:rPr>
          <w:spacing w:val="-20"/>
        </w:rPr>
        <w:t> </w:t>
      </w:r>
      <w:r>
        <w:rPr/>
        <w:t>[40].</w:t>
      </w:r>
    </w:p>
    <w:p>
      <w:pPr>
        <w:pStyle w:val="BodyText"/>
        <w:spacing w:before="6"/>
        <w:rPr>
          <w:sz w:val="27"/>
        </w:rPr>
      </w:pPr>
    </w:p>
    <w:p>
      <w:pPr>
        <w:pStyle w:val="BodyText"/>
        <w:spacing w:line="276" w:lineRule="auto" w:before="1"/>
        <w:ind w:left="102" w:right="123"/>
        <w:jc w:val="both"/>
      </w:pPr>
      <w:r>
        <w:rPr/>
        <w:t>En un difractómetro convencional la muestra se mantiene en posición horizontal y se rota para minimizar los efectos de orientación preferente y favorecer la orientación de los cristales al azar. El porta muestras convencional tiene una profundidad de 1 mm y es adecuado para muestras del orden de gramos. El porta muestras de bajo fondo es un cristal de Si con una cavidad de 50 micras para pequeñas cantidades de muestra. El porta muestras de retrocarga permite minimizar los efectos de orientación preferente [41].</w:t>
      </w:r>
    </w:p>
    <w:p>
      <w:pPr>
        <w:pStyle w:val="BodyText"/>
        <w:spacing w:before="7"/>
        <w:rPr>
          <w:sz w:val="27"/>
        </w:rPr>
      </w:pPr>
    </w:p>
    <w:p>
      <w:pPr>
        <w:pStyle w:val="BodyText"/>
        <w:spacing w:line="276" w:lineRule="auto"/>
        <w:ind w:left="102" w:right="123"/>
        <w:jc w:val="both"/>
      </w:pPr>
      <w:r>
        <w:rPr/>
        <w:t>Un difractograma de R-X recoge los datos de intensidad en función del ángulo de difracción (2Ɵ) obteniéndose una serie de picos. Los datos más importantes obtenidos a partir de un difractograma son los siguientes:</w:t>
      </w:r>
    </w:p>
    <w:p>
      <w:pPr>
        <w:pStyle w:val="ListParagraph"/>
        <w:numPr>
          <w:ilvl w:val="2"/>
          <w:numId w:val="7"/>
        </w:numPr>
        <w:tabs>
          <w:tab w:pos="809" w:val="left" w:leader="none"/>
          <w:tab w:pos="810" w:val="left" w:leader="none"/>
        </w:tabs>
        <w:spacing w:line="293" w:lineRule="exact" w:before="0" w:after="0"/>
        <w:ind w:left="822" w:right="0" w:hanging="360"/>
        <w:jc w:val="left"/>
        <w:rPr>
          <w:sz w:val="24"/>
        </w:rPr>
      </w:pPr>
      <w:r>
        <w:rPr>
          <w:sz w:val="24"/>
        </w:rPr>
        <w:t>Posición de los picos expresada en valores de Ɵ,</w:t>
      </w:r>
      <w:r>
        <w:rPr>
          <w:spacing w:val="-19"/>
          <w:sz w:val="24"/>
        </w:rPr>
        <w:t> </w:t>
      </w:r>
      <w:r>
        <w:rPr>
          <w:sz w:val="24"/>
        </w:rPr>
        <w:t>2Ɵ.</w:t>
      </w:r>
    </w:p>
    <w:p>
      <w:pPr>
        <w:pStyle w:val="ListParagraph"/>
        <w:numPr>
          <w:ilvl w:val="2"/>
          <w:numId w:val="7"/>
        </w:numPr>
        <w:tabs>
          <w:tab w:pos="810" w:val="left" w:leader="none"/>
        </w:tabs>
        <w:spacing w:line="273" w:lineRule="auto" w:before="39" w:after="0"/>
        <w:ind w:left="822" w:right="115" w:hanging="360"/>
        <w:jc w:val="both"/>
        <w:rPr>
          <w:sz w:val="24"/>
        </w:rPr>
      </w:pPr>
      <w:r>
        <w:rPr>
          <w:sz w:val="24"/>
        </w:rPr>
        <w:t>Intensidad de pico. Las intensidades se pueden tomar como alturas de </w:t>
      </w:r>
      <w:r>
        <w:rPr>
          <w:spacing w:val="2"/>
          <w:sz w:val="24"/>
        </w:rPr>
        <w:t>los </w:t>
      </w:r>
      <w:r>
        <w:rPr>
          <w:sz w:val="24"/>
        </w:rPr>
        <w:t>picos. Al pico más intenso se le asigna un valor de 100 y el resto se </w:t>
      </w:r>
      <w:r>
        <w:rPr>
          <w:spacing w:val="3"/>
          <w:sz w:val="24"/>
        </w:rPr>
        <w:t>re- </w:t>
      </w:r>
      <w:r>
        <w:rPr>
          <w:sz w:val="24"/>
        </w:rPr>
        <w:t>escala respecto a</w:t>
      </w:r>
      <w:r>
        <w:rPr>
          <w:spacing w:val="-8"/>
          <w:sz w:val="24"/>
        </w:rPr>
        <w:t> </w:t>
      </w:r>
      <w:r>
        <w:rPr>
          <w:sz w:val="24"/>
        </w:rPr>
        <w:t>éste.</w:t>
      </w:r>
    </w:p>
    <w:p>
      <w:pPr>
        <w:spacing w:after="0" w:line="273" w:lineRule="auto"/>
        <w:jc w:val="both"/>
        <w:rPr>
          <w:sz w:val="24"/>
        </w:rPr>
        <w:sectPr>
          <w:headerReference w:type="default" r:id="rId27"/>
          <w:pgSz w:w="12240" w:h="15840"/>
          <w:pgMar w:header="747" w:footer="0" w:top="940" w:bottom="280" w:left="1600" w:right="1580"/>
        </w:sectPr>
      </w:pPr>
    </w:p>
    <w:p>
      <w:pPr>
        <w:pStyle w:val="BodyText"/>
        <w:rPr>
          <w:sz w:val="20"/>
        </w:rPr>
      </w:pPr>
    </w:p>
    <w:p>
      <w:pPr>
        <w:pStyle w:val="BodyText"/>
        <w:spacing w:before="4"/>
        <w:rPr>
          <w:sz w:val="20"/>
        </w:rPr>
      </w:pPr>
    </w:p>
    <w:p>
      <w:pPr>
        <w:pStyle w:val="ListParagraph"/>
        <w:numPr>
          <w:ilvl w:val="2"/>
          <w:numId w:val="7"/>
        </w:numPr>
        <w:tabs>
          <w:tab w:pos="810" w:val="left" w:leader="none"/>
        </w:tabs>
        <w:spacing w:line="273" w:lineRule="auto" w:before="1" w:after="0"/>
        <w:ind w:left="822" w:right="126" w:hanging="360"/>
        <w:jc w:val="both"/>
        <w:rPr>
          <w:sz w:val="24"/>
        </w:rPr>
      </w:pPr>
      <w:r>
        <w:rPr>
          <w:sz w:val="24"/>
        </w:rPr>
        <w:t>Perfil de pico. Aunque se utiliza menos que los anteriores la forma de los picos también proporciona información útil sobre la muestra</w:t>
      </w:r>
      <w:r>
        <w:rPr>
          <w:spacing w:val="-26"/>
          <w:sz w:val="24"/>
        </w:rPr>
        <w:t> </w:t>
      </w:r>
      <w:r>
        <w:rPr>
          <w:sz w:val="24"/>
        </w:rPr>
        <w:t>analizada.</w:t>
      </w:r>
    </w:p>
    <w:p>
      <w:pPr>
        <w:pStyle w:val="BodyText"/>
        <w:rPr>
          <w:sz w:val="28"/>
        </w:rPr>
      </w:pPr>
    </w:p>
    <w:p>
      <w:pPr>
        <w:pStyle w:val="BodyText"/>
        <w:spacing w:line="276" w:lineRule="auto"/>
        <w:ind w:left="102" w:right="119"/>
        <w:jc w:val="both"/>
      </w:pPr>
      <w:r>
        <w:rPr/>
        <w:t>El espaciado se puede medir de manera más precisa y es reproducible en diferentes muestras salvo que contengan impurezas que formen disoluciones sólidas. Las intensidades son más difíciles de medir cuantitativamente y a menudo varían de muestra a muestra especialmente si se produce el fenómeno de orientación preferente. En conjunto los valores d-I de una fase cristalina constituyen una huella dactilar de esa fase y hacen esta técnica especialmente útil en la identificación de fases cristalinas.</w:t>
      </w:r>
    </w:p>
    <w:p>
      <w:pPr>
        <w:pStyle w:val="BodyText"/>
        <w:spacing w:before="9"/>
        <w:rPr>
          <w:sz w:val="27"/>
        </w:rPr>
      </w:pPr>
    </w:p>
    <w:p>
      <w:pPr>
        <w:pStyle w:val="BodyText"/>
        <w:spacing w:line="276" w:lineRule="auto" w:before="1"/>
        <w:ind w:left="102" w:right="115"/>
        <w:jc w:val="both"/>
      </w:pPr>
      <w:r>
        <w:rPr/>
        <w:t>Una fase cristalina siempre produce un patrón de difracción característico, bien esté en estado puro o como constituyente de una mezcla. Este hecho es la base para el uso de la difracción como método de análisis químico. El análisis  cualitativo se realiza mediante la identificación del patrón de esa fase. Para la identificación cualitativa se usan base de datos, las cuales contienen los d-I además de información cristalográfica y bibliográfica para gran cantidad de fases cristalinas de materiales inorgánicos, minerales, productos farmacéuticos, etc. En una mezcla de compuestos cada fase cristalina presente va a contribuir al patrón de difracción de R-X</w:t>
      </w:r>
      <w:r>
        <w:rPr>
          <w:spacing w:val="-8"/>
        </w:rPr>
        <w:t> </w:t>
      </w:r>
      <w:r>
        <w:rPr/>
        <w:t>global.</w:t>
      </w:r>
    </w:p>
    <w:p>
      <w:pPr>
        <w:pStyle w:val="BodyText"/>
        <w:spacing w:before="6"/>
        <w:rPr>
          <w:sz w:val="27"/>
        </w:rPr>
      </w:pPr>
    </w:p>
    <w:p>
      <w:pPr>
        <w:pStyle w:val="BodyText"/>
        <w:spacing w:line="276" w:lineRule="auto" w:before="1"/>
        <w:ind w:left="102" w:right="122"/>
        <w:jc w:val="both"/>
      </w:pPr>
      <w:r>
        <w:rPr/>
        <w:t>Si se conocen los valores de los ángulos de Bragg (o de manera equivalente el espaciado) y los valores de hkl de las reflexiones de un difractograma, es posible obtener las constantes de celda. Para obtener los parámetros de celda es necesario lograr el indexado del patrón de difracción: asignación de índices de Miller a todas las reflexiones del difractograma.</w:t>
      </w:r>
    </w:p>
    <w:p>
      <w:pPr>
        <w:pStyle w:val="BodyText"/>
        <w:spacing w:before="9"/>
        <w:rPr>
          <w:sz w:val="27"/>
        </w:rPr>
      </w:pPr>
    </w:p>
    <w:p>
      <w:pPr>
        <w:pStyle w:val="BodyText"/>
        <w:spacing w:line="276" w:lineRule="auto"/>
        <w:ind w:left="102" w:right="117"/>
        <w:jc w:val="both"/>
      </w:pPr>
      <w:r>
        <w:rPr/>
        <w:t>Los métodos de análisis cuantitativos basados en la difracción de R-x pueden clasificarse en dos grandes grupos: métodos que emplean picos seleccionados y métodos que utilizan todo el difractograma.</w:t>
      </w:r>
    </w:p>
    <w:p>
      <w:pPr>
        <w:pStyle w:val="BodyText"/>
        <w:spacing w:before="9"/>
        <w:rPr>
          <w:sz w:val="27"/>
        </w:rPr>
      </w:pPr>
    </w:p>
    <w:p>
      <w:pPr>
        <w:pStyle w:val="BodyText"/>
        <w:ind w:left="102"/>
        <w:jc w:val="both"/>
      </w:pPr>
      <w:r>
        <w:rPr/>
        <w:t>Dentro de los métodos basados en picos seleccionados se encuentran:</w:t>
      </w:r>
    </w:p>
    <w:p>
      <w:pPr>
        <w:pStyle w:val="ListParagraph"/>
        <w:numPr>
          <w:ilvl w:val="2"/>
          <w:numId w:val="7"/>
        </w:numPr>
        <w:tabs>
          <w:tab w:pos="810" w:val="left" w:leader="none"/>
        </w:tabs>
        <w:spacing w:line="276" w:lineRule="auto" w:before="39" w:after="0"/>
        <w:ind w:left="822" w:right="123" w:hanging="360"/>
        <w:jc w:val="both"/>
        <w:rPr>
          <w:sz w:val="24"/>
        </w:rPr>
      </w:pPr>
      <w:r>
        <w:rPr>
          <w:sz w:val="24"/>
        </w:rPr>
        <w:t>Método de difracción-absorción: se basa en la relación de intensidades de un pico en la fase pura y en la mezcla. Requiere el conocimiento de los coeficientes de absorción de la fase pura y de la mezcla, si no se conocen es posible preparar una curva de</w:t>
      </w:r>
      <w:r>
        <w:rPr>
          <w:spacing w:val="-14"/>
          <w:sz w:val="24"/>
        </w:rPr>
        <w:t> </w:t>
      </w:r>
      <w:r>
        <w:rPr>
          <w:sz w:val="24"/>
        </w:rPr>
        <w:t>calibrado.</w:t>
      </w:r>
    </w:p>
    <w:p>
      <w:pPr>
        <w:pStyle w:val="ListParagraph"/>
        <w:numPr>
          <w:ilvl w:val="2"/>
          <w:numId w:val="7"/>
        </w:numPr>
        <w:tabs>
          <w:tab w:pos="810" w:val="left" w:leader="none"/>
        </w:tabs>
        <w:spacing w:line="276" w:lineRule="auto" w:before="0" w:after="0"/>
        <w:ind w:left="822" w:right="125" w:hanging="360"/>
        <w:jc w:val="both"/>
        <w:rPr>
          <w:sz w:val="24"/>
        </w:rPr>
      </w:pPr>
      <w:r>
        <w:rPr>
          <w:sz w:val="24"/>
        </w:rPr>
        <w:t>Método de la adición estándar: en la mezcla debe existir una fase de referencia (i) con un pico no solapado con ningún pico de la fase a analizar (j). La metodología consiste en la adición de una cantidad conocida de fase pura</w:t>
      </w:r>
      <w:r>
        <w:rPr>
          <w:spacing w:val="-1"/>
          <w:sz w:val="24"/>
        </w:rPr>
        <w:t> </w:t>
      </w:r>
      <w:r>
        <w:rPr>
          <w:sz w:val="24"/>
        </w:rPr>
        <w:t>j.</w:t>
      </w:r>
    </w:p>
    <w:p>
      <w:pPr>
        <w:spacing w:after="0" w:line="276" w:lineRule="auto"/>
        <w:jc w:val="both"/>
        <w:rPr>
          <w:sz w:val="24"/>
        </w:rPr>
        <w:sectPr>
          <w:headerReference w:type="default" r:id="rId29"/>
          <w:pgSz w:w="12240" w:h="15840"/>
          <w:pgMar w:header="747" w:footer="0" w:top="940" w:bottom="280" w:left="1600" w:right="1580"/>
          <w:pgNumType w:start="31"/>
        </w:sectPr>
      </w:pPr>
    </w:p>
    <w:p>
      <w:pPr>
        <w:pStyle w:val="BodyText"/>
        <w:rPr>
          <w:sz w:val="20"/>
        </w:rPr>
      </w:pPr>
    </w:p>
    <w:p>
      <w:pPr>
        <w:pStyle w:val="BodyText"/>
        <w:spacing w:before="4"/>
        <w:rPr>
          <w:sz w:val="20"/>
        </w:rPr>
      </w:pPr>
    </w:p>
    <w:p>
      <w:pPr>
        <w:pStyle w:val="ListParagraph"/>
        <w:numPr>
          <w:ilvl w:val="2"/>
          <w:numId w:val="7"/>
        </w:numPr>
        <w:tabs>
          <w:tab w:pos="810" w:val="left" w:leader="none"/>
        </w:tabs>
        <w:spacing w:line="276" w:lineRule="auto" w:before="1" w:after="0"/>
        <w:ind w:left="822" w:right="123" w:hanging="360"/>
        <w:jc w:val="both"/>
        <w:rPr>
          <w:sz w:val="24"/>
        </w:rPr>
      </w:pPr>
      <w:r>
        <w:rPr>
          <w:sz w:val="24"/>
        </w:rPr>
        <w:t>Método del estándar interno: en este método la intensidad integrada de un pico de la fase analizada se compara con la intensidad de un pico de una fase añadida en proporciones conocidas</w:t>
      </w:r>
      <w:r>
        <w:rPr>
          <w:spacing w:val="-18"/>
          <w:sz w:val="24"/>
        </w:rPr>
        <w:t> </w:t>
      </w:r>
      <w:r>
        <w:rPr>
          <w:sz w:val="24"/>
        </w:rPr>
        <w:t>[42].</w:t>
      </w:r>
    </w:p>
    <w:p>
      <w:pPr>
        <w:pStyle w:val="BodyText"/>
      </w:pPr>
    </w:p>
    <w:p>
      <w:pPr>
        <w:pStyle w:val="BodyText"/>
        <w:spacing w:before="1"/>
        <w:rPr>
          <w:sz w:val="31"/>
        </w:rPr>
      </w:pPr>
    </w:p>
    <w:p>
      <w:pPr>
        <w:pStyle w:val="Heading2"/>
        <w:ind w:left="102"/>
      </w:pPr>
      <w:r>
        <w:rPr/>
        <w:t>1.10 ESPECTROSCOPIA INFRARROJA</w:t>
      </w:r>
    </w:p>
    <w:p>
      <w:pPr>
        <w:pStyle w:val="BodyText"/>
        <w:spacing w:before="3"/>
        <w:rPr>
          <w:b/>
          <w:sz w:val="31"/>
        </w:rPr>
      </w:pPr>
    </w:p>
    <w:p>
      <w:pPr>
        <w:pStyle w:val="BodyText"/>
        <w:spacing w:line="276" w:lineRule="auto"/>
        <w:ind w:left="102" w:right="118"/>
        <w:jc w:val="both"/>
      </w:pPr>
      <w:r>
        <w:rPr/>
        <w:t>La región del infrarrojo del espectro corresponde a frecuencias localizadas en el intervalo 10</w:t>
      </w:r>
      <w:r>
        <w:rPr>
          <w:position w:val="8"/>
          <w:sz w:val="16"/>
        </w:rPr>
        <w:t>-5 </w:t>
      </w:r>
      <w:r>
        <w:rPr/>
        <w:t>- 10</w:t>
      </w:r>
      <w:r>
        <w:rPr>
          <w:position w:val="8"/>
          <w:sz w:val="16"/>
        </w:rPr>
        <w:t>-2 </w:t>
      </w:r>
      <w:r>
        <w:rPr/>
        <w:t>cm; que corresponden a energías entre 1.1 y 11 kcal/mol. Los fotones que transporta la radiación infrarroja no tienen energía suficiente para provocar transiciones electrónicas pero si pueden conseguir vibraciones de los enlaces covalentes de las moléculas orgánicas.</w:t>
      </w:r>
    </w:p>
    <w:p>
      <w:pPr>
        <w:pStyle w:val="BodyText"/>
        <w:spacing w:before="6"/>
        <w:rPr>
          <w:sz w:val="27"/>
        </w:rPr>
      </w:pPr>
    </w:p>
    <w:p>
      <w:pPr>
        <w:pStyle w:val="BodyText"/>
        <w:spacing w:line="276" w:lineRule="auto" w:before="1"/>
        <w:ind w:left="102" w:right="123"/>
        <w:jc w:val="both"/>
      </w:pPr>
      <w:r>
        <w:rPr/>
        <w:t>Los átomos no se encuentran estáticos dentro de una molécula sino que están en movimiento constante unos respecto a otros, vibrando en torno a los enlaces que los unen a frecuencias constantes. A medida que los átomos se acercan unos a otros las fuerzas de repulsión aumentan y conforme se separan las interacciones de atracción disminuyen; provocándose un movimiento de alargamiento y compresión alternante (Tensión simétrica o asimétrica: Figura 1.11).</w:t>
      </w:r>
    </w:p>
    <w:p>
      <w:pPr>
        <w:pStyle w:val="BodyText"/>
        <w:spacing w:before="4"/>
      </w:pPr>
      <w:r>
        <w:rPr/>
        <w:drawing>
          <wp:anchor distT="0" distB="0" distL="0" distR="0" allowOverlap="1" layoutInCell="1" locked="0" behindDoc="0" simplePos="0" relativeHeight="1864">
            <wp:simplePos x="0" y="0"/>
            <wp:positionH relativeFrom="page">
              <wp:posOffset>2468371</wp:posOffset>
            </wp:positionH>
            <wp:positionV relativeFrom="paragraph">
              <wp:posOffset>202661</wp:posOffset>
            </wp:positionV>
            <wp:extent cx="2838095" cy="1527048"/>
            <wp:effectExtent l="0" t="0" r="0" b="0"/>
            <wp:wrapTopAndBottom/>
            <wp:docPr id="27" name="image19.jpeg" descr=""/>
            <wp:cNvGraphicFramePr>
              <a:graphicFrameLocks noChangeAspect="1"/>
            </wp:cNvGraphicFramePr>
            <a:graphic>
              <a:graphicData uri="http://schemas.openxmlformats.org/drawingml/2006/picture">
                <pic:pic>
                  <pic:nvPicPr>
                    <pic:cNvPr id="28" name="image19.jpeg"/>
                    <pic:cNvPicPr/>
                  </pic:nvPicPr>
                  <pic:blipFill>
                    <a:blip r:embed="rId30" cstate="print"/>
                    <a:stretch>
                      <a:fillRect/>
                    </a:stretch>
                  </pic:blipFill>
                  <pic:spPr>
                    <a:xfrm>
                      <a:off x="0" y="0"/>
                      <a:ext cx="2838095" cy="1527048"/>
                    </a:xfrm>
                    <a:prstGeom prst="rect">
                      <a:avLst/>
                    </a:prstGeom>
                  </pic:spPr>
                </pic:pic>
              </a:graphicData>
            </a:graphic>
          </wp:anchor>
        </w:drawing>
      </w:r>
    </w:p>
    <w:p>
      <w:pPr>
        <w:pStyle w:val="BodyText"/>
        <w:spacing w:before="10"/>
        <w:ind w:left="135" w:right="153"/>
        <w:jc w:val="center"/>
      </w:pPr>
      <w:r>
        <w:rPr/>
        <w:t>Figura 1.11. Tensión simétrica y asimétrica.</w:t>
      </w:r>
    </w:p>
    <w:p>
      <w:pPr>
        <w:pStyle w:val="BodyText"/>
      </w:pPr>
    </w:p>
    <w:p>
      <w:pPr>
        <w:pStyle w:val="BodyText"/>
        <w:spacing w:before="9"/>
        <w:rPr>
          <w:sz w:val="34"/>
        </w:rPr>
      </w:pPr>
    </w:p>
    <w:p>
      <w:pPr>
        <w:pStyle w:val="BodyText"/>
        <w:spacing w:line="276" w:lineRule="auto" w:before="1"/>
        <w:ind w:left="102" w:right="119"/>
        <w:jc w:val="both"/>
      </w:pPr>
      <w:r>
        <w:rPr/>
        <w:t>Cuando dos átomos de masa atómica diferente están unidos por un enlace, el átomo ligero se aleja más que el de mayor masa. La absorción de energía infrarroja da por resultado un aumento en la frecuencia de vibración. Para una molécula diatómica sólo existe un modo vibracional de tensión, pero si la molécula está constituida por más de dos átomos puede haber dos modos vibracionales de tensión, si se tiene en cuenta las posiciones relativas de dos átomos unidos a un tercero.</w:t>
      </w:r>
    </w:p>
    <w:p>
      <w:pPr>
        <w:pStyle w:val="BodyText"/>
        <w:spacing w:before="9"/>
        <w:rPr>
          <w:sz w:val="27"/>
        </w:rPr>
      </w:pPr>
    </w:p>
    <w:p>
      <w:pPr>
        <w:pStyle w:val="BodyText"/>
        <w:spacing w:line="276" w:lineRule="auto"/>
        <w:ind w:left="102" w:right="126"/>
        <w:jc w:val="both"/>
      </w:pPr>
      <w:r>
        <w:rPr/>
        <w:t>Modo de flexión es cuando las vibraciones provocan un cambio en el ángulo de enlace. Si la flexión tiene lugar manteniendo los tres átomos implicados en un</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4"/>
        <w:rPr>
          <w:sz w:val="20"/>
        </w:rPr>
      </w:pPr>
    </w:p>
    <w:p>
      <w:pPr>
        <w:pStyle w:val="BodyText"/>
        <w:spacing w:line="276" w:lineRule="auto"/>
        <w:ind w:left="102" w:right="118"/>
        <w:jc w:val="both"/>
      </w:pPr>
      <w:r>
        <w:rPr/>
        <w:t>mismo plano, se pueden tener: a) Flexión simétrica en el plano (“</w:t>
      </w:r>
      <w:r>
        <w:rPr>
          <w:i/>
        </w:rPr>
        <w:t>scissors</w:t>
      </w:r>
      <w:r>
        <w:rPr/>
        <w:t>”): En este modo de vibración el ángulo de enlace aumenta y disminuye porque los dos átomos de los extremos se acercan o se alejan entre ellos (Figura 1.12); b) Flexión asimétrica en el plano (“</w:t>
      </w:r>
      <w:r>
        <w:rPr>
          <w:i/>
        </w:rPr>
        <w:t>rock</w:t>
      </w:r>
      <w:r>
        <w:rPr/>
        <w:t>”): En esta vibración el ángulo de enlace aumenta y disminuye porque el átomo central se acerca a uno de los dos extremos y por  tanto se aleja del otro, manteniéndose siempre los tres átomos en el mismo plano (Figura</w:t>
      </w:r>
      <w:r>
        <w:rPr>
          <w:spacing w:val="-2"/>
        </w:rPr>
        <w:t> </w:t>
      </w:r>
      <w:r>
        <w:rPr/>
        <w:t>1.12).</w:t>
      </w:r>
    </w:p>
    <w:p>
      <w:pPr>
        <w:pStyle w:val="BodyText"/>
        <w:ind w:left="2284"/>
        <w:rPr>
          <w:sz w:val="20"/>
        </w:rPr>
      </w:pPr>
      <w:r>
        <w:rPr>
          <w:sz w:val="20"/>
        </w:rPr>
        <w:drawing>
          <wp:inline distT="0" distB="0" distL="0" distR="0">
            <wp:extent cx="2826254" cy="1728216"/>
            <wp:effectExtent l="0" t="0" r="0" b="0"/>
            <wp:docPr id="29" name="image20.jpeg" descr=""/>
            <wp:cNvGraphicFramePr>
              <a:graphicFrameLocks noChangeAspect="1"/>
            </wp:cNvGraphicFramePr>
            <a:graphic>
              <a:graphicData uri="http://schemas.openxmlformats.org/drawingml/2006/picture">
                <pic:pic>
                  <pic:nvPicPr>
                    <pic:cNvPr id="30" name="image20.jpeg"/>
                    <pic:cNvPicPr/>
                  </pic:nvPicPr>
                  <pic:blipFill>
                    <a:blip r:embed="rId31" cstate="print"/>
                    <a:stretch>
                      <a:fillRect/>
                    </a:stretch>
                  </pic:blipFill>
                  <pic:spPr>
                    <a:xfrm>
                      <a:off x="0" y="0"/>
                      <a:ext cx="2826254" cy="1728216"/>
                    </a:xfrm>
                    <a:prstGeom prst="rect">
                      <a:avLst/>
                    </a:prstGeom>
                  </pic:spPr>
                </pic:pic>
              </a:graphicData>
            </a:graphic>
          </wp:inline>
        </w:drawing>
      </w:r>
      <w:r>
        <w:rPr>
          <w:sz w:val="20"/>
        </w:rPr>
      </w:r>
    </w:p>
    <w:p>
      <w:pPr>
        <w:pStyle w:val="BodyText"/>
        <w:spacing w:before="52"/>
        <w:ind w:left="130" w:right="153"/>
        <w:jc w:val="center"/>
      </w:pPr>
      <w:r>
        <w:rPr/>
        <w:t>Figura 1.12. Flexión simétrica y asimétrica en el plano.</w:t>
      </w:r>
    </w:p>
    <w:p>
      <w:pPr>
        <w:pStyle w:val="BodyText"/>
        <w:spacing w:before="1"/>
        <w:rPr>
          <w:sz w:val="31"/>
        </w:rPr>
      </w:pPr>
    </w:p>
    <w:p>
      <w:pPr>
        <w:pStyle w:val="BodyText"/>
        <w:spacing w:line="276" w:lineRule="auto"/>
        <w:ind w:left="102" w:right="114"/>
        <w:jc w:val="both"/>
      </w:pPr>
      <w:r>
        <w:rPr/>
        <w:t>Si la flexión coloca a los tres átomos fuera del plano original, se presentan dos tipos de vibración: a) Flexión simétrica fuera del plano (“</w:t>
      </w:r>
      <w:r>
        <w:rPr>
          <w:i/>
        </w:rPr>
        <w:t>twist</w:t>
      </w:r>
      <w:r>
        <w:rPr/>
        <w:t>”): el ángulo de enlace aumenta y disminuye porque los dos átomos de los extremos se acercan o se alejan entre ellos (Figura 1.13); </w:t>
      </w:r>
      <w:r>
        <w:rPr>
          <w:spacing w:val="2"/>
        </w:rPr>
        <w:t>b) </w:t>
      </w:r>
      <w:r>
        <w:rPr/>
        <w:t>Flexión asimétrica fuera del plano (“</w:t>
      </w:r>
      <w:r>
        <w:rPr>
          <w:i/>
        </w:rPr>
        <w:t>wag</w:t>
      </w:r>
      <w:r>
        <w:rPr/>
        <w:t>”): el ángulo de enlace aumenta y disminuye porque el átomo central se acerca a uno  de los dos extremos y por tanto se aleja del otro (Figura 1.13)</w:t>
      </w:r>
      <w:r>
        <w:rPr>
          <w:spacing w:val="-18"/>
        </w:rPr>
        <w:t> </w:t>
      </w:r>
      <w:r>
        <w:rPr/>
        <w:t>.</w:t>
      </w:r>
    </w:p>
    <w:p>
      <w:pPr>
        <w:pStyle w:val="BodyText"/>
        <w:spacing w:before="1"/>
      </w:pPr>
      <w:r>
        <w:rPr/>
        <w:drawing>
          <wp:anchor distT="0" distB="0" distL="0" distR="0" allowOverlap="1" layoutInCell="1" locked="0" behindDoc="0" simplePos="0" relativeHeight="1888">
            <wp:simplePos x="0" y="0"/>
            <wp:positionH relativeFrom="page">
              <wp:posOffset>2500121</wp:posOffset>
            </wp:positionH>
            <wp:positionV relativeFrom="paragraph">
              <wp:posOffset>200904</wp:posOffset>
            </wp:positionV>
            <wp:extent cx="2776265" cy="1803939"/>
            <wp:effectExtent l="0" t="0" r="0" b="0"/>
            <wp:wrapTopAndBottom/>
            <wp:docPr id="31" name="image21.jpeg" descr=""/>
            <wp:cNvGraphicFramePr>
              <a:graphicFrameLocks noChangeAspect="1"/>
            </wp:cNvGraphicFramePr>
            <a:graphic>
              <a:graphicData uri="http://schemas.openxmlformats.org/drawingml/2006/picture">
                <pic:pic>
                  <pic:nvPicPr>
                    <pic:cNvPr id="32" name="image21.jpeg"/>
                    <pic:cNvPicPr/>
                  </pic:nvPicPr>
                  <pic:blipFill>
                    <a:blip r:embed="rId32" cstate="print"/>
                    <a:stretch>
                      <a:fillRect/>
                    </a:stretch>
                  </pic:blipFill>
                  <pic:spPr>
                    <a:xfrm>
                      <a:off x="0" y="0"/>
                      <a:ext cx="2776265" cy="1803939"/>
                    </a:xfrm>
                    <a:prstGeom prst="rect">
                      <a:avLst/>
                    </a:prstGeom>
                  </pic:spPr>
                </pic:pic>
              </a:graphicData>
            </a:graphic>
          </wp:anchor>
        </w:drawing>
      </w:r>
    </w:p>
    <w:p>
      <w:pPr>
        <w:pStyle w:val="BodyText"/>
        <w:spacing w:before="9"/>
        <w:ind w:left="136" w:right="153"/>
        <w:jc w:val="center"/>
      </w:pPr>
      <w:r>
        <w:rPr/>
        <w:t>Figura 1.13. Flexiones fuera del plano.</w:t>
      </w:r>
    </w:p>
    <w:p>
      <w:pPr>
        <w:pStyle w:val="BodyText"/>
        <w:spacing w:before="1"/>
        <w:rPr>
          <w:sz w:val="31"/>
        </w:rPr>
      </w:pPr>
    </w:p>
    <w:p>
      <w:pPr>
        <w:pStyle w:val="BodyText"/>
        <w:spacing w:line="276" w:lineRule="auto"/>
        <w:ind w:left="102" w:right="124"/>
        <w:jc w:val="both"/>
      </w:pPr>
      <w:r>
        <w:rPr/>
        <w:t>Cabe mencionar que una molécula absorbe luz infrarroja sólo cuando la energía  de los fotones es muy cercana a la diferencia de energía entre un estado vibracional y el que le sigue en sentido ascendente. La inmensa mayoría de las moléculas</w:t>
      </w:r>
      <w:r>
        <w:rPr>
          <w:spacing w:val="35"/>
        </w:rPr>
        <w:t> </w:t>
      </w:r>
      <w:r>
        <w:rPr/>
        <w:t>existen</w:t>
      </w:r>
      <w:r>
        <w:rPr>
          <w:spacing w:val="35"/>
        </w:rPr>
        <w:t> </w:t>
      </w:r>
      <w:r>
        <w:rPr/>
        <w:t>en</w:t>
      </w:r>
      <w:r>
        <w:rPr>
          <w:spacing w:val="32"/>
        </w:rPr>
        <w:t> </w:t>
      </w:r>
      <w:r>
        <w:rPr/>
        <w:t>el</w:t>
      </w:r>
      <w:r>
        <w:rPr>
          <w:spacing w:val="34"/>
        </w:rPr>
        <w:t> </w:t>
      </w:r>
      <w:r>
        <w:rPr/>
        <w:t>estado</w:t>
      </w:r>
      <w:r>
        <w:rPr>
          <w:spacing w:val="35"/>
        </w:rPr>
        <w:t> </w:t>
      </w:r>
      <w:r>
        <w:rPr/>
        <w:t>de</w:t>
      </w:r>
      <w:r>
        <w:rPr>
          <w:spacing w:val="35"/>
        </w:rPr>
        <w:t> </w:t>
      </w:r>
      <w:r>
        <w:rPr/>
        <w:t>más</w:t>
      </w:r>
      <w:r>
        <w:rPr>
          <w:spacing w:val="34"/>
        </w:rPr>
        <w:t> </w:t>
      </w:r>
      <w:r>
        <w:rPr/>
        <w:t>baja</w:t>
      </w:r>
      <w:r>
        <w:rPr>
          <w:spacing w:val="35"/>
        </w:rPr>
        <w:t> </w:t>
      </w:r>
      <w:r>
        <w:rPr/>
        <w:t>energía</w:t>
      </w:r>
      <w:r>
        <w:rPr>
          <w:spacing w:val="35"/>
        </w:rPr>
        <w:t> </w:t>
      </w:r>
      <w:r>
        <w:rPr/>
        <w:t>y</w:t>
      </w:r>
      <w:r>
        <w:rPr>
          <w:spacing w:val="32"/>
        </w:rPr>
        <w:t> </w:t>
      </w:r>
      <w:r>
        <w:rPr/>
        <w:t>la</w:t>
      </w:r>
      <w:r>
        <w:rPr>
          <w:spacing w:val="35"/>
        </w:rPr>
        <w:t> </w:t>
      </w:r>
      <w:r>
        <w:rPr/>
        <w:t>absorción</w:t>
      </w:r>
      <w:r>
        <w:rPr>
          <w:spacing w:val="35"/>
        </w:rPr>
        <w:t> </w:t>
      </w:r>
      <w:r>
        <w:rPr/>
        <w:t>de</w:t>
      </w:r>
      <w:r>
        <w:rPr>
          <w:spacing w:val="35"/>
        </w:rPr>
        <w:t> </w:t>
      </w:r>
      <w:r>
        <w:rPr/>
        <w:t>luz,</w:t>
      </w:r>
      <w:r>
        <w:rPr>
          <w:spacing w:val="35"/>
        </w:rPr>
        <w:t> </w:t>
      </w:r>
      <w:r>
        <w:rPr/>
        <w:t>que</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8" w:lineRule="auto"/>
        <w:ind w:left="102" w:right="166"/>
        <w:jc w:val="both"/>
      </w:pPr>
      <w:r>
        <w:rPr/>
        <w:t>origina un espectro en el infrarrojo, es consecuencia de la elevación de las moléculas al estado más alto siguiente.</w:t>
      </w:r>
    </w:p>
    <w:p>
      <w:pPr>
        <w:pStyle w:val="BodyText"/>
        <w:spacing w:before="4"/>
        <w:rPr>
          <w:sz w:val="27"/>
        </w:rPr>
      </w:pPr>
    </w:p>
    <w:p>
      <w:pPr>
        <w:pStyle w:val="BodyText"/>
        <w:spacing w:line="276" w:lineRule="auto"/>
        <w:ind w:left="102" w:right="154"/>
        <w:jc w:val="both"/>
      </w:pPr>
      <w:r>
        <w:rPr/>
        <w:t>La intensidad de la absorción de radiación infrarroja tiene relación directa con la magnitud del momento dipolar de manera que cuanto mayor es el  momento dipolar más intensa es la absorción. Por ejemplo, la absorción infrarroja de los enlaces O-H es más intensa que la de los enlaces C-H porque los enlaces O-H  son más</w:t>
      </w:r>
      <w:r>
        <w:rPr>
          <w:spacing w:val="-4"/>
        </w:rPr>
        <w:t> </w:t>
      </w:r>
      <w:r>
        <w:rPr/>
        <w:t>polares</w:t>
      </w:r>
    </w:p>
    <w:p>
      <w:pPr>
        <w:pStyle w:val="BodyText"/>
        <w:spacing w:before="4"/>
        <w:rPr>
          <w:sz w:val="27"/>
        </w:rPr>
      </w:pPr>
    </w:p>
    <w:p>
      <w:pPr>
        <w:pStyle w:val="BodyText"/>
        <w:spacing w:line="276" w:lineRule="auto"/>
        <w:ind w:left="102" w:right="154"/>
        <w:jc w:val="both"/>
      </w:pPr>
      <w:r>
        <w:rPr/>
        <w:t>En la zona del espectro con longitudes de onda comprendidas entre 1300-400 cm</w:t>
      </w:r>
      <w:r>
        <w:rPr>
          <w:position w:val="8"/>
          <w:sz w:val="16"/>
        </w:rPr>
        <w:t>- 1</w:t>
      </w:r>
      <w:r>
        <w:rPr/>
        <w:t>, la asignación de bandas de absorción a determinadas vibraciones moleculares es muy difícil de realizar. Esta zona se denomina </w:t>
      </w:r>
      <w:r>
        <w:rPr>
          <w:i/>
        </w:rPr>
        <w:t>huella dactilar</w:t>
      </w:r>
      <w:r>
        <w:rPr/>
        <w:t>, característica de cada compuesto, en la que pequeñas diferencias en la estructura de la molécula dan lugar a variaciones muy importantes en los máximos de absorción [43-46].</w:t>
      </w:r>
    </w:p>
    <w:p>
      <w:pPr>
        <w:pStyle w:val="BodyText"/>
        <w:spacing w:before="6"/>
        <w:rPr>
          <w:sz w:val="27"/>
        </w:rPr>
      </w:pPr>
    </w:p>
    <w:p>
      <w:pPr>
        <w:pStyle w:val="BodyText"/>
        <w:spacing w:line="276" w:lineRule="auto" w:before="1"/>
        <w:ind w:left="102" w:right="114"/>
        <w:jc w:val="both"/>
      </w:pPr>
      <w:r>
        <w:rPr/>
        <w:t>Un espectrómetro por transformada de Fourier consta de tres elementos básicos: una fuente luminosa, un interferómetro de Michelson y un detector. En el espectrómetro un haz colimado, proveniente de una fuente que emite en toda la región infrarroja, incide sobre un divisor de haz. El haz incidente se divide en dos haces perpendiculares de igual energía, uno de los cuales incide sobre el espejo móvil y el otro sobre el espejo fijo. Los haces son reflejados por ambos espejos y se recombinan al llegar al divisor de haz. Esto da lugar a una interferencia, la cual puede ser constructiva o destructiva dependiendo de la posición relativa del espejo móvil con respecto del espejo</w:t>
      </w:r>
      <w:r>
        <w:rPr>
          <w:spacing w:val="-12"/>
        </w:rPr>
        <w:t> </w:t>
      </w:r>
      <w:r>
        <w:rPr/>
        <w:t>fijo.</w:t>
      </w:r>
    </w:p>
    <w:p>
      <w:pPr>
        <w:pStyle w:val="BodyText"/>
        <w:spacing w:before="6"/>
        <w:rPr>
          <w:sz w:val="27"/>
        </w:rPr>
      </w:pPr>
    </w:p>
    <w:p>
      <w:pPr>
        <w:pStyle w:val="BodyText"/>
        <w:spacing w:line="276" w:lineRule="auto" w:before="1"/>
        <w:ind w:left="102" w:right="115"/>
        <w:jc w:val="both"/>
      </w:pPr>
      <w:r>
        <w:rPr/>
        <w:t>El haz resultante pasa a través de la muestra, en donde sucede una absorción selectiva de longitudes de onda y, finalmente, llega al detector. La información recabada por el detector se utiliza para obtener el interferograma, el cual es digitalizado. Una computadora desarrolla el cálculo aproximado de la transformada de Fourier del interferograma [47].</w:t>
      </w:r>
    </w:p>
    <w:p>
      <w:pPr>
        <w:spacing w:after="0" w:line="276" w:lineRule="auto"/>
        <w:jc w:val="both"/>
        <w:sectPr>
          <w:pgSz w:w="12240" w:h="15840"/>
          <w:pgMar w:header="747" w:footer="0" w:top="940" w:bottom="280" w:left="160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66"/>
      </w:pPr>
      <w:r>
        <w:rPr/>
        <w:t>CAPÍTULO 2. DESARROLLO</w:t>
      </w:r>
    </w:p>
    <w:p>
      <w:pPr>
        <w:spacing w:before="97"/>
        <w:ind w:left="4432" w:right="0" w:firstLine="0"/>
        <w:jc w:val="left"/>
        <w:rPr>
          <w:b/>
          <w:sz w:val="56"/>
        </w:rPr>
      </w:pPr>
      <w:r>
        <w:rPr>
          <w:b/>
          <w:sz w:val="56"/>
        </w:rPr>
        <w:t>EXPERIMENTAL</w:t>
      </w:r>
    </w:p>
    <w:p>
      <w:pPr>
        <w:spacing w:after="0"/>
        <w:jc w:val="left"/>
        <w:rPr>
          <w:sz w:val="56"/>
        </w:rPr>
        <w:sectPr>
          <w:pgSz w:w="12240" w:h="15840"/>
          <w:pgMar w:header="747" w:footer="0" w:top="940" w:bottom="280" w:left="1720" w:right="1580"/>
        </w:sectPr>
      </w:pPr>
    </w:p>
    <w:p>
      <w:pPr>
        <w:pStyle w:val="BodyText"/>
        <w:rPr>
          <w:b/>
          <w:sz w:val="20"/>
        </w:rPr>
      </w:pPr>
    </w:p>
    <w:p>
      <w:pPr>
        <w:pStyle w:val="BodyText"/>
        <w:spacing w:before="6"/>
        <w:rPr>
          <w:b/>
          <w:sz w:val="20"/>
        </w:rPr>
      </w:pPr>
    </w:p>
    <w:p>
      <w:pPr>
        <w:pStyle w:val="Heading2"/>
        <w:numPr>
          <w:ilvl w:val="1"/>
          <w:numId w:val="8"/>
        </w:numPr>
        <w:tabs>
          <w:tab w:pos="505" w:val="left" w:leader="none"/>
        </w:tabs>
        <w:spacing w:line="240" w:lineRule="auto" w:before="0" w:after="0"/>
        <w:ind w:left="504" w:right="0" w:hanging="402"/>
        <w:jc w:val="both"/>
      </w:pPr>
      <w:r>
        <w:rPr/>
        <w:t>MATERIALES</w:t>
      </w:r>
    </w:p>
    <w:p>
      <w:pPr>
        <w:pStyle w:val="BodyText"/>
        <w:spacing w:before="3"/>
        <w:rPr>
          <w:b/>
          <w:sz w:val="31"/>
        </w:rPr>
      </w:pPr>
    </w:p>
    <w:p>
      <w:pPr>
        <w:spacing w:before="1"/>
        <w:ind w:left="102" w:right="0" w:firstLine="0"/>
        <w:jc w:val="both"/>
        <w:rPr>
          <w:b/>
          <w:sz w:val="24"/>
        </w:rPr>
      </w:pPr>
      <w:r>
        <w:rPr>
          <w:b/>
          <w:sz w:val="24"/>
        </w:rPr>
        <w:t>Resina Poliéster</w:t>
      </w:r>
    </w:p>
    <w:p>
      <w:pPr>
        <w:pStyle w:val="BodyText"/>
        <w:spacing w:line="276" w:lineRule="auto" w:before="41"/>
        <w:ind w:left="102" w:right="116"/>
        <w:jc w:val="both"/>
      </w:pPr>
      <w:r>
        <w:rPr/>
        <w:t>La resina de poliéster insaturada isoftálica fue proporcionada por la empresa Matexplás localizada en Porto Portugal, comercializada con el nombre A AROPOL IS 4633. Las características se muestran en la Tabla 2.1.</w:t>
      </w:r>
    </w:p>
    <w:p>
      <w:pPr>
        <w:pStyle w:val="BodyText"/>
        <w:spacing w:before="6"/>
        <w:rPr>
          <w:sz w:val="27"/>
        </w:rPr>
      </w:pPr>
    </w:p>
    <w:p>
      <w:pPr>
        <w:pStyle w:val="BodyText"/>
        <w:spacing w:before="1" w:after="43"/>
        <w:ind w:left="1638" w:right="109"/>
      </w:pPr>
      <w:r>
        <w:rPr/>
        <w:t>Tabla 2.1. Propiedades de resina poliéster insaturado.</w:t>
      </w:r>
    </w:p>
    <w:tbl>
      <w:tblPr>
        <w:tblW w:w="0" w:type="auto"/>
        <w:jc w:val="left"/>
        <w:tblInd w:w="1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45"/>
        <w:gridCol w:w="1526"/>
      </w:tblGrid>
      <w:tr>
        <w:trPr>
          <w:trHeight w:val="329" w:hRule="exact"/>
        </w:trPr>
        <w:tc>
          <w:tcPr>
            <w:tcW w:w="3645" w:type="dxa"/>
            <w:tcBorders>
              <w:left w:val="nil"/>
              <w:right w:val="nil"/>
            </w:tcBorders>
          </w:tcPr>
          <w:p>
            <w:pPr>
              <w:pStyle w:val="TableParagraph"/>
              <w:spacing w:line="274" w:lineRule="exact" w:before="0"/>
              <w:ind w:left="105"/>
              <w:rPr>
                <w:b/>
                <w:sz w:val="24"/>
              </w:rPr>
            </w:pPr>
            <w:r>
              <w:rPr>
                <w:b/>
                <w:sz w:val="24"/>
              </w:rPr>
              <w:t>Propiedad</w:t>
            </w:r>
          </w:p>
        </w:tc>
        <w:tc>
          <w:tcPr>
            <w:tcW w:w="1526" w:type="dxa"/>
            <w:tcBorders>
              <w:left w:val="nil"/>
              <w:right w:val="nil"/>
            </w:tcBorders>
          </w:tcPr>
          <w:p>
            <w:pPr>
              <w:pStyle w:val="TableParagraph"/>
              <w:spacing w:line="274" w:lineRule="exact" w:before="0"/>
              <w:ind w:left="311"/>
              <w:rPr>
                <w:b/>
                <w:sz w:val="24"/>
              </w:rPr>
            </w:pPr>
            <w:r>
              <w:rPr>
                <w:b/>
                <w:sz w:val="24"/>
              </w:rPr>
              <w:t>Valores</w:t>
            </w:r>
          </w:p>
        </w:tc>
      </w:tr>
      <w:tr>
        <w:trPr>
          <w:trHeight w:val="312" w:hRule="exact"/>
        </w:trPr>
        <w:tc>
          <w:tcPr>
            <w:tcW w:w="3645" w:type="dxa"/>
            <w:tcBorders>
              <w:left w:val="nil"/>
              <w:bottom w:val="nil"/>
              <w:right w:val="nil"/>
            </w:tcBorders>
          </w:tcPr>
          <w:p>
            <w:pPr>
              <w:pStyle w:val="TableParagraph"/>
              <w:spacing w:line="274" w:lineRule="exact" w:before="0"/>
              <w:ind w:left="105"/>
              <w:rPr>
                <w:sz w:val="24"/>
              </w:rPr>
            </w:pPr>
            <w:r>
              <w:rPr>
                <w:sz w:val="24"/>
              </w:rPr>
              <w:t>Resistencia a la tracción, MPa</w:t>
            </w:r>
          </w:p>
        </w:tc>
        <w:tc>
          <w:tcPr>
            <w:tcW w:w="1526" w:type="dxa"/>
            <w:tcBorders>
              <w:left w:val="nil"/>
              <w:bottom w:val="nil"/>
              <w:right w:val="nil"/>
            </w:tcBorders>
          </w:tcPr>
          <w:p>
            <w:pPr>
              <w:pStyle w:val="TableParagraph"/>
              <w:spacing w:line="274" w:lineRule="exact" w:before="0"/>
              <w:ind w:left="813"/>
              <w:rPr>
                <w:sz w:val="24"/>
              </w:rPr>
            </w:pPr>
            <w:r>
              <w:rPr>
                <w:sz w:val="24"/>
              </w:rPr>
              <w:t>60</w:t>
            </w:r>
          </w:p>
        </w:tc>
      </w:tr>
      <w:tr>
        <w:trPr>
          <w:trHeight w:val="317" w:hRule="exact"/>
        </w:trPr>
        <w:tc>
          <w:tcPr>
            <w:tcW w:w="3645" w:type="dxa"/>
            <w:tcBorders>
              <w:top w:val="nil"/>
              <w:left w:val="nil"/>
              <w:bottom w:val="nil"/>
              <w:right w:val="nil"/>
            </w:tcBorders>
          </w:tcPr>
          <w:p>
            <w:pPr>
              <w:pStyle w:val="TableParagraph"/>
              <w:ind w:left="105"/>
              <w:rPr>
                <w:sz w:val="24"/>
              </w:rPr>
            </w:pPr>
            <w:r>
              <w:rPr>
                <w:sz w:val="24"/>
              </w:rPr>
              <w:t>Módulo a la tracción, GPa</w:t>
            </w:r>
          </w:p>
        </w:tc>
        <w:tc>
          <w:tcPr>
            <w:tcW w:w="1526" w:type="dxa"/>
            <w:tcBorders>
              <w:top w:val="nil"/>
              <w:left w:val="nil"/>
              <w:bottom w:val="nil"/>
              <w:right w:val="nil"/>
            </w:tcBorders>
          </w:tcPr>
          <w:p>
            <w:pPr>
              <w:pStyle w:val="TableParagraph"/>
              <w:ind w:left="779"/>
              <w:rPr>
                <w:sz w:val="24"/>
              </w:rPr>
            </w:pPr>
            <w:r>
              <w:rPr>
                <w:sz w:val="24"/>
              </w:rPr>
              <w:t>4.1</w:t>
            </w:r>
          </w:p>
        </w:tc>
      </w:tr>
      <w:tr>
        <w:trPr>
          <w:trHeight w:val="318" w:hRule="exact"/>
        </w:trPr>
        <w:tc>
          <w:tcPr>
            <w:tcW w:w="3645" w:type="dxa"/>
            <w:tcBorders>
              <w:top w:val="nil"/>
              <w:left w:val="nil"/>
              <w:bottom w:val="nil"/>
              <w:right w:val="nil"/>
            </w:tcBorders>
          </w:tcPr>
          <w:p>
            <w:pPr>
              <w:pStyle w:val="TableParagraph"/>
              <w:spacing w:before="8"/>
              <w:ind w:left="105"/>
              <w:rPr>
                <w:sz w:val="24"/>
              </w:rPr>
            </w:pPr>
            <w:r>
              <w:rPr>
                <w:sz w:val="24"/>
              </w:rPr>
              <w:t>Elongación a la ruptura, %</w:t>
            </w:r>
          </w:p>
        </w:tc>
        <w:tc>
          <w:tcPr>
            <w:tcW w:w="1526" w:type="dxa"/>
            <w:tcBorders>
              <w:top w:val="nil"/>
              <w:left w:val="nil"/>
              <w:bottom w:val="nil"/>
              <w:right w:val="nil"/>
            </w:tcBorders>
          </w:tcPr>
          <w:p>
            <w:pPr>
              <w:pStyle w:val="TableParagraph"/>
              <w:spacing w:before="8"/>
              <w:ind w:left="779"/>
              <w:rPr>
                <w:sz w:val="24"/>
              </w:rPr>
            </w:pPr>
            <w:r>
              <w:rPr>
                <w:sz w:val="24"/>
              </w:rPr>
              <w:t>3.2</w:t>
            </w:r>
          </w:p>
        </w:tc>
      </w:tr>
      <w:tr>
        <w:trPr>
          <w:trHeight w:val="318" w:hRule="exact"/>
        </w:trPr>
        <w:tc>
          <w:tcPr>
            <w:tcW w:w="3645" w:type="dxa"/>
            <w:tcBorders>
              <w:top w:val="nil"/>
              <w:left w:val="nil"/>
              <w:bottom w:val="nil"/>
              <w:right w:val="nil"/>
            </w:tcBorders>
          </w:tcPr>
          <w:p>
            <w:pPr>
              <w:pStyle w:val="TableParagraph"/>
              <w:spacing w:before="9"/>
              <w:ind w:left="105"/>
              <w:rPr>
                <w:sz w:val="24"/>
              </w:rPr>
            </w:pPr>
            <w:r>
              <w:rPr>
                <w:sz w:val="24"/>
              </w:rPr>
              <w:t>Resistencia a la Flexión, MPa</w:t>
            </w:r>
          </w:p>
        </w:tc>
        <w:tc>
          <w:tcPr>
            <w:tcW w:w="1526" w:type="dxa"/>
            <w:tcBorders>
              <w:top w:val="nil"/>
              <w:left w:val="nil"/>
              <w:bottom w:val="nil"/>
              <w:right w:val="nil"/>
            </w:tcBorders>
          </w:tcPr>
          <w:p>
            <w:pPr>
              <w:pStyle w:val="TableParagraph"/>
              <w:spacing w:before="9"/>
              <w:ind w:left="714"/>
              <w:rPr>
                <w:sz w:val="24"/>
              </w:rPr>
            </w:pPr>
            <w:r>
              <w:rPr>
                <w:sz w:val="24"/>
              </w:rPr>
              <w:t>105</w:t>
            </w:r>
          </w:p>
        </w:tc>
      </w:tr>
      <w:tr>
        <w:trPr>
          <w:trHeight w:val="317" w:hRule="exact"/>
        </w:trPr>
        <w:tc>
          <w:tcPr>
            <w:tcW w:w="3645" w:type="dxa"/>
            <w:tcBorders>
              <w:top w:val="nil"/>
              <w:left w:val="nil"/>
              <w:bottom w:val="nil"/>
              <w:right w:val="nil"/>
            </w:tcBorders>
          </w:tcPr>
          <w:p>
            <w:pPr>
              <w:pStyle w:val="TableParagraph"/>
              <w:ind w:left="105"/>
              <w:rPr>
                <w:sz w:val="24"/>
              </w:rPr>
            </w:pPr>
            <w:r>
              <w:rPr>
                <w:sz w:val="24"/>
              </w:rPr>
              <w:t>Módulo a la Flexión, GPa</w:t>
            </w:r>
          </w:p>
        </w:tc>
        <w:tc>
          <w:tcPr>
            <w:tcW w:w="1526" w:type="dxa"/>
            <w:tcBorders>
              <w:top w:val="nil"/>
              <w:left w:val="nil"/>
              <w:bottom w:val="nil"/>
              <w:right w:val="nil"/>
            </w:tcBorders>
          </w:tcPr>
          <w:p>
            <w:pPr>
              <w:pStyle w:val="TableParagraph"/>
              <w:ind w:left="779"/>
              <w:rPr>
                <w:sz w:val="24"/>
              </w:rPr>
            </w:pPr>
            <w:r>
              <w:rPr>
                <w:sz w:val="24"/>
              </w:rPr>
              <w:t>3.8</w:t>
            </w:r>
          </w:p>
        </w:tc>
      </w:tr>
      <w:tr>
        <w:trPr>
          <w:trHeight w:val="331" w:hRule="exact"/>
        </w:trPr>
        <w:tc>
          <w:tcPr>
            <w:tcW w:w="3645" w:type="dxa"/>
            <w:tcBorders>
              <w:top w:val="nil"/>
              <w:left w:val="nil"/>
              <w:right w:val="nil"/>
            </w:tcBorders>
          </w:tcPr>
          <w:p>
            <w:pPr>
              <w:pStyle w:val="TableParagraph"/>
              <w:ind w:left="105"/>
              <w:rPr>
                <w:sz w:val="24"/>
              </w:rPr>
            </w:pPr>
            <w:r>
              <w:rPr>
                <w:sz w:val="24"/>
              </w:rPr>
              <w:t>Dureza Barcol</w:t>
            </w:r>
          </w:p>
        </w:tc>
        <w:tc>
          <w:tcPr>
            <w:tcW w:w="1526" w:type="dxa"/>
            <w:tcBorders>
              <w:top w:val="nil"/>
              <w:left w:val="nil"/>
              <w:right w:val="nil"/>
            </w:tcBorders>
          </w:tcPr>
          <w:p>
            <w:pPr>
              <w:pStyle w:val="TableParagraph"/>
              <w:ind w:left="813"/>
              <w:rPr>
                <w:sz w:val="24"/>
              </w:rPr>
            </w:pPr>
            <w:r>
              <w:rPr>
                <w:sz w:val="24"/>
              </w:rPr>
              <w:t>45</w:t>
            </w:r>
          </w:p>
        </w:tc>
      </w:tr>
    </w:tbl>
    <w:p>
      <w:pPr>
        <w:pStyle w:val="BodyText"/>
        <w:rPr>
          <w:sz w:val="20"/>
        </w:rPr>
      </w:pPr>
    </w:p>
    <w:p>
      <w:pPr>
        <w:pStyle w:val="BodyText"/>
        <w:spacing w:before="1"/>
        <w:rPr>
          <w:sz w:val="29"/>
        </w:rPr>
      </w:pPr>
    </w:p>
    <w:p>
      <w:pPr>
        <w:pStyle w:val="Heading2"/>
        <w:spacing w:before="69"/>
        <w:ind w:left="102" w:right="2220"/>
        <w:jc w:val="left"/>
      </w:pPr>
      <w:r>
        <w:rPr/>
        <w:t>Arena Sílice</w:t>
      </w:r>
    </w:p>
    <w:p>
      <w:pPr>
        <w:pStyle w:val="BodyText"/>
        <w:spacing w:before="1"/>
        <w:rPr>
          <w:b/>
          <w:sz w:val="31"/>
        </w:rPr>
      </w:pPr>
    </w:p>
    <w:p>
      <w:pPr>
        <w:pStyle w:val="BodyText"/>
        <w:spacing w:line="278" w:lineRule="auto"/>
        <w:ind w:left="102" w:right="109"/>
      </w:pPr>
      <w:r>
        <w:rPr/>
        <w:t>La arena Sílice utilizada en la elaboración de los concretos poliméricos es comercializada con el nombre SP55, con las siguientes características.</w:t>
      </w:r>
    </w:p>
    <w:p>
      <w:pPr>
        <w:pStyle w:val="BodyText"/>
        <w:spacing w:before="4"/>
        <w:rPr>
          <w:sz w:val="27"/>
        </w:rPr>
      </w:pPr>
    </w:p>
    <w:p>
      <w:pPr>
        <w:pStyle w:val="BodyText"/>
        <w:spacing w:after="43"/>
        <w:ind w:left="2286" w:right="2220"/>
      </w:pPr>
      <w:r>
        <w:rPr/>
        <w:t>Tabla 2.2. Composición de la arena sílice.</w:t>
      </w:r>
    </w:p>
    <w:tbl>
      <w:tblPr>
        <w:tblW w:w="0" w:type="auto"/>
        <w:jc w:val="left"/>
        <w:tblInd w:w="30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5"/>
        <w:gridCol w:w="1113"/>
      </w:tblGrid>
      <w:tr>
        <w:trPr>
          <w:trHeight w:val="329" w:hRule="exact"/>
        </w:trPr>
        <w:tc>
          <w:tcPr>
            <w:tcW w:w="1885" w:type="dxa"/>
            <w:tcBorders>
              <w:left w:val="nil"/>
              <w:right w:val="nil"/>
            </w:tcBorders>
          </w:tcPr>
          <w:p>
            <w:pPr>
              <w:pStyle w:val="TableParagraph"/>
              <w:spacing w:before="0"/>
              <w:ind w:left="144"/>
              <w:rPr>
                <w:b/>
                <w:sz w:val="24"/>
              </w:rPr>
            </w:pPr>
            <w:r>
              <w:rPr>
                <w:b/>
                <w:sz w:val="24"/>
              </w:rPr>
              <w:t>Composición</w:t>
            </w:r>
          </w:p>
        </w:tc>
        <w:tc>
          <w:tcPr>
            <w:tcW w:w="1113" w:type="dxa"/>
            <w:tcBorders>
              <w:left w:val="nil"/>
              <w:right w:val="nil"/>
            </w:tcBorders>
          </w:tcPr>
          <w:p>
            <w:pPr>
              <w:pStyle w:val="TableParagraph"/>
              <w:spacing w:before="0"/>
              <w:ind w:left="0" w:right="73"/>
              <w:jc w:val="center"/>
              <w:rPr>
                <w:b/>
                <w:sz w:val="24"/>
              </w:rPr>
            </w:pPr>
            <w:r>
              <w:rPr>
                <w:b/>
                <w:w w:val="99"/>
                <w:sz w:val="24"/>
              </w:rPr>
              <w:t>%</w:t>
            </w:r>
          </w:p>
        </w:tc>
      </w:tr>
      <w:tr>
        <w:trPr>
          <w:trHeight w:val="312" w:hRule="exact"/>
        </w:trPr>
        <w:tc>
          <w:tcPr>
            <w:tcW w:w="1885" w:type="dxa"/>
            <w:tcBorders>
              <w:left w:val="nil"/>
              <w:bottom w:val="nil"/>
              <w:right w:val="nil"/>
            </w:tcBorders>
          </w:tcPr>
          <w:p>
            <w:pPr>
              <w:pStyle w:val="TableParagraph"/>
              <w:spacing w:line="274" w:lineRule="exact" w:before="0"/>
              <w:ind w:left="105"/>
              <w:rPr>
                <w:sz w:val="24"/>
              </w:rPr>
            </w:pPr>
            <w:r>
              <w:rPr>
                <w:sz w:val="24"/>
              </w:rPr>
              <w:t>SiO2</w:t>
            </w:r>
          </w:p>
        </w:tc>
        <w:tc>
          <w:tcPr>
            <w:tcW w:w="1113" w:type="dxa"/>
            <w:tcBorders>
              <w:left w:val="nil"/>
              <w:bottom w:val="nil"/>
              <w:right w:val="nil"/>
            </w:tcBorders>
          </w:tcPr>
          <w:p>
            <w:pPr>
              <w:pStyle w:val="TableParagraph"/>
              <w:spacing w:line="274" w:lineRule="exact" w:before="0"/>
              <w:ind w:left="220"/>
              <w:rPr>
                <w:sz w:val="24"/>
              </w:rPr>
            </w:pPr>
            <w:r>
              <w:rPr>
                <w:sz w:val="24"/>
              </w:rPr>
              <w:t>99.00</w:t>
            </w:r>
          </w:p>
        </w:tc>
      </w:tr>
      <w:tr>
        <w:trPr>
          <w:trHeight w:val="317" w:hRule="exact"/>
        </w:trPr>
        <w:tc>
          <w:tcPr>
            <w:tcW w:w="1885" w:type="dxa"/>
            <w:tcBorders>
              <w:top w:val="nil"/>
              <w:left w:val="nil"/>
              <w:bottom w:val="nil"/>
              <w:right w:val="nil"/>
            </w:tcBorders>
          </w:tcPr>
          <w:p>
            <w:pPr>
              <w:pStyle w:val="TableParagraph"/>
              <w:ind w:left="105"/>
              <w:rPr>
                <w:sz w:val="24"/>
              </w:rPr>
            </w:pPr>
            <w:r>
              <w:rPr>
                <w:sz w:val="24"/>
              </w:rPr>
              <w:t>Al2O3</w:t>
            </w:r>
          </w:p>
        </w:tc>
        <w:tc>
          <w:tcPr>
            <w:tcW w:w="1113" w:type="dxa"/>
            <w:tcBorders>
              <w:top w:val="nil"/>
              <w:left w:val="nil"/>
              <w:bottom w:val="nil"/>
              <w:right w:val="nil"/>
            </w:tcBorders>
          </w:tcPr>
          <w:p>
            <w:pPr>
              <w:pStyle w:val="TableParagraph"/>
              <w:ind w:left="388"/>
              <w:rPr>
                <w:sz w:val="24"/>
              </w:rPr>
            </w:pPr>
            <w:r>
              <w:rPr>
                <w:sz w:val="24"/>
              </w:rPr>
              <w:t>0.40</w:t>
            </w:r>
          </w:p>
        </w:tc>
      </w:tr>
      <w:tr>
        <w:trPr>
          <w:trHeight w:val="318" w:hRule="exact"/>
        </w:trPr>
        <w:tc>
          <w:tcPr>
            <w:tcW w:w="1885" w:type="dxa"/>
            <w:tcBorders>
              <w:top w:val="nil"/>
              <w:left w:val="nil"/>
              <w:bottom w:val="nil"/>
              <w:right w:val="nil"/>
            </w:tcBorders>
          </w:tcPr>
          <w:p>
            <w:pPr>
              <w:pStyle w:val="TableParagraph"/>
              <w:ind w:left="105"/>
              <w:rPr>
                <w:sz w:val="24"/>
              </w:rPr>
            </w:pPr>
            <w:r>
              <w:rPr>
                <w:sz w:val="24"/>
              </w:rPr>
              <w:t>TiO2</w:t>
            </w:r>
          </w:p>
        </w:tc>
        <w:tc>
          <w:tcPr>
            <w:tcW w:w="1113" w:type="dxa"/>
            <w:tcBorders>
              <w:top w:val="nil"/>
              <w:left w:val="nil"/>
              <w:bottom w:val="nil"/>
              <w:right w:val="nil"/>
            </w:tcBorders>
          </w:tcPr>
          <w:p>
            <w:pPr>
              <w:pStyle w:val="TableParagraph"/>
              <w:ind w:left="388"/>
              <w:rPr>
                <w:sz w:val="24"/>
              </w:rPr>
            </w:pPr>
            <w:r>
              <w:rPr>
                <w:sz w:val="24"/>
              </w:rPr>
              <w:t>0.10</w:t>
            </w:r>
          </w:p>
        </w:tc>
      </w:tr>
      <w:tr>
        <w:trPr>
          <w:trHeight w:val="318" w:hRule="exact"/>
        </w:trPr>
        <w:tc>
          <w:tcPr>
            <w:tcW w:w="1885" w:type="dxa"/>
            <w:tcBorders>
              <w:top w:val="nil"/>
              <w:left w:val="nil"/>
              <w:bottom w:val="nil"/>
              <w:right w:val="nil"/>
            </w:tcBorders>
          </w:tcPr>
          <w:p>
            <w:pPr>
              <w:pStyle w:val="TableParagraph"/>
              <w:spacing w:before="9"/>
              <w:ind w:left="105"/>
              <w:rPr>
                <w:sz w:val="24"/>
              </w:rPr>
            </w:pPr>
            <w:r>
              <w:rPr>
                <w:sz w:val="24"/>
              </w:rPr>
              <w:t>Fe2O3</w:t>
            </w:r>
          </w:p>
        </w:tc>
        <w:tc>
          <w:tcPr>
            <w:tcW w:w="1113" w:type="dxa"/>
            <w:tcBorders>
              <w:top w:val="nil"/>
              <w:left w:val="nil"/>
              <w:bottom w:val="nil"/>
              <w:right w:val="nil"/>
            </w:tcBorders>
          </w:tcPr>
          <w:p>
            <w:pPr>
              <w:pStyle w:val="TableParagraph"/>
              <w:spacing w:before="9"/>
              <w:ind w:left="388"/>
              <w:rPr>
                <w:sz w:val="24"/>
              </w:rPr>
            </w:pPr>
            <w:r>
              <w:rPr>
                <w:sz w:val="24"/>
              </w:rPr>
              <w:t>0.07</w:t>
            </w:r>
          </w:p>
        </w:tc>
      </w:tr>
      <w:tr>
        <w:trPr>
          <w:trHeight w:val="317" w:hRule="exact"/>
        </w:trPr>
        <w:tc>
          <w:tcPr>
            <w:tcW w:w="1885" w:type="dxa"/>
            <w:tcBorders>
              <w:top w:val="nil"/>
              <w:left w:val="nil"/>
              <w:bottom w:val="nil"/>
              <w:right w:val="nil"/>
            </w:tcBorders>
          </w:tcPr>
          <w:p>
            <w:pPr>
              <w:pStyle w:val="TableParagraph"/>
              <w:ind w:left="105"/>
              <w:rPr>
                <w:sz w:val="24"/>
              </w:rPr>
            </w:pPr>
            <w:r>
              <w:rPr>
                <w:sz w:val="24"/>
              </w:rPr>
              <w:t>K2O</w:t>
            </w:r>
          </w:p>
        </w:tc>
        <w:tc>
          <w:tcPr>
            <w:tcW w:w="1113" w:type="dxa"/>
            <w:tcBorders>
              <w:top w:val="nil"/>
              <w:left w:val="nil"/>
              <w:bottom w:val="nil"/>
              <w:right w:val="nil"/>
            </w:tcBorders>
          </w:tcPr>
          <w:p>
            <w:pPr>
              <w:pStyle w:val="TableParagraph"/>
              <w:ind w:left="388"/>
              <w:rPr>
                <w:sz w:val="24"/>
              </w:rPr>
            </w:pPr>
            <w:r>
              <w:rPr>
                <w:sz w:val="24"/>
              </w:rPr>
              <w:t>0.007</w:t>
            </w:r>
          </w:p>
        </w:tc>
      </w:tr>
      <w:tr>
        <w:trPr>
          <w:trHeight w:val="317" w:hRule="exact"/>
        </w:trPr>
        <w:tc>
          <w:tcPr>
            <w:tcW w:w="1885" w:type="dxa"/>
            <w:tcBorders>
              <w:top w:val="nil"/>
              <w:left w:val="nil"/>
              <w:bottom w:val="nil"/>
              <w:right w:val="nil"/>
            </w:tcBorders>
          </w:tcPr>
          <w:p>
            <w:pPr>
              <w:pStyle w:val="TableParagraph"/>
              <w:ind w:left="105"/>
              <w:rPr>
                <w:sz w:val="24"/>
              </w:rPr>
            </w:pPr>
            <w:r>
              <w:rPr>
                <w:sz w:val="24"/>
              </w:rPr>
              <w:t>Na2O</w:t>
            </w:r>
          </w:p>
        </w:tc>
        <w:tc>
          <w:tcPr>
            <w:tcW w:w="1113" w:type="dxa"/>
            <w:tcBorders>
              <w:top w:val="nil"/>
              <w:left w:val="nil"/>
              <w:bottom w:val="nil"/>
              <w:right w:val="nil"/>
            </w:tcBorders>
          </w:tcPr>
          <w:p>
            <w:pPr>
              <w:pStyle w:val="TableParagraph"/>
              <w:ind w:left="388"/>
              <w:rPr>
                <w:sz w:val="24"/>
              </w:rPr>
            </w:pPr>
            <w:r>
              <w:rPr>
                <w:sz w:val="24"/>
              </w:rPr>
              <w:t>0.05</w:t>
            </w:r>
          </w:p>
        </w:tc>
      </w:tr>
      <w:tr>
        <w:trPr>
          <w:trHeight w:val="318" w:hRule="exact"/>
        </w:trPr>
        <w:tc>
          <w:tcPr>
            <w:tcW w:w="1885" w:type="dxa"/>
            <w:tcBorders>
              <w:top w:val="nil"/>
              <w:left w:val="nil"/>
              <w:bottom w:val="nil"/>
              <w:right w:val="nil"/>
            </w:tcBorders>
          </w:tcPr>
          <w:p>
            <w:pPr>
              <w:pStyle w:val="TableParagraph"/>
              <w:ind w:left="105"/>
              <w:rPr>
                <w:sz w:val="24"/>
              </w:rPr>
            </w:pPr>
            <w:r>
              <w:rPr>
                <w:sz w:val="24"/>
              </w:rPr>
              <w:t>CaO</w:t>
            </w:r>
          </w:p>
        </w:tc>
        <w:tc>
          <w:tcPr>
            <w:tcW w:w="1113" w:type="dxa"/>
            <w:tcBorders>
              <w:top w:val="nil"/>
              <w:left w:val="nil"/>
              <w:bottom w:val="nil"/>
              <w:right w:val="nil"/>
            </w:tcBorders>
          </w:tcPr>
          <w:p>
            <w:pPr>
              <w:pStyle w:val="TableParagraph"/>
              <w:ind w:left="388"/>
              <w:rPr>
                <w:sz w:val="24"/>
              </w:rPr>
            </w:pPr>
            <w:r>
              <w:rPr>
                <w:sz w:val="24"/>
              </w:rPr>
              <w:t>0.03</w:t>
            </w:r>
          </w:p>
        </w:tc>
      </w:tr>
      <w:tr>
        <w:trPr>
          <w:trHeight w:val="332" w:hRule="exact"/>
        </w:trPr>
        <w:tc>
          <w:tcPr>
            <w:tcW w:w="1885" w:type="dxa"/>
            <w:tcBorders>
              <w:top w:val="nil"/>
              <w:left w:val="nil"/>
              <w:right w:val="nil"/>
            </w:tcBorders>
          </w:tcPr>
          <w:p>
            <w:pPr>
              <w:pStyle w:val="TableParagraph"/>
              <w:spacing w:before="9"/>
              <w:ind w:left="105"/>
              <w:rPr>
                <w:sz w:val="24"/>
              </w:rPr>
            </w:pPr>
            <w:r>
              <w:rPr>
                <w:sz w:val="24"/>
              </w:rPr>
              <w:t>MgO</w:t>
            </w:r>
          </w:p>
        </w:tc>
        <w:tc>
          <w:tcPr>
            <w:tcW w:w="1113" w:type="dxa"/>
            <w:tcBorders>
              <w:top w:val="nil"/>
              <w:left w:val="nil"/>
              <w:right w:val="nil"/>
            </w:tcBorders>
          </w:tcPr>
          <w:p>
            <w:pPr>
              <w:pStyle w:val="TableParagraph"/>
              <w:spacing w:before="9"/>
              <w:ind w:left="388"/>
              <w:rPr>
                <w:sz w:val="24"/>
              </w:rPr>
            </w:pPr>
            <w:r>
              <w:rPr>
                <w:sz w:val="24"/>
              </w:rPr>
              <w:t>0.03</w:t>
            </w:r>
          </w:p>
        </w:tc>
      </w:tr>
    </w:tbl>
    <w:p>
      <w:pPr>
        <w:pStyle w:val="BodyText"/>
        <w:rPr>
          <w:sz w:val="20"/>
        </w:rPr>
      </w:pPr>
    </w:p>
    <w:p>
      <w:pPr>
        <w:pStyle w:val="BodyText"/>
        <w:spacing w:before="1"/>
        <w:rPr>
          <w:sz w:val="29"/>
        </w:rPr>
      </w:pPr>
    </w:p>
    <w:p>
      <w:pPr>
        <w:pStyle w:val="BodyText"/>
        <w:spacing w:before="70" w:after="43"/>
        <w:ind w:left="1930" w:right="109"/>
      </w:pPr>
      <w:r>
        <w:rPr/>
        <w:t>Tabla 2.3. Propiedades físicas de la arena sílice.</w:t>
      </w:r>
    </w:p>
    <w:tbl>
      <w:tblPr>
        <w:tblW w:w="0" w:type="auto"/>
        <w:jc w:val="left"/>
        <w:tblInd w:w="2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81"/>
        <w:gridCol w:w="1093"/>
      </w:tblGrid>
      <w:tr>
        <w:trPr>
          <w:trHeight w:val="326" w:hRule="exact"/>
        </w:trPr>
        <w:tc>
          <w:tcPr>
            <w:tcW w:w="3581" w:type="dxa"/>
            <w:tcBorders>
              <w:left w:val="nil"/>
              <w:right w:val="nil"/>
            </w:tcBorders>
          </w:tcPr>
          <w:p>
            <w:pPr>
              <w:pStyle w:val="TableParagraph"/>
              <w:spacing w:line="274" w:lineRule="exact" w:before="0"/>
              <w:ind w:left="1186" w:right="1181"/>
              <w:jc w:val="center"/>
              <w:rPr>
                <w:b/>
                <w:sz w:val="24"/>
              </w:rPr>
            </w:pPr>
            <w:r>
              <w:rPr>
                <w:b/>
                <w:sz w:val="24"/>
              </w:rPr>
              <w:t>Propiedad</w:t>
            </w:r>
          </w:p>
        </w:tc>
        <w:tc>
          <w:tcPr>
            <w:tcW w:w="1093" w:type="dxa"/>
            <w:tcBorders>
              <w:left w:val="nil"/>
              <w:right w:val="nil"/>
            </w:tcBorders>
          </w:tcPr>
          <w:p>
            <w:pPr>
              <w:pStyle w:val="TableParagraph"/>
              <w:spacing w:line="274" w:lineRule="exact" w:before="0"/>
              <w:ind w:left="116"/>
              <w:rPr>
                <w:b/>
                <w:sz w:val="24"/>
              </w:rPr>
            </w:pPr>
            <w:r>
              <w:rPr>
                <w:b/>
                <w:sz w:val="24"/>
              </w:rPr>
              <w:t>Valores</w:t>
            </w:r>
          </w:p>
        </w:tc>
      </w:tr>
      <w:tr>
        <w:trPr>
          <w:trHeight w:val="306" w:hRule="exact"/>
        </w:trPr>
        <w:tc>
          <w:tcPr>
            <w:tcW w:w="3581" w:type="dxa"/>
            <w:tcBorders>
              <w:left w:val="nil"/>
              <w:bottom w:val="nil"/>
              <w:right w:val="nil"/>
            </w:tcBorders>
          </w:tcPr>
          <w:p>
            <w:pPr>
              <w:pStyle w:val="TableParagraph"/>
              <w:spacing w:line="274" w:lineRule="exact" w:before="0"/>
              <w:ind w:left="106"/>
              <w:rPr>
                <w:sz w:val="24"/>
              </w:rPr>
            </w:pPr>
            <w:r>
              <w:rPr>
                <w:sz w:val="24"/>
              </w:rPr>
              <w:t>Densidad aparente,</w:t>
            </w:r>
            <w:r>
              <w:rPr>
                <w:spacing w:val="62"/>
                <w:sz w:val="24"/>
              </w:rPr>
              <w:t> </w:t>
            </w:r>
            <w:r>
              <w:rPr>
                <w:sz w:val="24"/>
              </w:rPr>
              <w:t>(g/cm</w:t>
            </w:r>
            <w:r>
              <w:rPr>
                <w:position w:val="8"/>
                <w:sz w:val="16"/>
              </w:rPr>
              <w:t>3</w:t>
            </w:r>
            <w:r>
              <w:rPr>
                <w:sz w:val="24"/>
              </w:rPr>
              <w:t>)</w:t>
            </w:r>
          </w:p>
        </w:tc>
        <w:tc>
          <w:tcPr>
            <w:tcW w:w="1093" w:type="dxa"/>
            <w:tcBorders>
              <w:left w:val="nil"/>
              <w:bottom w:val="nil"/>
              <w:right w:val="nil"/>
            </w:tcBorders>
          </w:tcPr>
          <w:p>
            <w:pPr>
              <w:pStyle w:val="TableParagraph"/>
              <w:spacing w:line="274" w:lineRule="exact" w:before="0"/>
              <w:ind w:left="384"/>
              <w:rPr>
                <w:sz w:val="24"/>
              </w:rPr>
            </w:pPr>
            <w:r>
              <w:rPr>
                <w:sz w:val="24"/>
              </w:rPr>
              <w:t>1.56</w:t>
            </w:r>
          </w:p>
        </w:tc>
      </w:tr>
      <w:tr>
        <w:trPr>
          <w:trHeight w:val="326" w:hRule="exact"/>
        </w:trPr>
        <w:tc>
          <w:tcPr>
            <w:tcW w:w="3581" w:type="dxa"/>
            <w:tcBorders>
              <w:top w:val="nil"/>
              <w:left w:val="nil"/>
              <w:bottom w:val="nil"/>
              <w:right w:val="nil"/>
            </w:tcBorders>
          </w:tcPr>
          <w:p>
            <w:pPr>
              <w:pStyle w:val="TableParagraph"/>
              <w:spacing w:before="11"/>
              <w:ind w:left="106"/>
              <w:rPr>
                <w:sz w:val="24"/>
              </w:rPr>
            </w:pPr>
            <w:r>
              <w:rPr>
                <w:sz w:val="24"/>
              </w:rPr>
              <w:t>Densidad de partículas, (g/cm</w:t>
            </w:r>
            <w:r>
              <w:rPr>
                <w:position w:val="8"/>
                <w:sz w:val="16"/>
              </w:rPr>
              <w:t>3</w:t>
            </w:r>
            <w:r>
              <w:rPr>
                <w:sz w:val="24"/>
              </w:rPr>
              <w:t>)</w:t>
            </w:r>
          </w:p>
        </w:tc>
        <w:tc>
          <w:tcPr>
            <w:tcW w:w="1093" w:type="dxa"/>
            <w:tcBorders>
              <w:top w:val="nil"/>
              <w:left w:val="nil"/>
              <w:bottom w:val="nil"/>
              <w:right w:val="nil"/>
            </w:tcBorders>
          </w:tcPr>
          <w:p>
            <w:pPr>
              <w:pStyle w:val="TableParagraph"/>
              <w:spacing w:before="16"/>
              <w:ind w:left="361" w:right="355"/>
              <w:jc w:val="center"/>
              <w:rPr>
                <w:sz w:val="24"/>
              </w:rPr>
            </w:pPr>
            <w:r>
              <w:rPr>
                <w:sz w:val="24"/>
              </w:rPr>
              <w:t>2.6</w:t>
            </w:r>
          </w:p>
        </w:tc>
      </w:tr>
      <w:tr>
        <w:trPr>
          <w:trHeight w:val="317" w:hRule="exact"/>
        </w:trPr>
        <w:tc>
          <w:tcPr>
            <w:tcW w:w="3581" w:type="dxa"/>
            <w:tcBorders>
              <w:top w:val="nil"/>
              <w:left w:val="nil"/>
              <w:bottom w:val="nil"/>
              <w:right w:val="nil"/>
            </w:tcBorders>
          </w:tcPr>
          <w:p>
            <w:pPr>
              <w:pStyle w:val="TableParagraph"/>
              <w:ind w:left="106"/>
              <w:rPr>
                <w:sz w:val="24"/>
              </w:rPr>
            </w:pPr>
            <w:r>
              <w:rPr>
                <w:sz w:val="24"/>
              </w:rPr>
              <w:t>Dureza (escala de Mohs)</w:t>
            </w:r>
          </w:p>
        </w:tc>
        <w:tc>
          <w:tcPr>
            <w:tcW w:w="1093" w:type="dxa"/>
            <w:tcBorders>
              <w:top w:val="nil"/>
              <w:left w:val="nil"/>
              <w:bottom w:val="nil"/>
              <w:right w:val="nil"/>
            </w:tcBorders>
          </w:tcPr>
          <w:p>
            <w:pPr>
              <w:pStyle w:val="TableParagraph"/>
              <w:ind w:left="362" w:right="353"/>
              <w:jc w:val="center"/>
              <w:rPr>
                <w:sz w:val="24"/>
              </w:rPr>
            </w:pPr>
            <w:r>
              <w:rPr>
                <w:sz w:val="24"/>
              </w:rPr>
              <w:t>7.0</w:t>
            </w:r>
          </w:p>
        </w:tc>
      </w:tr>
      <w:tr>
        <w:trPr>
          <w:trHeight w:val="331" w:hRule="exact"/>
        </w:trPr>
        <w:tc>
          <w:tcPr>
            <w:tcW w:w="3581" w:type="dxa"/>
            <w:tcBorders>
              <w:top w:val="nil"/>
              <w:left w:val="nil"/>
              <w:right w:val="nil"/>
            </w:tcBorders>
          </w:tcPr>
          <w:p>
            <w:pPr>
              <w:pStyle w:val="TableParagraph"/>
              <w:ind w:left="106"/>
              <w:rPr>
                <w:sz w:val="24"/>
              </w:rPr>
            </w:pPr>
            <w:r>
              <w:rPr>
                <w:sz w:val="24"/>
              </w:rPr>
              <w:t>Diámetro promedio D50, (µm)</w:t>
            </w:r>
          </w:p>
        </w:tc>
        <w:tc>
          <w:tcPr>
            <w:tcW w:w="1093" w:type="dxa"/>
            <w:tcBorders>
              <w:top w:val="nil"/>
              <w:left w:val="nil"/>
              <w:right w:val="nil"/>
            </w:tcBorders>
          </w:tcPr>
          <w:p>
            <w:pPr>
              <w:pStyle w:val="TableParagraph"/>
              <w:ind w:left="348"/>
              <w:rPr>
                <w:sz w:val="24"/>
              </w:rPr>
            </w:pPr>
            <w:r>
              <w:rPr>
                <w:sz w:val="24"/>
              </w:rPr>
              <w:t>245</w:t>
            </w:r>
          </w:p>
        </w:tc>
      </w:tr>
    </w:tbl>
    <w:p>
      <w:pPr>
        <w:spacing w:after="0"/>
        <w:rPr>
          <w:sz w:val="24"/>
        </w:rPr>
        <w:sectPr>
          <w:pgSz w:w="12240" w:h="15840"/>
          <w:pgMar w:header="747" w:footer="0" w:top="940" w:bottom="280" w:left="1600" w:right="1580"/>
        </w:sectPr>
      </w:pPr>
    </w:p>
    <w:p>
      <w:pPr>
        <w:pStyle w:val="BodyText"/>
        <w:rPr>
          <w:sz w:val="20"/>
        </w:rPr>
      </w:pPr>
    </w:p>
    <w:p>
      <w:pPr>
        <w:pStyle w:val="BodyText"/>
        <w:rPr>
          <w:sz w:val="20"/>
        </w:rPr>
      </w:pPr>
    </w:p>
    <w:p>
      <w:pPr>
        <w:pStyle w:val="BodyText"/>
        <w:spacing w:before="4"/>
        <w:rPr>
          <w:sz w:val="22"/>
        </w:rPr>
      </w:pPr>
    </w:p>
    <w:p>
      <w:pPr>
        <w:pStyle w:val="Heading2"/>
        <w:spacing w:before="69"/>
        <w:ind w:left="102" w:right="2220"/>
        <w:jc w:val="left"/>
      </w:pPr>
      <w:r>
        <w:rPr/>
        <w:t>Fibras de Luffa</w:t>
      </w:r>
    </w:p>
    <w:p>
      <w:pPr>
        <w:pStyle w:val="BodyText"/>
        <w:spacing w:before="1"/>
        <w:rPr>
          <w:b/>
          <w:sz w:val="31"/>
        </w:rPr>
      </w:pPr>
    </w:p>
    <w:p>
      <w:pPr>
        <w:pStyle w:val="BodyText"/>
        <w:spacing w:line="276" w:lineRule="auto"/>
        <w:ind w:left="102" w:right="109"/>
      </w:pPr>
      <w:r>
        <w:rPr/>
        <w:t>Las fibras de Luffa utilizadas en la elaboración de concretos poliméricos tienen un diámetro promedio entre 150-200 µm con las siguientes propiedades.</w:t>
      </w:r>
    </w:p>
    <w:p>
      <w:pPr>
        <w:pStyle w:val="BodyText"/>
        <w:spacing w:before="9"/>
        <w:rPr>
          <w:sz w:val="27"/>
        </w:rPr>
      </w:pPr>
    </w:p>
    <w:p>
      <w:pPr>
        <w:pStyle w:val="BodyText"/>
        <w:spacing w:after="43"/>
        <w:ind w:left="1518" w:right="2220"/>
      </w:pPr>
      <w:r>
        <w:rPr/>
        <w:t>Tabla 2.4. Propiedades de fibra de luffa.</w:t>
      </w:r>
    </w:p>
    <w:tbl>
      <w:tblPr>
        <w:tblW w:w="0" w:type="auto"/>
        <w:jc w:val="left"/>
        <w:tblInd w:w="1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08"/>
        <w:gridCol w:w="1578"/>
      </w:tblGrid>
      <w:tr>
        <w:trPr>
          <w:trHeight w:val="326" w:hRule="exact"/>
        </w:trPr>
        <w:tc>
          <w:tcPr>
            <w:tcW w:w="4008" w:type="dxa"/>
            <w:tcBorders>
              <w:left w:val="nil"/>
              <w:right w:val="nil"/>
            </w:tcBorders>
          </w:tcPr>
          <w:p>
            <w:pPr>
              <w:pStyle w:val="TableParagraph"/>
              <w:spacing w:line="274" w:lineRule="exact" w:before="0"/>
              <w:ind w:left="1372" w:right="1421"/>
              <w:jc w:val="center"/>
              <w:rPr>
                <w:b/>
                <w:sz w:val="24"/>
              </w:rPr>
            </w:pPr>
            <w:r>
              <w:rPr>
                <w:b/>
                <w:sz w:val="24"/>
              </w:rPr>
              <w:t>Propiedad</w:t>
            </w:r>
          </w:p>
        </w:tc>
        <w:tc>
          <w:tcPr>
            <w:tcW w:w="1578" w:type="dxa"/>
            <w:tcBorders>
              <w:left w:val="nil"/>
              <w:right w:val="nil"/>
            </w:tcBorders>
          </w:tcPr>
          <w:p>
            <w:pPr>
              <w:pStyle w:val="TableParagraph"/>
              <w:spacing w:line="274" w:lineRule="exact" w:before="0"/>
              <w:ind w:left="141" w:right="194"/>
              <w:jc w:val="center"/>
              <w:rPr>
                <w:b/>
                <w:sz w:val="24"/>
              </w:rPr>
            </w:pPr>
            <w:r>
              <w:rPr>
                <w:b/>
                <w:sz w:val="24"/>
              </w:rPr>
              <w:t>Valores</w:t>
            </w:r>
          </w:p>
        </w:tc>
      </w:tr>
      <w:tr>
        <w:trPr>
          <w:trHeight w:val="624" w:hRule="exact"/>
        </w:trPr>
        <w:tc>
          <w:tcPr>
            <w:tcW w:w="4008" w:type="dxa"/>
            <w:tcBorders>
              <w:left w:val="nil"/>
              <w:bottom w:val="nil"/>
              <w:right w:val="nil"/>
            </w:tcBorders>
          </w:tcPr>
          <w:p>
            <w:pPr>
              <w:pStyle w:val="TableParagraph"/>
              <w:spacing w:line="276" w:lineRule="auto" w:before="0"/>
              <w:ind w:left="105"/>
              <w:rPr>
                <w:sz w:val="24"/>
              </w:rPr>
            </w:pPr>
            <w:r>
              <w:rPr>
                <w:sz w:val="24"/>
              </w:rPr>
              <w:t>Capacidad de absorción de agua (desionizada), (g/g)</w:t>
            </w:r>
          </w:p>
        </w:tc>
        <w:tc>
          <w:tcPr>
            <w:tcW w:w="1578" w:type="dxa"/>
            <w:tcBorders>
              <w:left w:val="nil"/>
              <w:bottom w:val="nil"/>
              <w:right w:val="nil"/>
            </w:tcBorders>
          </w:tcPr>
          <w:p>
            <w:pPr>
              <w:pStyle w:val="TableParagraph"/>
              <w:spacing w:before="0"/>
              <w:ind w:left="141" w:right="194"/>
              <w:jc w:val="center"/>
              <w:rPr>
                <w:sz w:val="24"/>
              </w:rPr>
            </w:pPr>
            <w:r>
              <w:rPr>
                <w:sz w:val="24"/>
              </w:rPr>
              <w:t>13.6</w:t>
            </w:r>
          </w:p>
        </w:tc>
      </w:tr>
      <w:tr>
        <w:trPr>
          <w:trHeight w:val="325" w:hRule="exact"/>
        </w:trPr>
        <w:tc>
          <w:tcPr>
            <w:tcW w:w="4008" w:type="dxa"/>
            <w:tcBorders>
              <w:top w:val="nil"/>
              <w:left w:val="nil"/>
              <w:bottom w:val="nil"/>
              <w:right w:val="nil"/>
            </w:tcBorders>
          </w:tcPr>
          <w:p>
            <w:pPr>
              <w:pStyle w:val="TableParagraph"/>
              <w:spacing w:before="10"/>
              <w:ind w:left="105"/>
              <w:rPr>
                <w:sz w:val="24"/>
              </w:rPr>
            </w:pPr>
            <w:r>
              <w:rPr>
                <w:sz w:val="24"/>
              </w:rPr>
              <w:t>Área superficial, (m</w:t>
            </w:r>
            <w:r>
              <w:rPr>
                <w:position w:val="8"/>
                <w:sz w:val="16"/>
              </w:rPr>
              <w:t>2</w:t>
            </w:r>
            <w:r>
              <w:rPr>
                <w:sz w:val="24"/>
              </w:rPr>
              <w:t>/g)</w:t>
            </w:r>
          </w:p>
        </w:tc>
        <w:tc>
          <w:tcPr>
            <w:tcW w:w="1578" w:type="dxa"/>
            <w:tcBorders>
              <w:top w:val="nil"/>
              <w:left w:val="nil"/>
              <w:bottom w:val="nil"/>
              <w:right w:val="nil"/>
            </w:tcBorders>
          </w:tcPr>
          <w:p>
            <w:pPr>
              <w:pStyle w:val="TableParagraph"/>
              <w:spacing w:before="15"/>
              <w:ind w:left="142" w:right="194"/>
              <w:jc w:val="center"/>
              <w:rPr>
                <w:sz w:val="24"/>
              </w:rPr>
            </w:pPr>
            <w:r>
              <w:rPr>
                <w:sz w:val="24"/>
              </w:rPr>
              <w:t>123</w:t>
            </w:r>
          </w:p>
        </w:tc>
      </w:tr>
      <w:tr>
        <w:trPr>
          <w:trHeight w:val="318" w:hRule="exact"/>
        </w:trPr>
        <w:tc>
          <w:tcPr>
            <w:tcW w:w="4008" w:type="dxa"/>
            <w:tcBorders>
              <w:top w:val="nil"/>
              <w:left w:val="nil"/>
              <w:bottom w:val="nil"/>
              <w:right w:val="nil"/>
            </w:tcBorders>
          </w:tcPr>
          <w:p>
            <w:pPr>
              <w:pStyle w:val="TableParagraph"/>
              <w:spacing w:before="8"/>
              <w:ind w:left="105"/>
              <w:rPr>
                <w:sz w:val="24"/>
              </w:rPr>
            </w:pPr>
            <w:r>
              <w:rPr>
                <w:sz w:val="24"/>
              </w:rPr>
              <w:t>Resistencia a la tensión, (MPa)</w:t>
            </w:r>
          </w:p>
        </w:tc>
        <w:tc>
          <w:tcPr>
            <w:tcW w:w="1578" w:type="dxa"/>
            <w:tcBorders>
              <w:top w:val="nil"/>
              <w:left w:val="nil"/>
              <w:bottom w:val="nil"/>
              <w:right w:val="nil"/>
            </w:tcBorders>
          </w:tcPr>
          <w:p>
            <w:pPr>
              <w:pStyle w:val="TableParagraph"/>
              <w:spacing w:before="8"/>
              <w:ind w:left="143" w:right="194"/>
              <w:jc w:val="center"/>
              <w:rPr>
                <w:sz w:val="24"/>
              </w:rPr>
            </w:pPr>
            <w:r>
              <w:rPr>
                <w:sz w:val="24"/>
              </w:rPr>
              <w:t>21.3 ± 6.6</w:t>
            </w:r>
          </w:p>
        </w:tc>
      </w:tr>
      <w:tr>
        <w:trPr>
          <w:trHeight w:val="318" w:hRule="exact"/>
        </w:trPr>
        <w:tc>
          <w:tcPr>
            <w:tcW w:w="4008" w:type="dxa"/>
            <w:tcBorders>
              <w:top w:val="nil"/>
              <w:left w:val="nil"/>
              <w:bottom w:val="nil"/>
              <w:right w:val="nil"/>
            </w:tcBorders>
          </w:tcPr>
          <w:p>
            <w:pPr>
              <w:pStyle w:val="TableParagraph"/>
              <w:spacing w:before="9"/>
              <w:ind w:left="105"/>
              <w:rPr>
                <w:sz w:val="24"/>
              </w:rPr>
            </w:pPr>
            <w:r>
              <w:rPr>
                <w:sz w:val="24"/>
              </w:rPr>
              <w:t>Módulo de elasticidad, (GPa)</w:t>
            </w:r>
          </w:p>
        </w:tc>
        <w:tc>
          <w:tcPr>
            <w:tcW w:w="1578" w:type="dxa"/>
            <w:tcBorders>
              <w:top w:val="nil"/>
              <w:left w:val="nil"/>
              <w:bottom w:val="nil"/>
              <w:right w:val="nil"/>
            </w:tcBorders>
          </w:tcPr>
          <w:p>
            <w:pPr>
              <w:pStyle w:val="TableParagraph"/>
              <w:spacing w:before="9"/>
              <w:ind w:left="143" w:right="194"/>
              <w:jc w:val="center"/>
              <w:rPr>
                <w:sz w:val="24"/>
              </w:rPr>
            </w:pPr>
            <w:r>
              <w:rPr>
                <w:sz w:val="24"/>
              </w:rPr>
              <w:t>0.86 ± 0.34</w:t>
            </w:r>
          </w:p>
        </w:tc>
      </w:tr>
      <w:tr>
        <w:trPr>
          <w:trHeight w:val="331" w:hRule="exact"/>
        </w:trPr>
        <w:tc>
          <w:tcPr>
            <w:tcW w:w="4008" w:type="dxa"/>
            <w:tcBorders>
              <w:top w:val="nil"/>
              <w:left w:val="nil"/>
              <w:right w:val="nil"/>
            </w:tcBorders>
          </w:tcPr>
          <w:p>
            <w:pPr>
              <w:pStyle w:val="TableParagraph"/>
              <w:ind w:left="105"/>
              <w:rPr>
                <w:sz w:val="24"/>
              </w:rPr>
            </w:pPr>
            <w:r>
              <w:rPr>
                <w:sz w:val="24"/>
              </w:rPr>
              <w:t>Porcentaje de elongación, (%)</w:t>
            </w:r>
          </w:p>
        </w:tc>
        <w:tc>
          <w:tcPr>
            <w:tcW w:w="1578" w:type="dxa"/>
            <w:tcBorders>
              <w:top w:val="nil"/>
              <w:left w:val="nil"/>
              <w:right w:val="nil"/>
            </w:tcBorders>
          </w:tcPr>
          <w:p>
            <w:pPr>
              <w:pStyle w:val="TableParagraph"/>
              <w:ind w:left="143" w:right="194"/>
              <w:jc w:val="center"/>
              <w:rPr>
                <w:sz w:val="24"/>
              </w:rPr>
            </w:pPr>
            <w:r>
              <w:rPr>
                <w:sz w:val="24"/>
              </w:rPr>
              <w:t>4.55 ± 0.47</w:t>
            </w:r>
          </w:p>
        </w:tc>
      </w:tr>
    </w:tbl>
    <w:p>
      <w:pPr>
        <w:pStyle w:val="BodyText"/>
        <w:rPr>
          <w:sz w:val="20"/>
        </w:rPr>
      </w:pPr>
    </w:p>
    <w:p>
      <w:pPr>
        <w:pStyle w:val="BodyText"/>
        <w:rPr>
          <w:sz w:val="20"/>
        </w:rPr>
      </w:pPr>
    </w:p>
    <w:p>
      <w:pPr>
        <w:pStyle w:val="BodyText"/>
        <w:rPr>
          <w:sz w:val="20"/>
        </w:rPr>
      </w:pPr>
    </w:p>
    <w:p>
      <w:pPr>
        <w:pStyle w:val="BodyText"/>
        <w:spacing w:before="7"/>
        <w:rPr>
          <w:sz w:val="16"/>
        </w:rPr>
      </w:pPr>
    </w:p>
    <w:p>
      <w:pPr>
        <w:pStyle w:val="Heading2"/>
        <w:numPr>
          <w:ilvl w:val="1"/>
          <w:numId w:val="8"/>
        </w:numPr>
        <w:tabs>
          <w:tab w:pos="505" w:val="left" w:leader="none"/>
        </w:tabs>
        <w:spacing w:line="240" w:lineRule="auto" w:before="70" w:after="0"/>
        <w:ind w:left="504" w:right="0" w:hanging="402"/>
        <w:jc w:val="left"/>
      </w:pPr>
      <w:r>
        <w:rPr/>
        <w:t>ELABORACIÓN DE CONCRETOS</w:t>
      </w:r>
      <w:r>
        <w:rPr>
          <w:spacing w:val="-12"/>
        </w:rPr>
        <w:t> </w:t>
      </w:r>
      <w:r>
        <w:rPr/>
        <w:t>POLIMÉRICOS</w:t>
      </w:r>
    </w:p>
    <w:p>
      <w:pPr>
        <w:pStyle w:val="BodyText"/>
        <w:spacing w:before="1"/>
        <w:rPr>
          <w:b/>
          <w:sz w:val="31"/>
        </w:rPr>
      </w:pPr>
    </w:p>
    <w:p>
      <w:pPr>
        <w:pStyle w:val="BodyText"/>
        <w:spacing w:line="278" w:lineRule="auto"/>
        <w:ind w:left="102" w:right="119"/>
      </w:pPr>
      <w:r>
        <w:rPr/>
        <w:t>Las probetas de concreto polimérico se elaboraron con 70% de arena sílice y 30% de resina poliéster, así como con tres diferentes porcentajes de fibra (0.3, 0.6 y 0.9</w:t>
      </w:r>
    </w:p>
    <w:p>
      <w:pPr>
        <w:pStyle w:val="BodyText"/>
        <w:spacing w:line="276" w:lineRule="auto"/>
        <w:ind w:left="102" w:right="109"/>
      </w:pPr>
      <w:r>
        <w:rPr/>
        <w:t>%). La Tabla 2.5 muestra los porcentajes de cada componente para la elaboración de los concretos poliméricos.</w:t>
      </w:r>
    </w:p>
    <w:p>
      <w:pPr>
        <w:pStyle w:val="BodyText"/>
        <w:spacing w:before="9"/>
        <w:rPr>
          <w:sz w:val="27"/>
        </w:rPr>
      </w:pPr>
    </w:p>
    <w:p>
      <w:pPr>
        <w:pStyle w:val="BodyText"/>
        <w:ind w:right="23"/>
        <w:jc w:val="center"/>
      </w:pPr>
      <w:r>
        <w:rPr/>
        <w:t>Tabla 2.5 Composición de las mezclas de concreto polimérico en volumen.</w:t>
      </w:r>
    </w:p>
    <w:p>
      <w:pPr>
        <w:pStyle w:val="BodyText"/>
        <w:rPr>
          <w:sz w:val="20"/>
        </w:rPr>
      </w:pPr>
    </w:p>
    <w:p>
      <w:pPr>
        <w:pStyle w:val="BodyText"/>
        <w:spacing w:before="3"/>
        <w:rPr>
          <w:sz w:val="11"/>
        </w:rPr>
      </w:pPr>
    </w:p>
    <w:tbl>
      <w:tblPr>
        <w:tblW w:w="0" w:type="auto"/>
        <w:jc w:val="left"/>
        <w:tblInd w:w="2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5"/>
        <w:gridCol w:w="1198"/>
        <w:gridCol w:w="1161"/>
        <w:gridCol w:w="1103"/>
      </w:tblGrid>
      <w:tr>
        <w:trPr>
          <w:trHeight w:val="646" w:hRule="exact"/>
        </w:trPr>
        <w:tc>
          <w:tcPr>
            <w:tcW w:w="1435" w:type="dxa"/>
            <w:tcBorders>
              <w:left w:val="nil"/>
              <w:right w:val="nil"/>
            </w:tcBorders>
          </w:tcPr>
          <w:p>
            <w:pPr>
              <w:pStyle w:val="TableParagraph"/>
              <w:spacing w:line="278" w:lineRule="auto" w:before="0"/>
              <w:ind w:left="255" w:firstLine="45"/>
              <w:rPr>
                <w:b/>
                <w:sz w:val="24"/>
              </w:rPr>
            </w:pPr>
            <w:r>
              <w:rPr>
                <w:b/>
                <w:sz w:val="24"/>
              </w:rPr>
              <w:t>Probeta (Código)</w:t>
            </w:r>
          </w:p>
        </w:tc>
        <w:tc>
          <w:tcPr>
            <w:tcW w:w="1198" w:type="dxa"/>
            <w:tcBorders>
              <w:left w:val="nil"/>
              <w:right w:val="nil"/>
            </w:tcBorders>
          </w:tcPr>
          <w:p>
            <w:pPr>
              <w:pStyle w:val="TableParagraph"/>
              <w:spacing w:line="274" w:lineRule="exact" w:before="0"/>
              <w:ind w:left="176" w:right="193"/>
              <w:jc w:val="center"/>
              <w:rPr>
                <w:b/>
                <w:sz w:val="24"/>
              </w:rPr>
            </w:pPr>
            <w:r>
              <w:rPr>
                <w:b/>
                <w:sz w:val="24"/>
              </w:rPr>
              <w:t>Resina</w:t>
            </w:r>
          </w:p>
        </w:tc>
        <w:tc>
          <w:tcPr>
            <w:tcW w:w="1161" w:type="dxa"/>
            <w:tcBorders>
              <w:left w:val="nil"/>
              <w:right w:val="nil"/>
            </w:tcBorders>
          </w:tcPr>
          <w:p>
            <w:pPr>
              <w:pStyle w:val="TableParagraph"/>
              <w:spacing w:line="274" w:lineRule="exact" w:before="0"/>
              <w:ind w:left="194" w:right="245"/>
              <w:jc w:val="center"/>
              <w:rPr>
                <w:b/>
                <w:sz w:val="24"/>
              </w:rPr>
            </w:pPr>
            <w:r>
              <w:rPr>
                <w:b/>
                <w:sz w:val="24"/>
              </w:rPr>
              <w:t>Arena</w:t>
            </w:r>
          </w:p>
        </w:tc>
        <w:tc>
          <w:tcPr>
            <w:tcW w:w="1103" w:type="dxa"/>
            <w:tcBorders>
              <w:left w:val="nil"/>
              <w:right w:val="nil"/>
            </w:tcBorders>
          </w:tcPr>
          <w:p>
            <w:pPr>
              <w:pStyle w:val="TableParagraph"/>
              <w:spacing w:line="274" w:lineRule="exact" w:before="0"/>
              <w:ind w:left="247" w:right="228"/>
              <w:jc w:val="center"/>
              <w:rPr>
                <w:b/>
                <w:sz w:val="24"/>
              </w:rPr>
            </w:pPr>
            <w:r>
              <w:rPr>
                <w:b/>
                <w:sz w:val="24"/>
              </w:rPr>
              <w:t>Fibra</w:t>
            </w:r>
          </w:p>
        </w:tc>
      </w:tr>
      <w:tr>
        <w:trPr>
          <w:trHeight w:val="312" w:hRule="exact"/>
        </w:trPr>
        <w:tc>
          <w:tcPr>
            <w:tcW w:w="1435" w:type="dxa"/>
            <w:tcBorders>
              <w:left w:val="nil"/>
              <w:bottom w:val="nil"/>
              <w:right w:val="nil"/>
            </w:tcBorders>
          </w:tcPr>
          <w:p>
            <w:pPr>
              <w:pStyle w:val="TableParagraph"/>
              <w:spacing w:line="274" w:lineRule="exact" w:before="0"/>
              <w:ind w:left="0" w:right="549"/>
              <w:jc w:val="right"/>
              <w:rPr>
                <w:sz w:val="24"/>
              </w:rPr>
            </w:pPr>
            <w:r>
              <w:rPr>
                <w:sz w:val="24"/>
              </w:rPr>
              <w:t>L1</w:t>
            </w:r>
          </w:p>
        </w:tc>
        <w:tc>
          <w:tcPr>
            <w:tcW w:w="1198" w:type="dxa"/>
            <w:tcBorders>
              <w:left w:val="nil"/>
              <w:bottom w:val="nil"/>
              <w:right w:val="nil"/>
            </w:tcBorders>
          </w:tcPr>
          <w:p>
            <w:pPr>
              <w:pStyle w:val="TableParagraph"/>
              <w:spacing w:line="274" w:lineRule="exact" w:before="0"/>
              <w:ind w:left="176" w:right="191"/>
              <w:jc w:val="center"/>
              <w:rPr>
                <w:sz w:val="24"/>
              </w:rPr>
            </w:pPr>
            <w:r>
              <w:rPr>
                <w:sz w:val="24"/>
              </w:rPr>
              <w:t>30.0</w:t>
            </w:r>
          </w:p>
        </w:tc>
        <w:tc>
          <w:tcPr>
            <w:tcW w:w="1161" w:type="dxa"/>
            <w:tcBorders>
              <w:left w:val="nil"/>
              <w:bottom w:val="nil"/>
              <w:right w:val="nil"/>
            </w:tcBorders>
          </w:tcPr>
          <w:p>
            <w:pPr>
              <w:pStyle w:val="TableParagraph"/>
              <w:spacing w:line="274" w:lineRule="exact" w:before="0"/>
              <w:ind w:left="194" w:right="244"/>
              <w:jc w:val="center"/>
              <w:rPr>
                <w:sz w:val="24"/>
              </w:rPr>
            </w:pPr>
            <w:r>
              <w:rPr>
                <w:sz w:val="24"/>
              </w:rPr>
              <w:t>70.0</w:t>
            </w:r>
          </w:p>
        </w:tc>
        <w:tc>
          <w:tcPr>
            <w:tcW w:w="1103" w:type="dxa"/>
            <w:tcBorders>
              <w:left w:val="nil"/>
              <w:bottom w:val="nil"/>
              <w:right w:val="nil"/>
            </w:tcBorders>
          </w:tcPr>
          <w:p>
            <w:pPr>
              <w:pStyle w:val="TableParagraph"/>
              <w:spacing w:line="274" w:lineRule="exact" w:before="0"/>
              <w:ind w:left="247" w:right="226"/>
              <w:jc w:val="center"/>
              <w:rPr>
                <w:sz w:val="24"/>
              </w:rPr>
            </w:pPr>
            <w:r>
              <w:rPr>
                <w:sz w:val="24"/>
              </w:rPr>
              <w:t>0.0</w:t>
            </w:r>
          </w:p>
        </w:tc>
      </w:tr>
      <w:tr>
        <w:trPr>
          <w:trHeight w:val="317" w:hRule="exact"/>
        </w:trPr>
        <w:tc>
          <w:tcPr>
            <w:tcW w:w="1435" w:type="dxa"/>
            <w:tcBorders>
              <w:top w:val="nil"/>
              <w:left w:val="nil"/>
              <w:bottom w:val="nil"/>
              <w:right w:val="nil"/>
            </w:tcBorders>
          </w:tcPr>
          <w:p>
            <w:pPr>
              <w:pStyle w:val="TableParagraph"/>
              <w:ind w:left="0" w:right="549"/>
              <w:jc w:val="right"/>
              <w:rPr>
                <w:sz w:val="24"/>
              </w:rPr>
            </w:pPr>
            <w:r>
              <w:rPr>
                <w:sz w:val="24"/>
              </w:rPr>
              <w:t>L2</w:t>
            </w:r>
          </w:p>
        </w:tc>
        <w:tc>
          <w:tcPr>
            <w:tcW w:w="1198" w:type="dxa"/>
            <w:tcBorders>
              <w:top w:val="nil"/>
              <w:left w:val="nil"/>
              <w:bottom w:val="nil"/>
              <w:right w:val="nil"/>
            </w:tcBorders>
          </w:tcPr>
          <w:p>
            <w:pPr>
              <w:pStyle w:val="TableParagraph"/>
              <w:ind w:left="176" w:right="191"/>
              <w:jc w:val="center"/>
              <w:rPr>
                <w:sz w:val="24"/>
              </w:rPr>
            </w:pPr>
            <w:r>
              <w:rPr>
                <w:sz w:val="24"/>
              </w:rPr>
              <w:t>30.0</w:t>
            </w:r>
          </w:p>
        </w:tc>
        <w:tc>
          <w:tcPr>
            <w:tcW w:w="1161" w:type="dxa"/>
            <w:tcBorders>
              <w:top w:val="nil"/>
              <w:left w:val="nil"/>
              <w:bottom w:val="nil"/>
              <w:right w:val="nil"/>
            </w:tcBorders>
          </w:tcPr>
          <w:p>
            <w:pPr>
              <w:pStyle w:val="TableParagraph"/>
              <w:ind w:left="194" w:right="244"/>
              <w:jc w:val="center"/>
              <w:rPr>
                <w:sz w:val="24"/>
              </w:rPr>
            </w:pPr>
            <w:r>
              <w:rPr>
                <w:sz w:val="24"/>
              </w:rPr>
              <w:t>69.7</w:t>
            </w:r>
          </w:p>
        </w:tc>
        <w:tc>
          <w:tcPr>
            <w:tcW w:w="1103" w:type="dxa"/>
            <w:tcBorders>
              <w:top w:val="nil"/>
              <w:left w:val="nil"/>
              <w:bottom w:val="nil"/>
              <w:right w:val="nil"/>
            </w:tcBorders>
          </w:tcPr>
          <w:p>
            <w:pPr>
              <w:pStyle w:val="TableParagraph"/>
              <w:ind w:left="247" w:right="226"/>
              <w:jc w:val="center"/>
              <w:rPr>
                <w:sz w:val="24"/>
              </w:rPr>
            </w:pPr>
            <w:r>
              <w:rPr>
                <w:sz w:val="24"/>
              </w:rPr>
              <w:t>0.3</w:t>
            </w:r>
          </w:p>
        </w:tc>
      </w:tr>
      <w:tr>
        <w:trPr>
          <w:trHeight w:val="318" w:hRule="exact"/>
        </w:trPr>
        <w:tc>
          <w:tcPr>
            <w:tcW w:w="1435" w:type="dxa"/>
            <w:tcBorders>
              <w:top w:val="nil"/>
              <w:left w:val="nil"/>
              <w:bottom w:val="nil"/>
              <w:right w:val="nil"/>
            </w:tcBorders>
          </w:tcPr>
          <w:p>
            <w:pPr>
              <w:pStyle w:val="TableParagraph"/>
              <w:ind w:left="0" w:right="549"/>
              <w:jc w:val="right"/>
              <w:rPr>
                <w:sz w:val="24"/>
              </w:rPr>
            </w:pPr>
            <w:r>
              <w:rPr>
                <w:sz w:val="24"/>
              </w:rPr>
              <w:t>L3</w:t>
            </w:r>
          </w:p>
        </w:tc>
        <w:tc>
          <w:tcPr>
            <w:tcW w:w="1198" w:type="dxa"/>
            <w:tcBorders>
              <w:top w:val="nil"/>
              <w:left w:val="nil"/>
              <w:bottom w:val="nil"/>
              <w:right w:val="nil"/>
            </w:tcBorders>
          </w:tcPr>
          <w:p>
            <w:pPr>
              <w:pStyle w:val="TableParagraph"/>
              <w:ind w:left="176" w:right="191"/>
              <w:jc w:val="center"/>
              <w:rPr>
                <w:sz w:val="24"/>
              </w:rPr>
            </w:pPr>
            <w:r>
              <w:rPr>
                <w:sz w:val="24"/>
              </w:rPr>
              <w:t>30.0</w:t>
            </w:r>
          </w:p>
        </w:tc>
        <w:tc>
          <w:tcPr>
            <w:tcW w:w="1161" w:type="dxa"/>
            <w:tcBorders>
              <w:top w:val="nil"/>
              <w:left w:val="nil"/>
              <w:bottom w:val="nil"/>
              <w:right w:val="nil"/>
            </w:tcBorders>
          </w:tcPr>
          <w:p>
            <w:pPr>
              <w:pStyle w:val="TableParagraph"/>
              <w:ind w:left="194" w:right="244"/>
              <w:jc w:val="center"/>
              <w:rPr>
                <w:sz w:val="24"/>
              </w:rPr>
            </w:pPr>
            <w:r>
              <w:rPr>
                <w:sz w:val="24"/>
              </w:rPr>
              <w:t>69.4</w:t>
            </w:r>
          </w:p>
        </w:tc>
        <w:tc>
          <w:tcPr>
            <w:tcW w:w="1103" w:type="dxa"/>
            <w:tcBorders>
              <w:top w:val="nil"/>
              <w:left w:val="nil"/>
              <w:bottom w:val="nil"/>
              <w:right w:val="nil"/>
            </w:tcBorders>
          </w:tcPr>
          <w:p>
            <w:pPr>
              <w:pStyle w:val="TableParagraph"/>
              <w:ind w:left="247" w:right="226"/>
              <w:jc w:val="center"/>
              <w:rPr>
                <w:sz w:val="24"/>
              </w:rPr>
            </w:pPr>
            <w:r>
              <w:rPr>
                <w:sz w:val="24"/>
              </w:rPr>
              <w:t>0.6</w:t>
            </w:r>
          </w:p>
        </w:tc>
      </w:tr>
      <w:tr>
        <w:trPr>
          <w:trHeight w:val="332" w:hRule="exact"/>
        </w:trPr>
        <w:tc>
          <w:tcPr>
            <w:tcW w:w="1435" w:type="dxa"/>
            <w:tcBorders>
              <w:top w:val="nil"/>
              <w:left w:val="nil"/>
              <w:right w:val="nil"/>
            </w:tcBorders>
          </w:tcPr>
          <w:p>
            <w:pPr>
              <w:pStyle w:val="TableParagraph"/>
              <w:spacing w:before="9"/>
              <w:ind w:left="0" w:right="549"/>
              <w:jc w:val="right"/>
              <w:rPr>
                <w:sz w:val="24"/>
              </w:rPr>
            </w:pPr>
            <w:r>
              <w:rPr>
                <w:sz w:val="24"/>
              </w:rPr>
              <w:t>L4</w:t>
            </w:r>
          </w:p>
        </w:tc>
        <w:tc>
          <w:tcPr>
            <w:tcW w:w="1198" w:type="dxa"/>
            <w:tcBorders>
              <w:top w:val="nil"/>
              <w:left w:val="nil"/>
              <w:right w:val="nil"/>
            </w:tcBorders>
          </w:tcPr>
          <w:p>
            <w:pPr>
              <w:pStyle w:val="TableParagraph"/>
              <w:spacing w:before="9"/>
              <w:ind w:left="176" w:right="191"/>
              <w:jc w:val="center"/>
              <w:rPr>
                <w:sz w:val="24"/>
              </w:rPr>
            </w:pPr>
            <w:r>
              <w:rPr>
                <w:sz w:val="24"/>
              </w:rPr>
              <w:t>30.0</w:t>
            </w:r>
          </w:p>
        </w:tc>
        <w:tc>
          <w:tcPr>
            <w:tcW w:w="1161" w:type="dxa"/>
            <w:tcBorders>
              <w:top w:val="nil"/>
              <w:left w:val="nil"/>
              <w:right w:val="nil"/>
            </w:tcBorders>
          </w:tcPr>
          <w:p>
            <w:pPr>
              <w:pStyle w:val="TableParagraph"/>
              <w:spacing w:before="9"/>
              <w:ind w:left="194" w:right="244"/>
              <w:jc w:val="center"/>
              <w:rPr>
                <w:sz w:val="24"/>
              </w:rPr>
            </w:pPr>
            <w:r>
              <w:rPr>
                <w:sz w:val="24"/>
              </w:rPr>
              <w:t>69.1</w:t>
            </w:r>
          </w:p>
        </w:tc>
        <w:tc>
          <w:tcPr>
            <w:tcW w:w="1103" w:type="dxa"/>
            <w:tcBorders>
              <w:top w:val="nil"/>
              <w:left w:val="nil"/>
              <w:right w:val="nil"/>
            </w:tcBorders>
          </w:tcPr>
          <w:p>
            <w:pPr>
              <w:pStyle w:val="TableParagraph"/>
              <w:spacing w:before="9"/>
              <w:ind w:left="247" w:right="226"/>
              <w:jc w:val="center"/>
              <w:rPr>
                <w:sz w:val="24"/>
              </w:rPr>
            </w:pPr>
            <w:r>
              <w:rPr>
                <w:sz w:val="24"/>
              </w:rPr>
              <w:t>0.9</w:t>
            </w:r>
          </w:p>
        </w:tc>
      </w:tr>
    </w:tbl>
    <w:p>
      <w:pPr>
        <w:pStyle w:val="BodyText"/>
        <w:rPr>
          <w:sz w:val="20"/>
        </w:rPr>
      </w:pPr>
    </w:p>
    <w:p>
      <w:pPr>
        <w:pStyle w:val="BodyText"/>
        <w:spacing w:before="1"/>
        <w:rPr>
          <w:sz w:val="29"/>
        </w:rPr>
      </w:pPr>
    </w:p>
    <w:p>
      <w:pPr>
        <w:pStyle w:val="BodyText"/>
        <w:spacing w:line="273" w:lineRule="auto" w:before="70"/>
        <w:ind w:left="102" w:right="119"/>
        <w:jc w:val="both"/>
      </w:pPr>
      <w:r>
        <w:rPr/>
        <w:t>Para el cálculo de las concentraciones en gramos de cada componente se tomo  en cuenta el volumen de una probeta de 256 </w:t>
      </w:r>
      <w:r>
        <w:rPr>
          <w:spacing w:val="2"/>
        </w:rPr>
        <w:t>cm</w:t>
      </w:r>
      <w:r>
        <w:rPr>
          <w:spacing w:val="2"/>
          <w:position w:val="8"/>
          <w:sz w:val="16"/>
        </w:rPr>
        <w:t>3 </w:t>
      </w:r>
      <w:r>
        <w:rPr/>
        <w:t>(prisma de 4x4x16 cm). El molde utilizado tiene una capacidad para elaborar 3 probetas, por lo que la base de cálculo fue de 768</w:t>
      </w:r>
      <w:r>
        <w:rPr>
          <w:spacing w:val="-5"/>
        </w:rPr>
        <w:t> </w:t>
      </w:r>
      <w:r>
        <w:rPr/>
        <w:t>cm</w:t>
      </w:r>
      <w:r>
        <w:rPr>
          <w:position w:val="8"/>
          <w:sz w:val="16"/>
        </w:rPr>
        <w:t>3</w:t>
      </w:r>
      <w:r>
        <w:rPr/>
        <w:t>.</w:t>
      </w:r>
    </w:p>
    <w:p>
      <w:pPr>
        <w:spacing w:after="0" w:line="273" w:lineRule="auto"/>
        <w:jc w:val="both"/>
        <w:sectPr>
          <w:pgSz w:w="12240" w:h="15840"/>
          <w:pgMar w:header="747" w:footer="0" w:top="940" w:bottom="280" w:left="1600" w:right="1580"/>
        </w:sectPr>
      </w:pPr>
    </w:p>
    <w:p>
      <w:pPr>
        <w:pStyle w:val="BodyText"/>
        <w:rPr>
          <w:sz w:val="20"/>
        </w:rPr>
      </w:pPr>
    </w:p>
    <w:p>
      <w:pPr>
        <w:pStyle w:val="BodyText"/>
        <w:spacing w:before="1"/>
        <w:rPr>
          <w:sz w:val="20"/>
        </w:rPr>
      </w:pPr>
    </w:p>
    <w:p>
      <w:pPr>
        <w:pStyle w:val="BodyText"/>
        <w:spacing w:line="278" w:lineRule="auto"/>
        <w:ind w:left="102" w:right="153"/>
      </w:pPr>
      <w:r>
        <w:rPr/>
        <w:t>Considerando la densidad de la arena sílice de 2.6 g/cm</w:t>
      </w:r>
      <w:r>
        <w:rPr>
          <w:position w:val="8"/>
          <w:sz w:val="16"/>
        </w:rPr>
        <w:t>3</w:t>
      </w:r>
      <w:r>
        <w:rPr/>
        <w:t>, para un 70% del volumen total de tres moldes, se tiene entonces una masa de arena de:</w:t>
      </w:r>
    </w:p>
    <w:p>
      <w:pPr>
        <w:pStyle w:val="BodyText"/>
        <w:ind w:left="2502"/>
        <w:rPr>
          <w:sz w:val="20"/>
        </w:rPr>
      </w:pPr>
      <w:r>
        <w:rPr>
          <w:sz w:val="20"/>
        </w:rPr>
        <w:drawing>
          <wp:inline distT="0" distB="0" distL="0" distR="0">
            <wp:extent cx="2561589" cy="371475"/>
            <wp:effectExtent l="0" t="0" r="0" b="0"/>
            <wp:docPr id="33" name="image22.png" descr=""/>
            <wp:cNvGraphicFramePr>
              <a:graphicFrameLocks noChangeAspect="1"/>
            </wp:cNvGraphicFramePr>
            <a:graphic>
              <a:graphicData uri="http://schemas.openxmlformats.org/drawingml/2006/picture">
                <pic:pic>
                  <pic:nvPicPr>
                    <pic:cNvPr id="34" name="image22.png"/>
                    <pic:cNvPicPr/>
                  </pic:nvPicPr>
                  <pic:blipFill>
                    <a:blip r:embed="rId33" cstate="print"/>
                    <a:stretch>
                      <a:fillRect/>
                    </a:stretch>
                  </pic:blipFill>
                  <pic:spPr>
                    <a:xfrm>
                      <a:off x="0" y="0"/>
                      <a:ext cx="2561589" cy="371475"/>
                    </a:xfrm>
                    <a:prstGeom prst="rect">
                      <a:avLst/>
                    </a:prstGeom>
                  </pic:spPr>
                </pic:pic>
              </a:graphicData>
            </a:graphic>
          </wp:inline>
        </w:drawing>
      </w:r>
      <w:r>
        <w:rPr>
          <w:sz w:val="20"/>
        </w:rPr>
      </w:r>
    </w:p>
    <w:p>
      <w:pPr>
        <w:pStyle w:val="BodyText"/>
        <w:spacing w:before="6"/>
        <w:rPr>
          <w:sz w:val="30"/>
        </w:rPr>
      </w:pPr>
    </w:p>
    <w:p>
      <w:pPr>
        <w:pStyle w:val="BodyText"/>
        <w:spacing w:line="276" w:lineRule="auto" w:after="2"/>
        <w:ind w:left="102" w:right="109"/>
      </w:pPr>
      <w:r>
        <w:rPr/>
        <w:t>Mientras que el 30% del volumen total, para una densidad de 1.1 g/cm</w:t>
      </w:r>
      <w:r>
        <w:rPr>
          <w:position w:val="8"/>
          <w:sz w:val="16"/>
        </w:rPr>
        <w:t>3 </w:t>
      </w:r>
      <w:r>
        <w:rPr/>
        <w:t>de la resina, significa una masa de resina de:</w:t>
      </w:r>
    </w:p>
    <w:p>
      <w:pPr>
        <w:pStyle w:val="BodyText"/>
        <w:ind w:left="2569"/>
        <w:rPr>
          <w:sz w:val="20"/>
        </w:rPr>
      </w:pPr>
      <w:r>
        <w:rPr>
          <w:sz w:val="20"/>
        </w:rPr>
        <w:drawing>
          <wp:inline distT="0" distB="0" distL="0" distR="0">
            <wp:extent cx="2476500" cy="371475"/>
            <wp:effectExtent l="0" t="0" r="0" b="0"/>
            <wp:docPr id="35" name="image23.png" descr=""/>
            <wp:cNvGraphicFramePr>
              <a:graphicFrameLocks noChangeAspect="1"/>
            </wp:cNvGraphicFramePr>
            <a:graphic>
              <a:graphicData uri="http://schemas.openxmlformats.org/drawingml/2006/picture">
                <pic:pic>
                  <pic:nvPicPr>
                    <pic:cNvPr id="36" name="image23.png"/>
                    <pic:cNvPicPr/>
                  </pic:nvPicPr>
                  <pic:blipFill>
                    <a:blip r:embed="rId34" cstate="print"/>
                    <a:stretch>
                      <a:fillRect/>
                    </a:stretch>
                  </pic:blipFill>
                  <pic:spPr>
                    <a:xfrm>
                      <a:off x="0" y="0"/>
                      <a:ext cx="2476500" cy="371475"/>
                    </a:xfrm>
                    <a:prstGeom prst="rect">
                      <a:avLst/>
                    </a:prstGeom>
                  </pic:spPr>
                </pic:pic>
              </a:graphicData>
            </a:graphic>
          </wp:inline>
        </w:drawing>
      </w:r>
      <w:r>
        <w:rPr>
          <w:sz w:val="20"/>
        </w:rPr>
      </w:r>
    </w:p>
    <w:p>
      <w:pPr>
        <w:pStyle w:val="BodyText"/>
        <w:spacing w:before="2"/>
        <w:rPr>
          <w:sz w:val="31"/>
        </w:rPr>
      </w:pPr>
    </w:p>
    <w:p>
      <w:pPr>
        <w:pStyle w:val="BodyText"/>
        <w:ind w:left="102" w:right="2220"/>
      </w:pPr>
      <w:r>
        <w:rPr/>
        <w:t>Para los respectivos porcentajes de fibras de Luffa, se tiene:</w:t>
      </w:r>
    </w:p>
    <w:p>
      <w:pPr>
        <w:pStyle w:val="BodyText"/>
        <w:spacing w:before="11"/>
        <w:rPr>
          <w:sz w:val="30"/>
        </w:rPr>
      </w:pPr>
    </w:p>
    <w:p>
      <w:pPr>
        <w:pStyle w:val="ListParagraph"/>
        <w:numPr>
          <w:ilvl w:val="2"/>
          <w:numId w:val="8"/>
        </w:numPr>
        <w:tabs>
          <w:tab w:pos="809" w:val="left" w:leader="none"/>
          <w:tab w:pos="810" w:val="left" w:leader="none"/>
        </w:tabs>
        <w:spacing w:line="240" w:lineRule="auto" w:before="0" w:after="0"/>
        <w:ind w:left="810" w:right="0" w:hanging="348"/>
        <w:jc w:val="left"/>
        <w:rPr>
          <w:sz w:val="24"/>
        </w:rPr>
      </w:pPr>
      <w:r>
        <w:rPr/>
        <w:drawing>
          <wp:anchor distT="0" distB="0" distL="0" distR="0" allowOverlap="1" layoutInCell="1" locked="0" behindDoc="0" simplePos="0" relativeHeight="1912">
            <wp:simplePos x="0" y="0"/>
            <wp:positionH relativeFrom="page">
              <wp:posOffset>1080769</wp:posOffset>
            </wp:positionH>
            <wp:positionV relativeFrom="paragraph">
              <wp:posOffset>211892</wp:posOffset>
            </wp:positionV>
            <wp:extent cx="2537567" cy="371475"/>
            <wp:effectExtent l="0" t="0" r="0" b="0"/>
            <wp:wrapTopAndBottom/>
            <wp:docPr id="37" name="image24.png" descr=""/>
            <wp:cNvGraphicFramePr>
              <a:graphicFrameLocks noChangeAspect="1"/>
            </wp:cNvGraphicFramePr>
            <a:graphic>
              <a:graphicData uri="http://schemas.openxmlformats.org/drawingml/2006/picture">
                <pic:pic>
                  <pic:nvPicPr>
                    <pic:cNvPr id="38" name="image24.png"/>
                    <pic:cNvPicPr/>
                  </pic:nvPicPr>
                  <pic:blipFill>
                    <a:blip r:embed="rId35" cstate="print"/>
                    <a:stretch>
                      <a:fillRect/>
                    </a:stretch>
                  </pic:blipFill>
                  <pic:spPr>
                    <a:xfrm>
                      <a:off x="0" y="0"/>
                      <a:ext cx="2537567" cy="371475"/>
                    </a:xfrm>
                    <a:prstGeom prst="rect">
                      <a:avLst/>
                    </a:prstGeom>
                  </pic:spPr>
                </pic:pic>
              </a:graphicData>
            </a:graphic>
          </wp:anchor>
        </w:drawing>
      </w:r>
      <w:r>
        <w:rPr>
          <w:sz w:val="24"/>
        </w:rPr>
        <w:t>0.3 % en</w:t>
      </w:r>
      <w:r>
        <w:rPr>
          <w:spacing w:val="-5"/>
          <w:sz w:val="24"/>
        </w:rPr>
        <w:t> </w:t>
      </w:r>
      <w:r>
        <w:rPr>
          <w:sz w:val="24"/>
        </w:rPr>
        <w:t>volumen</w:t>
      </w:r>
    </w:p>
    <w:p>
      <w:pPr>
        <w:pStyle w:val="BodyText"/>
        <w:spacing w:before="9"/>
        <w:rPr>
          <w:sz w:val="28"/>
        </w:rPr>
      </w:pPr>
    </w:p>
    <w:p>
      <w:pPr>
        <w:pStyle w:val="ListParagraph"/>
        <w:numPr>
          <w:ilvl w:val="2"/>
          <w:numId w:val="8"/>
        </w:numPr>
        <w:tabs>
          <w:tab w:pos="809" w:val="left" w:leader="none"/>
          <w:tab w:pos="810" w:val="left" w:leader="none"/>
        </w:tabs>
        <w:spacing w:line="240" w:lineRule="auto" w:before="0" w:after="0"/>
        <w:ind w:left="810" w:right="0" w:hanging="348"/>
        <w:jc w:val="left"/>
        <w:rPr>
          <w:sz w:val="24"/>
        </w:rPr>
      </w:pPr>
      <w:r>
        <w:rPr/>
        <w:drawing>
          <wp:anchor distT="0" distB="0" distL="0" distR="0" allowOverlap="1" layoutInCell="1" locked="0" behindDoc="0" simplePos="0" relativeHeight="1936">
            <wp:simplePos x="0" y="0"/>
            <wp:positionH relativeFrom="page">
              <wp:posOffset>1080769</wp:posOffset>
            </wp:positionH>
            <wp:positionV relativeFrom="paragraph">
              <wp:posOffset>211765</wp:posOffset>
            </wp:positionV>
            <wp:extent cx="2472273" cy="371475"/>
            <wp:effectExtent l="0" t="0" r="0" b="0"/>
            <wp:wrapTopAndBottom/>
            <wp:docPr id="39" name="image25.png" descr=""/>
            <wp:cNvGraphicFramePr>
              <a:graphicFrameLocks noChangeAspect="1"/>
            </wp:cNvGraphicFramePr>
            <a:graphic>
              <a:graphicData uri="http://schemas.openxmlformats.org/drawingml/2006/picture">
                <pic:pic>
                  <pic:nvPicPr>
                    <pic:cNvPr id="40" name="image25.png"/>
                    <pic:cNvPicPr/>
                  </pic:nvPicPr>
                  <pic:blipFill>
                    <a:blip r:embed="rId36" cstate="print"/>
                    <a:stretch>
                      <a:fillRect/>
                    </a:stretch>
                  </pic:blipFill>
                  <pic:spPr>
                    <a:xfrm>
                      <a:off x="0" y="0"/>
                      <a:ext cx="2472273" cy="371475"/>
                    </a:xfrm>
                    <a:prstGeom prst="rect">
                      <a:avLst/>
                    </a:prstGeom>
                  </pic:spPr>
                </pic:pic>
              </a:graphicData>
            </a:graphic>
          </wp:anchor>
        </w:drawing>
      </w:r>
      <w:r>
        <w:rPr>
          <w:sz w:val="24"/>
        </w:rPr>
        <w:t>0.6 % en</w:t>
      </w:r>
      <w:r>
        <w:rPr>
          <w:spacing w:val="-5"/>
          <w:sz w:val="24"/>
        </w:rPr>
        <w:t> </w:t>
      </w:r>
      <w:r>
        <w:rPr>
          <w:sz w:val="24"/>
        </w:rPr>
        <w:t>volumen</w:t>
      </w:r>
    </w:p>
    <w:p>
      <w:pPr>
        <w:pStyle w:val="BodyText"/>
        <w:spacing w:before="7"/>
        <w:rPr>
          <w:sz w:val="28"/>
        </w:rPr>
      </w:pPr>
    </w:p>
    <w:p>
      <w:pPr>
        <w:pStyle w:val="ListParagraph"/>
        <w:numPr>
          <w:ilvl w:val="2"/>
          <w:numId w:val="8"/>
        </w:numPr>
        <w:tabs>
          <w:tab w:pos="809" w:val="left" w:leader="none"/>
          <w:tab w:pos="810" w:val="left" w:leader="none"/>
        </w:tabs>
        <w:spacing w:line="240" w:lineRule="auto" w:before="0" w:after="0"/>
        <w:ind w:left="810" w:right="0" w:hanging="348"/>
        <w:jc w:val="left"/>
        <w:rPr>
          <w:sz w:val="24"/>
        </w:rPr>
      </w:pPr>
      <w:r>
        <w:rPr/>
        <w:drawing>
          <wp:anchor distT="0" distB="0" distL="0" distR="0" allowOverlap="1" layoutInCell="1" locked="0" behindDoc="0" simplePos="0" relativeHeight="1960">
            <wp:simplePos x="0" y="0"/>
            <wp:positionH relativeFrom="page">
              <wp:posOffset>1080769</wp:posOffset>
            </wp:positionH>
            <wp:positionV relativeFrom="paragraph">
              <wp:posOffset>211892</wp:posOffset>
            </wp:positionV>
            <wp:extent cx="2472273" cy="371475"/>
            <wp:effectExtent l="0" t="0" r="0" b="0"/>
            <wp:wrapTopAndBottom/>
            <wp:docPr id="41" name="image26.png" descr=""/>
            <wp:cNvGraphicFramePr>
              <a:graphicFrameLocks noChangeAspect="1"/>
            </wp:cNvGraphicFramePr>
            <a:graphic>
              <a:graphicData uri="http://schemas.openxmlformats.org/drawingml/2006/picture">
                <pic:pic>
                  <pic:nvPicPr>
                    <pic:cNvPr id="42" name="image26.png"/>
                    <pic:cNvPicPr/>
                  </pic:nvPicPr>
                  <pic:blipFill>
                    <a:blip r:embed="rId37" cstate="print"/>
                    <a:stretch>
                      <a:fillRect/>
                    </a:stretch>
                  </pic:blipFill>
                  <pic:spPr>
                    <a:xfrm>
                      <a:off x="0" y="0"/>
                      <a:ext cx="2472273" cy="371475"/>
                    </a:xfrm>
                    <a:prstGeom prst="rect">
                      <a:avLst/>
                    </a:prstGeom>
                  </pic:spPr>
                </pic:pic>
              </a:graphicData>
            </a:graphic>
          </wp:anchor>
        </w:drawing>
      </w:r>
      <w:r>
        <w:rPr>
          <w:sz w:val="24"/>
        </w:rPr>
        <w:t>0.9 % en</w:t>
      </w:r>
      <w:r>
        <w:rPr>
          <w:spacing w:val="-5"/>
          <w:sz w:val="24"/>
        </w:rPr>
        <w:t> </w:t>
      </w:r>
      <w:r>
        <w:rPr>
          <w:sz w:val="24"/>
        </w:rPr>
        <w:t>volumen</w:t>
      </w:r>
    </w:p>
    <w:p>
      <w:pPr>
        <w:pStyle w:val="BodyText"/>
      </w:pPr>
    </w:p>
    <w:p>
      <w:pPr>
        <w:pStyle w:val="BodyText"/>
        <w:spacing w:before="4"/>
        <w:rPr>
          <w:sz w:val="32"/>
        </w:rPr>
      </w:pPr>
    </w:p>
    <w:p>
      <w:pPr>
        <w:pStyle w:val="BodyText"/>
        <w:spacing w:line="276" w:lineRule="auto"/>
        <w:ind w:left="102" w:right="153"/>
      </w:pPr>
      <w:r>
        <w:rPr/>
        <w:t>A continuación se muestra la cantidad en peso de cada componente de acuerdo los tipos de concretos elaborados.</w:t>
      </w:r>
    </w:p>
    <w:p>
      <w:pPr>
        <w:pStyle w:val="BodyText"/>
        <w:spacing w:before="9"/>
        <w:rPr>
          <w:sz w:val="27"/>
        </w:rPr>
      </w:pPr>
    </w:p>
    <w:p>
      <w:pPr>
        <w:pStyle w:val="BodyText"/>
        <w:ind w:left="217" w:right="109"/>
      </w:pPr>
      <w:r>
        <w:rPr/>
        <w:t>Tabla 2.6 Composición de las mezclas de concreto polimérico en peso (gramos).</w:t>
      </w:r>
    </w:p>
    <w:p>
      <w:pPr>
        <w:pStyle w:val="BodyText"/>
        <w:rPr>
          <w:sz w:val="20"/>
        </w:rPr>
      </w:pPr>
    </w:p>
    <w:p>
      <w:pPr>
        <w:pStyle w:val="BodyText"/>
        <w:spacing w:before="3"/>
        <w:rPr>
          <w:sz w:val="11"/>
        </w:rPr>
      </w:pPr>
    </w:p>
    <w:tbl>
      <w:tblPr>
        <w:tblW w:w="0" w:type="auto"/>
        <w:jc w:val="left"/>
        <w:tblInd w:w="2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5"/>
        <w:gridCol w:w="1183"/>
        <w:gridCol w:w="1189"/>
        <w:gridCol w:w="1089"/>
      </w:tblGrid>
      <w:tr>
        <w:trPr>
          <w:trHeight w:val="646" w:hRule="exact"/>
        </w:trPr>
        <w:tc>
          <w:tcPr>
            <w:tcW w:w="1435" w:type="dxa"/>
            <w:tcBorders>
              <w:left w:val="nil"/>
              <w:right w:val="nil"/>
            </w:tcBorders>
          </w:tcPr>
          <w:p>
            <w:pPr>
              <w:pStyle w:val="TableParagraph"/>
              <w:spacing w:line="276" w:lineRule="auto" w:before="0"/>
              <w:ind w:left="255" w:firstLine="45"/>
              <w:rPr>
                <w:b/>
                <w:sz w:val="24"/>
              </w:rPr>
            </w:pPr>
            <w:r>
              <w:rPr>
                <w:b/>
                <w:sz w:val="24"/>
              </w:rPr>
              <w:t>Probeta (Código)</w:t>
            </w:r>
          </w:p>
        </w:tc>
        <w:tc>
          <w:tcPr>
            <w:tcW w:w="1183" w:type="dxa"/>
            <w:tcBorders>
              <w:left w:val="nil"/>
              <w:right w:val="nil"/>
            </w:tcBorders>
          </w:tcPr>
          <w:p>
            <w:pPr>
              <w:pStyle w:val="TableParagraph"/>
              <w:spacing w:before="0"/>
              <w:ind w:left="176" w:right="179"/>
              <w:jc w:val="center"/>
              <w:rPr>
                <w:b/>
                <w:sz w:val="24"/>
              </w:rPr>
            </w:pPr>
            <w:r>
              <w:rPr>
                <w:b/>
                <w:sz w:val="24"/>
              </w:rPr>
              <w:t>Resina</w:t>
            </w:r>
          </w:p>
        </w:tc>
        <w:tc>
          <w:tcPr>
            <w:tcW w:w="1189" w:type="dxa"/>
            <w:tcBorders>
              <w:left w:val="nil"/>
              <w:right w:val="nil"/>
            </w:tcBorders>
          </w:tcPr>
          <w:p>
            <w:pPr>
              <w:pStyle w:val="TableParagraph"/>
              <w:spacing w:before="0"/>
              <w:ind w:left="228"/>
              <w:rPr>
                <w:b/>
                <w:sz w:val="24"/>
              </w:rPr>
            </w:pPr>
            <w:r>
              <w:rPr>
                <w:b/>
                <w:sz w:val="24"/>
              </w:rPr>
              <w:t>Arena</w:t>
            </w:r>
          </w:p>
        </w:tc>
        <w:tc>
          <w:tcPr>
            <w:tcW w:w="1089" w:type="dxa"/>
            <w:tcBorders>
              <w:left w:val="nil"/>
              <w:right w:val="nil"/>
            </w:tcBorders>
          </w:tcPr>
          <w:p>
            <w:pPr>
              <w:pStyle w:val="TableParagraph"/>
              <w:spacing w:before="0"/>
              <w:ind w:left="233" w:right="228"/>
              <w:jc w:val="center"/>
              <w:rPr>
                <w:b/>
                <w:sz w:val="24"/>
              </w:rPr>
            </w:pPr>
            <w:r>
              <w:rPr>
                <w:b/>
                <w:sz w:val="24"/>
              </w:rPr>
              <w:t>Fibra</w:t>
            </w:r>
          </w:p>
        </w:tc>
      </w:tr>
      <w:tr>
        <w:trPr>
          <w:trHeight w:val="313" w:hRule="exact"/>
        </w:trPr>
        <w:tc>
          <w:tcPr>
            <w:tcW w:w="1435" w:type="dxa"/>
            <w:tcBorders>
              <w:left w:val="nil"/>
              <w:bottom w:val="nil"/>
              <w:right w:val="nil"/>
            </w:tcBorders>
          </w:tcPr>
          <w:p>
            <w:pPr>
              <w:pStyle w:val="TableParagraph"/>
              <w:spacing w:line="275" w:lineRule="exact" w:before="0"/>
              <w:ind w:left="0" w:right="549"/>
              <w:jc w:val="right"/>
              <w:rPr>
                <w:sz w:val="24"/>
              </w:rPr>
            </w:pPr>
            <w:r>
              <w:rPr>
                <w:sz w:val="24"/>
              </w:rPr>
              <w:t>L1</w:t>
            </w:r>
          </w:p>
        </w:tc>
        <w:tc>
          <w:tcPr>
            <w:tcW w:w="1183" w:type="dxa"/>
            <w:tcBorders>
              <w:left w:val="nil"/>
              <w:bottom w:val="nil"/>
              <w:right w:val="nil"/>
            </w:tcBorders>
          </w:tcPr>
          <w:p>
            <w:pPr>
              <w:pStyle w:val="TableParagraph"/>
              <w:spacing w:line="275" w:lineRule="exact" w:before="0"/>
              <w:ind w:left="176" w:right="179"/>
              <w:jc w:val="center"/>
              <w:rPr>
                <w:sz w:val="24"/>
              </w:rPr>
            </w:pPr>
            <w:r>
              <w:rPr>
                <w:sz w:val="24"/>
              </w:rPr>
              <w:t>253.4</w:t>
            </w:r>
          </w:p>
        </w:tc>
        <w:tc>
          <w:tcPr>
            <w:tcW w:w="1189" w:type="dxa"/>
            <w:tcBorders>
              <w:left w:val="nil"/>
              <w:bottom w:val="nil"/>
              <w:right w:val="nil"/>
            </w:tcBorders>
          </w:tcPr>
          <w:p>
            <w:pPr>
              <w:pStyle w:val="TableParagraph"/>
              <w:spacing w:line="275" w:lineRule="exact" w:before="0"/>
              <w:ind w:left="200"/>
              <w:rPr>
                <w:sz w:val="24"/>
              </w:rPr>
            </w:pPr>
            <w:r>
              <w:rPr>
                <w:sz w:val="24"/>
              </w:rPr>
              <w:t>1397.7</w:t>
            </w:r>
          </w:p>
        </w:tc>
        <w:tc>
          <w:tcPr>
            <w:tcW w:w="1089" w:type="dxa"/>
            <w:tcBorders>
              <w:left w:val="nil"/>
              <w:bottom w:val="nil"/>
              <w:right w:val="nil"/>
            </w:tcBorders>
          </w:tcPr>
          <w:p>
            <w:pPr>
              <w:pStyle w:val="TableParagraph"/>
              <w:spacing w:line="275" w:lineRule="exact" w:before="0"/>
              <w:ind w:left="233" w:right="226"/>
              <w:jc w:val="center"/>
              <w:rPr>
                <w:sz w:val="24"/>
              </w:rPr>
            </w:pPr>
            <w:r>
              <w:rPr>
                <w:sz w:val="24"/>
              </w:rPr>
              <w:t>0.0</w:t>
            </w:r>
          </w:p>
        </w:tc>
      </w:tr>
      <w:tr>
        <w:trPr>
          <w:trHeight w:val="318" w:hRule="exact"/>
        </w:trPr>
        <w:tc>
          <w:tcPr>
            <w:tcW w:w="1435" w:type="dxa"/>
            <w:tcBorders>
              <w:top w:val="nil"/>
              <w:left w:val="nil"/>
              <w:bottom w:val="nil"/>
              <w:right w:val="nil"/>
            </w:tcBorders>
          </w:tcPr>
          <w:p>
            <w:pPr>
              <w:pStyle w:val="TableParagraph"/>
              <w:ind w:left="0" w:right="549"/>
              <w:jc w:val="right"/>
              <w:rPr>
                <w:sz w:val="24"/>
              </w:rPr>
            </w:pPr>
            <w:r>
              <w:rPr>
                <w:sz w:val="24"/>
              </w:rPr>
              <w:t>L2</w:t>
            </w:r>
          </w:p>
        </w:tc>
        <w:tc>
          <w:tcPr>
            <w:tcW w:w="1183" w:type="dxa"/>
            <w:tcBorders>
              <w:top w:val="nil"/>
              <w:left w:val="nil"/>
              <w:bottom w:val="nil"/>
              <w:right w:val="nil"/>
            </w:tcBorders>
          </w:tcPr>
          <w:p>
            <w:pPr>
              <w:pStyle w:val="TableParagraph"/>
              <w:ind w:left="176" w:right="179"/>
              <w:jc w:val="center"/>
              <w:rPr>
                <w:sz w:val="24"/>
              </w:rPr>
            </w:pPr>
            <w:r>
              <w:rPr>
                <w:sz w:val="24"/>
              </w:rPr>
              <w:t>253.4</w:t>
            </w:r>
          </w:p>
        </w:tc>
        <w:tc>
          <w:tcPr>
            <w:tcW w:w="1189" w:type="dxa"/>
            <w:tcBorders>
              <w:top w:val="nil"/>
              <w:left w:val="nil"/>
              <w:bottom w:val="nil"/>
              <w:right w:val="nil"/>
            </w:tcBorders>
          </w:tcPr>
          <w:p>
            <w:pPr>
              <w:pStyle w:val="TableParagraph"/>
              <w:ind w:left="200"/>
              <w:rPr>
                <w:sz w:val="24"/>
              </w:rPr>
            </w:pPr>
            <w:r>
              <w:rPr>
                <w:sz w:val="24"/>
              </w:rPr>
              <w:t>1395.6</w:t>
            </w:r>
          </w:p>
        </w:tc>
        <w:tc>
          <w:tcPr>
            <w:tcW w:w="1089" w:type="dxa"/>
            <w:tcBorders>
              <w:top w:val="nil"/>
              <w:left w:val="nil"/>
              <w:bottom w:val="nil"/>
              <w:right w:val="nil"/>
            </w:tcBorders>
          </w:tcPr>
          <w:p>
            <w:pPr>
              <w:pStyle w:val="TableParagraph"/>
              <w:ind w:left="233" w:right="226"/>
              <w:jc w:val="center"/>
              <w:rPr>
                <w:sz w:val="24"/>
              </w:rPr>
            </w:pPr>
            <w:r>
              <w:rPr>
                <w:sz w:val="24"/>
              </w:rPr>
              <w:t>2.1</w:t>
            </w:r>
          </w:p>
        </w:tc>
      </w:tr>
      <w:tr>
        <w:trPr>
          <w:trHeight w:val="318" w:hRule="exact"/>
        </w:trPr>
        <w:tc>
          <w:tcPr>
            <w:tcW w:w="1435" w:type="dxa"/>
            <w:tcBorders>
              <w:top w:val="nil"/>
              <w:left w:val="nil"/>
              <w:bottom w:val="nil"/>
              <w:right w:val="nil"/>
            </w:tcBorders>
          </w:tcPr>
          <w:p>
            <w:pPr>
              <w:pStyle w:val="TableParagraph"/>
              <w:spacing w:before="9"/>
              <w:ind w:left="0" w:right="549"/>
              <w:jc w:val="right"/>
              <w:rPr>
                <w:sz w:val="24"/>
              </w:rPr>
            </w:pPr>
            <w:r>
              <w:rPr>
                <w:sz w:val="24"/>
              </w:rPr>
              <w:t>L3</w:t>
            </w:r>
          </w:p>
        </w:tc>
        <w:tc>
          <w:tcPr>
            <w:tcW w:w="1183" w:type="dxa"/>
            <w:tcBorders>
              <w:top w:val="nil"/>
              <w:left w:val="nil"/>
              <w:bottom w:val="nil"/>
              <w:right w:val="nil"/>
            </w:tcBorders>
          </w:tcPr>
          <w:p>
            <w:pPr>
              <w:pStyle w:val="TableParagraph"/>
              <w:spacing w:before="9"/>
              <w:ind w:left="176" w:right="179"/>
              <w:jc w:val="center"/>
              <w:rPr>
                <w:sz w:val="24"/>
              </w:rPr>
            </w:pPr>
            <w:r>
              <w:rPr>
                <w:sz w:val="24"/>
              </w:rPr>
              <w:t>253.4</w:t>
            </w:r>
          </w:p>
        </w:tc>
        <w:tc>
          <w:tcPr>
            <w:tcW w:w="1189" w:type="dxa"/>
            <w:tcBorders>
              <w:top w:val="nil"/>
              <w:left w:val="nil"/>
              <w:bottom w:val="nil"/>
              <w:right w:val="nil"/>
            </w:tcBorders>
          </w:tcPr>
          <w:p>
            <w:pPr>
              <w:pStyle w:val="TableParagraph"/>
              <w:spacing w:before="9"/>
              <w:ind w:left="200"/>
              <w:rPr>
                <w:sz w:val="24"/>
              </w:rPr>
            </w:pPr>
            <w:r>
              <w:rPr>
                <w:sz w:val="24"/>
              </w:rPr>
              <w:t>1393.5</w:t>
            </w:r>
          </w:p>
        </w:tc>
        <w:tc>
          <w:tcPr>
            <w:tcW w:w="1089" w:type="dxa"/>
            <w:tcBorders>
              <w:top w:val="nil"/>
              <w:left w:val="nil"/>
              <w:bottom w:val="nil"/>
              <w:right w:val="nil"/>
            </w:tcBorders>
          </w:tcPr>
          <w:p>
            <w:pPr>
              <w:pStyle w:val="TableParagraph"/>
              <w:spacing w:before="9"/>
              <w:ind w:left="233" w:right="226"/>
              <w:jc w:val="center"/>
              <w:rPr>
                <w:sz w:val="24"/>
              </w:rPr>
            </w:pPr>
            <w:r>
              <w:rPr>
                <w:sz w:val="24"/>
              </w:rPr>
              <w:t>4.2</w:t>
            </w:r>
          </w:p>
        </w:tc>
      </w:tr>
      <w:tr>
        <w:trPr>
          <w:trHeight w:val="331" w:hRule="exact"/>
        </w:trPr>
        <w:tc>
          <w:tcPr>
            <w:tcW w:w="1435" w:type="dxa"/>
            <w:tcBorders>
              <w:top w:val="nil"/>
              <w:left w:val="nil"/>
              <w:right w:val="nil"/>
            </w:tcBorders>
          </w:tcPr>
          <w:p>
            <w:pPr>
              <w:pStyle w:val="TableParagraph"/>
              <w:ind w:left="0" w:right="549"/>
              <w:jc w:val="right"/>
              <w:rPr>
                <w:sz w:val="24"/>
              </w:rPr>
            </w:pPr>
            <w:r>
              <w:rPr>
                <w:sz w:val="24"/>
              </w:rPr>
              <w:t>L4</w:t>
            </w:r>
          </w:p>
        </w:tc>
        <w:tc>
          <w:tcPr>
            <w:tcW w:w="1183" w:type="dxa"/>
            <w:tcBorders>
              <w:top w:val="nil"/>
              <w:left w:val="nil"/>
              <w:right w:val="nil"/>
            </w:tcBorders>
          </w:tcPr>
          <w:p>
            <w:pPr>
              <w:pStyle w:val="TableParagraph"/>
              <w:ind w:left="176" w:right="179"/>
              <w:jc w:val="center"/>
              <w:rPr>
                <w:sz w:val="24"/>
              </w:rPr>
            </w:pPr>
            <w:r>
              <w:rPr>
                <w:sz w:val="24"/>
              </w:rPr>
              <w:t>253.4</w:t>
            </w:r>
          </w:p>
        </w:tc>
        <w:tc>
          <w:tcPr>
            <w:tcW w:w="1189" w:type="dxa"/>
            <w:tcBorders>
              <w:top w:val="nil"/>
              <w:left w:val="nil"/>
              <w:right w:val="nil"/>
            </w:tcBorders>
          </w:tcPr>
          <w:p>
            <w:pPr>
              <w:pStyle w:val="TableParagraph"/>
              <w:ind w:left="200"/>
              <w:rPr>
                <w:sz w:val="24"/>
              </w:rPr>
            </w:pPr>
            <w:r>
              <w:rPr>
                <w:sz w:val="24"/>
              </w:rPr>
              <w:t>1391.4</w:t>
            </w:r>
          </w:p>
        </w:tc>
        <w:tc>
          <w:tcPr>
            <w:tcW w:w="1089" w:type="dxa"/>
            <w:tcBorders>
              <w:top w:val="nil"/>
              <w:left w:val="nil"/>
              <w:right w:val="nil"/>
            </w:tcBorders>
          </w:tcPr>
          <w:p>
            <w:pPr>
              <w:pStyle w:val="TableParagraph"/>
              <w:ind w:left="233" w:right="226"/>
              <w:jc w:val="center"/>
              <w:rPr>
                <w:sz w:val="24"/>
              </w:rPr>
            </w:pPr>
            <w:r>
              <w:rPr>
                <w:sz w:val="24"/>
              </w:rPr>
              <w:t>6.3</w:t>
            </w:r>
          </w:p>
        </w:tc>
      </w:tr>
    </w:tbl>
    <w:p>
      <w:pPr>
        <w:pStyle w:val="BodyText"/>
        <w:spacing w:before="6"/>
        <w:rPr>
          <w:sz w:val="21"/>
        </w:rPr>
      </w:pPr>
    </w:p>
    <w:p>
      <w:pPr>
        <w:pStyle w:val="BodyText"/>
        <w:spacing w:line="276" w:lineRule="auto" w:before="70"/>
        <w:ind w:left="102" w:right="109"/>
      </w:pPr>
      <w:r>
        <w:rPr/>
        <w:t>Cabe mencionar que para comenzar la polimerización de la resina, se debe agregar entre 1 y 2% en peso de peróxido de metil etil cetona por cada 100 g de</w:t>
      </w:r>
    </w:p>
    <w:p>
      <w:pPr>
        <w:spacing w:after="0" w:line="276" w:lineRule="auto"/>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8" w:lineRule="auto"/>
        <w:ind w:left="102" w:right="109"/>
      </w:pPr>
      <w:r>
        <w:rPr/>
        <w:t>resina. Es decir, para 253.4 g de resina se debe agregar entre 2.5 y 5 g de peróxido.</w:t>
      </w:r>
    </w:p>
    <w:p>
      <w:pPr>
        <w:pStyle w:val="BodyText"/>
      </w:pPr>
    </w:p>
    <w:p>
      <w:pPr>
        <w:pStyle w:val="BodyText"/>
        <w:spacing w:before="10"/>
        <w:rPr>
          <w:sz w:val="30"/>
        </w:rPr>
      </w:pPr>
    </w:p>
    <w:p>
      <w:pPr>
        <w:pStyle w:val="Heading2"/>
        <w:ind w:left="102" w:right="2220"/>
        <w:jc w:val="left"/>
      </w:pPr>
      <w:r>
        <w:rPr/>
        <w:t>Procedimiento de elaboración</w:t>
      </w:r>
    </w:p>
    <w:p>
      <w:pPr>
        <w:pStyle w:val="BodyText"/>
        <w:spacing w:before="3"/>
        <w:rPr>
          <w:b/>
          <w:sz w:val="31"/>
        </w:rPr>
      </w:pPr>
    </w:p>
    <w:p>
      <w:pPr>
        <w:pStyle w:val="BodyText"/>
        <w:ind w:left="102" w:right="109"/>
      </w:pPr>
      <w:r>
        <w:rPr>
          <w:color w:val="221F1F"/>
        </w:rPr>
        <w:t>El proceso de elaboración se realizó de acuerdo a los siguientes pasos:</w:t>
      </w:r>
    </w:p>
    <w:p>
      <w:pPr>
        <w:pStyle w:val="BodyText"/>
        <w:spacing w:before="9"/>
        <w:rPr>
          <w:sz w:val="27"/>
        </w:rPr>
      </w:pPr>
      <w:r>
        <w:rPr/>
        <w:drawing>
          <wp:anchor distT="0" distB="0" distL="0" distR="0" allowOverlap="1" layoutInCell="1" locked="0" behindDoc="0" simplePos="0" relativeHeight="1984">
            <wp:simplePos x="0" y="0"/>
            <wp:positionH relativeFrom="page">
              <wp:posOffset>1080769</wp:posOffset>
            </wp:positionH>
            <wp:positionV relativeFrom="paragraph">
              <wp:posOffset>227927</wp:posOffset>
            </wp:positionV>
            <wp:extent cx="5540740" cy="5218176"/>
            <wp:effectExtent l="0" t="0" r="0" b="0"/>
            <wp:wrapTopAndBottom/>
            <wp:docPr id="43" name="image27.png" descr=""/>
            <wp:cNvGraphicFramePr>
              <a:graphicFrameLocks noChangeAspect="1"/>
            </wp:cNvGraphicFramePr>
            <a:graphic>
              <a:graphicData uri="http://schemas.openxmlformats.org/drawingml/2006/picture">
                <pic:pic>
                  <pic:nvPicPr>
                    <pic:cNvPr id="44" name="image27.png"/>
                    <pic:cNvPicPr/>
                  </pic:nvPicPr>
                  <pic:blipFill>
                    <a:blip r:embed="rId38" cstate="print"/>
                    <a:stretch>
                      <a:fillRect/>
                    </a:stretch>
                  </pic:blipFill>
                  <pic:spPr>
                    <a:xfrm>
                      <a:off x="0" y="0"/>
                      <a:ext cx="5540740" cy="5218176"/>
                    </a:xfrm>
                    <a:prstGeom prst="rect">
                      <a:avLst/>
                    </a:prstGeom>
                  </pic:spPr>
                </pic:pic>
              </a:graphicData>
            </a:graphic>
          </wp:anchor>
        </w:drawing>
      </w:r>
    </w:p>
    <w:p>
      <w:pPr>
        <w:spacing w:after="0"/>
        <w:rPr>
          <w:sz w:val="27"/>
        </w:rPr>
        <w:sectPr>
          <w:pgSz w:w="12240" w:h="15840"/>
          <w:pgMar w:header="747" w:footer="0" w:top="940" w:bottom="280" w:left="1600" w:right="1580"/>
        </w:sectPr>
      </w:pPr>
    </w:p>
    <w:p>
      <w:pPr>
        <w:pStyle w:val="BodyText"/>
        <w:rPr>
          <w:sz w:val="20"/>
        </w:rPr>
      </w:pPr>
    </w:p>
    <w:p>
      <w:pPr>
        <w:pStyle w:val="BodyText"/>
        <w:rPr>
          <w:sz w:val="20"/>
        </w:rPr>
      </w:pPr>
    </w:p>
    <w:p>
      <w:pPr>
        <w:pStyle w:val="BodyText"/>
        <w:rPr>
          <w:sz w:val="20"/>
        </w:rPr>
      </w:pPr>
    </w:p>
    <w:p>
      <w:pPr>
        <w:pStyle w:val="BodyText"/>
        <w:spacing w:before="10"/>
        <w:rPr>
          <w:sz w:val="29"/>
        </w:rPr>
      </w:pPr>
    </w:p>
    <w:p>
      <w:pPr>
        <w:pStyle w:val="Heading2"/>
        <w:numPr>
          <w:ilvl w:val="1"/>
          <w:numId w:val="8"/>
        </w:numPr>
        <w:tabs>
          <w:tab w:pos="505" w:val="left" w:leader="none"/>
        </w:tabs>
        <w:spacing w:line="240" w:lineRule="auto" w:before="69" w:after="0"/>
        <w:ind w:left="504" w:right="0" w:hanging="402"/>
        <w:jc w:val="both"/>
        <w:rPr>
          <w:color w:val="221F1F"/>
        </w:rPr>
      </w:pPr>
      <w:r>
        <w:rPr>
          <w:color w:val="221F1F"/>
        </w:rPr>
        <w:t>RADIACIÓN GAMMA DE CONCRETOS Y</w:t>
      </w:r>
      <w:r>
        <w:rPr>
          <w:color w:val="221F1F"/>
          <w:spacing w:val="-13"/>
        </w:rPr>
        <w:t> </w:t>
      </w:r>
      <w:r>
        <w:rPr>
          <w:color w:val="221F1F"/>
        </w:rPr>
        <w:t>FIBRAS</w:t>
      </w:r>
    </w:p>
    <w:p>
      <w:pPr>
        <w:pStyle w:val="BodyText"/>
        <w:spacing w:before="1"/>
        <w:rPr>
          <w:b/>
          <w:sz w:val="31"/>
        </w:rPr>
      </w:pPr>
    </w:p>
    <w:p>
      <w:pPr>
        <w:pStyle w:val="BodyText"/>
        <w:spacing w:line="273" w:lineRule="auto"/>
        <w:ind w:left="102" w:right="114"/>
        <w:jc w:val="both"/>
      </w:pPr>
      <w:r>
        <w:rPr>
          <w:color w:val="221F1F"/>
        </w:rPr>
        <w:t>Los concretos poliméricos y las fibras de Luffa fueron irradiados con rayos gamma en el Instituto Nacional de Investigaciones Nucleares (ININ), en un </w:t>
      </w:r>
      <w:r>
        <w:rPr/>
        <w:t>irradiador industrial JS-6500; el cual funciona con lápices de cobalto 60 (</w:t>
      </w:r>
      <w:r>
        <w:rPr>
          <w:position w:val="8"/>
          <w:sz w:val="16"/>
        </w:rPr>
        <w:t>60</w:t>
      </w:r>
      <w:r>
        <w:rPr/>
        <w:t>Co) con vida media de 5.2</w:t>
      </w:r>
      <w:r>
        <w:rPr>
          <w:spacing w:val="-6"/>
        </w:rPr>
        <w:t> </w:t>
      </w:r>
      <w:r>
        <w:rPr/>
        <w:t>años.</w:t>
      </w:r>
    </w:p>
    <w:p>
      <w:pPr>
        <w:pStyle w:val="BodyText"/>
        <w:rPr>
          <w:sz w:val="28"/>
        </w:rPr>
      </w:pPr>
    </w:p>
    <w:p>
      <w:pPr>
        <w:pStyle w:val="BodyText"/>
        <w:spacing w:line="276" w:lineRule="auto"/>
        <w:ind w:left="102" w:right="127"/>
        <w:jc w:val="both"/>
      </w:pPr>
      <w:r>
        <w:rPr/>
        <w:t>Para calcular el tiempo de residencia del concreto polimérico y de la fibra de polipropileno en la cámara de irradiación, para alcanzar 50 y 100 kGy se utiliza la fórmula:</w:t>
      </w:r>
    </w:p>
    <w:p>
      <w:pPr>
        <w:pStyle w:val="BodyText"/>
        <w:spacing w:before="46"/>
        <w:ind w:left="2257" w:right="153"/>
        <w:jc w:val="center"/>
      </w:pPr>
      <w:r>
        <w:rPr/>
        <w:drawing>
          <wp:anchor distT="0" distB="0" distL="0" distR="0" allowOverlap="1" layoutInCell="1" locked="0" behindDoc="1" simplePos="0" relativeHeight="268352639">
            <wp:simplePos x="0" y="0"/>
            <wp:positionH relativeFrom="page">
              <wp:posOffset>3117850</wp:posOffset>
            </wp:positionH>
            <wp:positionV relativeFrom="paragraph">
              <wp:posOffset>-941</wp:posOffset>
            </wp:positionV>
            <wp:extent cx="401320" cy="287019"/>
            <wp:effectExtent l="0" t="0" r="0" b="0"/>
            <wp:wrapNone/>
            <wp:docPr id="45" name="image28.png" descr=""/>
            <wp:cNvGraphicFramePr>
              <a:graphicFrameLocks noChangeAspect="1"/>
            </wp:cNvGraphicFramePr>
            <a:graphic>
              <a:graphicData uri="http://schemas.openxmlformats.org/drawingml/2006/picture">
                <pic:pic>
                  <pic:nvPicPr>
                    <pic:cNvPr id="46" name="image28.png"/>
                    <pic:cNvPicPr/>
                  </pic:nvPicPr>
                  <pic:blipFill>
                    <a:blip r:embed="rId40" cstate="print"/>
                    <a:stretch>
                      <a:fillRect/>
                    </a:stretch>
                  </pic:blipFill>
                  <pic:spPr>
                    <a:xfrm>
                      <a:off x="0" y="0"/>
                      <a:ext cx="401320" cy="287019"/>
                    </a:xfrm>
                    <a:prstGeom prst="rect">
                      <a:avLst/>
                    </a:prstGeom>
                  </pic:spPr>
                </pic:pic>
              </a:graphicData>
            </a:graphic>
          </wp:anchor>
        </w:drawing>
      </w:r>
      <w:r>
        <w:rPr/>
        <w:t>(6)</w:t>
      </w:r>
    </w:p>
    <w:p>
      <w:pPr>
        <w:pStyle w:val="BodyText"/>
        <w:rPr>
          <w:sz w:val="20"/>
        </w:rPr>
      </w:pPr>
    </w:p>
    <w:p>
      <w:pPr>
        <w:pStyle w:val="BodyText"/>
        <w:spacing w:before="1"/>
        <w:rPr>
          <w:sz w:val="16"/>
        </w:rPr>
      </w:pPr>
    </w:p>
    <w:p>
      <w:pPr>
        <w:pStyle w:val="BodyText"/>
        <w:spacing w:line="554" w:lineRule="auto" w:before="70"/>
        <w:ind w:left="102" w:right="109"/>
      </w:pPr>
      <w:r>
        <w:rPr/>
        <w:t>Donde </w:t>
      </w:r>
      <w:r>
        <w:rPr>
          <w:i/>
        </w:rPr>
        <w:t>t </w:t>
      </w:r>
      <w:r>
        <w:rPr/>
        <w:t>= tiempo de residencia, </w:t>
      </w:r>
      <w:r>
        <w:rPr>
          <w:i/>
        </w:rPr>
        <w:t>Dr </w:t>
      </w:r>
      <w:r>
        <w:rPr/>
        <w:t>= dosis requerida, y </w:t>
      </w:r>
      <w:r>
        <w:rPr>
          <w:i/>
        </w:rPr>
        <w:t>Td </w:t>
      </w:r>
      <w:r>
        <w:rPr/>
        <w:t>= tasa de dosis. Procedimiento de la irradiación:</w:t>
      </w:r>
    </w:p>
    <w:p>
      <w:pPr>
        <w:pStyle w:val="ListParagraph"/>
        <w:numPr>
          <w:ilvl w:val="0"/>
          <w:numId w:val="9"/>
        </w:numPr>
        <w:tabs>
          <w:tab w:pos="462" w:val="left" w:leader="none"/>
        </w:tabs>
        <w:spacing w:line="276" w:lineRule="auto" w:before="6" w:after="0"/>
        <w:ind w:left="462" w:right="119" w:hanging="360"/>
        <w:jc w:val="both"/>
        <w:rPr>
          <w:sz w:val="24"/>
        </w:rPr>
      </w:pPr>
      <w:r>
        <w:rPr>
          <w:sz w:val="24"/>
        </w:rPr>
        <w:t>Concreto polimérico: etiquetar cada probeta con el número de lote, concentración de fibra y dosis de radiación gamma; posteriormente  introducirlas en la cámara de irradiación hasta alcanzar la dosis deseada (50 y 100</w:t>
      </w:r>
      <w:r>
        <w:rPr>
          <w:spacing w:val="-5"/>
          <w:sz w:val="24"/>
        </w:rPr>
        <w:t> </w:t>
      </w:r>
      <w:r>
        <w:rPr>
          <w:sz w:val="24"/>
        </w:rPr>
        <w:t>kGy).</w:t>
      </w:r>
    </w:p>
    <w:p>
      <w:pPr>
        <w:pStyle w:val="BodyText"/>
        <w:spacing w:before="6"/>
        <w:rPr>
          <w:sz w:val="27"/>
        </w:rPr>
      </w:pPr>
    </w:p>
    <w:p>
      <w:pPr>
        <w:pStyle w:val="ListParagraph"/>
        <w:numPr>
          <w:ilvl w:val="0"/>
          <w:numId w:val="9"/>
        </w:numPr>
        <w:tabs>
          <w:tab w:pos="462" w:val="left" w:leader="none"/>
        </w:tabs>
        <w:spacing w:line="276" w:lineRule="auto" w:before="1" w:after="0"/>
        <w:ind w:left="462" w:right="125" w:hanging="360"/>
        <w:jc w:val="both"/>
        <w:rPr>
          <w:sz w:val="24"/>
        </w:rPr>
      </w:pPr>
      <w:r>
        <w:rPr>
          <w:sz w:val="24"/>
        </w:rPr>
        <w:t>Fibra de luffa: llenar 6 viales con fibra y etiquetar con la dosis de radiación gamma requerida (Figura 2.1). Introducir los viales en la cámara de irradiación hasta alcanzar la dosis deseada (50 y 100</w:t>
      </w:r>
      <w:r>
        <w:rPr>
          <w:spacing w:val="-16"/>
          <w:sz w:val="24"/>
        </w:rPr>
        <w:t> </w:t>
      </w:r>
      <w:r>
        <w:rPr>
          <w:sz w:val="24"/>
        </w:rPr>
        <w:t>kGy).</w:t>
      </w:r>
    </w:p>
    <w:p>
      <w:pPr>
        <w:pStyle w:val="BodyText"/>
        <w:spacing w:before="2"/>
      </w:pPr>
      <w:r>
        <w:rPr/>
        <w:drawing>
          <wp:anchor distT="0" distB="0" distL="0" distR="0" allowOverlap="1" layoutInCell="1" locked="0" behindDoc="0" simplePos="0" relativeHeight="2008">
            <wp:simplePos x="0" y="0"/>
            <wp:positionH relativeFrom="page">
              <wp:posOffset>2961004</wp:posOffset>
            </wp:positionH>
            <wp:positionV relativeFrom="paragraph">
              <wp:posOffset>201753</wp:posOffset>
            </wp:positionV>
            <wp:extent cx="1850269" cy="1382458"/>
            <wp:effectExtent l="0" t="0" r="0" b="0"/>
            <wp:wrapTopAndBottom/>
            <wp:docPr id="47" name="image29.jpeg" descr=""/>
            <wp:cNvGraphicFramePr>
              <a:graphicFrameLocks noChangeAspect="1"/>
            </wp:cNvGraphicFramePr>
            <a:graphic>
              <a:graphicData uri="http://schemas.openxmlformats.org/drawingml/2006/picture">
                <pic:pic>
                  <pic:nvPicPr>
                    <pic:cNvPr id="48" name="image29.jpeg"/>
                    <pic:cNvPicPr/>
                  </pic:nvPicPr>
                  <pic:blipFill>
                    <a:blip r:embed="rId41" cstate="print"/>
                    <a:stretch>
                      <a:fillRect/>
                    </a:stretch>
                  </pic:blipFill>
                  <pic:spPr>
                    <a:xfrm>
                      <a:off x="0" y="0"/>
                      <a:ext cx="1850269" cy="1382458"/>
                    </a:xfrm>
                    <a:prstGeom prst="rect">
                      <a:avLst/>
                    </a:prstGeom>
                  </pic:spPr>
                </pic:pic>
              </a:graphicData>
            </a:graphic>
          </wp:anchor>
        </w:drawing>
      </w:r>
    </w:p>
    <w:p>
      <w:pPr>
        <w:pStyle w:val="BodyText"/>
        <w:spacing w:before="6"/>
        <w:rPr>
          <w:sz w:val="28"/>
        </w:rPr>
      </w:pPr>
    </w:p>
    <w:p>
      <w:pPr>
        <w:pStyle w:val="BodyText"/>
        <w:ind w:left="2519" w:right="2220"/>
      </w:pPr>
      <w:r>
        <w:rPr/>
        <w:t>Figura 2.1. Fibras de Luffa irradiadas.</w:t>
      </w:r>
    </w:p>
    <w:p>
      <w:pPr>
        <w:spacing w:after="0"/>
        <w:sectPr>
          <w:headerReference w:type="default" r:id="rId39"/>
          <w:pgSz w:w="12240" w:h="15840"/>
          <w:pgMar w:header="747" w:footer="0" w:top="940" w:bottom="280" w:left="1600" w:right="1580"/>
        </w:sectPr>
      </w:pPr>
    </w:p>
    <w:p>
      <w:pPr>
        <w:pStyle w:val="BodyText"/>
        <w:rPr>
          <w:sz w:val="20"/>
        </w:rPr>
      </w:pPr>
    </w:p>
    <w:p>
      <w:pPr>
        <w:pStyle w:val="BodyText"/>
        <w:rPr>
          <w:sz w:val="20"/>
        </w:rPr>
      </w:pPr>
    </w:p>
    <w:p>
      <w:pPr>
        <w:pStyle w:val="BodyText"/>
        <w:rPr>
          <w:sz w:val="20"/>
        </w:rPr>
      </w:pPr>
    </w:p>
    <w:p>
      <w:pPr>
        <w:pStyle w:val="BodyText"/>
        <w:spacing w:before="10"/>
        <w:rPr>
          <w:sz w:val="29"/>
        </w:rPr>
      </w:pPr>
    </w:p>
    <w:p>
      <w:pPr>
        <w:pStyle w:val="Heading2"/>
        <w:numPr>
          <w:ilvl w:val="1"/>
          <w:numId w:val="8"/>
        </w:numPr>
        <w:tabs>
          <w:tab w:pos="505" w:val="left" w:leader="none"/>
        </w:tabs>
        <w:spacing w:line="240" w:lineRule="auto" w:before="69" w:after="0"/>
        <w:ind w:left="504" w:right="0" w:hanging="402"/>
        <w:jc w:val="both"/>
      </w:pPr>
      <w:r>
        <w:rPr/>
        <w:t>EVALUACIÓN DE LA RESISTENCIA</w:t>
      </w:r>
      <w:r>
        <w:rPr>
          <w:spacing w:val="-15"/>
        </w:rPr>
        <w:t> </w:t>
      </w:r>
      <w:r>
        <w:rPr/>
        <w:t>MECÁNICA</w:t>
      </w:r>
    </w:p>
    <w:p>
      <w:pPr>
        <w:pStyle w:val="BodyText"/>
        <w:spacing w:before="1"/>
        <w:rPr>
          <w:b/>
          <w:sz w:val="31"/>
        </w:rPr>
      </w:pPr>
    </w:p>
    <w:p>
      <w:pPr>
        <w:pStyle w:val="BodyText"/>
        <w:spacing w:line="276" w:lineRule="auto"/>
        <w:ind w:left="102" w:right="124"/>
        <w:jc w:val="both"/>
      </w:pPr>
      <w:r>
        <w:rPr/>
        <w:t>La evaluación de la resistencia mecánica a la compresión de las probetas de concreto polimérico se realizó en una Maquina Universal de Pruebas marca Controls</w:t>
      </w:r>
      <w:r>
        <w:rPr>
          <w:position w:val="8"/>
          <w:sz w:val="16"/>
        </w:rPr>
        <w:t>MR </w:t>
      </w:r>
      <w:r>
        <w:rPr/>
        <w:t>(Figura 2.2) con capacidad de 30 toneladas, localizada en el  Laboratorio de Investigación y Desarrollo de Materiales Avanzados (LIDMA) de la Facultad de Química de la</w:t>
      </w:r>
      <w:r>
        <w:rPr>
          <w:spacing w:val="-10"/>
        </w:rPr>
        <w:t> </w:t>
      </w:r>
      <w:r>
        <w:rPr/>
        <w:t>UAEM.</w:t>
      </w:r>
    </w:p>
    <w:p>
      <w:pPr>
        <w:pStyle w:val="BodyText"/>
        <w:rPr>
          <w:sz w:val="20"/>
        </w:rPr>
      </w:pPr>
    </w:p>
    <w:p>
      <w:pPr>
        <w:pStyle w:val="BodyText"/>
        <w:rPr>
          <w:sz w:val="20"/>
        </w:rPr>
      </w:pPr>
    </w:p>
    <w:p>
      <w:pPr>
        <w:pStyle w:val="BodyText"/>
        <w:spacing w:before="10"/>
        <w:rPr>
          <w:sz w:val="11"/>
        </w:rPr>
      </w:pPr>
      <w:r>
        <w:rPr/>
        <w:drawing>
          <wp:anchor distT="0" distB="0" distL="0" distR="0" allowOverlap="1" layoutInCell="1" locked="0" behindDoc="0" simplePos="0" relativeHeight="2056">
            <wp:simplePos x="0" y="0"/>
            <wp:positionH relativeFrom="page">
              <wp:posOffset>1875789</wp:posOffset>
            </wp:positionH>
            <wp:positionV relativeFrom="paragraph">
              <wp:posOffset>111862</wp:posOffset>
            </wp:positionV>
            <wp:extent cx="4064335" cy="3034283"/>
            <wp:effectExtent l="0" t="0" r="0" b="0"/>
            <wp:wrapTopAndBottom/>
            <wp:docPr id="49" name="image30.jpeg" descr=""/>
            <wp:cNvGraphicFramePr>
              <a:graphicFrameLocks noChangeAspect="1"/>
            </wp:cNvGraphicFramePr>
            <a:graphic>
              <a:graphicData uri="http://schemas.openxmlformats.org/drawingml/2006/picture">
                <pic:pic>
                  <pic:nvPicPr>
                    <pic:cNvPr id="50" name="image30.jpeg"/>
                    <pic:cNvPicPr/>
                  </pic:nvPicPr>
                  <pic:blipFill>
                    <a:blip r:embed="rId43" cstate="print"/>
                    <a:stretch>
                      <a:fillRect/>
                    </a:stretch>
                  </pic:blipFill>
                  <pic:spPr>
                    <a:xfrm>
                      <a:off x="0" y="0"/>
                      <a:ext cx="4064335" cy="3034283"/>
                    </a:xfrm>
                    <a:prstGeom prst="rect">
                      <a:avLst/>
                    </a:prstGeom>
                  </pic:spPr>
                </pic:pic>
              </a:graphicData>
            </a:graphic>
          </wp:anchor>
        </w:drawing>
      </w:r>
    </w:p>
    <w:p>
      <w:pPr>
        <w:pStyle w:val="BodyText"/>
        <w:rPr>
          <w:sz w:val="18"/>
        </w:rPr>
      </w:pPr>
    </w:p>
    <w:p>
      <w:pPr>
        <w:pStyle w:val="BodyText"/>
        <w:spacing w:before="70"/>
        <w:ind w:left="2253" w:right="2220"/>
      </w:pPr>
      <w:r>
        <w:rPr/>
        <w:t>Figura 2.2. Maquina Universal de pruebas.</w:t>
      </w:r>
    </w:p>
    <w:p>
      <w:pPr>
        <w:pStyle w:val="BodyText"/>
      </w:pPr>
    </w:p>
    <w:p>
      <w:pPr>
        <w:pStyle w:val="BodyText"/>
        <w:spacing w:before="9"/>
        <w:rPr>
          <w:sz w:val="34"/>
        </w:rPr>
      </w:pPr>
    </w:p>
    <w:p>
      <w:pPr>
        <w:pStyle w:val="BodyText"/>
        <w:spacing w:line="276" w:lineRule="auto" w:before="1"/>
        <w:ind w:left="102" w:right="122"/>
        <w:jc w:val="both"/>
      </w:pPr>
      <w:r>
        <w:rPr/>
        <w:t>La Máquina Universal de Pruebas está equipada con un software para pruebas mecánicas de cocnretos, que proporciona los datos y la gráfica del ensayo de compresión y Flexión.</w:t>
      </w:r>
    </w:p>
    <w:p>
      <w:pPr>
        <w:pStyle w:val="BodyText"/>
        <w:spacing w:before="9"/>
        <w:rPr>
          <w:sz w:val="27"/>
        </w:rPr>
      </w:pPr>
    </w:p>
    <w:p>
      <w:pPr>
        <w:pStyle w:val="BodyText"/>
        <w:ind w:left="102"/>
        <w:jc w:val="both"/>
      </w:pPr>
      <w:r>
        <w:rPr/>
        <w:t>El procedimiento para el ensayo de compresión fue el siguiente:</w:t>
      </w:r>
    </w:p>
    <w:p>
      <w:pPr>
        <w:pStyle w:val="BodyText"/>
        <w:spacing w:before="1"/>
        <w:rPr>
          <w:sz w:val="31"/>
        </w:rPr>
      </w:pPr>
    </w:p>
    <w:p>
      <w:pPr>
        <w:pStyle w:val="ListParagraph"/>
        <w:numPr>
          <w:ilvl w:val="0"/>
          <w:numId w:val="10"/>
        </w:numPr>
        <w:tabs>
          <w:tab w:pos="810" w:val="left" w:leader="none"/>
        </w:tabs>
        <w:spacing w:line="240" w:lineRule="auto" w:before="0" w:after="0"/>
        <w:ind w:left="822" w:right="0" w:hanging="360"/>
        <w:jc w:val="left"/>
        <w:rPr>
          <w:sz w:val="24"/>
        </w:rPr>
      </w:pPr>
      <w:r>
        <w:rPr>
          <w:sz w:val="24"/>
        </w:rPr>
        <w:t>Lijar la superficie de la probeta hasta dejarla</w:t>
      </w:r>
      <w:r>
        <w:rPr>
          <w:spacing w:val="-17"/>
          <w:sz w:val="24"/>
        </w:rPr>
        <w:t> </w:t>
      </w:r>
      <w:r>
        <w:rPr>
          <w:sz w:val="24"/>
        </w:rPr>
        <w:t>uniforme.</w:t>
      </w:r>
    </w:p>
    <w:p>
      <w:pPr>
        <w:pStyle w:val="ListParagraph"/>
        <w:numPr>
          <w:ilvl w:val="0"/>
          <w:numId w:val="10"/>
        </w:numPr>
        <w:tabs>
          <w:tab w:pos="810" w:val="left" w:leader="none"/>
        </w:tabs>
        <w:spacing w:line="276" w:lineRule="auto" w:before="43" w:after="0"/>
        <w:ind w:left="822" w:right="126" w:hanging="360"/>
        <w:jc w:val="left"/>
        <w:rPr>
          <w:sz w:val="24"/>
        </w:rPr>
      </w:pPr>
      <w:r>
        <w:rPr>
          <w:sz w:val="24"/>
        </w:rPr>
        <w:t>Establecer las condiciones del ensayo en el software de la Máquina Universal de</w:t>
      </w:r>
      <w:r>
        <w:rPr>
          <w:spacing w:val="-5"/>
          <w:sz w:val="24"/>
        </w:rPr>
        <w:t> </w:t>
      </w:r>
      <w:r>
        <w:rPr>
          <w:sz w:val="24"/>
        </w:rPr>
        <w:t>pruebas.</w:t>
      </w:r>
    </w:p>
    <w:p>
      <w:pPr>
        <w:pStyle w:val="ListParagraph"/>
        <w:numPr>
          <w:ilvl w:val="0"/>
          <w:numId w:val="10"/>
        </w:numPr>
        <w:tabs>
          <w:tab w:pos="810" w:val="left" w:leader="none"/>
        </w:tabs>
        <w:spacing w:line="276" w:lineRule="auto" w:before="0" w:after="0"/>
        <w:ind w:left="822" w:right="125" w:hanging="360"/>
        <w:jc w:val="left"/>
        <w:rPr>
          <w:sz w:val="24"/>
        </w:rPr>
      </w:pPr>
      <w:r>
        <w:rPr>
          <w:sz w:val="24"/>
        </w:rPr>
        <w:t>Colocar la probeta de concreto polimérico en el centro de la base de la máquina de pruebas con el objeto de lograr una compresión</w:t>
      </w:r>
      <w:r>
        <w:rPr>
          <w:spacing w:val="-28"/>
          <w:sz w:val="24"/>
        </w:rPr>
        <w:t> </w:t>
      </w:r>
      <w:r>
        <w:rPr>
          <w:sz w:val="24"/>
        </w:rPr>
        <w:t>uniforme.</w:t>
      </w:r>
    </w:p>
    <w:p>
      <w:pPr>
        <w:spacing w:after="0" w:line="276" w:lineRule="auto"/>
        <w:jc w:val="left"/>
        <w:rPr>
          <w:sz w:val="24"/>
        </w:rPr>
        <w:sectPr>
          <w:headerReference w:type="default" r:id="rId42"/>
          <w:pgSz w:w="12240" w:h="15840"/>
          <w:pgMar w:header="747" w:footer="0" w:top="940" w:bottom="280" w:left="1600" w:right="1580"/>
          <w:pgNumType w:start="41"/>
        </w:sectPr>
      </w:pPr>
    </w:p>
    <w:p>
      <w:pPr>
        <w:pStyle w:val="BodyText"/>
        <w:rPr>
          <w:sz w:val="20"/>
        </w:rPr>
      </w:pPr>
    </w:p>
    <w:p>
      <w:pPr>
        <w:pStyle w:val="BodyText"/>
        <w:spacing w:before="6"/>
        <w:rPr>
          <w:sz w:val="20"/>
        </w:rPr>
      </w:pPr>
    </w:p>
    <w:p>
      <w:pPr>
        <w:pStyle w:val="ListParagraph"/>
        <w:numPr>
          <w:ilvl w:val="0"/>
          <w:numId w:val="10"/>
        </w:numPr>
        <w:tabs>
          <w:tab w:pos="810" w:val="left" w:leader="none"/>
        </w:tabs>
        <w:spacing w:line="276" w:lineRule="auto" w:before="0" w:after="0"/>
        <w:ind w:left="822" w:right="125" w:hanging="360"/>
        <w:jc w:val="both"/>
        <w:rPr>
          <w:sz w:val="24"/>
        </w:rPr>
      </w:pPr>
      <w:r>
        <w:rPr>
          <w:sz w:val="24"/>
        </w:rPr>
        <w:t>Accionar la máquina ejerciendo una carga gradual hasta llegar al punto de fractura. Al llegar a dicho punto se guardan los datos del ensayo en la carpeta predeterminada por el programa de la máquina (Figura</w:t>
      </w:r>
      <w:r>
        <w:rPr>
          <w:spacing w:val="-23"/>
          <w:sz w:val="24"/>
        </w:rPr>
        <w:t> </w:t>
      </w:r>
      <w:r>
        <w:rPr>
          <w:sz w:val="24"/>
        </w:rPr>
        <w:t>2.3).</w:t>
      </w:r>
    </w:p>
    <w:p>
      <w:pPr>
        <w:pStyle w:val="BodyText"/>
        <w:spacing w:before="4"/>
      </w:pPr>
      <w:r>
        <w:rPr/>
        <w:drawing>
          <wp:anchor distT="0" distB="0" distL="0" distR="0" allowOverlap="1" layoutInCell="1" locked="0" behindDoc="0" simplePos="0" relativeHeight="2080">
            <wp:simplePos x="0" y="0"/>
            <wp:positionH relativeFrom="page">
              <wp:posOffset>2705100</wp:posOffset>
            </wp:positionH>
            <wp:positionV relativeFrom="paragraph">
              <wp:posOffset>202769</wp:posOffset>
            </wp:positionV>
            <wp:extent cx="2386503" cy="1789556"/>
            <wp:effectExtent l="0" t="0" r="0" b="0"/>
            <wp:wrapTopAndBottom/>
            <wp:docPr id="51" name="image31.jpeg" descr=""/>
            <wp:cNvGraphicFramePr>
              <a:graphicFrameLocks noChangeAspect="1"/>
            </wp:cNvGraphicFramePr>
            <a:graphic>
              <a:graphicData uri="http://schemas.openxmlformats.org/drawingml/2006/picture">
                <pic:pic>
                  <pic:nvPicPr>
                    <pic:cNvPr id="52" name="image31.jpeg"/>
                    <pic:cNvPicPr/>
                  </pic:nvPicPr>
                  <pic:blipFill>
                    <a:blip r:embed="rId44" cstate="print"/>
                    <a:stretch>
                      <a:fillRect/>
                    </a:stretch>
                  </pic:blipFill>
                  <pic:spPr>
                    <a:xfrm>
                      <a:off x="0" y="0"/>
                      <a:ext cx="2386503" cy="1789556"/>
                    </a:xfrm>
                    <a:prstGeom prst="rect">
                      <a:avLst/>
                    </a:prstGeom>
                  </pic:spPr>
                </pic:pic>
              </a:graphicData>
            </a:graphic>
          </wp:anchor>
        </w:drawing>
      </w:r>
    </w:p>
    <w:p>
      <w:pPr>
        <w:pStyle w:val="BodyText"/>
        <w:ind w:left="188" w:right="109"/>
      </w:pPr>
      <w:r>
        <w:rPr/>
        <w:t>Figura 2.3. Probeta de concreto polimérico sometida a un ensayo de compresión.</w:t>
      </w:r>
    </w:p>
    <w:p>
      <w:pPr>
        <w:pStyle w:val="BodyText"/>
        <w:spacing w:before="1"/>
        <w:rPr>
          <w:sz w:val="31"/>
        </w:rPr>
      </w:pPr>
    </w:p>
    <w:p>
      <w:pPr>
        <w:pStyle w:val="BodyText"/>
        <w:spacing w:line="278" w:lineRule="auto"/>
        <w:ind w:left="102" w:right="109"/>
      </w:pPr>
      <w:r>
        <w:rPr/>
        <w:t>La Figura 2.4 muestra un ejemplo del panel de control de la Máquina Universal de Pruebas, en donde se observan las condiciones de trabajo.</w:t>
      </w:r>
    </w:p>
    <w:p>
      <w:pPr>
        <w:pStyle w:val="BodyText"/>
        <w:spacing w:before="10"/>
        <w:rPr>
          <w:sz w:val="23"/>
        </w:rPr>
      </w:pPr>
      <w:r>
        <w:rPr/>
        <w:drawing>
          <wp:anchor distT="0" distB="0" distL="0" distR="0" allowOverlap="1" layoutInCell="1" locked="0" behindDoc="0" simplePos="0" relativeHeight="2104">
            <wp:simplePos x="0" y="0"/>
            <wp:positionH relativeFrom="page">
              <wp:posOffset>2089150</wp:posOffset>
            </wp:positionH>
            <wp:positionV relativeFrom="paragraph">
              <wp:posOffset>199161</wp:posOffset>
            </wp:positionV>
            <wp:extent cx="3613472" cy="2724150"/>
            <wp:effectExtent l="0" t="0" r="0" b="0"/>
            <wp:wrapTopAndBottom/>
            <wp:docPr id="53" name="image32.png" descr=""/>
            <wp:cNvGraphicFramePr>
              <a:graphicFrameLocks noChangeAspect="1"/>
            </wp:cNvGraphicFramePr>
            <a:graphic>
              <a:graphicData uri="http://schemas.openxmlformats.org/drawingml/2006/picture">
                <pic:pic>
                  <pic:nvPicPr>
                    <pic:cNvPr id="54" name="image32.png"/>
                    <pic:cNvPicPr/>
                  </pic:nvPicPr>
                  <pic:blipFill>
                    <a:blip r:embed="rId45" cstate="print"/>
                    <a:stretch>
                      <a:fillRect/>
                    </a:stretch>
                  </pic:blipFill>
                  <pic:spPr>
                    <a:xfrm>
                      <a:off x="0" y="0"/>
                      <a:ext cx="3613472" cy="2724150"/>
                    </a:xfrm>
                    <a:prstGeom prst="rect">
                      <a:avLst/>
                    </a:prstGeom>
                  </pic:spPr>
                </pic:pic>
              </a:graphicData>
            </a:graphic>
          </wp:anchor>
        </w:drawing>
      </w:r>
    </w:p>
    <w:p>
      <w:pPr>
        <w:pStyle w:val="BodyText"/>
        <w:spacing w:before="8"/>
        <w:rPr>
          <w:sz w:val="26"/>
        </w:rPr>
      </w:pPr>
    </w:p>
    <w:p>
      <w:pPr>
        <w:pStyle w:val="BodyText"/>
        <w:spacing w:before="1"/>
        <w:ind w:left="1184" w:right="109"/>
      </w:pPr>
      <w:r>
        <w:rPr/>
        <w:t>Figura 2.4. Panel de control de Maquina Universal de pruebas.</w:t>
      </w:r>
    </w:p>
    <w:p>
      <w:pPr>
        <w:pStyle w:val="BodyText"/>
        <w:spacing w:before="3"/>
        <w:rPr>
          <w:sz w:val="31"/>
        </w:rPr>
      </w:pPr>
    </w:p>
    <w:p>
      <w:pPr>
        <w:pStyle w:val="BodyText"/>
        <w:spacing w:line="276" w:lineRule="auto"/>
        <w:ind w:left="102" w:right="109"/>
      </w:pPr>
      <w:r>
        <w:rPr/>
        <w:t>La Tabla 2.7 muestra las condiciones del ensayo de compresión bajo la Norma de aplicación EN-196-1.</w:t>
      </w:r>
    </w:p>
    <w:p>
      <w:pPr>
        <w:spacing w:after="0" w:line="276" w:lineRule="auto"/>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after="46"/>
        <w:ind w:left="1290" w:right="109"/>
      </w:pPr>
      <w:r>
        <w:rPr/>
        <w:t>Tabla 2.7 Condiciones de trabajo del ensayo en compresión.</w:t>
      </w:r>
    </w:p>
    <w:tbl>
      <w:tblPr>
        <w:tblW w:w="0" w:type="auto"/>
        <w:jc w:val="left"/>
        <w:tblInd w:w="17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67"/>
        <w:gridCol w:w="1575"/>
      </w:tblGrid>
      <w:tr>
        <w:trPr>
          <w:trHeight w:val="326" w:hRule="exact"/>
        </w:trPr>
        <w:tc>
          <w:tcPr>
            <w:tcW w:w="3967" w:type="dxa"/>
            <w:tcBorders>
              <w:left w:val="nil"/>
              <w:right w:val="nil"/>
            </w:tcBorders>
          </w:tcPr>
          <w:p>
            <w:pPr>
              <w:pStyle w:val="TableParagraph"/>
              <w:spacing w:line="274" w:lineRule="exact" w:before="0"/>
              <w:ind w:left="1205"/>
              <w:rPr>
                <w:b/>
                <w:sz w:val="24"/>
              </w:rPr>
            </w:pPr>
            <w:r>
              <w:rPr>
                <w:b/>
                <w:sz w:val="24"/>
              </w:rPr>
              <w:t>Condiciones</w:t>
            </w:r>
          </w:p>
        </w:tc>
        <w:tc>
          <w:tcPr>
            <w:tcW w:w="1575" w:type="dxa"/>
            <w:tcBorders>
              <w:left w:val="nil"/>
              <w:right w:val="nil"/>
            </w:tcBorders>
          </w:tcPr>
          <w:p>
            <w:pPr>
              <w:pStyle w:val="TableParagraph"/>
              <w:spacing w:line="274" w:lineRule="exact" w:before="0"/>
              <w:ind w:left="298"/>
              <w:rPr>
                <w:b/>
                <w:sz w:val="24"/>
              </w:rPr>
            </w:pPr>
            <w:r>
              <w:rPr>
                <w:b/>
                <w:sz w:val="24"/>
              </w:rPr>
              <w:t>Valores</w:t>
            </w:r>
          </w:p>
        </w:tc>
      </w:tr>
      <w:tr>
        <w:trPr>
          <w:trHeight w:val="312" w:hRule="exact"/>
        </w:trPr>
        <w:tc>
          <w:tcPr>
            <w:tcW w:w="3967" w:type="dxa"/>
            <w:tcBorders>
              <w:left w:val="nil"/>
              <w:bottom w:val="nil"/>
              <w:right w:val="nil"/>
            </w:tcBorders>
          </w:tcPr>
          <w:p>
            <w:pPr>
              <w:pStyle w:val="TableParagraph"/>
              <w:spacing w:line="274" w:lineRule="exact" w:before="0"/>
              <w:ind w:left="105"/>
              <w:rPr>
                <w:sz w:val="24"/>
              </w:rPr>
            </w:pPr>
            <w:r>
              <w:rPr>
                <w:sz w:val="24"/>
              </w:rPr>
              <w:t>Tipo de ensayo</w:t>
            </w:r>
          </w:p>
        </w:tc>
        <w:tc>
          <w:tcPr>
            <w:tcW w:w="1575" w:type="dxa"/>
            <w:tcBorders>
              <w:left w:val="nil"/>
              <w:bottom w:val="nil"/>
              <w:right w:val="nil"/>
            </w:tcBorders>
          </w:tcPr>
          <w:p>
            <w:pPr>
              <w:pStyle w:val="TableParagraph"/>
              <w:spacing w:line="274" w:lineRule="exact" w:before="0"/>
              <w:ind w:left="344"/>
              <w:rPr>
                <w:sz w:val="24"/>
              </w:rPr>
            </w:pPr>
            <w:r>
              <w:rPr>
                <w:sz w:val="24"/>
              </w:rPr>
              <w:t>Control</w:t>
            </w:r>
          </w:p>
        </w:tc>
      </w:tr>
      <w:tr>
        <w:trPr>
          <w:trHeight w:val="318" w:hRule="exact"/>
        </w:trPr>
        <w:tc>
          <w:tcPr>
            <w:tcW w:w="3967" w:type="dxa"/>
            <w:tcBorders>
              <w:top w:val="nil"/>
              <w:left w:val="nil"/>
              <w:bottom w:val="nil"/>
              <w:right w:val="nil"/>
            </w:tcBorders>
          </w:tcPr>
          <w:p>
            <w:pPr>
              <w:pStyle w:val="TableParagraph"/>
              <w:ind w:left="105"/>
              <w:rPr>
                <w:sz w:val="24"/>
              </w:rPr>
            </w:pPr>
            <w:r>
              <w:rPr>
                <w:sz w:val="24"/>
              </w:rPr>
              <w:t>Velocidad, (mm/min)</w:t>
            </w:r>
          </w:p>
        </w:tc>
        <w:tc>
          <w:tcPr>
            <w:tcW w:w="1575" w:type="dxa"/>
            <w:tcBorders>
              <w:top w:val="nil"/>
              <w:left w:val="nil"/>
              <w:bottom w:val="nil"/>
              <w:right w:val="nil"/>
            </w:tcBorders>
          </w:tcPr>
          <w:p>
            <w:pPr>
              <w:pStyle w:val="TableParagraph"/>
              <w:ind w:left="497"/>
              <w:rPr>
                <w:sz w:val="24"/>
              </w:rPr>
            </w:pPr>
            <w:r>
              <w:rPr>
                <w:sz w:val="24"/>
              </w:rPr>
              <w:t>1.25</w:t>
            </w:r>
          </w:p>
        </w:tc>
      </w:tr>
      <w:tr>
        <w:trPr>
          <w:trHeight w:val="318" w:hRule="exact"/>
        </w:trPr>
        <w:tc>
          <w:tcPr>
            <w:tcW w:w="3967" w:type="dxa"/>
            <w:tcBorders>
              <w:top w:val="nil"/>
              <w:left w:val="nil"/>
              <w:bottom w:val="nil"/>
              <w:right w:val="nil"/>
            </w:tcBorders>
          </w:tcPr>
          <w:p>
            <w:pPr>
              <w:pStyle w:val="TableParagraph"/>
              <w:spacing w:before="9"/>
              <w:ind w:left="105"/>
              <w:rPr>
                <w:sz w:val="24"/>
              </w:rPr>
            </w:pPr>
            <w:r>
              <w:rPr>
                <w:sz w:val="24"/>
              </w:rPr>
              <w:t>Límite superior de fuerza, (ton)</w:t>
            </w:r>
          </w:p>
        </w:tc>
        <w:tc>
          <w:tcPr>
            <w:tcW w:w="1575" w:type="dxa"/>
            <w:tcBorders>
              <w:top w:val="nil"/>
              <w:left w:val="nil"/>
              <w:bottom w:val="nil"/>
              <w:right w:val="nil"/>
            </w:tcBorders>
          </w:tcPr>
          <w:p>
            <w:pPr>
              <w:pStyle w:val="TableParagraph"/>
              <w:spacing w:before="9"/>
              <w:ind w:left="580" w:right="687"/>
              <w:jc w:val="center"/>
              <w:rPr>
                <w:sz w:val="24"/>
              </w:rPr>
            </w:pPr>
            <w:r>
              <w:rPr>
                <w:sz w:val="24"/>
              </w:rPr>
              <w:t>25</w:t>
            </w:r>
          </w:p>
        </w:tc>
      </w:tr>
      <w:tr>
        <w:trPr>
          <w:trHeight w:val="331" w:hRule="exact"/>
        </w:trPr>
        <w:tc>
          <w:tcPr>
            <w:tcW w:w="3967" w:type="dxa"/>
            <w:tcBorders>
              <w:top w:val="nil"/>
              <w:left w:val="nil"/>
              <w:right w:val="nil"/>
            </w:tcBorders>
          </w:tcPr>
          <w:p>
            <w:pPr>
              <w:pStyle w:val="TableParagraph"/>
              <w:ind w:left="105"/>
              <w:rPr>
                <w:sz w:val="24"/>
              </w:rPr>
            </w:pPr>
            <w:r>
              <w:rPr>
                <w:sz w:val="24"/>
              </w:rPr>
              <w:t>Límite superior de posición, (mm)</w:t>
            </w:r>
          </w:p>
        </w:tc>
        <w:tc>
          <w:tcPr>
            <w:tcW w:w="1575" w:type="dxa"/>
            <w:tcBorders>
              <w:top w:val="nil"/>
              <w:left w:val="nil"/>
              <w:right w:val="nil"/>
            </w:tcBorders>
          </w:tcPr>
          <w:p>
            <w:pPr>
              <w:pStyle w:val="TableParagraph"/>
              <w:ind w:left="580" w:right="687"/>
              <w:jc w:val="center"/>
              <w:rPr>
                <w:sz w:val="24"/>
              </w:rPr>
            </w:pPr>
            <w:r>
              <w:rPr>
                <w:sz w:val="24"/>
              </w:rPr>
              <w:t>20</w:t>
            </w:r>
          </w:p>
        </w:tc>
      </w:tr>
    </w:tbl>
    <w:p>
      <w:pPr>
        <w:pStyle w:val="BodyText"/>
        <w:spacing w:before="6"/>
        <w:rPr>
          <w:sz w:val="21"/>
        </w:rPr>
      </w:pPr>
    </w:p>
    <w:p>
      <w:pPr>
        <w:pStyle w:val="BodyText"/>
        <w:spacing w:before="70"/>
        <w:ind w:left="102" w:right="2220"/>
      </w:pPr>
      <w:r>
        <w:rPr/>
        <w:t>El procedimiento para el ensayo de flexión fue el siguiente:</w:t>
      </w:r>
    </w:p>
    <w:p>
      <w:pPr>
        <w:pStyle w:val="BodyText"/>
        <w:spacing w:before="1"/>
        <w:rPr>
          <w:sz w:val="31"/>
        </w:rPr>
      </w:pPr>
    </w:p>
    <w:p>
      <w:pPr>
        <w:pStyle w:val="ListParagraph"/>
        <w:numPr>
          <w:ilvl w:val="0"/>
          <w:numId w:val="11"/>
        </w:numPr>
        <w:tabs>
          <w:tab w:pos="810" w:val="left" w:leader="none"/>
        </w:tabs>
        <w:spacing w:line="240" w:lineRule="auto" w:before="0" w:after="0"/>
        <w:ind w:left="822" w:right="0" w:hanging="360"/>
        <w:jc w:val="left"/>
        <w:rPr>
          <w:sz w:val="24"/>
        </w:rPr>
      </w:pPr>
      <w:r>
        <w:rPr>
          <w:sz w:val="24"/>
        </w:rPr>
        <w:t>Lijar la superficie de la probeta hasta dejarla</w:t>
      </w:r>
      <w:r>
        <w:rPr>
          <w:spacing w:val="-22"/>
          <w:sz w:val="24"/>
        </w:rPr>
        <w:t> </w:t>
      </w:r>
      <w:r>
        <w:rPr>
          <w:sz w:val="24"/>
        </w:rPr>
        <w:t>uniforme.</w:t>
      </w:r>
    </w:p>
    <w:p>
      <w:pPr>
        <w:pStyle w:val="ListParagraph"/>
        <w:numPr>
          <w:ilvl w:val="0"/>
          <w:numId w:val="11"/>
        </w:numPr>
        <w:tabs>
          <w:tab w:pos="810" w:val="left" w:leader="none"/>
        </w:tabs>
        <w:spacing w:line="278" w:lineRule="auto" w:before="41" w:after="0"/>
        <w:ind w:left="822" w:right="126" w:hanging="360"/>
        <w:jc w:val="left"/>
        <w:rPr>
          <w:sz w:val="24"/>
        </w:rPr>
      </w:pPr>
      <w:r>
        <w:rPr>
          <w:sz w:val="24"/>
        </w:rPr>
        <w:t>Establecer las condiciones del ensayo en el software de la Máquina Universal de</w:t>
      </w:r>
      <w:r>
        <w:rPr>
          <w:spacing w:val="-5"/>
          <w:sz w:val="24"/>
        </w:rPr>
        <w:t> </w:t>
      </w:r>
      <w:r>
        <w:rPr>
          <w:sz w:val="24"/>
        </w:rPr>
        <w:t>pruebas.</w:t>
      </w:r>
    </w:p>
    <w:p>
      <w:pPr>
        <w:pStyle w:val="ListParagraph"/>
        <w:numPr>
          <w:ilvl w:val="0"/>
          <w:numId w:val="11"/>
        </w:numPr>
        <w:tabs>
          <w:tab w:pos="810" w:val="left" w:leader="none"/>
        </w:tabs>
        <w:spacing w:line="276" w:lineRule="auto" w:before="0" w:after="0"/>
        <w:ind w:left="822" w:right="123" w:hanging="360"/>
        <w:jc w:val="left"/>
        <w:rPr>
          <w:sz w:val="24"/>
        </w:rPr>
      </w:pPr>
      <w:r>
        <w:rPr>
          <w:sz w:val="24"/>
        </w:rPr>
        <w:t>Colocar la probeta de concreto polimérico en el centro de la base de la máquina de pruebas con el objeto de lograr una compresión</w:t>
      </w:r>
      <w:r>
        <w:rPr>
          <w:spacing w:val="-28"/>
          <w:sz w:val="24"/>
        </w:rPr>
        <w:t> </w:t>
      </w:r>
      <w:r>
        <w:rPr>
          <w:sz w:val="24"/>
        </w:rPr>
        <w:t>uniforme.</w:t>
      </w:r>
    </w:p>
    <w:p>
      <w:pPr>
        <w:pStyle w:val="ListParagraph"/>
        <w:numPr>
          <w:ilvl w:val="0"/>
          <w:numId w:val="11"/>
        </w:numPr>
        <w:tabs>
          <w:tab w:pos="810" w:val="left" w:leader="none"/>
        </w:tabs>
        <w:spacing w:line="276" w:lineRule="auto" w:before="0" w:after="0"/>
        <w:ind w:left="822" w:right="127" w:hanging="360"/>
        <w:jc w:val="left"/>
        <w:rPr>
          <w:sz w:val="24"/>
        </w:rPr>
      </w:pPr>
      <w:r>
        <w:rPr>
          <w:sz w:val="24"/>
        </w:rPr>
        <w:t>Accionar la máquina ejerciendo una carga gradual hasta llegar al punto de fractura.</w:t>
      </w:r>
    </w:p>
    <w:p>
      <w:pPr>
        <w:pStyle w:val="BodyText"/>
        <w:spacing w:before="9"/>
        <w:rPr>
          <w:sz w:val="27"/>
        </w:rPr>
      </w:pPr>
    </w:p>
    <w:p>
      <w:pPr>
        <w:pStyle w:val="BodyText"/>
        <w:ind w:left="102" w:right="2220"/>
      </w:pPr>
      <w:r>
        <w:rPr/>
        <w:t>La Tabla 2.8  muestra las condiciones del ensayo de Flexión.</w:t>
      </w:r>
    </w:p>
    <w:p>
      <w:pPr>
        <w:pStyle w:val="BodyText"/>
        <w:spacing w:before="1"/>
        <w:rPr>
          <w:sz w:val="31"/>
        </w:rPr>
      </w:pPr>
    </w:p>
    <w:p>
      <w:pPr>
        <w:pStyle w:val="BodyText"/>
        <w:ind w:left="1563" w:right="109"/>
      </w:pPr>
      <w:r>
        <w:rPr/>
        <w:t>Tabla 2.8 Condiciones de trabajo del ensayo en flexión.</w:t>
      </w:r>
    </w:p>
    <w:p>
      <w:pPr>
        <w:pStyle w:val="BodyText"/>
        <w:rPr>
          <w:sz w:val="20"/>
        </w:rPr>
      </w:pPr>
    </w:p>
    <w:p>
      <w:pPr>
        <w:pStyle w:val="BodyText"/>
        <w:spacing w:before="5"/>
        <w:rPr>
          <w:sz w:val="11"/>
        </w:rPr>
      </w:pPr>
    </w:p>
    <w:tbl>
      <w:tblPr>
        <w:tblW w:w="0" w:type="auto"/>
        <w:jc w:val="left"/>
        <w:tblInd w:w="18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32"/>
        <w:gridCol w:w="1469"/>
      </w:tblGrid>
      <w:tr>
        <w:trPr>
          <w:trHeight w:val="327" w:hRule="exact"/>
        </w:trPr>
        <w:tc>
          <w:tcPr>
            <w:tcW w:w="3932" w:type="dxa"/>
            <w:tcBorders>
              <w:left w:val="nil"/>
              <w:right w:val="nil"/>
            </w:tcBorders>
          </w:tcPr>
          <w:p>
            <w:pPr>
              <w:pStyle w:val="TableParagraph"/>
              <w:spacing w:line="274" w:lineRule="exact" w:before="0"/>
              <w:ind w:left="1207"/>
              <w:rPr>
                <w:b/>
                <w:sz w:val="24"/>
              </w:rPr>
            </w:pPr>
            <w:r>
              <w:rPr>
                <w:b/>
                <w:sz w:val="24"/>
              </w:rPr>
              <w:t>Condiciones</w:t>
            </w:r>
          </w:p>
        </w:tc>
        <w:tc>
          <w:tcPr>
            <w:tcW w:w="1469" w:type="dxa"/>
            <w:tcBorders>
              <w:left w:val="nil"/>
              <w:right w:val="nil"/>
            </w:tcBorders>
          </w:tcPr>
          <w:p>
            <w:pPr>
              <w:pStyle w:val="TableParagraph"/>
              <w:spacing w:line="274" w:lineRule="exact" w:before="0"/>
              <w:ind w:left="261"/>
              <w:rPr>
                <w:b/>
                <w:sz w:val="24"/>
              </w:rPr>
            </w:pPr>
            <w:r>
              <w:rPr>
                <w:b/>
                <w:sz w:val="24"/>
              </w:rPr>
              <w:t>Valores</w:t>
            </w:r>
          </w:p>
        </w:tc>
      </w:tr>
      <w:tr>
        <w:trPr>
          <w:trHeight w:val="314" w:hRule="exact"/>
        </w:trPr>
        <w:tc>
          <w:tcPr>
            <w:tcW w:w="3932" w:type="dxa"/>
            <w:tcBorders>
              <w:left w:val="nil"/>
              <w:bottom w:val="nil"/>
              <w:right w:val="nil"/>
            </w:tcBorders>
          </w:tcPr>
          <w:p>
            <w:pPr>
              <w:pStyle w:val="TableParagraph"/>
              <w:spacing w:before="0"/>
              <w:ind w:left="107"/>
              <w:rPr>
                <w:sz w:val="24"/>
              </w:rPr>
            </w:pPr>
            <w:r>
              <w:rPr>
                <w:sz w:val="24"/>
              </w:rPr>
              <w:t>Tipo de ensayo</w:t>
            </w:r>
          </w:p>
        </w:tc>
        <w:tc>
          <w:tcPr>
            <w:tcW w:w="1469" w:type="dxa"/>
            <w:tcBorders>
              <w:left w:val="nil"/>
              <w:bottom w:val="nil"/>
              <w:right w:val="nil"/>
            </w:tcBorders>
          </w:tcPr>
          <w:p>
            <w:pPr>
              <w:pStyle w:val="TableParagraph"/>
              <w:spacing w:before="0"/>
              <w:ind w:left="309"/>
              <w:rPr>
                <w:sz w:val="24"/>
              </w:rPr>
            </w:pPr>
            <w:r>
              <w:rPr>
                <w:sz w:val="24"/>
              </w:rPr>
              <w:t>Control</w:t>
            </w:r>
          </w:p>
        </w:tc>
      </w:tr>
      <w:tr>
        <w:trPr>
          <w:trHeight w:val="317" w:hRule="exact"/>
        </w:trPr>
        <w:tc>
          <w:tcPr>
            <w:tcW w:w="3932" w:type="dxa"/>
            <w:tcBorders>
              <w:top w:val="nil"/>
              <w:left w:val="nil"/>
              <w:bottom w:val="nil"/>
              <w:right w:val="nil"/>
            </w:tcBorders>
          </w:tcPr>
          <w:p>
            <w:pPr>
              <w:pStyle w:val="TableParagraph"/>
              <w:ind w:left="107"/>
              <w:rPr>
                <w:sz w:val="24"/>
              </w:rPr>
            </w:pPr>
            <w:r>
              <w:rPr>
                <w:sz w:val="24"/>
              </w:rPr>
              <w:t>Velocidad, (mm/min)</w:t>
            </w:r>
          </w:p>
        </w:tc>
        <w:tc>
          <w:tcPr>
            <w:tcW w:w="1469" w:type="dxa"/>
            <w:tcBorders>
              <w:top w:val="nil"/>
              <w:left w:val="nil"/>
              <w:bottom w:val="nil"/>
              <w:right w:val="nil"/>
            </w:tcBorders>
          </w:tcPr>
          <w:p>
            <w:pPr>
              <w:pStyle w:val="TableParagraph"/>
              <w:ind w:left="461"/>
              <w:rPr>
                <w:sz w:val="24"/>
              </w:rPr>
            </w:pPr>
            <w:r>
              <w:rPr>
                <w:sz w:val="24"/>
              </w:rPr>
              <w:t>1.00</w:t>
            </w:r>
          </w:p>
        </w:tc>
      </w:tr>
      <w:tr>
        <w:trPr>
          <w:trHeight w:val="317" w:hRule="exact"/>
        </w:trPr>
        <w:tc>
          <w:tcPr>
            <w:tcW w:w="3932" w:type="dxa"/>
            <w:tcBorders>
              <w:top w:val="nil"/>
              <w:left w:val="nil"/>
              <w:bottom w:val="nil"/>
              <w:right w:val="nil"/>
            </w:tcBorders>
          </w:tcPr>
          <w:p>
            <w:pPr>
              <w:pStyle w:val="TableParagraph"/>
              <w:ind w:left="107"/>
              <w:rPr>
                <w:sz w:val="24"/>
              </w:rPr>
            </w:pPr>
            <w:r>
              <w:rPr>
                <w:sz w:val="24"/>
              </w:rPr>
              <w:t>Límite superior de fuerza, (ton)</w:t>
            </w:r>
          </w:p>
        </w:tc>
        <w:tc>
          <w:tcPr>
            <w:tcW w:w="1469" w:type="dxa"/>
            <w:tcBorders>
              <w:top w:val="nil"/>
              <w:left w:val="nil"/>
              <w:bottom w:val="nil"/>
              <w:right w:val="nil"/>
            </w:tcBorders>
          </w:tcPr>
          <w:p>
            <w:pPr>
              <w:pStyle w:val="TableParagraph"/>
              <w:ind w:left="544" w:right="618"/>
              <w:jc w:val="center"/>
              <w:rPr>
                <w:sz w:val="24"/>
              </w:rPr>
            </w:pPr>
            <w:r>
              <w:rPr>
                <w:sz w:val="24"/>
              </w:rPr>
              <w:t>10</w:t>
            </w:r>
          </w:p>
        </w:tc>
      </w:tr>
      <w:tr>
        <w:trPr>
          <w:trHeight w:val="334" w:hRule="exact"/>
        </w:trPr>
        <w:tc>
          <w:tcPr>
            <w:tcW w:w="3932" w:type="dxa"/>
            <w:tcBorders>
              <w:top w:val="nil"/>
              <w:left w:val="nil"/>
              <w:right w:val="nil"/>
            </w:tcBorders>
          </w:tcPr>
          <w:p>
            <w:pPr>
              <w:pStyle w:val="TableParagraph"/>
              <w:ind w:left="107"/>
              <w:rPr>
                <w:sz w:val="24"/>
              </w:rPr>
            </w:pPr>
            <w:r>
              <w:rPr>
                <w:sz w:val="24"/>
              </w:rPr>
              <w:t>Límite superior de posición, (mm)</w:t>
            </w:r>
          </w:p>
        </w:tc>
        <w:tc>
          <w:tcPr>
            <w:tcW w:w="1469" w:type="dxa"/>
            <w:tcBorders>
              <w:top w:val="nil"/>
              <w:left w:val="nil"/>
              <w:right w:val="nil"/>
            </w:tcBorders>
          </w:tcPr>
          <w:p>
            <w:pPr>
              <w:pStyle w:val="TableParagraph"/>
              <w:ind w:left="544" w:right="618"/>
              <w:jc w:val="center"/>
              <w:rPr>
                <w:sz w:val="24"/>
              </w:rPr>
            </w:pPr>
            <w:r>
              <w:rPr>
                <w:sz w:val="24"/>
              </w:rPr>
              <w:t>20</w:t>
            </w:r>
          </w:p>
        </w:tc>
      </w:tr>
    </w:tbl>
    <w:p>
      <w:pPr>
        <w:pStyle w:val="BodyText"/>
        <w:spacing w:before="4"/>
        <w:rPr>
          <w:sz w:val="21"/>
        </w:rPr>
      </w:pPr>
    </w:p>
    <w:p>
      <w:pPr>
        <w:pStyle w:val="BodyText"/>
        <w:spacing w:line="276" w:lineRule="auto" w:before="69"/>
        <w:ind w:left="102" w:right="120"/>
        <w:jc w:val="both"/>
      </w:pPr>
      <w:r>
        <w:rPr/>
        <w:t>Al final de cada ensayo de compresión y flexión se obtienen los datos y gráficos de la prueba.</w:t>
      </w:r>
    </w:p>
    <w:p>
      <w:pPr>
        <w:pStyle w:val="BodyText"/>
      </w:pPr>
    </w:p>
    <w:p>
      <w:pPr>
        <w:pStyle w:val="BodyText"/>
        <w:spacing w:before="4"/>
        <w:rPr>
          <w:sz w:val="31"/>
        </w:rPr>
      </w:pPr>
    </w:p>
    <w:p>
      <w:pPr>
        <w:pStyle w:val="Heading2"/>
        <w:numPr>
          <w:ilvl w:val="1"/>
          <w:numId w:val="8"/>
        </w:numPr>
        <w:tabs>
          <w:tab w:pos="506" w:val="left" w:leader="none"/>
        </w:tabs>
        <w:spacing w:line="240" w:lineRule="auto" w:before="0" w:after="0"/>
        <w:ind w:left="505" w:right="0" w:hanging="403"/>
        <w:jc w:val="both"/>
      </w:pPr>
      <w:r>
        <w:rPr/>
        <w:t>MICROSCOPÍA ELECTRÓNICA DE</w:t>
      </w:r>
      <w:r>
        <w:rPr>
          <w:spacing w:val="-9"/>
        </w:rPr>
        <w:t> </w:t>
      </w:r>
      <w:r>
        <w:rPr/>
        <w:t>BARRIDO</w:t>
      </w:r>
    </w:p>
    <w:p>
      <w:pPr>
        <w:pStyle w:val="BodyText"/>
        <w:spacing w:before="1"/>
        <w:rPr>
          <w:b/>
          <w:sz w:val="31"/>
        </w:rPr>
      </w:pPr>
    </w:p>
    <w:p>
      <w:pPr>
        <w:pStyle w:val="BodyText"/>
        <w:spacing w:line="276" w:lineRule="auto"/>
        <w:ind w:left="102" w:right="116"/>
        <w:jc w:val="both"/>
      </w:pPr>
      <w:r>
        <w:rPr/>
        <w:t>Las fibras de Liffa fueron observadas en un microscopio electrónico de barrido, marca JEOL modelo JSM-6510LV (Figura 2.5) a un voltaje de 20 kV, el cual se encuentra localizado en el Centro de Investigación en Química Sustentable (CIQS) de la Universidad Autónoma del Estado de México. El equipo tiene una resolución de 3.0 nm y voltajes de aceleración de 0.5 a 30 kV.</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BodyText"/>
        <w:ind w:left="1714"/>
        <w:rPr>
          <w:sz w:val="20"/>
        </w:rPr>
      </w:pPr>
      <w:r>
        <w:rPr>
          <w:sz w:val="20"/>
        </w:rPr>
        <w:drawing>
          <wp:inline distT="0" distB="0" distL="0" distR="0">
            <wp:extent cx="3588820" cy="2694813"/>
            <wp:effectExtent l="0" t="0" r="0" b="0"/>
            <wp:docPr id="55" name="image33.jpeg" descr=""/>
            <wp:cNvGraphicFramePr>
              <a:graphicFrameLocks noChangeAspect="1"/>
            </wp:cNvGraphicFramePr>
            <a:graphic>
              <a:graphicData uri="http://schemas.openxmlformats.org/drawingml/2006/picture">
                <pic:pic>
                  <pic:nvPicPr>
                    <pic:cNvPr id="56" name="image33.jpeg"/>
                    <pic:cNvPicPr/>
                  </pic:nvPicPr>
                  <pic:blipFill>
                    <a:blip r:embed="rId46" cstate="print"/>
                    <a:stretch>
                      <a:fillRect/>
                    </a:stretch>
                  </pic:blipFill>
                  <pic:spPr>
                    <a:xfrm>
                      <a:off x="0" y="0"/>
                      <a:ext cx="3588820" cy="2694813"/>
                    </a:xfrm>
                    <a:prstGeom prst="rect">
                      <a:avLst/>
                    </a:prstGeom>
                  </pic:spPr>
                </pic:pic>
              </a:graphicData>
            </a:graphic>
          </wp:inline>
        </w:drawing>
      </w:r>
      <w:r>
        <w:rPr>
          <w:sz w:val="20"/>
        </w:rPr>
      </w:r>
    </w:p>
    <w:p>
      <w:pPr>
        <w:pStyle w:val="BodyText"/>
        <w:spacing w:before="6"/>
        <w:rPr>
          <w:sz w:val="22"/>
        </w:rPr>
      </w:pPr>
    </w:p>
    <w:p>
      <w:pPr>
        <w:pStyle w:val="BodyText"/>
        <w:spacing w:before="70"/>
        <w:ind w:left="195"/>
        <w:jc w:val="both"/>
      </w:pPr>
      <w:r>
        <w:rPr/>
        <w:t>Figura 2.5. Microscopio electrónico de barrido Marca JEOL Modelo JSM-6510LV.</w:t>
      </w:r>
    </w:p>
    <w:p>
      <w:pPr>
        <w:pStyle w:val="BodyText"/>
        <w:spacing w:before="3"/>
        <w:rPr>
          <w:sz w:val="31"/>
        </w:rPr>
      </w:pPr>
    </w:p>
    <w:p>
      <w:pPr>
        <w:pStyle w:val="Heading2"/>
        <w:numPr>
          <w:ilvl w:val="1"/>
          <w:numId w:val="8"/>
        </w:numPr>
        <w:tabs>
          <w:tab w:pos="505" w:val="left" w:leader="none"/>
        </w:tabs>
        <w:spacing w:line="240" w:lineRule="auto" w:before="0" w:after="0"/>
        <w:ind w:left="504" w:right="0" w:hanging="402"/>
        <w:jc w:val="both"/>
      </w:pPr>
      <w:r>
        <w:rPr/>
        <w:t>DIFRACCIÓN DE RAYOS</w:t>
      </w:r>
      <w:r>
        <w:rPr>
          <w:spacing w:val="-11"/>
        </w:rPr>
        <w:t> </w:t>
      </w:r>
      <w:r>
        <w:rPr/>
        <w:t>X</w:t>
      </w:r>
    </w:p>
    <w:p>
      <w:pPr>
        <w:pStyle w:val="BodyText"/>
        <w:spacing w:line="276" w:lineRule="auto" w:before="41"/>
        <w:ind w:left="102" w:right="121"/>
        <w:jc w:val="both"/>
      </w:pPr>
      <w:r>
        <w:rPr/>
        <w:t>Las fibras de Luffa sin irradiar e irradiadas fueron analizadas por difracción de rayos X en un difractómetro marca BRUKER D8 ADVANCE (Figura 2.6),  localizado en el Centro de Investigación en Química Sustentable (CIQS) de la Universidad Autónoma del Estado de</w:t>
      </w:r>
      <w:r>
        <w:rPr>
          <w:spacing w:val="-17"/>
        </w:rPr>
        <w:t> </w:t>
      </w:r>
      <w:r>
        <w:rPr/>
        <w:t>México.</w:t>
      </w:r>
    </w:p>
    <w:p>
      <w:pPr>
        <w:pStyle w:val="BodyText"/>
        <w:spacing w:before="7"/>
        <w:rPr>
          <w:sz w:val="27"/>
        </w:rPr>
      </w:pPr>
    </w:p>
    <w:p>
      <w:pPr>
        <w:pStyle w:val="BodyText"/>
        <w:spacing w:line="278" w:lineRule="auto"/>
        <w:ind w:left="102" w:right="112"/>
        <w:jc w:val="both"/>
      </w:pPr>
      <w:r>
        <w:rPr/>
        <w:t>Las condiciones de la prueba fueron: Potencia de tubo de 30 kV, Ventana de 5- 50°, y velocidad de 1°/min.</w:t>
      </w:r>
    </w:p>
    <w:p>
      <w:pPr>
        <w:pStyle w:val="BodyText"/>
      </w:pPr>
      <w:r>
        <w:rPr/>
        <w:drawing>
          <wp:anchor distT="0" distB="0" distL="0" distR="0" allowOverlap="1" layoutInCell="1" locked="0" behindDoc="0" simplePos="0" relativeHeight="2128">
            <wp:simplePos x="0" y="0"/>
            <wp:positionH relativeFrom="page">
              <wp:posOffset>2875914</wp:posOffset>
            </wp:positionH>
            <wp:positionV relativeFrom="paragraph">
              <wp:posOffset>200177</wp:posOffset>
            </wp:positionV>
            <wp:extent cx="2027309" cy="2571750"/>
            <wp:effectExtent l="0" t="0" r="0" b="0"/>
            <wp:wrapTopAndBottom/>
            <wp:docPr id="57" name="image34.jpeg" descr=""/>
            <wp:cNvGraphicFramePr>
              <a:graphicFrameLocks noChangeAspect="1"/>
            </wp:cNvGraphicFramePr>
            <a:graphic>
              <a:graphicData uri="http://schemas.openxmlformats.org/drawingml/2006/picture">
                <pic:pic>
                  <pic:nvPicPr>
                    <pic:cNvPr id="58" name="image34.jpeg"/>
                    <pic:cNvPicPr/>
                  </pic:nvPicPr>
                  <pic:blipFill>
                    <a:blip r:embed="rId47" cstate="print"/>
                    <a:stretch>
                      <a:fillRect/>
                    </a:stretch>
                  </pic:blipFill>
                  <pic:spPr>
                    <a:xfrm>
                      <a:off x="0" y="0"/>
                      <a:ext cx="2027309" cy="2571750"/>
                    </a:xfrm>
                    <a:prstGeom prst="rect">
                      <a:avLst/>
                    </a:prstGeom>
                  </pic:spPr>
                </pic:pic>
              </a:graphicData>
            </a:graphic>
          </wp:anchor>
        </w:drawing>
      </w:r>
    </w:p>
    <w:p>
      <w:pPr>
        <w:pStyle w:val="BodyText"/>
        <w:spacing w:before="4"/>
        <w:rPr>
          <w:sz w:val="27"/>
        </w:rPr>
      </w:pPr>
    </w:p>
    <w:p>
      <w:pPr>
        <w:pStyle w:val="BodyText"/>
        <w:spacing w:before="1"/>
        <w:ind w:left="130" w:right="153"/>
        <w:jc w:val="center"/>
      </w:pPr>
      <w:r>
        <w:rPr/>
        <w:t>Figura 2.6. Difractómetro BRUKER D8 ADVANCE.</w:t>
      </w:r>
    </w:p>
    <w:p>
      <w:pPr>
        <w:spacing w:after="0"/>
        <w:jc w:val="center"/>
        <w:sectPr>
          <w:pgSz w:w="12240" w:h="15840"/>
          <w:pgMar w:header="747" w:footer="0" w:top="94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66"/>
        <w:ind w:left="1633"/>
      </w:pPr>
      <w:r>
        <w:rPr/>
        <w:t>CAPÍTULO 3. ANÁLISIS DE</w:t>
      </w:r>
    </w:p>
    <w:p>
      <w:pPr>
        <w:spacing w:before="97"/>
        <w:ind w:left="4962" w:right="0" w:firstLine="0"/>
        <w:jc w:val="left"/>
        <w:rPr>
          <w:b/>
          <w:sz w:val="56"/>
        </w:rPr>
      </w:pPr>
      <w:r>
        <w:rPr>
          <w:b/>
          <w:sz w:val="56"/>
        </w:rPr>
        <w:t>RESULTADOS</w:t>
      </w:r>
    </w:p>
    <w:p>
      <w:pPr>
        <w:spacing w:after="0"/>
        <w:jc w:val="left"/>
        <w:rPr>
          <w:sz w:val="56"/>
        </w:rPr>
        <w:sectPr>
          <w:pgSz w:w="12240" w:h="15840"/>
          <w:pgMar w:header="747" w:footer="0" w:top="940" w:bottom="280" w:left="1720" w:right="1580"/>
        </w:sectPr>
      </w:pPr>
    </w:p>
    <w:p>
      <w:pPr>
        <w:pStyle w:val="BodyText"/>
        <w:rPr>
          <w:b/>
          <w:sz w:val="20"/>
        </w:rPr>
      </w:pPr>
    </w:p>
    <w:p>
      <w:pPr>
        <w:pStyle w:val="BodyText"/>
        <w:spacing w:before="6"/>
        <w:rPr>
          <w:b/>
          <w:sz w:val="20"/>
        </w:rPr>
      </w:pPr>
    </w:p>
    <w:p>
      <w:pPr>
        <w:pStyle w:val="Heading2"/>
        <w:numPr>
          <w:ilvl w:val="1"/>
          <w:numId w:val="12"/>
        </w:numPr>
        <w:tabs>
          <w:tab w:pos="505" w:val="left" w:leader="none"/>
        </w:tabs>
        <w:spacing w:line="240" w:lineRule="auto" w:before="0" w:after="0"/>
        <w:ind w:left="504" w:right="0" w:hanging="402"/>
        <w:jc w:val="both"/>
      </w:pPr>
      <w:r>
        <w:rPr/>
        <w:t>Evaluación de propiedades</w:t>
      </w:r>
      <w:r>
        <w:rPr>
          <w:spacing w:val="-17"/>
        </w:rPr>
        <w:t> </w:t>
      </w:r>
      <w:r>
        <w:rPr/>
        <w:t>mecánicas</w:t>
      </w:r>
    </w:p>
    <w:p>
      <w:pPr>
        <w:pStyle w:val="BodyText"/>
        <w:spacing w:before="3"/>
        <w:rPr>
          <w:b/>
          <w:sz w:val="31"/>
        </w:rPr>
      </w:pPr>
    </w:p>
    <w:p>
      <w:pPr>
        <w:pStyle w:val="BodyText"/>
        <w:spacing w:before="1"/>
        <w:ind w:left="102"/>
        <w:jc w:val="both"/>
      </w:pPr>
      <w:r>
        <w:rPr/>
        <w:t>Mediante ensayos mecánicos se evaluaron las siguientes propiedades mecánicas.</w:t>
      </w:r>
    </w:p>
    <w:p>
      <w:pPr>
        <w:pStyle w:val="ListParagraph"/>
        <w:numPr>
          <w:ilvl w:val="2"/>
          <w:numId w:val="12"/>
        </w:numPr>
        <w:tabs>
          <w:tab w:pos="809" w:val="left" w:leader="none"/>
          <w:tab w:pos="810" w:val="left" w:leader="none"/>
        </w:tabs>
        <w:spacing w:line="240" w:lineRule="auto" w:before="41" w:after="0"/>
        <w:ind w:left="102" w:right="0" w:firstLine="360"/>
        <w:jc w:val="left"/>
        <w:rPr>
          <w:sz w:val="24"/>
        </w:rPr>
      </w:pPr>
      <w:r>
        <w:rPr>
          <w:sz w:val="24"/>
        </w:rPr>
        <w:t>Resistencia a la</w:t>
      </w:r>
      <w:r>
        <w:rPr>
          <w:spacing w:val="-4"/>
          <w:sz w:val="24"/>
        </w:rPr>
        <w:t> </w:t>
      </w:r>
      <w:r>
        <w:rPr>
          <w:sz w:val="24"/>
        </w:rPr>
        <w:t>compresión</w:t>
      </w:r>
    </w:p>
    <w:p>
      <w:pPr>
        <w:pStyle w:val="ListParagraph"/>
        <w:numPr>
          <w:ilvl w:val="2"/>
          <w:numId w:val="12"/>
        </w:numPr>
        <w:tabs>
          <w:tab w:pos="810" w:val="left" w:leader="none"/>
        </w:tabs>
        <w:spacing w:line="240" w:lineRule="auto" w:before="39" w:after="0"/>
        <w:ind w:left="810" w:right="0" w:hanging="348"/>
        <w:jc w:val="left"/>
        <w:rPr>
          <w:sz w:val="24"/>
        </w:rPr>
      </w:pPr>
      <w:r>
        <w:rPr>
          <w:sz w:val="24"/>
        </w:rPr>
        <w:t>Deformación en el punto de cedencia en</w:t>
      </w:r>
      <w:r>
        <w:rPr>
          <w:spacing w:val="-17"/>
          <w:sz w:val="24"/>
        </w:rPr>
        <w:t> </w:t>
      </w:r>
      <w:r>
        <w:rPr>
          <w:sz w:val="24"/>
        </w:rPr>
        <w:t>compresión</w:t>
      </w:r>
    </w:p>
    <w:p>
      <w:pPr>
        <w:pStyle w:val="ListParagraph"/>
        <w:numPr>
          <w:ilvl w:val="2"/>
          <w:numId w:val="12"/>
        </w:numPr>
        <w:tabs>
          <w:tab w:pos="810" w:val="left" w:leader="none"/>
        </w:tabs>
        <w:spacing w:line="240" w:lineRule="auto" w:before="42" w:after="0"/>
        <w:ind w:left="810" w:right="0" w:hanging="348"/>
        <w:jc w:val="left"/>
        <w:rPr>
          <w:sz w:val="24"/>
        </w:rPr>
      </w:pPr>
      <w:r>
        <w:rPr>
          <w:sz w:val="24"/>
        </w:rPr>
        <w:t>Resistencia a la</w:t>
      </w:r>
      <w:r>
        <w:rPr>
          <w:spacing w:val="-5"/>
          <w:sz w:val="24"/>
        </w:rPr>
        <w:t> </w:t>
      </w:r>
      <w:r>
        <w:rPr>
          <w:sz w:val="24"/>
        </w:rPr>
        <w:t>Flexión</w:t>
      </w:r>
    </w:p>
    <w:p>
      <w:pPr>
        <w:pStyle w:val="ListParagraph"/>
        <w:numPr>
          <w:ilvl w:val="2"/>
          <w:numId w:val="12"/>
        </w:numPr>
        <w:tabs>
          <w:tab w:pos="810" w:val="left" w:leader="none"/>
        </w:tabs>
        <w:spacing w:line="240" w:lineRule="auto" w:before="39" w:after="0"/>
        <w:ind w:left="810" w:right="0" w:hanging="348"/>
        <w:jc w:val="left"/>
        <w:rPr>
          <w:sz w:val="24"/>
        </w:rPr>
      </w:pPr>
      <w:r>
        <w:rPr>
          <w:sz w:val="24"/>
        </w:rPr>
        <w:t>Deformación en el punto de cedencia en</w:t>
      </w:r>
      <w:r>
        <w:rPr>
          <w:spacing w:val="-16"/>
          <w:sz w:val="24"/>
        </w:rPr>
        <w:t> </w:t>
      </w:r>
      <w:r>
        <w:rPr>
          <w:sz w:val="24"/>
        </w:rPr>
        <w:t>flexión</w:t>
      </w:r>
    </w:p>
    <w:p>
      <w:pPr>
        <w:pStyle w:val="ListParagraph"/>
        <w:numPr>
          <w:ilvl w:val="2"/>
          <w:numId w:val="12"/>
        </w:numPr>
        <w:tabs>
          <w:tab w:pos="810" w:val="left" w:leader="none"/>
        </w:tabs>
        <w:spacing w:line="240" w:lineRule="auto" w:before="39" w:after="0"/>
        <w:ind w:left="810" w:right="0" w:hanging="348"/>
        <w:jc w:val="left"/>
        <w:rPr>
          <w:sz w:val="24"/>
        </w:rPr>
      </w:pPr>
      <w:r>
        <w:rPr>
          <w:sz w:val="24"/>
        </w:rPr>
        <w:t>Módulo de</w:t>
      </w:r>
      <w:r>
        <w:rPr>
          <w:spacing w:val="-9"/>
          <w:sz w:val="24"/>
        </w:rPr>
        <w:t> </w:t>
      </w:r>
      <w:r>
        <w:rPr>
          <w:sz w:val="24"/>
        </w:rPr>
        <w:t>elasticidad</w:t>
      </w:r>
    </w:p>
    <w:p>
      <w:pPr>
        <w:pStyle w:val="ListParagraph"/>
        <w:numPr>
          <w:ilvl w:val="2"/>
          <w:numId w:val="12"/>
        </w:numPr>
        <w:tabs>
          <w:tab w:pos="878" w:val="left" w:leader="none"/>
        </w:tabs>
        <w:spacing w:line="276" w:lineRule="auto" w:before="39" w:after="0"/>
        <w:ind w:left="102" w:right="4752" w:firstLine="360"/>
        <w:jc w:val="left"/>
        <w:rPr>
          <w:sz w:val="24"/>
        </w:rPr>
      </w:pPr>
      <w:r>
        <w:rPr>
          <w:sz w:val="24"/>
        </w:rPr>
        <w:t>Módulo de elasticidad dinámico Las variables que se estudiaron</w:t>
      </w:r>
      <w:r>
        <w:rPr>
          <w:spacing w:val="-13"/>
          <w:sz w:val="24"/>
        </w:rPr>
        <w:t> </w:t>
      </w:r>
      <w:r>
        <w:rPr>
          <w:sz w:val="24"/>
        </w:rPr>
        <w:t>fueron:</w:t>
      </w:r>
    </w:p>
    <w:p>
      <w:pPr>
        <w:pStyle w:val="ListParagraph"/>
        <w:numPr>
          <w:ilvl w:val="0"/>
          <w:numId w:val="13"/>
        </w:numPr>
        <w:tabs>
          <w:tab w:pos="809" w:val="left" w:leader="none"/>
          <w:tab w:pos="810" w:val="left" w:leader="none"/>
        </w:tabs>
        <w:spacing w:line="293" w:lineRule="exact" w:before="0" w:after="0"/>
        <w:ind w:left="810" w:right="0" w:hanging="348"/>
        <w:jc w:val="left"/>
        <w:rPr>
          <w:sz w:val="24"/>
        </w:rPr>
      </w:pPr>
      <w:r>
        <w:rPr>
          <w:sz w:val="24"/>
        </w:rPr>
        <w:t>Porcentaje en volumen de fibras de Luffa (0, 0.3, 0.6 y</w:t>
      </w:r>
      <w:r>
        <w:rPr>
          <w:spacing w:val="-15"/>
          <w:sz w:val="24"/>
        </w:rPr>
        <w:t> </w:t>
      </w:r>
      <w:r>
        <w:rPr>
          <w:sz w:val="24"/>
        </w:rPr>
        <w:t>0.9%)</w:t>
      </w:r>
    </w:p>
    <w:p>
      <w:pPr>
        <w:pStyle w:val="ListParagraph"/>
        <w:numPr>
          <w:ilvl w:val="0"/>
          <w:numId w:val="13"/>
        </w:numPr>
        <w:tabs>
          <w:tab w:pos="809" w:val="left" w:leader="none"/>
          <w:tab w:pos="810" w:val="left" w:leader="none"/>
        </w:tabs>
        <w:spacing w:line="240" w:lineRule="auto" w:before="40" w:after="0"/>
        <w:ind w:left="810" w:right="0" w:hanging="348"/>
        <w:jc w:val="left"/>
        <w:rPr>
          <w:sz w:val="24"/>
        </w:rPr>
      </w:pPr>
      <w:r>
        <w:rPr>
          <w:sz w:val="24"/>
        </w:rPr>
        <w:t>Dosis de radiación gamma (50 y 100</w:t>
      </w:r>
      <w:r>
        <w:rPr>
          <w:spacing w:val="-11"/>
          <w:sz w:val="24"/>
        </w:rPr>
        <w:t> </w:t>
      </w:r>
      <w:r>
        <w:rPr>
          <w:sz w:val="24"/>
        </w:rPr>
        <w:t>kGy)</w:t>
      </w:r>
    </w:p>
    <w:p>
      <w:pPr>
        <w:pStyle w:val="BodyText"/>
      </w:pPr>
    </w:p>
    <w:p>
      <w:pPr>
        <w:pStyle w:val="BodyText"/>
        <w:spacing w:before="8"/>
        <w:rPr>
          <w:sz w:val="34"/>
        </w:rPr>
      </w:pPr>
    </w:p>
    <w:p>
      <w:pPr>
        <w:pStyle w:val="Heading2"/>
        <w:numPr>
          <w:ilvl w:val="0"/>
          <w:numId w:val="14"/>
        </w:numPr>
        <w:tabs>
          <w:tab w:pos="810" w:val="left" w:leader="none"/>
        </w:tabs>
        <w:spacing w:line="240" w:lineRule="auto" w:before="0" w:after="0"/>
        <w:ind w:left="810" w:right="0" w:hanging="348"/>
        <w:jc w:val="left"/>
        <w:rPr>
          <w:rFonts w:ascii="Times New Roman" w:hAnsi="Times New Roman"/>
        </w:rPr>
      </w:pPr>
      <w:r>
        <w:rPr/>
        <w:t>Resistencia a la</w:t>
      </w:r>
      <w:r>
        <w:rPr>
          <w:spacing w:val="-7"/>
        </w:rPr>
        <w:t> </w:t>
      </w:r>
      <w:r>
        <w:rPr/>
        <w:t>compresión</w:t>
      </w:r>
    </w:p>
    <w:p>
      <w:pPr>
        <w:pStyle w:val="BodyText"/>
        <w:spacing w:before="2"/>
        <w:rPr>
          <w:b/>
          <w:sz w:val="31"/>
        </w:rPr>
      </w:pPr>
    </w:p>
    <w:p>
      <w:pPr>
        <w:pStyle w:val="BodyText"/>
        <w:spacing w:line="276" w:lineRule="auto"/>
        <w:ind w:left="102" w:right="116"/>
        <w:jc w:val="both"/>
      </w:pPr>
      <w:r>
        <w:rPr/>
        <w:t>En la Figura 3.1 se muestran las curvas esfuerzo-deformación de concretos elaborados con fibras de luffa sin irradiar que sirvieron para el análisis de resultados de la prueba de compresión realizada a los concretos poliméricos.</w:t>
      </w:r>
    </w:p>
    <w:p>
      <w:pPr>
        <w:pStyle w:val="BodyText"/>
        <w:spacing w:line="276" w:lineRule="auto" w:before="202"/>
        <w:ind w:left="102" w:right="118"/>
        <w:jc w:val="both"/>
      </w:pPr>
      <w:r>
        <w:rPr/>
        <w:t>La resistencia a la compresión de los concreto poliméricos disminuye gradualmente al incrementar el porcentaje de fibra de luffa no irradiada mostrando una reducción de hasta 30% para 0.9% de fibras respecto al concreto control. En el Anexo B se presentan las curvas esfuerzo-deformación de los diferentes concretos</w:t>
      </w:r>
      <w:r>
        <w:rPr>
          <w:spacing w:val="-7"/>
        </w:rPr>
        <w:t> </w:t>
      </w:r>
      <w:r>
        <w:rPr/>
        <w:t>estudiados.</w:t>
      </w:r>
    </w:p>
    <w:p>
      <w:pPr>
        <w:pStyle w:val="BodyText"/>
        <w:spacing w:before="9"/>
        <w:rPr>
          <w:sz w:val="13"/>
        </w:rPr>
      </w:pPr>
      <w:r>
        <w:rPr/>
        <w:drawing>
          <wp:anchor distT="0" distB="0" distL="0" distR="0" allowOverlap="1" layoutInCell="1" locked="0" behindDoc="0" simplePos="0" relativeHeight="2152">
            <wp:simplePos x="0" y="0"/>
            <wp:positionH relativeFrom="page">
              <wp:posOffset>2240279</wp:posOffset>
            </wp:positionH>
            <wp:positionV relativeFrom="paragraph">
              <wp:posOffset>125553</wp:posOffset>
            </wp:positionV>
            <wp:extent cx="3300422" cy="2510028"/>
            <wp:effectExtent l="0" t="0" r="0" b="0"/>
            <wp:wrapTopAndBottom/>
            <wp:docPr id="59" name="image35.png" descr=""/>
            <wp:cNvGraphicFramePr>
              <a:graphicFrameLocks noChangeAspect="1"/>
            </wp:cNvGraphicFramePr>
            <a:graphic>
              <a:graphicData uri="http://schemas.openxmlformats.org/drawingml/2006/picture">
                <pic:pic>
                  <pic:nvPicPr>
                    <pic:cNvPr id="60" name="image35.png"/>
                    <pic:cNvPicPr/>
                  </pic:nvPicPr>
                  <pic:blipFill>
                    <a:blip r:embed="rId48" cstate="print"/>
                    <a:stretch>
                      <a:fillRect/>
                    </a:stretch>
                  </pic:blipFill>
                  <pic:spPr>
                    <a:xfrm>
                      <a:off x="0" y="0"/>
                      <a:ext cx="3300422" cy="2510028"/>
                    </a:xfrm>
                    <a:prstGeom prst="rect">
                      <a:avLst/>
                    </a:prstGeom>
                  </pic:spPr>
                </pic:pic>
              </a:graphicData>
            </a:graphic>
          </wp:anchor>
        </w:drawing>
      </w:r>
    </w:p>
    <w:p>
      <w:pPr>
        <w:pStyle w:val="BodyText"/>
        <w:spacing w:line="276" w:lineRule="auto" w:before="201"/>
        <w:ind w:left="133" w:right="153"/>
        <w:jc w:val="center"/>
      </w:pPr>
      <w:r>
        <w:rPr/>
        <w:t>Figura 3.1. Curvas esfuerzo – deformación de concretos poliméricos elaborados con fibras de luffa sin irradiar.</w:t>
      </w:r>
    </w:p>
    <w:p>
      <w:pPr>
        <w:spacing w:after="0" w:line="276" w:lineRule="auto"/>
        <w:jc w:val="center"/>
        <w:sectPr>
          <w:pgSz w:w="12240" w:h="15840"/>
          <w:pgMar w:header="747" w:footer="0" w:top="940" w:bottom="280" w:left="1600" w:right="1580"/>
        </w:sectPr>
      </w:pPr>
    </w:p>
    <w:p>
      <w:pPr>
        <w:pStyle w:val="BodyText"/>
        <w:rPr>
          <w:sz w:val="20"/>
        </w:rPr>
      </w:pPr>
    </w:p>
    <w:p>
      <w:pPr>
        <w:pStyle w:val="BodyText"/>
        <w:rPr>
          <w:sz w:val="20"/>
        </w:rPr>
      </w:pPr>
    </w:p>
    <w:p>
      <w:pPr>
        <w:pStyle w:val="BodyText"/>
        <w:spacing w:before="4"/>
        <w:rPr>
          <w:sz w:val="22"/>
        </w:rPr>
      </w:pPr>
    </w:p>
    <w:p>
      <w:pPr>
        <w:pStyle w:val="BodyText"/>
        <w:spacing w:line="276" w:lineRule="auto" w:before="69"/>
        <w:ind w:left="102" w:right="126"/>
        <w:jc w:val="both"/>
      </w:pPr>
      <w:r>
        <w:rPr/>
        <w:t>En la Figura 3.2 se muestran los valores de la resistencia a la compresión en función de la dosis de radiación y la concentración de fibra de los cuatro diferentes tipos de concretos poliméricos:</w:t>
      </w:r>
    </w:p>
    <w:p>
      <w:pPr>
        <w:pStyle w:val="ListParagraph"/>
        <w:numPr>
          <w:ilvl w:val="0"/>
          <w:numId w:val="15"/>
        </w:numPr>
        <w:tabs>
          <w:tab w:pos="810" w:val="left" w:leader="none"/>
        </w:tabs>
        <w:spacing w:line="240" w:lineRule="auto" w:before="0" w:after="0"/>
        <w:ind w:left="810" w:right="0" w:hanging="348"/>
        <w:jc w:val="left"/>
        <w:rPr>
          <w:sz w:val="24"/>
        </w:rPr>
      </w:pPr>
      <w:r>
        <w:rPr>
          <w:sz w:val="24"/>
        </w:rPr>
        <w:t>Control</w:t>
      </w:r>
    </w:p>
    <w:p>
      <w:pPr>
        <w:pStyle w:val="ListParagraph"/>
        <w:numPr>
          <w:ilvl w:val="0"/>
          <w:numId w:val="15"/>
        </w:numPr>
        <w:tabs>
          <w:tab w:pos="810" w:val="left" w:leader="none"/>
        </w:tabs>
        <w:spacing w:line="240" w:lineRule="auto" w:before="43" w:after="0"/>
        <w:ind w:left="810" w:right="0" w:hanging="348"/>
        <w:jc w:val="left"/>
        <w:rPr>
          <w:sz w:val="24"/>
        </w:rPr>
      </w:pPr>
      <w:r>
        <w:rPr>
          <w:sz w:val="24"/>
        </w:rPr>
        <w:t>Con fibras sin</w:t>
      </w:r>
      <w:r>
        <w:rPr>
          <w:spacing w:val="-5"/>
          <w:sz w:val="24"/>
        </w:rPr>
        <w:t> </w:t>
      </w:r>
      <w:r>
        <w:rPr>
          <w:sz w:val="24"/>
        </w:rPr>
        <w:t>irradiar</w:t>
      </w:r>
    </w:p>
    <w:p>
      <w:pPr>
        <w:pStyle w:val="ListParagraph"/>
        <w:numPr>
          <w:ilvl w:val="0"/>
          <w:numId w:val="15"/>
        </w:numPr>
        <w:tabs>
          <w:tab w:pos="810" w:val="left" w:leader="none"/>
        </w:tabs>
        <w:spacing w:line="240" w:lineRule="auto" w:before="41" w:after="0"/>
        <w:ind w:left="810" w:right="0" w:hanging="348"/>
        <w:jc w:val="left"/>
        <w:rPr>
          <w:sz w:val="24"/>
        </w:rPr>
      </w:pPr>
      <w:r>
        <w:rPr>
          <w:sz w:val="24"/>
        </w:rPr>
        <w:t>Con fibras</w:t>
      </w:r>
      <w:r>
        <w:rPr>
          <w:spacing w:val="-3"/>
          <w:sz w:val="24"/>
        </w:rPr>
        <w:t> </w:t>
      </w:r>
      <w:r>
        <w:rPr>
          <w:sz w:val="24"/>
        </w:rPr>
        <w:t>irradiadas</w:t>
      </w:r>
    </w:p>
    <w:p>
      <w:pPr>
        <w:pStyle w:val="ListParagraph"/>
        <w:numPr>
          <w:ilvl w:val="0"/>
          <w:numId w:val="15"/>
        </w:numPr>
        <w:tabs>
          <w:tab w:pos="810" w:val="left" w:leader="none"/>
        </w:tabs>
        <w:spacing w:line="240" w:lineRule="auto" w:before="41" w:after="0"/>
        <w:ind w:left="810" w:right="0" w:hanging="348"/>
        <w:jc w:val="left"/>
        <w:rPr>
          <w:sz w:val="24"/>
        </w:rPr>
      </w:pPr>
      <w:r>
        <w:rPr>
          <w:sz w:val="24"/>
        </w:rPr>
        <w:t>Con fibras e</w:t>
      </w:r>
      <w:r>
        <w:rPr>
          <w:spacing w:val="-8"/>
          <w:sz w:val="24"/>
        </w:rPr>
        <w:t> </w:t>
      </w:r>
      <w:r>
        <w:rPr>
          <w:sz w:val="24"/>
        </w:rPr>
        <w:t>irradiados.</w:t>
      </w:r>
    </w:p>
    <w:p>
      <w:pPr>
        <w:pStyle w:val="BodyText"/>
        <w:spacing w:before="3"/>
        <w:rPr>
          <w:sz w:val="31"/>
        </w:rPr>
      </w:pPr>
    </w:p>
    <w:p>
      <w:pPr>
        <w:pStyle w:val="BodyText"/>
        <w:ind w:left="102"/>
        <w:jc w:val="both"/>
      </w:pPr>
      <w:r>
        <w:rPr/>
        <w:t>Se observan los siguientes comportamientos:</w:t>
      </w:r>
    </w:p>
    <w:p>
      <w:pPr>
        <w:pStyle w:val="BodyText"/>
        <w:spacing w:before="1"/>
        <w:rPr>
          <w:sz w:val="31"/>
        </w:rPr>
      </w:pPr>
    </w:p>
    <w:p>
      <w:pPr>
        <w:pStyle w:val="ListParagraph"/>
        <w:numPr>
          <w:ilvl w:val="0"/>
          <w:numId w:val="16"/>
        </w:numPr>
        <w:tabs>
          <w:tab w:pos="810" w:val="left" w:leader="none"/>
        </w:tabs>
        <w:spacing w:line="276" w:lineRule="auto" w:before="0" w:after="0"/>
        <w:ind w:left="822" w:right="114" w:hanging="360"/>
        <w:jc w:val="both"/>
        <w:rPr>
          <w:sz w:val="24"/>
        </w:rPr>
      </w:pPr>
      <w:r>
        <w:rPr>
          <w:sz w:val="24"/>
        </w:rPr>
        <w:t>El concreto polimérico tomado como control (sin fibras y sin irradiación), presenta una resistencia a la compresión de 27 MPa. Este tipo de concreto cuando se irradia a dosis de 50 y 100 kGy, incrementa la resistencia a la compresión hasta un máximo de 27%. Este incremento puede atribuirse a  la modificación que sufre la matriz polimérica debida a la radiación gamma, la cual promueve enlaces entre cadenas (crosslinking), reticulado </w:t>
      </w:r>
      <w:r>
        <w:rPr>
          <w:spacing w:val="2"/>
          <w:sz w:val="24"/>
        </w:rPr>
        <w:t>del </w:t>
      </w:r>
      <w:r>
        <w:rPr>
          <w:sz w:val="24"/>
        </w:rPr>
        <w:t>polímero e incremento en el grado de</w:t>
      </w:r>
      <w:r>
        <w:rPr>
          <w:spacing w:val="-22"/>
          <w:sz w:val="24"/>
        </w:rPr>
        <w:t> </w:t>
      </w:r>
      <w:r>
        <w:rPr>
          <w:sz w:val="24"/>
        </w:rPr>
        <w:t>polimerización.</w:t>
      </w:r>
    </w:p>
    <w:p>
      <w:pPr>
        <w:pStyle w:val="BodyText"/>
        <w:spacing w:before="9"/>
        <w:rPr>
          <w:sz w:val="27"/>
        </w:rPr>
      </w:pPr>
    </w:p>
    <w:p>
      <w:pPr>
        <w:pStyle w:val="ListParagraph"/>
        <w:numPr>
          <w:ilvl w:val="0"/>
          <w:numId w:val="16"/>
        </w:numPr>
        <w:tabs>
          <w:tab w:pos="810" w:val="left" w:leader="none"/>
        </w:tabs>
        <w:spacing w:line="276" w:lineRule="auto" w:before="0" w:after="0"/>
        <w:ind w:left="822" w:right="115" w:hanging="360"/>
        <w:jc w:val="both"/>
        <w:rPr>
          <w:sz w:val="24"/>
        </w:rPr>
      </w:pPr>
      <w:r>
        <w:rPr>
          <w:sz w:val="24"/>
        </w:rPr>
        <w:t>Para concreto con fibras sin irradiar, se observa que conforme se incrementa la concentración de fibras, la resistencia disminuye progresivamente. Siendo el menor valor para 0.9% de fibra, el cual es 29% menor que el concreto tomado como control. Tal disminución se puede atribuir al débil enlace fibra-matriz debido a que la fibra de Luffa es hidrofílica y la matriz del concreto por el contrario hidrofóbica; este débil enlace resulta en una transferencia de tensiones ineficaz hacia las fibras. También se debe a la alta porosidad de las fibras, los poros actúan como fallas en el composito durante el esfuerzo de compresión, por lo que la resistencia</w:t>
      </w:r>
      <w:r>
        <w:rPr>
          <w:spacing w:val="-8"/>
          <w:sz w:val="24"/>
        </w:rPr>
        <w:t> </w:t>
      </w:r>
      <w:r>
        <w:rPr>
          <w:sz w:val="24"/>
        </w:rPr>
        <w:t>disminuye.</w:t>
      </w:r>
    </w:p>
    <w:p>
      <w:pPr>
        <w:spacing w:after="0" w:line="276" w:lineRule="auto"/>
        <w:jc w:val="both"/>
        <w:rPr>
          <w:sz w:val="24"/>
        </w:rPr>
        <w:sectPr>
          <w:pgSz w:w="12240" w:h="15840"/>
          <w:pgMar w:header="747" w:footer="0" w:top="940" w:bottom="280" w:left="1600" w:right="1580"/>
        </w:sectPr>
      </w:pPr>
    </w:p>
    <w:p>
      <w:pPr>
        <w:pStyle w:val="BodyText"/>
        <w:rPr>
          <w:sz w:val="20"/>
        </w:rPr>
      </w:pPr>
    </w:p>
    <w:p>
      <w:pPr>
        <w:pStyle w:val="BodyText"/>
        <w:spacing w:before="8"/>
        <w:rPr>
          <w:sz w:val="20"/>
        </w:rPr>
      </w:pPr>
    </w:p>
    <w:p>
      <w:pPr>
        <w:pStyle w:val="BodyText"/>
        <w:ind w:left="1287"/>
        <w:rPr>
          <w:sz w:val="20"/>
        </w:rPr>
      </w:pPr>
      <w:r>
        <w:rPr>
          <w:sz w:val="20"/>
        </w:rPr>
        <w:drawing>
          <wp:inline distT="0" distB="0" distL="0" distR="0">
            <wp:extent cx="4400995" cy="2944368"/>
            <wp:effectExtent l="0" t="0" r="0" b="0"/>
            <wp:docPr id="61" name="image36.png" descr=""/>
            <wp:cNvGraphicFramePr>
              <a:graphicFrameLocks noChangeAspect="1"/>
            </wp:cNvGraphicFramePr>
            <a:graphic>
              <a:graphicData uri="http://schemas.openxmlformats.org/drawingml/2006/picture">
                <pic:pic>
                  <pic:nvPicPr>
                    <pic:cNvPr id="62" name="image36.png"/>
                    <pic:cNvPicPr/>
                  </pic:nvPicPr>
                  <pic:blipFill>
                    <a:blip r:embed="rId49" cstate="print"/>
                    <a:stretch>
                      <a:fillRect/>
                    </a:stretch>
                  </pic:blipFill>
                  <pic:spPr>
                    <a:xfrm>
                      <a:off x="0" y="0"/>
                      <a:ext cx="4400995" cy="2944368"/>
                    </a:xfrm>
                    <a:prstGeom prst="rect">
                      <a:avLst/>
                    </a:prstGeom>
                  </pic:spPr>
                </pic:pic>
              </a:graphicData>
            </a:graphic>
          </wp:inline>
        </w:drawing>
      </w:r>
      <w:r>
        <w:rPr>
          <w:sz w:val="20"/>
        </w:rPr>
      </w:r>
    </w:p>
    <w:p>
      <w:pPr>
        <w:pStyle w:val="BodyText"/>
        <w:spacing w:before="42"/>
        <w:ind w:left="1265" w:right="698"/>
        <w:jc w:val="center"/>
      </w:pPr>
      <w:r>
        <w:rPr/>
        <w:t>Figura 3.2 Resistencia a la compresión de concretos poliméricos.</w:t>
      </w:r>
    </w:p>
    <w:p>
      <w:pPr>
        <w:pStyle w:val="BodyText"/>
        <w:spacing w:before="1"/>
        <w:rPr>
          <w:sz w:val="31"/>
        </w:rPr>
      </w:pPr>
    </w:p>
    <w:p>
      <w:pPr>
        <w:pStyle w:val="ListParagraph"/>
        <w:numPr>
          <w:ilvl w:val="0"/>
          <w:numId w:val="16"/>
        </w:numPr>
        <w:tabs>
          <w:tab w:pos="690" w:val="left" w:leader="none"/>
        </w:tabs>
        <w:spacing w:line="276" w:lineRule="auto" w:before="0" w:after="0"/>
        <w:ind w:left="702" w:right="125" w:hanging="360"/>
        <w:jc w:val="both"/>
        <w:rPr>
          <w:sz w:val="24"/>
        </w:rPr>
      </w:pPr>
      <w:r>
        <w:rPr>
          <w:sz w:val="24"/>
        </w:rPr>
        <w:t>Los concretos con fibras irradiadas disminuyen la resistencia a la compresión conforme aumentan la concentración de fibras de Luffa. El  valor más bajo se obtiene al adicionar 0.9% de fibras irradiadas a 100 kGy; este valor es 40% menor respecto al de concreto tomado como</w:t>
      </w:r>
      <w:r>
        <w:rPr>
          <w:spacing w:val="-27"/>
          <w:sz w:val="24"/>
        </w:rPr>
        <w:t> </w:t>
      </w:r>
      <w:r>
        <w:rPr>
          <w:sz w:val="24"/>
        </w:rPr>
        <w:t>control.</w:t>
      </w:r>
    </w:p>
    <w:p>
      <w:pPr>
        <w:pStyle w:val="BodyText"/>
        <w:spacing w:before="7"/>
        <w:rPr>
          <w:sz w:val="27"/>
        </w:rPr>
      </w:pPr>
    </w:p>
    <w:p>
      <w:pPr>
        <w:pStyle w:val="BodyText"/>
        <w:spacing w:line="276" w:lineRule="auto"/>
        <w:ind w:left="690" w:right="117"/>
        <w:jc w:val="both"/>
      </w:pPr>
      <w:r>
        <w:rPr/>
        <w:t>La concentración de fibra irradiada es decisiva en la disminución de la resistencia a la compresión. Esto se debe en parte a la capacidad de absorción de agua (13.6 g/g) de la fibra de Luffa. Otro factor para esta disminución es la porosidad de la fibra, la cual evita que las grietas se propaguen y se llegue al punto de ruptura; esto debido a que durante el ensayo de compresión los poros actúan como “fallas” en el concreto.</w:t>
      </w:r>
    </w:p>
    <w:p>
      <w:pPr>
        <w:pStyle w:val="BodyText"/>
        <w:spacing w:before="6"/>
        <w:rPr>
          <w:sz w:val="27"/>
        </w:rPr>
      </w:pPr>
    </w:p>
    <w:p>
      <w:pPr>
        <w:pStyle w:val="ListParagraph"/>
        <w:numPr>
          <w:ilvl w:val="0"/>
          <w:numId w:val="16"/>
        </w:numPr>
        <w:tabs>
          <w:tab w:pos="690" w:val="left" w:leader="none"/>
        </w:tabs>
        <w:spacing w:line="276" w:lineRule="auto" w:before="1" w:after="0"/>
        <w:ind w:left="702" w:right="120" w:hanging="360"/>
        <w:jc w:val="both"/>
        <w:rPr>
          <w:sz w:val="24"/>
        </w:rPr>
      </w:pPr>
      <w:r>
        <w:rPr>
          <w:sz w:val="24"/>
        </w:rPr>
        <w:t>En los concretos con fibras e irradiados se incrementa la resistencia a la compresión conforme aumenta la dosis de radiación. Los máximos incrementos, con respecto al concreto tomado como control, son del 11, 5 y 27 % para concentraciones de fibras de 0.3, 0.6 y 0.9%, respectivamente (concretos irradiados a 100</w:t>
      </w:r>
      <w:r>
        <w:rPr>
          <w:spacing w:val="-13"/>
          <w:sz w:val="24"/>
        </w:rPr>
        <w:t> </w:t>
      </w:r>
      <w:r>
        <w:rPr>
          <w:sz w:val="24"/>
        </w:rPr>
        <w:t>kGy).</w:t>
      </w:r>
    </w:p>
    <w:p>
      <w:pPr>
        <w:pStyle w:val="BodyText"/>
        <w:spacing w:before="9"/>
        <w:rPr>
          <w:sz w:val="27"/>
        </w:rPr>
      </w:pPr>
    </w:p>
    <w:p>
      <w:pPr>
        <w:pStyle w:val="BodyText"/>
        <w:spacing w:line="276" w:lineRule="auto"/>
        <w:ind w:left="690" w:right="126"/>
        <w:jc w:val="both"/>
      </w:pPr>
      <w:r>
        <w:rPr/>
        <w:t>Este aumento en la resistencia a la compresión es debido a que la energía ionizante produce la formación de enlaces entre cadenas poliméricas de la resina, incremento en el grado de polimerización y reticulado de la matriz.</w:t>
      </w:r>
    </w:p>
    <w:p>
      <w:pPr>
        <w:pStyle w:val="BodyText"/>
        <w:spacing w:before="6"/>
        <w:rPr>
          <w:sz w:val="27"/>
        </w:rPr>
      </w:pPr>
    </w:p>
    <w:p>
      <w:pPr>
        <w:pStyle w:val="BodyText"/>
        <w:spacing w:line="278" w:lineRule="auto" w:before="1"/>
        <w:ind w:left="690" w:right="124"/>
        <w:jc w:val="both"/>
      </w:pPr>
      <w:r>
        <w:rPr/>
        <w:t>Algo notable en los concreto con fibras e irradiados directamente, es el comportamiento   que  tienen   concretos  a  una  dosis  fija,   conforme    se</w:t>
      </w:r>
    </w:p>
    <w:p>
      <w:pPr>
        <w:spacing w:after="0" w:line="278" w:lineRule="auto"/>
        <w:jc w:val="both"/>
        <w:sectPr>
          <w:pgSz w:w="12240" w:h="15840"/>
          <w:pgMar w:header="747" w:footer="0" w:top="940" w:bottom="280" w:left="1720" w:right="1580"/>
        </w:sectPr>
      </w:pPr>
    </w:p>
    <w:p>
      <w:pPr>
        <w:pStyle w:val="BodyText"/>
        <w:rPr>
          <w:sz w:val="20"/>
        </w:rPr>
      </w:pPr>
    </w:p>
    <w:p>
      <w:pPr>
        <w:pStyle w:val="BodyText"/>
        <w:spacing w:before="6"/>
        <w:rPr>
          <w:sz w:val="20"/>
        </w:rPr>
      </w:pPr>
    </w:p>
    <w:p>
      <w:pPr>
        <w:pStyle w:val="BodyText"/>
        <w:spacing w:line="276" w:lineRule="auto"/>
        <w:ind w:left="810" w:right="120"/>
        <w:jc w:val="both"/>
      </w:pPr>
      <w:r>
        <w:rPr/>
        <w:t>incrementa la concentración de fibra. Para 50 kGy la resistencia disminuye conforme aumenta la concentración de fibra, hasta 0.6% de fibra; luego se incrementa para 0.9% de fibras. Lo mismo sucede para una dosis de 100 kGy.</w:t>
      </w:r>
    </w:p>
    <w:p>
      <w:pPr>
        <w:pStyle w:val="BodyText"/>
        <w:spacing w:before="9"/>
        <w:rPr>
          <w:sz w:val="27"/>
        </w:rPr>
      </w:pPr>
    </w:p>
    <w:p>
      <w:pPr>
        <w:pStyle w:val="BodyText"/>
        <w:spacing w:line="276" w:lineRule="auto"/>
        <w:ind w:left="102" w:right="115"/>
        <w:jc w:val="both"/>
      </w:pPr>
      <w:r>
        <w:rPr/>
        <w:t>Los diferentes comportamientos observados para las propiedades mecánicas (compresión, flexión, deformación, módulos estático y dinámico) de los concretos poliméricos se puede relacionar con las imágenes de microscopia electrónica de barrido (MEB) de las fibras de luffa sin irradiar e irradiadas.</w:t>
      </w:r>
    </w:p>
    <w:p>
      <w:pPr>
        <w:pStyle w:val="BodyText"/>
        <w:spacing w:before="9"/>
        <w:rPr>
          <w:sz w:val="27"/>
        </w:rPr>
      </w:pPr>
    </w:p>
    <w:p>
      <w:pPr>
        <w:pStyle w:val="BodyText"/>
        <w:spacing w:line="276" w:lineRule="auto"/>
        <w:ind w:left="102" w:right="120"/>
        <w:jc w:val="both"/>
      </w:pPr>
      <w:r>
        <w:rPr/>
        <w:t>La Figura 3.3 muestra las imágenes de fibras de Luffa sin irradiar obtenidas por Microscopía Electrónica de Barrido (MEB). En la Figura 3.3a se observa una superficie rugosa; partículas de lignina con diferentes formas (indicadas con las flechas) y la presencia de grietas con anchuras que van de 4 a 12 µm, en promedio. Así mismo, se observa la presencia de una fina capa de lignina que cubre las fibrillas celulósicas (lo cual se indica en los rectángulos en la Figura 3.2b).</w:t>
      </w:r>
    </w:p>
    <w:p>
      <w:pPr>
        <w:pStyle w:val="BodyText"/>
        <w:spacing w:before="3"/>
      </w:pPr>
      <w:r>
        <w:rPr/>
        <w:pict>
          <v:group style="position:absolute;margin-left:97.300003pt;margin-top:15.916101pt;width:417.4pt;height:156pt;mso-position-horizontal-relative:page;mso-position-vertical-relative:paragraph;z-index:2224;mso-wrap-distance-left:0;mso-wrap-distance-right:0" coordorigin="1946,318" coordsize="8348,3120">
            <v:shape style="position:absolute;left:1946;top:318;width:8348;height:3120" type="#_x0000_t75" stroked="false">
              <v:imagedata r:id="rId50" o:title=""/>
            </v:shape>
            <v:shape style="position:absolute;left:2724;top:2209;width:503;height:400" coordorigin="2724,2209" coordsize="503,400" path="m3126,2542l3095,2581,3226,2608,3201,2554,3141,2554,3126,2542xm3138,2526l3126,2542,3141,2554,3154,2539,3138,2526xm3169,2487l3138,2526,3154,2539,3141,2554,3201,2554,3169,2487xm2736,2209l2724,2224,3126,2542,3138,2526,2736,2209xe" filled="true" fillcolor="#000000" stroked="false">
              <v:path arrowok="t"/>
              <v:fill type="solid"/>
            </v:shape>
            <v:shape style="position:absolute;left:2099;top:1359;width:268;height:558" coordorigin="2099,1359" coordsize="268,558" path="m2303,1811l2257,1832,2362,1916,2365,1830,2311,1830,2303,1811xm2321,1803l2303,1811,2311,1830,2329,1821,2321,1803xm2366,1782l2321,1803,2329,1821,2311,1830,2365,1830,2366,1782xm2117,1359l2099,1368,2303,1811,2321,1803,2117,1359xe" filled="true" fillcolor="#000000" stroked="false">
              <v:path arrowok="t"/>
              <v:fill type="solid"/>
            </v:shape>
            <v:shape style="position:absolute;left:2986;top:1222;width:173;height:396" type="#_x0000_t75" stroked="false">
              <v:imagedata r:id="rId51" o:title=""/>
            </v:shape>
            <v:shape style="position:absolute;left:4878;top:457;width:480;height:373" coordorigin="4878,457" coordsize="480,373" path="m5256,765l5225,805,5357,830,5331,777,5272,777,5256,765xm5268,749l5256,765,5272,777,5284,761,5268,749xm5299,710l5268,749,5284,761,5272,777,5331,777,5299,710xm4890,457l4878,473,5256,765,5268,749,4890,457xe" filled="true" fillcolor="#000000" stroked="false">
              <v:path arrowok="t"/>
              <v:fill type="solid"/>
            </v:shape>
            <v:shape style="position:absolute;left:7194;top:1329;width:920;height:773" coordorigin="7194,1329" coordsize="920,773" path="m7401,1329l7194,1675,7907,2101,8114,1755,7401,1329xe" filled="false" stroked="true" strokeweight="1.25pt" strokecolor="#000000">
              <v:path arrowok="t"/>
            </v:shape>
            <v:shape style="position:absolute;left:8717;top:1732;width:920;height:773" coordorigin="8717,1732" coordsize="920,773" path="m8924,1732l8717,2078,9430,2504,9637,2158,8924,1732xe" filled="false" stroked="true" strokeweight="1.25pt" strokecolor="#000000">
              <v:path arrowok="t"/>
            </v:shape>
            <v:shape style="position:absolute;left:2252;top:531;width:158;height:320" type="#_x0000_t202" filled="false" stroked="false">
              <v:textbox inset="0,0,0,0">
                <w:txbxContent>
                  <w:p>
                    <w:pPr>
                      <w:spacing w:line="319" w:lineRule="exact" w:before="0"/>
                      <w:ind w:left="0" w:right="0" w:firstLine="0"/>
                      <w:jc w:val="left"/>
                      <w:rPr>
                        <w:rFonts w:ascii="Calibri"/>
                        <w:b/>
                        <w:sz w:val="32"/>
                      </w:rPr>
                    </w:pPr>
                    <w:r>
                      <w:rPr>
                        <w:rFonts w:ascii="Calibri"/>
                        <w:b/>
                        <w:w w:val="99"/>
                        <w:sz w:val="32"/>
                      </w:rPr>
                      <w:t>a</w:t>
                    </w:r>
                  </w:p>
                </w:txbxContent>
              </v:textbox>
              <w10:wrap type="none"/>
            </v:shape>
            <v:shape style="position:absolute;left:6325;top:531;width:172;height:320" type="#_x0000_t202" filled="false" stroked="false">
              <v:textbox inset="0,0,0,0">
                <w:txbxContent>
                  <w:p>
                    <w:pPr>
                      <w:spacing w:line="319" w:lineRule="exact" w:before="0"/>
                      <w:ind w:left="0" w:right="0" w:firstLine="0"/>
                      <w:jc w:val="left"/>
                      <w:rPr>
                        <w:rFonts w:ascii="Calibri"/>
                        <w:b/>
                        <w:sz w:val="32"/>
                      </w:rPr>
                    </w:pPr>
                    <w:r>
                      <w:rPr>
                        <w:rFonts w:ascii="Calibri"/>
                        <w:b/>
                        <w:w w:val="99"/>
                        <w:sz w:val="32"/>
                      </w:rPr>
                      <w:t>b</w:t>
                    </w:r>
                  </w:p>
                </w:txbxContent>
              </v:textbox>
              <w10:wrap type="none"/>
            </v:shape>
            <w10:wrap type="topAndBottom"/>
          </v:group>
        </w:pict>
      </w:r>
    </w:p>
    <w:p>
      <w:pPr>
        <w:pStyle w:val="BodyText"/>
        <w:spacing w:before="11"/>
        <w:ind w:left="1376" w:right="109"/>
      </w:pPr>
      <w:r>
        <w:rPr/>
        <w:t>Figura 3.3. Imágenes de SEM de fibras de luffa sin irradiar.</w:t>
      </w:r>
    </w:p>
    <w:p>
      <w:pPr>
        <w:pStyle w:val="BodyText"/>
      </w:pPr>
    </w:p>
    <w:p>
      <w:pPr>
        <w:pStyle w:val="BodyText"/>
        <w:spacing w:before="9"/>
        <w:rPr>
          <w:sz w:val="34"/>
        </w:rPr>
      </w:pPr>
    </w:p>
    <w:p>
      <w:pPr>
        <w:pStyle w:val="BodyText"/>
        <w:spacing w:line="276" w:lineRule="auto" w:before="1"/>
        <w:ind w:left="102" w:right="114"/>
        <w:jc w:val="both"/>
      </w:pPr>
      <w:r>
        <w:rPr/>
        <w:t>En la Figura 3.4 se muestran las superficies de las fibras </w:t>
      </w:r>
      <w:r>
        <w:rPr>
          <w:spacing w:val="4"/>
        </w:rPr>
        <w:t>de </w:t>
      </w:r>
      <w:r>
        <w:rPr/>
        <w:t>luffa irradiadas. Para una dosis de 50 kGy no se observan cambios en la superficie, se mantiene la superficie rugosa cubierta de una delgada capa de lignina y hemicelulosa [48,49] que cubre las fibrillas celulósicas (Figuras 3.4a y 3.4b). Un comportamiento similar acontece para una dosis de 100 kGy ya que se mantiene una superficie rugosa y la capa de lignina y hemicelulosa (Figuras 3.4c y</w:t>
      </w:r>
      <w:r>
        <w:rPr>
          <w:spacing w:val="-14"/>
        </w:rPr>
        <w:t> </w:t>
      </w:r>
      <w:r>
        <w:rPr/>
        <w:t>3.4d).</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8"/>
        <w:rPr>
          <w:sz w:val="20"/>
        </w:rPr>
      </w:pPr>
    </w:p>
    <w:p>
      <w:pPr>
        <w:pStyle w:val="BodyText"/>
        <w:ind w:left="361"/>
        <w:rPr>
          <w:sz w:val="20"/>
        </w:rPr>
      </w:pPr>
      <w:r>
        <w:rPr>
          <w:sz w:val="20"/>
        </w:rPr>
        <w:pict>
          <v:group style="width:415.9pt;height:311.9pt;mso-position-horizontal-relative:char;mso-position-vertical-relative:line" coordorigin="0,0" coordsize="8318,6238">
            <v:shape style="position:absolute;left:0;top:0;width:8318;height:3120" type="#_x0000_t75" stroked="false">
              <v:imagedata r:id="rId53" o:title=""/>
            </v:shape>
            <v:shape style="position:absolute;left:0;top:3118;width:8318;height:3120" type="#_x0000_t75" stroked="false">
              <v:imagedata r:id="rId54" o:title=""/>
            </v:shape>
            <v:shape style="position:absolute;left:163;top:140;width:851;height:221" type="#_x0000_t202" filled="false" stroked="false">
              <v:textbox inset="0,0,0,0">
                <w:txbxContent>
                  <w:p>
                    <w:pPr>
                      <w:spacing w:line="221" w:lineRule="exact" w:before="0"/>
                      <w:ind w:left="0" w:right="-19" w:firstLine="0"/>
                      <w:jc w:val="left"/>
                      <w:rPr>
                        <w:rFonts w:ascii="Calibri"/>
                        <w:b/>
                        <w:sz w:val="22"/>
                      </w:rPr>
                    </w:pPr>
                    <w:r>
                      <w:rPr>
                        <w:rFonts w:ascii="Calibri"/>
                        <w:b/>
                        <w:sz w:val="22"/>
                      </w:rPr>
                      <w:t>a) 50 kGy</w:t>
                    </w:r>
                  </w:p>
                </w:txbxContent>
              </v:textbox>
              <w10:wrap type="none"/>
            </v:shape>
            <v:shape style="position:absolute;left:4364;top:140;width:861;height:221" type="#_x0000_t202" filled="false" stroked="false">
              <v:textbox inset="0,0,0,0">
                <w:txbxContent>
                  <w:p>
                    <w:pPr>
                      <w:spacing w:line="221" w:lineRule="exact" w:before="0"/>
                      <w:ind w:left="0" w:right="-19" w:firstLine="0"/>
                      <w:jc w:val="left"/>
                      <w:rPr>
                        <w:rFonts w:ascii="Calibri"/>
                        <w:b/>
                        <w:sz w:val="22"/>
                      </w:rPr>
                    </w:pPr>
                    <w:r>
                      <w:rPr>
                        <w:rFonts w:ascii="Calibri"/>
                        <w:b/>
                        <w:sz w:val="22"/>
                      </w:rPr>
                      <w:t>b) 50 kGy</w:t>
                    </w:r>
                  </w:p>
                </w:txbxContent>
              </v:textbox>
              <w10:wrap type="none"/>
            </v:shape>
            <v:shape style="position:absolute;left:163;top:3320;width:947;height:221" type="#_x0000_t202" filled="false" stroked="false">
              <v:textbox inset="0,0,0,0">
                <w:txbxContent>
                  <w:p>
                    <w:pPr>
                      <w:spacing w:line="221" w:lineRule="exact" w:before="0"/>
                      <w:ind w:left="0" w:right="-18" w:firstLine="0"/>
                      <w:jc w:val="left"/>
                      <w:rPr>
                        <w:rFonts w:ascii="Calibri"/>
                        <w:b/>
                        <w:sz w:val="22"/>
                      </w:rPr>
                    </w:pPr>
                    <w:r>
                      <w:rPr>
                        <w:rFonts w:ascii="Calibri"/>
                        <w:b/>
                        <w:sz w:val="22"/>
                      </w:rPr>
                      <w:t>c) 100 kGy</w:t>
                    </w:r>
                  </w:p>
                </w:txbxContent>
              </v:textbox>
              <w10:wrap type="none"/>
            </v:shape>
            <v:shape style="position:absolute;left:4364;top:3320;width:972;height:221" type="#_x0000_t202" filled="false" stroked="false">
              <v:textbox inset="0,0,0,0">
                <w:txbxContent>
                  <w:p>
                    <w:pPr>
                      <w:spacing w:line="221" w:lineRule="exact" w:before="0"/>
                      <w:ind w:left="0" w:right="-19" w:firstLine="0"/>
                      <w:jc w:val="left"/>
                      <w:rPr>
                        <w:rFonts w:ascii="Calibri"/>
                        <w:b/>
                        <w:sz w:val="22"/>
                      </w:rPr>
                    </w:pPr>
                    <w:r>
                      <w:rPr>
                        <w:rFonts w:ascii="Calibri"/>
                        <w:b/>
                        <w:sz w:val="22"/>
                      </w:rPr>
                      <w:t>d) 100 kGy</w:t>
                    </w:r>
                  </w:p>
                </w:txbxContent>
              </v:textbox>
              <w10:wrap type="none"/>
            </v:shape>
          </v:group>
        </w:pict>
      </w:r>
      <w:r>
        <w:rPr>
          <w:sz w:val="20"/>
        </w:rPr>
      </w:r>
    </w:p>
    <w:p>
      <w:pPr>
        <w:pStyle w:val="BodyText"/>
        <w:spacing w:before="32"/>
        <w:ind w:left="570" w:right="109"/>
      </w:pPr>
      <w:r>
        <w:rPr/>
        <w:t>Figura 3.4. Imágenes de SEM de fibras de luffa irradiadas a 50 y 100 kGy.</w:t>
      </w:r>
    </w:p>
    <w:p>
      <w:pPr>
        <w:pStyle w:val="BodyText"/>
        <w:spacing w:before="10"/>
        <w:rPr>
          <w:sz w:val="30"/>
        </w:rPr>
      </w:pPr>
    </w:p>
    <w:p>
      <w:pPr>
        <w:pStyle w:val="BodyText"/>
        <w:spacing w:line="276" w:lineRule="auto"/>
        <w:ind w:left="102" w:right="116"/>
        <w:jc w:val="both"/>
      </w:pPr>
      <w:r>
        <w:rPr/>
        <w:t>De acuerdo a los resultados para concretos con fibras </w:t>
      </w:r>
      <w:r>
        <w:rPr>
          <w:i/>
        </w:rPr>
        <w:t>sin irradiar </w:t>
      </w:r>
      <w:r>
        <w:rPr/>
        <w:t>y para los concretos con fibras </w:t>
      </w:r>
      <w:r>
        <w:rPr>
          <w:i/>
        </w:rPr>
        <w:t>irradiadas</w:t>
      </w:r>
      <w:r>
        <w:rPr/>
        <w:t>, la resistencia a la compresión disminuye al incrementar la concentración de fibra (sin irradiar e irradiada). Lo anterior se atribuye a las características de la superficie y la porosidad de la fibra. Las grietas de la superficie de la fibra no pueden ser llenadas por completo por arena o resina durante el proceso de elaboración del concreto por lo que se generan poros en el interior del concreto. Estos poros actúan como fallas en el concreto durante el ensayo de compresión, lo que disminuye la resistencia.</w:t>
      </w:r>
    </w:p>
    <w:p>
      <w:pPr>
        <w:pStyle w:val="BodyText"/>
        <w:spacing w:before="6"/>
        <w:rPr>
          <w:sz w:val="27"/>
        </w:rPr>
      </w:pPr>
    </w:p>
    <w:p>
      <w:pPr>
        <w:pStyle w:val="BodyText"/>
        <w:spacing w:line="276" w:lineRule="auto" w:before="1"/>
        <w:ind w:left="102" w:right="123"/>
        <w:jc w:val="both"/>
      </w:pPr>
      <w:r>
        <w:rPr/>
        <w:t>Cabe añadir que los escasos trabajos de investigación de concretos poliméricos reforzados con fibras señalan que estas mejoran las propiedades mecánicas, por ejemplo, se han obtenido mayores resistencias a la compresión (16%) al adicionar fibras de carbón (2% en peso); con fibras de vidrio el incremento es del 9% al adicionar 1% en peso [50].</w:t>
      </w:r>
    </w:p>
    <w:p>
      <w:pPr>
        <w:pStyle w:val="BodyText"/>
        <w:spacing w:before="9"/>
        <w:rPr>
          <w:sz w:val="27"/>
        </w:rPr>
      </w:pPr>
    </w:p>
    <w:p>
      <w:pPr>
        <w:pStyle w:val="Heading2"/>
        <w:numPr>
          <w:ilvl w:val="0"/>
          <w:numId w:val="14"/>
        </w:numPr>
        <w:tabs>
          <w:tab w:pos="810" w:val="left" w:leader="none"/>
        </w:tabs>
        <w:spacing w:line="240" w:lineRule="auto" w:before="0" w:after="0"/>
        <w:ind w:left="810" w:right="0" w:hanging="348"/>
        <w:jc w:val="left"/>
        <w:rPr>
          <w:rFonts w:ascii="Times New Roman" w:hAnsi="Times New Roman"/>
        </w:rPr>
      </w:pPr>
      <w:r>
        <w:rPr/>
        <w:t>Deformación en el punto de máximo esfuerzo en</w:t>
      </w:r>
      <w:r>
        <w:rPr>
          <w:spacing w:val="-11"/>
        </w:rPr>
        <w:t> </w:t>
      </w:r>
      <w:r>
        <w:rPr/>
        <w:t>compresión.</w:t>
      </w:r>
    </w:p>
    <w:p>
      <w:pPr>
        <w:pStyle w:val="BodyText"/>
        <w:rPr>
          <w:b/>
          <w:sz w:val="31"/>
        </w:rPr>
      </w:pPr>
    </w:p>
    <w:p>
      <w:pPr>
        <w:pStyle w:val="BodyText"/>
        <w:spacing w:line="276" w:lineRule="auto"/>
        <w:ind w:left="102" w:right="122"/>
        <w:jc w:val="both"/>
      </w:pPr>
      <w:r>
        <w:rPr/>
        <w:t>La Figura 3.5 muestra la deformación de los concretos poliméricos sometidos al ensayo de compresión. Se observan varios comportamientos.</w:t>
      </w:r>
    </w:p>
    <w:p>
      <w:pPr>
        <w:spacing w:after="0" w:line="276" w:lineRule="auto"/>
        <w:jc w:val="both"/>
        <w:sectPr>
          <w:headerReference w:type="default" r:id="rId52"/>
          <w:pgSz w:w="12240" w:h="15840"/>
          <w:pgMar w:header="747" w:footer="0" w:top="940" w:bottom="280" w:left="1600" w:right="1580"/>
        </w:sectPr>
      </w:pPr>
    </w:p>
    <w:p>
      <w:pPr>
        <w:pStyle w:val="BodyText"/>
        <w:rPr>
          <w:sz w:val="20"/>
        </w:rPr>
      </w:pPr>
    </w:p>
    <w:p>
      <w:pPr>
        <w:pStyle w:val="BodyText"/>
        <w:rPr>
          <w:sz w:val="20"/>
        </w:rPr>
      </w:pPr>
    </w:p>
    <w:p>
      <w:pPr>
        <w:pStyle w:val="BodyText"/>
        <w:spacing w:before="4"/>
        <w:rPr>
          <w:sz w:val="22"/>
        </w:rPr>
      </w:pPr>
    </w:p>
    <w:p>
      <w:pPr>
        <w:pStyle w:val="ListParagraph"/>
        <w:numPr>
          <w:ilvl w:val="0"/>
          <w:numId w:val="17"/>
        </w:numPr>
        <w:tabs>
          <w:tab w:pos="690" w:val="left" w:leader="none"/>
        </w:tabs>
        <w:spacing w:line="276" w:lineRule="auto" w:before="69" w:after="0"/>
        <w:ind w:left="702" w:right="116" w:hanging="360"/>
        <w:jc w:val="both"/>
        <w:rPr>
          <w:sz w:val="24"/>
        </w:rPr>
      </w:pPr>
      <w:r>
        <w:rPr>
          <w:sz w:val="24"/>
        </w:rPr>
        <w:t>La deformación del concreto polimérico sin fibras, tomado como control, es de 0.019 mm/mm. Este tipo de concreto incrementa la resistencia cuando  se irradia a 50 y 100 kGy, llegando a obtenerse un 34% de incremento en la deformación.</w:t>
      </w:r>
    </w:p>
    <w:p>
      <w:pPr>
        <w:pStyle w:val="BodyText"/>
        <w:spacing w:before="9"/>
        <w:rPr>
          <w:sz w:val="27"/>
        </w:rPr>
      </w:pPr>
    </w:p>
    <w:p>
      <w:pPr>
        <w:pStyle w:val="ListParagraph"/>
        <w:numPr>
          <w:ilvl w:val="0"/>
          <w:numId w:val="17"/>
        </w:numPr>
        <w:tabs>
          <w:tab w:pos="690" w:val="left" w:leader="none"/>
        </w:tabs>
        <w:spacing w:line="276" w:lineRule="auto" w:before="0" w:after="0"/>
        <w:ind w:left="702" w:right="123" w:hanging="360"/>
        <w:jc w:val="both"/>
        <w:rPr>
          <w:sz w:val="24"/>
        </w:rPr>
      </w:pPr>
      <w:r>
        <w:rPr>
          <w:sz w:val="24"/>
        </w:rPr>
        <w:t>Los valores de las deformaciones de los concretos con fibras sin irradiar  son mayores cuando se incrementa la concentración de fibras. El valor mayor se obtiene para 0.9% de fibra, siendo este de 20% respecto al concreto tomado como control. La fibra de luffa contribuye al incremento de la deformación debido a su participación en la absorción del esfuerzo de compresión</w:t>
      </w:r>
      <w:r>
        <w:rPr>
          <w:spacing w:val="-8"/>
          <w:sz w:val="24"/>
        </w:rPr>
        <w:t> </w:t>
      </w:r>
      <w:r>
        <w:rPr>
          <w:sz w:val="24"/>
        </w:rPr>
        <w:t>aplicado.</w:t>
      </w:r>
    </w:p>
    <w:p>
      <w:pPr>
        <w:pStyle w:val="BodyText"/>
        <w:spacing w:before="5"/>
      </w:pPr>
      <w:r>
        <w:rPr/>
        <w:drawing>
          <wp:anchor distT="0" distB="0" distL="0" distR="0" allowOverlap="1" layoutInCell="1" locked="0" behindDoc="0" simplePos="0" relativeHeight="2368">
            <wp:simplePos x="0" y="0"/>
            <wp:positionH relativeFrom="page">
              <wp:posOffset>1624330</wp:posOffset>
            </wp:positionH>
            <wp:positionV relativeFrom="paragraph">
              <wp:posOffset>203658</wp:posOffset>
            </wp:positionV>
            <wp:extent cx="4523544" cy="2944368"/>
            <wp:effectExtent l="0" t="0" r="0" b="0"/>
            <wp:wrapTopAndBottom/>
            <wp:docPr id="63" name="image41.png" descr=""/>
            <wp:cNvGraphicFramePr>
              <a:graphicFrameLocks noChangeAspect="1"/>
            </wp:cNvGraphicFramePr>
            <a:graphic>
              <a:graphicData uri="http://schemas.openxmlformats.org/drawingml/2006/picture">
                <pic:pic>
                  <pic:nvPicPr>
                    <pic:cNvPr id="64" name="image41.png"/>
                    <pic:cNvPicPr/>
                  </pic:nvPicPr>
                  <pic:blipFill>
                    <a:blip r:embed="rId56" cstate="print"/>
                    <a:stretch>
                      <a:fillRect/>
                    </a:stretch>
                  </pic:blipFill>
                  <pic:spPr>
                    <a:xfrm>
                      <a:off x="0" y="0"/>
                      <a:ext cx="4523544" cy="2944368"/>
                    </a:xfrm>
                    <a:prstGeom prst="rect">
                      <a:avLst/>
                    </a:prstGeom>
                  </pic:spPr>
                </pic:pic>
              </a:graphicData>
            </a:graphic>
          </wp:anchor>
        </w:drawing>
      </w:r>
    </w:p>
    <w:p>
      <w:pPr>
        <w:pStyle w:val="BodyText"/>
        <w:spacing w:line="276" w:lineRule="auto" w:before="11"/>
        <w:ind w:left="3205" w:right="540" w:hanging="2790"/>
      </w:pPr>
      <w:r>
        <w:rPr/>
        <w:t>Figura 3.5 Deformación en el punto de máximo esfuerzo en compresión de concretos poliméricos.</w:t>
      </w:r>
    </w:p>
    <w:p>
      <w:pPr>
        <w:pStyle w:val="BodyText"/>
        <w:spacing w:before="9"/>
        <w:rPr>
          <w:sz w:val="27"/>
        </w:rPr>
      </w:pPr>
    </w:p>
    <w:p>
      <w:pPr>
        <w:pStyle w:val="ListParagraph"/>
        <w:numPr>
          <w:ilvl w:val="0"/>
          <w:numId w:val="17"/>
        </w:numPr>
        <w:tabs>
          <w:tab w:pos="758" w:val="left" w:leader="none"/>
        </w:tabs>
        <w:spacing w:line="276" w:lineRule="auto" w:before="0" w:after="0"/>
        <w:ind w:left="702" w:right="119" w:hanging="360"/>
        <w:jc w:val="both"/>
        <w:rPr>
          <w:sz w:val="24"/>
        </w:rPr>
      </w:pPr>
      <w:r>
        <w:rPr>
          <w:sz w:val="24"/>
        </w:rPr>
        <w:t>Los concretos elaborados con fibras irradiadas a 50 kGy presentan deformaciones mayores a medida que se incrementa la concentración de fibra. La mayor deformación se presenta con 0.9% de fibra y es 13% mayor que la del concreto control. Un comportamiento similar lo presenta el concreto con fibras irradiadas a 100</w:t>
      </w:r>
      <w:r>
        <w:rPr>
          <w:spacing w:val="-14"/>
          <w:sz w:val="24"/>
        </w:rPr>
        <w:t> </w:t>
      </w:r>
      <w:r>
        <w:rPr>
          <w:sz w:val="24"/>
        </w:rPr>
        <w:t>kGy.</w:t>
      </w:r>
    </w:p>
    <w:p>
      <w:pPr>
        <w:pStyle w:val="BodyText"/>
        <w:spacing w:before="6"/>
        <w:rPr>
          <w:sz w:val="27"/>
        </w:rPr>
      </w:pPr>
    </w:p>
    <w:p>
      <w:pPr>
        <w:pStyle w:val="BodyText"/>
        <w:spacing w:line="276" w:lineRule="auto" w:before="1"/>
        <w:ind w:left="690" w:right="117"/>
        <w:jc w:val="both"/>
      </w:pPr>
      <w:r>
        <w:rPr/>
        <w:t>La diferencia de los valores de las deformaciones de los concretos con fibra irradiada a cierta concentración de la misma, no presentan diferencias significativas.  Esto  significa  que  la  radiación  no  modifica  de     </w:t>
      </w:r>
      <w:r>
        <w:rPr>
          <w:spacing w:val="60"/>
        </w:rPr>
        <w:t> </w:t>
      </w:r>
      <w:r>
        <w:rPr/>
        <w:t>manera</w:t>
      </w:r>
    </w:p>
    <w:p>
      <w:pPr>
        <w:spacing w:after="0" w:line="276" w:lineRule="auto"/>
        <w:jc w:val="both"/>
        <w:sectPr>
          <w:headerReference w:type="default" r:id="rId55"/>
          <w:pgSz w:w="12240" w:h="15840"/>
          <w:pgMar w:header="747" w:footer="0" w:top="940" w:bottom="280" w:left="1720" w:right="1580"/>
          <w:pgNumType w:start="51"/>
        </w:sectPr>
      </w:pPr>
    </w:p>
    <w:p>
      <w:pPr>
        <w:pStyle w:val="BodyText"/>
        <w:rPr>
          <w:sz w:val="20"/>
        </w:rPr>
      </w:pPr>
    </w:p>
    <w:p>
      <w:pPr>
        <w:pStyle w:val="BodyText"/>
        <w:spacing w:before="6"/>
        <w:rPr>
          <w:sz w:val="20"/>
        </w:rPr>
      </w:pPr>
    </w:p>
    <w:p>
      <w:pPr>
        <w:pStyle w:val="BodyText"/>
        <w:spacing w:line="278" w:lineRule="auto"/>
        <w:ind w:left="810" w:right="125"/>
        <w:jc w:val="both"/>
      </w:pPr>
      <w:r>
        <w:rPr/>
        <w:t>significativa a las fibras, haciendo que el incremento en la resistencia dependa mayoritariamente de la dosis de radiación.</w:t>
      </w:r>
    </w:p>
    <w:p>
      <w:pPr>
        <w:pStyle w:val="BodyText"/>
        <w:spacing w:before="4"/>
        <w:rPr>
          <w:sz w:val="27"/>
        </w:rPr>
      </w:pPr>
    </w:p>
    <w:p>
      <w:pPr>
        <w:pStyle w:val="ListParagraph"/>
        <w:numPr>
          <w:ilvl w:val="0"/>
          <w:numId w:val="17"/>
        </w:numPr>
        <w:tabs>
          <w:tab w:pos="810" w:val="left" w:leader="none"/>
        </w:tabs>
        <w:spacing w:line="276" w:lineRule="auto" w:before="0" w:after="0"/>
        <w:ind w:left="822" w:right="120" w:hanging="360"/>
        <w:jc w:val="both"/>
        <w:rPr>
          <w:sz w:val="24"/>
        </w:rPr>
      </w:pPr>
      <w:r>
        <w:rPr>
          <w:sz w:val="24"/>
        </w:rPr>
        <w:t>Para los concretos con fibras e irradiados se observa incremento en la deformación conforme se incrementa la concentración de fibras. Los mayores valores se obtienen para una dosis de 100 kGy, y estos son 47, 45 y 48% mayores para concentraciones de fibras de 0.3, 0.6 y</w:t>
      </w:r>
      <w:r>
        <w:rPr>
          <w:spacing w:val="-21"/>
          <w:sz w:val="24"/>
        </w:rPr>
        <w:t> </w:t>
      </w:r>
      <w:r>
        <w:rPr>
          <w:sz w:val="24"/>
        </w:rPr>
        <w:t>0.9%.</w:t>
      </w:r>
    </w:p>
    <w:p>
      <w:pPr>
        <w:pStyle w:val="BodyText"/>
        <w:spacing w:before="6"/>
        <w:rPr>
          <w:sz w:val="27"/>
        </w:rPr>
      </w:pPr>
    </w:p>
    <w:p>
      <w:pPr>
        <w:pStyle w:val="BodyText"/>
        <w:spacing w:line="276" w:lineRule="auto" w:before="1"/>
        <w:ind w:left="810" w:right="123"/>
        <w:jc w:val="both"/>
      </w:pPr>
      <w:r>
        <w:rPr/>
        <w:t>La fibra produce un composito con mayor deformación plástica, es decir, el material se deforma de manera sostenida mientras se aplica el esfuerzo de compresión.</w:t>
      </w:r>
    </w:p>
    <w:p>
      <w:pPr>
        <w:pStyle w:val="BodyText"/>
      </w:pPr>
    </w:p>
    <w:p>
      <w:pPr>
        <w:pStyle w:val="BodyText"/>
        <w:spacing w:before="4"/>
        <w:rPr>
          <w:sz w:val="31"/>
        </w:rPr>
      </w:pPr>
    </w:p>
    <w:p>
      <w:pPr>
        <w:pStyle w:val="Heading2"/>
        <w:numPr>
          <w:ilvl w:val="0"/>
          <w:numId w:val="14"/>
        </w:numPr>
        <w:tabs>
          <w:tab w:pos="878" w:val="left" w:leader="none"/>
        </w:tabs>
        <w:spacing w:line="240" w:lineRule="auto" w:before="0" w:after="0"/>
        <w:ind w:left="877" w:right="0" w:hanging="415"/>
        <w:jc w:val="left"/>
        <w:rPr>
          <w:rFonts w:ascii="Times New Roman" w:hAnsi="Times New Roman"/>
        </w:rPr>
      </w:pPr>
      <w:r>
        <w:rPr/>
        <w:t>Resistencia a la</w:t>
      </w:r>
      <w:r>
        <w:rPr>
          <w:spacing w:val="-8"/>
        </w:rPr>
        <w:t> </w:t>
      </w:r>
      <w:r>
        <w:rPr/>
        <w:t>flexión</w:t>
      </w:r>
    </w:p>
    <w:p>
      <w:pPr>
        <w:pStyle w:val="BodyText"/>
        <w:rPr>
          <w:b/>
          <w:sz w:val="31"/>
        </w:rPr>
      </w:pPr>
    </w:p>
    <w:p>
      <w:pPr>
        <w:pStyle w:val="BodyText"/>
        <w:spacing w:line="276" w:lineRule="auto"/>
        <w:ind w:left="102" w:right="109"/>
      </w:pPr>
      <w:r>
        <w:rPr/>
        <w:t>La Figura 3.6 muestra la resistencia a la flexión de los concreto poliméricos. Se observan varios comportamientos:</w:t>
      </w:r>
    </w:p>
    <w:p>
      <w:pPr>
        <w:pStyle w:val="BodyText"/>
        <w:spacing w:before="9"/>
        <w:rPr>
          <w:sz w:val="27"/>
        </w:rPr>
      </w:pPr>
    </w:p>
    <w:p>
      <w:pPr>
        <w:pStyle w:val="ListParagraph"/>
        <w:numPr>
          <w:ilvl w:val="0"/>
          <w:numId w:val="18"/>
        </w:numPr>
        <w:tabs>
          <w:tab w:pos="810" w:val="left" w:leader="none"/>
        </w:tabs>
        <w:spacing w:line="276" w:lineRule="auto" w:before="0" w:after="0"/>
        <w:ind w:left="822" w:right="125" w:hanging="360"/>
        <w:jc w:val="both"/>
        <w:rPr>
          <w:sz w:val="24"/>
        </w:rPr>
      </w:pPr>
      <w:r>
        <w:rPr>
          <w:sz w:val="24"/>
        </w:rPr>
        <w:t>El concreto tomado como control presenta un valor de resistencia a la flexión de 10 MPa. Este tipo de concreto disminuye la resistencia cuando se irradia a 50 y 100 kGy, hasta un</w:t>
      </w:r>
      <w:r>
        <w:rPr>
          <w:spacing w:val="-11"/>
          <w:sz w:val="24"/>
        </w:rPr>
        <w:t> </w:t>
      </w:r>
      <w:r>
        <w:rPr>
          <w:sz w:val="24"/>
        </w:rPr>
        <w:t>6%.</w:t>
      </w:r>
    </w:p>
    <w:p>
      <w:pPr>
        <w:pStyle w:val="BodyText"/>
        <w:spacing w:before="9"/>
        <w:rPr>
          <w:sz w:val="27"/>
        </w:rPr>
      </w:pPr>
    </w:p>
    <w:p>
      <w:pPr>
        <w:pStyle w:val="ListParagraph"/>
        <w:numPr>
          <w:ilvl w:val="0"/>
          <w:numId w:val="18"/>
        </w:numPr>
        <w:tabs>
          <w:tab w:pos="810" w:val="left" w:leader="none"/>
        </w:tabs>
        <w:spacing w:line="276" w:lineRule="auto" w:before="0" w:after="0"/>
        <w:ind w:left="822" w:right="122" w:hanging="360"/>
        <w:jc w:val="both"/>
        <w:rPr>
          <w:sz w:val="24"/>
        </w:rPr>
      </w:pPr>
      <w:r>
        <w:rPr>
          <w:sz w:val="24"/>
        </w:rPr>
        <w:t>Para concretos con fibra sin irradiar se observa que a medida que se incrementa la concentración de fibra disminuye la resistencia a la flexión. El menor valor corresponde a concretos con 0.9% de fibra. El mismo comportamiento se observó en la sección I, para la resistencia a la compresión.</w:t>
      </w:r>
    </w:p>
    <w:p>
      <w:pPr>
        <w:pStyle w:val="BodyText"/>
      </w:pPr>
    </w:p>
    <w:p>
      <w:pPr>
        <w:pStyle w:val="BodyText"/>
        <w:spacing w:before="10"/>
        <w:rPr>
          <w:sz w:val="20"/>
        </w:rPr>
      </w:pPr>
    </w:p>
    <w:p>
      <w:pPr>
        <w:pStyle w:val="BodyText"/>
        <w:spacing w:line="276" w:lineRule="auto"/>
        <w:ind w:left="810" w:right="118"/>
        <w:jc w:val="both"/>
      </w:pPr>
      <w:r>
        <w:rPr/>
        <w:t>Al incrementar la concentración de fibra disminuye la resistencia a la flexión, lo cual se asocia a las propiedades de la fibra de luffa (absorción de agua y porosidad). La humedad afecta la unión física matriz-fibra que hace disminuir la resistencia, aunado a la porosidad de la fibra cuyos poros actúan como fallas en el concreto.</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8"/>
        <w:rPr>
          <w:sz w:val="20"/>
        </w:rPr>
      </w:pPr>
    </w:p>
    <w:p>
      <w:pPr>
        <w:pStyle w:val="BodyText"/>
        <w:ind w:left="1054"/>
        <w:rPr>
          <w:sz w:val="20"/>
        </w:rPr>
      </w:pPr>
      <w:r>
        <w:rPr>
          <w:sz w:val="20"/>
        </w:rPr>
        <w:drawing>
          <wp:inline distT="0" distB="0" distL="0" distR="0">
            <wp:extent cx="4401630" cy="2944368"/>
            <wp:effectExtent l="0" t="0" r="0" b="0"/>
            <wp:docPr id="65" name="image42.png" descr=""/>
            <wp:cNvGraphicFramePr>
              <a:graphicFrameLocks noChangeAspect="1"/>
            </wp:cNvGraphicFramePr>
            <a:graphic>
              <a:graphicData uri="http://schemas.openxmlformats.org/drawingml/2006/picture">
                <pic:pic>
                  <pic:nvPicPr>
                    <pic:cNvPr id="66" name="image42.png"/>
                    <pic:cNvPicPr/>
                  </pic:nvPicPr>
                  <pic:blipFill>
                    <a:blip r:embed="rId57" cstate="print"/>
                    <a:stretch>
                      <a:fillRect/>
                    </a:stretch>
                  </pic:blipFill>
                  <pic:spPr>
                    <a:xfrm>
                      <a:off x="0" y="0"/>
                      <a:ext cx="4401630" cy="2944368"/>
                    </a:xfrm>
                    <a:prstGeom prst="rect">
                      <a:avLst/>
                    </a:prstGeom>
                  </pic:spPr>
                </pic:pic>
              </a:graphicData>
            </a:graphic>
          </wp:inline>
        </w:drawing>
      </w:r>
      <w:r>
        <w:rPr>
          <w:sz w:val="20"/>
        </w:rPr>
      </w:r>
    </w:p>
    <w:p>
      <w:pPr>
        <w:pStyle w:val="BodyText"/>
        <w:spacing w:before="42"/>
        <w:ind w:left="1712" w:right="109"/>
      </w:pPr>
      <w:r>
        <w:rPr/>
        <w:t>Figura 3.6 Resistencia a la flexión de concretos poliméricos</w:t>
      </w:r>
    </w:p>
    <w:p>
      <w:pPr>
        <w:pStyle w:val="BodyText"/>
        <w:spacing w:before="1"/>
        <w:rPr>
          <w:sz w:val="31"/>
        </w:rPr>
      </w:pPr>
    </w:p>
    <w:p>
      <w:pPr>
        <w:pStyle w:val="ListParagraph"/>
        <w:numPr>
          <w:ilvl w:val="0"/>
          <w:numId w:val="18"/>
        </w:numPr>
        <w:tabs>
          <w:tab w:pos="810" w:val="left" w:leader="none"/>
        </w:tabs>
        <w:spacing w:line="276" w:lineRule="auto" w:before="0" w:after="0"/>
        <w:ind w:left="822" w:right="118" w:hanging="360"/>
        <w:jc w:val="both"/>
        <w:rPr>
          <w:sz w:val="24"/>
        </w:rPr>
      </w:pPr>
      <w:r>
        <w:rPr>
          <w:sz w:val="24"/>
        </w:rPr>
        <w:t>Al adicionar fibras irradiadas al concreto, se presenta el mismo comportamiento visto en el inciso anterior, la resistencia a la flexión disminuye cuando se incrementa la concentración de fibras. El valor más bajo se obtiene con 0.9% de fibra, siendo 20% menor respecto al concreto control. Respecto a la dosis de radiación los valores son mayores para  dosis de 50</w:t>
      </w:r>
      <w:r>
        <w:rPr>
          <w:spacing w:val="-8"/>
          <w:sz w:val="24"/>
        </w:rPr>
        <w:t> </w:t>
      </w:r>
      <w:r>
        <w:rPr>
          <w:sz w:val="24"/>
        </w:rPr>
        <w:t>kGy.</w:t>
      </w:r>
    </w:p>
    <w:p>
      <w:pPr>
        <w:pStyle w:val="BodyText"/>
        <w:spacing w:before="9"/>
        <w:rPr>
          <w:sz w:val="27"/>
        </w:rPr>
      </w:pPr>
    </w:p>
    <w:p>
      <w:pPr>
        <w:pStyle w:val="ListParagraph"/>
        <w:numPr>
          <w:ilvl w:val="0"/>
          <w:numId w:val="18"/>
        </w:numPr>
        <w:tabs>
          <w:tab w:pos="810" w:val="left" w:leader="none"/>
        </w:tabs>
        <w:spacing w:line="240" w:lineRule="auto" w:before="0" w:after="0"/>
        <w:ind w:left="810" w:right="0" w:hanging="348"/>
        <w:jc w:val="left"/>
        <w:rPr>
          <w:sz w:val="24"/>
        </w:rPr>
      </w:pPr>
      <w:r>
        <w:rPr>
          <w:sz w:val="24"/>
        </w:rPr>
        <w:t>Para concretos con fibras e irradiados suceden comportamientos</w:t>
      </w:r>
      <w:r>
        <w:rPr>
          <w:spacing w:val="-9"/>
          <w:sz w:val="24"/>
        </w:rPr>
        <w:t> </w:t>
      </w:r>
      <w:r>
        <w:rPr>
          <w:sz w:val="24"/>
        </w:rPr>
        <w:t>diferentes:</w:t>
      </w:r>
    </w:p>
    <w:p>
      <w:pPr>
        <w:pStyle w:val="ListParagraph"/>
        <w:numPr>
          <w:ilvl w:val="1"/>
          <w:numId w:val="18"/>
        </w:numPr>
        <w:tabs>
          <w:tab w:pos="1024" w:val="left" w:leader="none"/>
        </w:tabs>
        <w:spacing w:line="276" w:lineRule="auto" w:before="41" w:after="0"/>
        <w:ind w:left="822" w:right="121" w:firstLine="0"/>
        <w:jc w:val="both"/>
        <w:rPr>
          <w:sz w:val="24"/>
        </w:rPr>
      </w:pPr>
      <w:r>
        <w:rPr>
          <w:sz w:val="24"/>
        </w:rPr>
        <w:t>la resistencia a la flexión disminuye para 0.3% de concentración de fibras, pero lo hace en mayor medida para 0.6% de fibra (31% menor); para finalmente volver a aumentar para 0.9% de fibra; ii) Respecto a la dosis de radiación, para cada una de las concentraciones de fibra, la variación es mínima: no mayor a 5% para concreto con 0.3, 0.6 ó 0.9% de</w:t>
      </w:r>
      <w:r>
        <w:rPr>
          <w:spacing w:val="-21"/>
          <w:sz w:val="24"/>
        </w:rPr>
        <w:t> </w:t>
      </w:r>
      <w:r>
        <w:rPr>
          <w:sz w:val="24"/>
        </w:rPr>
        <w:t>fibra.</w:t>
      </w:r>
    </w:p>
    <w:p>
      <w:pPr>
        <w:pStyle w:val="BodyText"/>
        <w:spacing w:before="9"/>
        <w:rPr>
          <w:sz w:val="27"/>
        </w:rPr>
      </w:pPr>
    </w:p>
    <w:p>
      <w:pPr>
        <w:pStyle w:val="BodyText"/>
        <w:spacing w:line="276" w:lineRule="auto"/>
        <w:ind w:left="102" w:right="116"/>
        <w:jc w:val="both"/>
      </w:pPr>
      <w:r>
        <w:rPr/>
        <w:t>A diferencia del comportamiento observado para la resistencia a la compresión en donde se incrementa esta propiedad, para la resistencia a la flexión sucede lo contrario: disminuye. Tanto en compresión como en flexión, el efecto de la fibra es contundente, controlando la resistencia.</w:t>
      </w:r>
    </w:p>
    <w:p>
      <w:pPr>
        <w:pStyle w:val="BodyText"/>
        <w:spacing w:before="9"/>
        <w:rPr>
          <w:sz w:val="27"/>
        </w:rPr>
      </w:pPr>
    </w:p>
    <w:p>
      <w:pPr>
        <w:pStyle w:val="BodyText"/>
        <w:spacing w:line="276" w:lineRule="auto"/>
        <w:ind w:left="102" w:right="122"/>
        <w:jc w:val="both"/>
      </w:pPr>
      <w:r>
        <w:rPr/>
        <w:t>La disminución observada en la resistencia a la flexión se puede relacionar con las características superficiales de la fibra de luffa vista por MEB. Como se observa en la Figura 3.3 la superficie de la luffa presenta “canales” de diferentes tamaños, los cuales disminuyen la resistencia a la flexión de los concretos.</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6" w:lineRule="auto"/>
        <w:ind w:left="102" w:right="116"/>
        <w:jc w:val="both"/>
      </w:pPr>
      <w:r>
        <w:rPr/>
        <w:t>Cabe añadir que en la literatura se señala que al agregar fibras sintéticas se mejora la propiedad de flexión de los concretos poliméricos. Para concretos elaborados con resina epoxi reforzados con fibras de vidrio la resistencia a la flexión se incrementa 5 % para concentraciones del 1% en peso de fibra. En el caso de concretos poliméricos reforzados con “fibras de madera” se logra una mejora del 6% para 1% en peso de fibra [51].</w:t>
      </w:r>
    </w:p>
    <w:p>
      <w:pPr>
        <w:pStyle w:val="BodyText"/>
        <w:spacing w:before="6"/>
        <w:rPr>
          <w:sz w:val="27"/>
        </w:rPr>
      </w:pPr>
    </w:p>
    <w:p>
      <w:pPr>
        <w:pStyle w:val="Heading2"/>
        <w:numPr>
          <w:ilvl w:val="0"/>
          <w:numId w:val="14"/>
        </w:numPr>
        <w:tabs>
          <w:tab w:pos="878" w:val="left" w:leader="none"/>
        </w:tabs>
        <w:spacing w:line="240" w:lineRule="auto" w:before="1" w:after="0"/>
        <w:ind w:left="877" w:right="0" w:hanging="415"/>
        <w:jc w:val="left"/>
        <w:rPr>
          <w:rFonts w:ascii="Times New Roman" w:hAnsi="Times New Roman"/>
        </w:rPr>
      </w:pPr>
      <w:r>
        <w:rPr/>
        <w:t>Deformación en el punto de máximo esfuerzo en</w:t>
      </w:r>
      <w:r>
        <w:rPr>
          <w:spacing w:val="-9"/>
        </w:rPr>
        <w:t> </w:t>
      </w:r>
      <w:r>
        <w:rPr/>
        <w:t>flexión</w:t>
      </w:r>
    </w:p>
    <w:p>
      <w:pPr>
        <w:pStyle w:val="BodyText"/>
        <w:spacing w:before="2"/>
        <w:rPr>
          <w:b/>
          <w:sz w:val="31"/>
        </w:rPr>
      </w:pPr>
    </w:p>
    <w:p>
      <w:pPr>
        <w:pStyle w:val="BodyText"/>
        <w:spacing w:line="276" w:lineRule="auto"/>
        <w:ind w:left="102" w:right="127"/>
        <w:jc w:val="both"/>
      </w:pPr>
      <w:r>
        <w:rPr/>
        <w:t>En la Figura 3.7 se muestra la deformación debida al esfuerzo de flexión de concretos poliméricos. Se observan varios comportamientos.</w:t>
      </w:r>
    </w:p>
    <w:p>
      <w:pPr>
        <w:pStyle w:val="BodyText"/>
        <w:spacing w:before="7"/>
        <w:rPr>
          <w:sz w:val="27"/>
        </w:rPr>
      </w:pPr>
    </w:p>
    <w:p>
      <w:pPr>
        <w:pStyle w:val="ListParagraph"/>
        <w:numPr>
          <w:ilvl w:val="0"/>
          <w:numId w:val="19"/>
        </w:numPr>
        <w:tabs>
          <w:tab w:pos="810" w:val="left" w:leader="none"/>
        </w:tabs>
        <w:spacing w:line="240" w:lineRule="auto" w:before="0" w:after="0"/>
        <w:ind w:left="822" w:right="0" w:hanging="360"/>
        <w:jc w:val="left"/>
        <w:rPr>
          <w:sz w:val="24"/>
        </w:rPr>
      </w:pPr>
      <w:r>
        <w:rPr>
          <w:sz w:val="24"/>
        </w:rPr>
        <w:t>La deformación en el punto de máximo esfuerzo del concreto control es  </w:t>
      </w:r>
      <w:r>
        <w:rPr>
          <w:spacing w:val="8"/>
          <w:sz w:val="24"/>
        </w:rPr>
        <w:t> </w:t>
      </w:r>
      <w:r>
        <w:rPr>
          <w:sz w:val="24"/>
        </w:rPr>
        <w:t>de</w:t>
      </w:r>
    </w:p>
    <w:p>
      <w:pPr>
        <w:pStyle w:val="BodyText"/>
        <w:spacing w:line="276" w:lineRule="auto" w:before="43"/>
        <w:ind w:left="821" w:right="118"/>
        <w:jc w:val="both"/>
      </w:pPr>
      <w:r>
        <w:rPr/>
        <w:t>0.41 mm. Cuando se irradian estos concretos se incrementa la resistencia hasta en un 8%.</w:t>
      </w:r>
    </w:p>
    <w:p>
      <w:pPr>
        <w:pStyle w:val="BodyText"/>
        <w:spacing w:before="6"/>
        <w:rPr>
          <w:sz w:val="27"/>
        </w:rPr>
      </w:pPr>
    </w:p>
    <w:p>
      <w:pPr>
        <w:pStyle w:val="ListParagraph"/>
        <w:numPr>
          <w:ilvl w:val="0"/>
          <w:numId w:val="19"/>
        </w:numPr>
        <w:tabs>
          <w:tab w:pos="810" w:val="left" w:leader="none"/>
        </w:tabs>
        <w:spacing w:line="276" w:lineRule="auto" w:before="1" w:after="0"/>
        <w:ind w:left="822" w:right="124" w:hanging="360"/>
        <w:jc w:val="both"/>
        <w:rPr>
          <w:sz w:val="24"/>
        </w:rPr>
      </w:pPr>
      <w:r>
        <w:rPr>
          <w:sz w:val="24"/>
        </w:rPr>
        <w:t>La deformación de los concretos con fibra sin irradiar se incrementa gradualmente conforme se incrementa la concentración de fibra. El mayor incremento se obtiene con 0.9% de fibra y representa un 28% de</w:t>
      </w:r>
      <w:r>
        <w:rPr>
          <w:spacing w:val="-16"/>
          <w:sz w:val="24"/>
        </w:rPr>
        <w:t> </w:t>
      </w:r>
      <w:r>
        <w:rPr>
          <w:sz w:val="24"/>
        </w:rPr>
        <w:t>aumento.</w:t>
      </w:r>
    </w:p>
    <w:p>
      <w:pPr>
        <w:pStyle w:val="BodyText"/>
        <w:spacing w:before="6"/>
        <w:rPr>
          <w:sz w:val="27"/>
        </w:rPr>
      </w:pPr>
    </w:p>
    <w:p>
      <w:pPr>
        <w:pStyle w:val="ListParagraph"/>
        <w:numPr>
          <w:ilvl w:val="0"/>
          <w:numId w:val="19"/>
        </w:numPr>
        <w:tabs>
          <w:tab w:pos="810" w:val="left" w:leader="none"/>
        </w:tabs>
        <w:spacing w:line="276" w:lineRule="auto" w:before="1" w:after="0"/>
        <w:ind w:left="822" w:right="118" w:hanging="360"/>
        <w:jc w:val="both"/>
        <w:rPr>
          <w:sz w:val="24"/>
        </w:rPr>
      </w:pPr>
      <w:r>
        <w:rPr>
          <w:sz w:val="24"/>
        </w:rPr>
        <w:t>Para concretos con fibras irradiadas se presentan el mismo comportamiento: la deformación se incrementa conforme se aumenta la concentración de fibra. El máximo incremento es del 33% cuando se agrega 0.9% de fibra irradiada a 50 kGy. Para este tipo de concretos, son mayores las resistencias para dosis de 50 kGy que para las de 100</w:t>
      </w:r>
      <w:r>
        <w:rPr>
          <w:spacing w:val="-19"/>
          <w:sz w:val="24"/>
        </w:rPr>
        <w:t> </w:t>
      </w:r>
      <w:r>
        <w:rPr>
          <w:sz w:val="24"/>
        </w:rPr>
        <w:t>kGy.</w:t>
      </w:r>
    </w:p>
    <w:p>
      <w:pPr>
        <w:pStyle w:val="BodyText"/>
        <w:spacing w:before="9"/>
        <w:rPr>
          <w:sz w:val="27"/>
        </w:rPr>
      </w:pPr>
    </w:p>
    <w:p>
      <w:pPr>
        <w:pStyle w:val="ListParagraph"/>
        <w:numPr>
          <w:ilvl w:val="0"/>
          <w:numId w:val="19"/>
        </w:numPr>
        <w:tabs>
          <w:tab w:pos="810" w:val="left" w:leader="none"/>
        </w:tabs>
        <w:spacing w:line="276" w:lineRule="auto" w:before="0" w:after="0"/>
        <w:ind w:left="822" w:right="123" w:hanging="360"/>
        <w:jc w:val="both"/>
        <w:rPr>
          <w:sz w:val="24"/>
        </w:rPr>
      </w:pPr>
      <w:r>
        <w:rPr>
          <w:sz w:val="24"/>
        </w:rPr>
        <w:t>Para los concretos con fibras e irradiados se observa un comportamiento diferente: la deformación se incrementa para 0.3% de fibra, posteriormente disminuye para 0.6% y finalmente se vuelve a incrementar para 0.9% de fibra. Los máximos valores se obtienen para 0.9% de fibra que significan 37%</w:t>
      </w:r>
      <w:r>
        <w:rPr>
          <w:spacing w:val="-5"/>
          <w:sz w:val="24"/>
        </w:rPr>
        <w:t> </w:t>
      </w:r>
      <w:r>
        <w:rPr>
          <w:sz w:val="24"/>
        </w:rPr>
        <w:t>mayor.</w:t>
      </w:r>
    </w:p>
    <w:p>
      <w:pPr>
        <w:pStyle w:val="BodyText"/>
        <w:spacing w:before="7"/>
        <w:rPr>
          <w:sz w:val="27"/>
        </w:rPr>
      </w:pPr>
    </w:p>
    <w:p>
      <w:pPr>
        <w:pStyle w:val="BodyText"/>
        <w:spacing w:line="276" w:lineRule="auto"/>
        <w:ind w:left="810" w:right="120"/>
        <w:jc w:val="both"/>
      </w:pPr>
      <w:r>
        <w:rPr/>
        <w:t>Para cada una de las concentraciones de fibra, los valores son mayores para 100 kGy de dosis, que para aquellos de 50 kGy. Es decir, a mayor dosis se obtienen concretos con mayor deformación.</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8"/>
        <w:rPr>
          <w:sz w:val="20"/>
        </w:rPr>
      </w:pPr>
    </w:p>
    <w:p>
      <w:pPr>
        <w:pStyle w:val="BodyText"/>
        <w:ind w:left="958"/>
        <w:rPr>
          <w:sz w:val="20"/>
        </w:rPr>
      </w:pPr>
      <w:r>
        <w:rPr>
          <w:sz w:val="20"/>
        </w:rPr>
        <w:drawing>
          <wp:inline distT="0" distB="0" distL="0" distR="0">
            <wp:extent cx="4523544" cy="2944368"/>
            <wp:effectExtent l="0" t="0" r="0" b="0"/>
            <wp:docPr id="67" name="image43.png" descr=""/>
            <wp:cNvGraphicFramePr>
              <a:graphicFrameLocks noChangeAspect="1"/>
            </wp:cNvGraphicFramePr>
            <a:graphic>
              <a:graphicData uri="http://schemas.openxmlformats.org/drawingml/2006/picture">
                <pic:pic>
                  <pic:nvPicPr>
                    <pic:cNvPr id="68" name="image43.png"/>
                    <pic:cNvPicPr/>
                  </pic:nvPicPr>
                  <pic:blipFill>
                    <a:blip r:embed="rId58" cstate="print"/>
                    <a:stretch>
                      <a:fillRect/>
                    </a:stretch>
                  </pic:blipFill>
                  <pic:spPr>
                    <a:xfrm>
                      <a:off x="0" y="0"/>
                      <a:ext cx="4523544" cy="2944368"/>
                    </a:xfrm>
                    <a:prstGeom prst="rect">
                      <a:avLst/>
                    </a:prstGeom>
                  </pic:spPr>
                </pic:pic>
              </a:graphicData>
            </a:graphic>
          </wp:inline>
        </w:drawing>
      </w:r>
      <w:r>
        <w:rPr>
          <w:sz w:val="20"/>
        </w:rPr>
      </w:r>
    </w:p>
    <w:p>
      <w:pPr>
        <w:pStyle w:val="BodyText"/>
        <w:spacing w:line="276" w:lineRule="auto" w:before="42"/>
        <w:ind w:left="3880" w:right="109" w:hanging="3623"/>
      </w:pPr>
      <w:r>
        <w:rPr/>
        <w:t>Figura 3.7 Deformación en el punto de máximo esfuerzo en flexión de concretos poliméricos.</w:t>
      </w:r>
    </w:p>
    <w:p>
      <w:pPr>
        <w:pStyle w:val="BodyText"/>
      </w:pPr>
    </w:p>
    <w:p>
      <w:pPr>
        <w:pStyle w:val="BodyText"/>
        <w:spacing w:before="4"/>
        <w:rPr>
          <w:sz w:val="31"/>
        </w:rPr>
      </w:pPr>
    </w:p>
    <w:p>
      <w:pPr>
        <w:pStyle w:val="Heading2"/>
        <w:numPr>
          <w:ilvl w:val="0"/>
          <w:numId w:val="14"/>
        </w:numPr>
        <w:tabs>
          <w:tab w:pos="810" w:val="left" w:leader="none"/>
        </w:tabs>
        <w:spacing w:line="240" w:lineRule="auto" w:before="0" w:after="0"/>
        <w:ind w:left="810" w:right="0" w:hanging="348"/>
        <w:jc w:val="left"/>
        <w:rPr>
          <w:rFonts w:ascii="Times New Roman" w:hAnsi="Times New Roman"/>
        </w:rPr>
      </w:pPr>
      <w:r>
        <w:rPr/>
        <w:t>Módulo de</w:t>
      </w:r>
      <w:r>
        <w:rPr>
          <w:spacing w:val="-3"/>
        </w:rPr>
        <w:t> </w:t>
      </w:r>
      <w:r>
        <w:rPr/>
        <w:t>Young</w:t>
      </w:r>
    </w:p>
    <w:p>
      <w:pPr>
        <w:pStyle w:val="BodyText"/>
        <w:rPr>
          <w:b/>
          <w:sz w:val="31"/>
        </w:rPr>
      </w:pPr>
    </w:p>
    <w:p>
      <w:pPr>
        <w:pStyle w:val="BodyText"/>
        <w:spacing w:line="276" w:lineRule="auto"/>
        <w:ind w:left="102" w:right="109"/>
      </w:pPr>
      <w:r>
        <w:rPr/>
        <w:t>La Figura 3.8 muestra el módulo de elasticidad de concretos poliméricos. Se observan diversos comportamientos.</w:t>
      </w:r>
    </w:p>
    <w:p>
      <w:pPr>
        <w:pStyle w:val="BodyText"/>
        <w:spacing w:before="9"/>
        <w:rPr>
          <w:sz w:val="27"/>
        </w:rPr>
      </w:pPr>
    </w:p>
    <w:p>
      <w:pPr>
        <w:pStyle w:val="ListParagraph"/>
        <w:numPr>
          <w:ilvl w:val="0"/>
          <w:numId w:val="20"/>
        </w:numPr>
        <w:tabs>
          <w:tab w:pos="810" w:val="left" w:leader="none"/>
        </w:tabs>
        <w:spacing w:line="276" w:lineRule="auto" w:before="0" w:after="0"/>
        <w:ind w:left="822" w:right="125" w:hanging="360"/>
        <w:jc w:val="both"/>
        <w:rPr>
          <w:sz w:val="24"/>
        </w:rPr>
      </w:pPr>
      <w:r>
        <w:rPr>
          <w:sz w:val="24"/>
        </w:rPr>
        <w:t>El módulo de elasticidad de concretos sin fibras presentan un valor de 2.8 GPa. Estos concretos disminuyen su módulo al ser irradiados, hasta un  32% menor respecto al concreto tomado como</w:t>
      </w:r>
      <w:r>
        <w:rPr>
          <w:spacing w:val="-19"/>
          <w:sz w:val="24"/>
        </w:rPr>
        <w:t> </w:t>
      </w:r>
      <w:r>
        <w:rPr>
          <w:sz w:val="24"/>
        </w:rPr>
        <w:t>control.</w:t>
      </w:r>
    </w:p>
    <w:p>
      <w:pPr>
        <w:pStyle w:val="BodyText"/>
        <w:spacing w:before="9"/>
        <w:rPr>
          <w:sz w:val="27"/>
        </w:rPr>
      </w:pPr>
    </w:p>
    <w:p>
      <w:pPr>
        <w:pStyle w:val="ListParagraph"/>
        <w:numPr>
          <w:ilvl w:val="0"/>
          <w:numId w:val="20"/>
        </w:numPr>
        <w:tabs>
          <w:tab w:pos="810" w:val="left" w:leader="none"/>
        </w:tabs>
        <w:spacing w:line="276" w:lineRule="auto" w:before="0" w:after="0"/>
        <w:ind w:left="822" w:right="122" w:hanging="360"/>
        <w:jc w:val="both"/>
        <w:rPr>
          <w:sz w:val="24"/>
        </w:rPr>
      </w:pPr>
      <w:r>
        <w:rPr>
          <w:sz w:val="24"/>
        </w:rPr>
        <w:t>Para los concretos con fibras sin irradiar se observa disminución en los valores al incrementar el porcentaje de fibra. Estos valores son hasta 32% menores para concretos con 0.9% de fibra, respecto al concreto</w:t>
      </w:r>
      <w:r>
        <w:rPr>
          <w:spacing w:val="-20"/>
          <w:sz w:val="24"/>
        </w:rPr>
        <w:t> </w:t>
      </w:r>
      <w:r>
        <w:rPr>
          <w:sz w:val="24"/>
        </w:rPr>
        <w:t>control.</w:t>
      </w:r>
    </w:p>
    <w:p>
      <w:pPr>
        <w:pStyle w:val="ListParagraph"/>
        <w:numPr>
          <w:ilvl w:val="0"/>
          <w:numId w:val="20"/>
        </w:numPr>
        <w:tabs>
          <w:tab w:pos="810" w:val="left" w:leader="none"/>
        </w:tabs>
        <w:spacing w:line="276" w:lineRule="auto" w:before="3" w:after="0"/>
        <w:ind w:left="822" w:right="118" w:hanging="360"/>
        <w:jc w:val="both"/>
        <w:rPr>
          <w:sz w:val="24"/>
        </w:rPr>
      </w:pPr>
      <w:r>
        <w:rPr>
          <w:sz w:val="24"/>
        </w:rPr>
        <w:t>Para concretos con fibras irradiadas se presenta </w:t>
      </w:r>
      <w:r>
        <w:rPr>
          <w:spacing w:val="3"/>
          <w:sz w:val="24"/>
        </w:rPr>
        <w:t>el </w:t>
      </w:r>
      <w:r>
        <w:rPr>
          <w:sz w:val="24"/>
        </w:rPr>
        <w:t>mismo comportamiento: disminuyen los módulos al incrementar la concentración de la fibra. Esta disminución es de hasta 58% para concreto con 0.9% de fibra, respecto al concreto tomado como</w:t>
      </w:r>
      <w:r>
        <w:rPr>
          <w:spacing w:val="-10"/>
          <w:sz w:val="24"/>
        </w:rPr>
        <w:t> </w:t>
      </w:r>
      <w:r>
        <w:rPr>
          <w:sz w:val="24"/>
        </w:rPr>
        <w:t>control.</w:t>
      </w:r>
    </w:p>
    <w:p>
      <w:pPr>
        <w:pStyle w:val="ListParagraph"/>
        <w:numPr>
          <w:ilvl w:val="0"/>
          <w:numId w:val="20"/>
        </w:numPr>
        <w:tabs>
          <w:tab w:pos="810" w:val="left" w:leader="none"/>
        </w:tabs>
        <w:spacing w:line="276" w:lineRule="auto" w:before="3" w:after="0"/>
        <w:ind w:left="822" w:right="117" w:hanging="360"/>
        <w:jc w:val="both"/>
        <w:rPr>
          <w:sz w:val="24"/>
        </w:rPr>
      </w:pPr>
      <w:r>
        <w:rPr>
          <w:sz w:val="24"/>
        </w:rPr>
        <w:t>Más notorio es este comportamiento para concretos con fibras e irradiados, la disminución en los módulos llega a ser hasta de 61% respecto al  concreto control. Los módulos son menores para dosis de 50</w:t>
      </w:r>
      <w:r>
        <w:rPr>
          <w:spacing w:val="-23"/>
          <w:sz w:val="24"/>
        </w:rPr>
        <w:t> </w:t>
      </w:r>
      <w:r>
        <w:rPr>
          <w:sz w:val="24"/>
        </w:rPr>
        <w:t>kGy.</w:t>
      </w:r>
    </w:p>
    <w:p>
      <w:pPr>
        <w:pStyle w:val="BodyText"/>
        <w:spacing w:line="276" w:lineRule="auto"/>
        <w:ind w:left="810" w:right="118"/>
        <w:jc w:val="both"/>
      </w:pPr>
      <w:r>
        <w:rPr/>
        <w:t>El módulo de elasticidad se ve afectado de manera considerable, ya que sus valores disminuyen notablemente para las distintas formulaciones al incrementar la dosis de radiación y la concentración de fibra. Esto se debe</w:t>
      </w:r>
      <w:r>
        <w:rPr>
          <w:spacing w:val="-23"/>
        </w:rPr>
        <w:t> </w:t>
      </w:r>
      <w:r>
        <w:rPr/>
        <w:t>a</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6" w:lineRule="auto"/>
        <w:ind w:left="810" w:right="116"/>
        <w:jc w:val="both"/>
      </w:pPr>
      <w:r>
        <w:rPr/>
        <w:t>la mayor deformación que sufre el concreto por efecto de la fibra de luffa, es decir, durante el ensayo de compresión el concreto incrementa su deformación antes de llegar al punto de ruptura.</w:t>
      </w:r>
    </w:p>
    <w:p>
      <w:pPr>
        <w:pStyle w:val="BodyText"/>
        <w:spacing w:before="4"/>
      </w:pPr>
      <w:r>
        <w:rPr/>
        <w:drawing>
          <wp:anchor distT="0" distB="0" distL="0" distR="0" allowOverlap="1" layoutInCell="1" locked="0" behindDoc="0" simplePos="0" relativeHeight="2392">
            <wp:simplePos x="0" y="0"/>
            <wp:positionH relativeFrom="page">
              <wp:posOffset>1624330</wp:posOffset>
            </wp:positionH>
            <wp:positionV relativeFrom="paragraph">
              <wp:posOffset>202769</wp:posOffset>
            </wp:positionV>
            <wp:extent cx="4524520" cy="2944368"/>
            <wp:effectExtent l="0" t="0" r="0" b="0"/>
            <wp:wrapTopAndBottom/>
            <wp:docPr id="69" name="image44.png" descr=""/>
            <wp:cNvGraphicFramePr>
              <a:graphicFrameLocks noChangeAspect="1"/>
            </wp:cNvGraphicFramePr>
            <a:graphic>
              <a:graphicData uri="http://schemas.openxmlformats.org/drawingml/2006/picture">
                <pic:pic>
                  <pic:nvPicPr>
                    <pic:cNvPr id="70" name="image44.png"/>
                    <pic:cNvPicPr/>
                  </pic:nvPicPr>
                  <pic:blipFill>
                    <a:blip r:embed="rId59" cstate="print"/>
                    <a:stretch>
                      <a:fillRect/>
                    </a:stretch>
                  </pic:blipFill>
                  <pic:spPr>
                    <a:xfrm>
                      <a:off x="0" y="0"/>
                      <a:ext cx="4524520" cy="2944368"/>
                    </a:xfrm>
                    <a:prstGeom prst="rect">
                      <a:avLst/>
                    </a:prstGeom>
                  </pic:spPr>
                </pic:pic>
              </a:graphicData>
            </a:graphic>
          </wp:anchor>
        </w:drawing>
      </w:r>
    </w:p>
    <w:p>
      <w:pPr>
        <w:pStyle w:val="BodyText"/>
        <w:spacing w:before="13"/>
        <w:ind w:left="1777" w:right="109"/>
      </w:pPr>
      <w:r>
        <w:rPr/>
        <w:t>Figura 3.8 Módulo de elasticidad de concretos poliméricos</w:t>
      </w:r>
    </w:p>
    <w:p>
      <w:pPr>
        <w:pStyle w:val="BodyText"/>
        <w:spacing w:before="1"/>
        <w:rPr>
          <w:sz w:val="31"/>
        </w:rPr>
      </w:pPr>
    </w:p>
    <w:p>
      <w:pPr>
        <w:pStyle w:val="BodyText"/>
        <w:spacing w:line="276" w:lineRule="auto"/>
        <w:ind w:left="102" w:right="109"/>
      </w:pPr>
      <w:r>
        <w:rPr/>
        <w:t>Los módulos de Young también se ven afectados por los canales en la superficie de las fibras, disminuyen sus valores.</w:t>
      </w:r>
    </w:p>
    <w:p>
      <w:pPr>
        <w:pStyle w:val="BodyText"/>
        <w:spacing w:before="9"/>
        <w:rPr>
          <w:sz w:val="27"/>
        </w:rPr>
      </w:pPr>
    </w:p>
    <w:p>
      <w:pPr>
        <w:pStyle w:val="Heading2"/>
        <w:numPr>
          <w:ilvl w:val="0"/>
          <w:numId w:val="14"/>
        </w:numPr>
        <w:tabs>
          <w:tab w:pos="809" w:val="left" w:leader="none"/>
          <w:tab w:pos="810" w:val="left" w:leader="none"/>
        </w:tabs>
        <w:spacing w:line="240" w:lineRule="auto" w:before="0" w:after="0"/>
        <w:ind w:left="810" w:right="0" w:hanging="708"/>
        <w:jc w:val="left"/>
      </w:pPr>
      <w:r>
        <w:rPr/>
        <w:t>Módulo de Elasticidad</w:t>
      </w:r>
      <w:r>
        <w:rPr>
          <w:spacing w:val="-2"/>
        </w:rPr>
        <w:t> </w:t>
      </w:r>
      <w:r>
        <w:rPr/>
        <w:t>Dinámico</w:t>
      </w:r>
    </w:p>
    <w:p>
      <w:pPr>
        <w:pStyle w:val="BodyText"/>
        <w:spacing w:before="1"/>
        <w:rPr>
          <w:b/>
          <w:sz w:val="31"/>
        </w:rPr>
      </w:pPr>
    </w:p>
    <w:p>
      <w:pPr>
        <w:pStyle w:val="BodyText"/>
        <w:spacing w:line="278" w:lineRule="auto"/>
        <w:ind w:left="102" w:right="109"/>
      </w:pPr>
      <w:r>
        <w:rPr/>
        <w:t>La Figura 3.9 muestra el módulo de elasticidad dinámico de concretos poliméricos. Se observan diversos comportamientos.</w:t>
      </w:r>
    </w:p>
    <w:p>
      <w:pPr>
        <w:pStyle w:val="ListParagraph"/>
        <w:numPr>
          <w:ilvl w:val="1"/>
          <w:numId w:val="14"/>
        </w:numPr>
        <w:tabs>
          <w:tab w:pos="810" w:val="left" w:leader="none"/>
        </w:tabs>
        <w:spacing w:line="276" w:lineRule="auto" w:before="0" w:after="0"/>
        <w:ind w:left="810" w:right="119" w:hanging="360"/>
        <w:jc w:val="both"/>
        <w:rPr>
          <w:sz w:val="24"/>
        </w:rPr>
      </w:pPr>
      <w:r>
        <w:rPr>
          <w:sz w:val="24"/>
        </w:rPr>
        <w:t>El módulo de elasticidad de concretos sin fibras (control) presenta un valor de 5.2 GPa. Estos concretos incrementan su módulo al ser irradiados; hasta un 16% mayor respecto al concreto tomado como</w:t>
      </w:r>
      <w:r>
        <w:rPr>
          <w:spacing w:val="-19"/>
          <w:sz w:val="24"/>
        </w:rPr>
        <w:t> </w:t>
      </w:r>
      <w:r>
        <w:rPr>
          <w:sz w:val="24"/>
        </w:rPr>
        <w:t>control.</w:t>
      </w:r>
    </w:p>
    <w:p>
      <w:pPr>
        <w:pStyle w:val="ListParagraph"/>
        <w:numPr>
          <w:ilvl w:val="1"/>
          <w:numId w:val="14"/>
        </w:numPr>
        <w:tabs>
          <w:tab w:pos="810" w:val="left" w:leader="none"/>
        </w:tabs>
        <w:spacing w:line="276" w:lineRule="auto" w:before="3" w:after="0"/>
        <w:ind w:left="810" w:right="122" w:hanging="360"/>
        <w:jc w:val="both"/>
        <w:rPr>
          <w:sz w:val="24"/>
        </w:rPr>
      </w:pPr>
      <w:r>
        <w:rPr>
          <w:sz w:val="24"/>
        </w:rPr>
        <w:t>Para los concretos con fibras de luffa sin irradiar se observa disminución en los valores al incrementar el porcentaje de fibra. Estos valores son hasta 23% menores para concretos con 0.9% de fibra, respecto al concreto control.</w:t>
      </w:r>
    </w:p>
    <w:p>
      <w:pPr>
        <w:pStyle w:val="ListParagraph"/>
        <w:numPr>
          <w:ilvl w:val="1"/>
          <w:numId w:val="14"/>
        </w:numPr>
        <w:tabs>
          <w:tab w:pos="810" w:val="left" w:leader="none"/>
        </w:tabs>
        <w:spacing w:line="276" w:lineRule="auto" w:before="3" w:after="0"/>
        <w:ind w:left="810" w:right="116" w:hanging="360"/>
        <w:jc w:val="both"/>
        <w:rPr>
          <w:sz w:val="24"/>
        </w:rPr>
      </w:pPr>
      <w:r>
        <w:rPr>
          <w:sz w:val="24"/>
        </w:rPr>
        <w:t>Para concretos con fibras irradiadas se presenta el mismo comportamiento: disminuyen los módulos al incrementar la concentración de la fibra. Esta disminución es de hasta 25% para concreto con 0.9% de fibra, respecto al concreto tomado como</w:t>
      </w:r>
      <w:r>
        <w:rPr>
          <w:spacing w:val="-10"/>
          <w:sz w:val="24"/>
        </w:rPr>
        <w:t> </w:t>
      </w:r>
      <w:r>
        <w:rPr>
          <w:sz w:val="24"/>
        </w:rPr>
        <w:t>control.</w:t>
      </w:r>
    </w:p>
    <w:p>
      <w:pPr>
        <w:pStyle w:val="ListParagraph"/>
        <w:numPr>
          <w:ilvl w:val="1"/>
          <w:numId w:val="14"/>
        </w:numPr>
        <w:tabs>
          <w:tab w:pos="810" w:val="left" w:leader="none"/>
        </w:tabs>
        <w:spacing w:line="278" w:lineRule="auto" w:before="0" w:after="0"/>
        <w:ind w:left="810" w:right="126" w:hanging="360"/>
        <w:jc w:val="both"/>
        <w:rPr>
          <w:sz w:val="24"/>
        </w:rPr>
      </w:pPr>
      <w:r>
        <w:rPr>
          <w:sz w:val="24"/>
        </w:rPr>
        <w:t>Los concretos con fibras de luffa e irradiados presentan un comportamiento similar</w:t>
      </w:r>
      <w:r>
        <w:rPr>
          <w:spacing w:val="33"/>
          <w:sz w:val="24"/>
        </w:rPr>
        <w:t> </w:t>
      </w:r>
      <w:r>
        <w:rPr>
          <w:sz w:val="24"/>
        </w:rPr>
        <w:t>a</w:t>
      </w:r>
      <w:r>
        <w:rPr>
          <w:spacing w:val="35"/>
          <w:sz w:val="24"/>
        </w:rPr>
        <w:t> </w:t>
      </w:r>
      <w:r>
        <w:rPr>
          <w:sz w:val="24"/>
        </w:rPr>
        <w:t>los</w:t>
      </w:r>
      <w:r>
        <w:rPr>
          <w:spacing w:val="35"/>
          <w:sz w:val="24"/>
        </w:rPr>
        <w:t> </w:t>
      </w:r>
      <w:r>
        <w:rPr>
          <w:sz w:val="24"/>
        </w:rPr>
        <w:t>concretos</w:t>
      </w:r>
      <w:r>
        <w:rPr>
          <w:spacing w:val="34"/>
          <w:sz w:val="24"/>
        </w:rPr>
        <w:t> </w:t>
      </w:r>
      <w:r>
        <w:rPr>
          <w:sz w:val="24"/>
        </w:rPr>
        <w:t>control</w:t>
      </w:r>
      <w:r>
        <w:rPr>
          <w:spacing w:val="34"/>
          <w:sz w:val="24"/>
        </w:rPr>
        <w:t> </w:t>
      </w:r>
      <w:r>
        <w:rPr>
          <w:sz w:val="24"/>
        </w:rPr>
        <w:t>(irradiados</w:t>
      </w:r>
      <w:r>
        <w:rPr>
          <w:spacing w:val="34"/>
          <w:sz w:val="24"/>
        </w:rPr>
        <w:t> </w:t>
      </w:r>
      <w:r>
        <w:rPr>
          <w:sz w:val="24"/>
        </w:rPr>
        <w:t>a</w:t>
      </w:r>
      <w:r>
        <w:rPr>
          <w:spacing w:val="33"/>
          <w:sz w:val="24"/>
        </w:rPr>
        <w:t> </w:t>
      </w:r>
      <w:r>
        <w:rPr>
          <w:sz w:val="24"/>
        </w:rPr>
        <w:t>50</w:t>
      </w:r>
      <w:r>
        <w:rPr>
          <w:spacing w:val="35"/>
          <w:sz w:val="24"/>
        </w:rPr>
        <w:t> </w:t>
      </w:r>
      <w:r>
        <w:rPr>
          <w:sz w:val="24"/>
        </w:rPr>
        <w:t>y</w:t>
      </w:r>
      <w:r>
        <w:rPr>
          <w:spacing w:val="32"/>
          <w:sz w:val="24"/>
        </w:rPr>
        <w:t> </w:t>
      </w:r>
      <w:r>
        <w:rPr>
          <w:sz w:val="24"/>
        </w:rPr>
        <w:t>100</w:t>
      </w:r>
      <w:r>
        <w:rPr>
          <w:spacing w:val="35"/>
          <w:sz w:val="24"/>
        </w:rPr>
        <w:t> </w:t>
      </w:r>
      <w:r>
        <w:rPr>
          <w:sz w:val="24"/>
        </w:rPr>
        <w:t>kGy).</w:t>
      </w:r>
      <w:r>
        <w:rPr>
          <w:spacing w:val="34"/>
          <w:sz w:val="24"/>
        </w:rPr>
        <w:t> </w:t>
      </w:r>
      <w:r>
        <w:rPr>
          <w:sz w:val="24"/>
        </w:rPr>
        <w:t>Se</w:t>
      </w:r>
      <w:r>
        <w:rPr>
          <w:spacing w:val="35"/>
          <w:sz w:val="24"/>
        </w:rPr>
        <w:t> </w:t>
      </w:r>
      <w:r>
        <w:rPr>
          <w:sz w:val="24"/>
        </w:rPr>
        <w:t>presentan</w:t>
      </w:r>
    </w:p>
    <w:p>
      <w:pPr>
        <w:spacing w:after="0" w:line="278" w:lineRule="auto"/>
        <w:jc w:val="both"/>
        <w:rPr>
          <w:sz w:val="24"/>
        </w:rPr>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6" w:lineRule="auto" w:after="2"/>
        <w:ind w:left="810" w:right="117"/>
        <w:jc w:val="both"/>
      </w:pPr>
      <w:r>
        <w:rPr/>
        <w:t>incrementos en los módulos de hasta 8% para concretos con 0.6% de fibra e irradiado a 50 kGy, y de 17% para concretos con 0.3 % de fibra e irradiados a 100</w:t>
      </w:r>
      <w:r>
        <w:rPr>
          <w:spacing w:val="-7"/>
        </w:rPr>
        <w:t> </w:t>
      </w:r>
      <w:r>
        <w:rPr/>
        <w:t>kGy.</w:t>
      </w:r>
    </w:p>
    <w:p>
      <w:pPr>
        <w:pStyle w:val="BodyText"/>
        <w:ind w:left="958"/>
        <w:rPr>
          <w:sz w:val="20"/>
        </w:rPr>
      </w:pPr>
      <w:r>
        <w:rPr>
          <w:sz w:val="20"/>
        </w:rPr>
        <w:drawing>
          <wp:inline distT="0" distB="0" distL="0" distR="0">
            <wp:extent cx="4523544" cy="2944368"/>
            <wp:effectExtent l="0" t="0" r="0" b="0"/>
            <wp:docPr id="71" name="image45.png" descr=""/>
            <wp:cNvGraphicFramePr>
              <a:graphicFrameLocks noChangeAspect="1"/>
            </wp:cNvGraphicFramePr>
            <a:graphic>
              <a:graphicData uri="http://schemas.openxmlformats.org/drawingml/2006/picture">
                <pic:pic>
                  <pic:nvPicPr>
                    <pic:cNvPr id="72" name="image45.png"/>
                    <pic:cNvPicPr/>
                  </pic:nvPicPr>
                  <pic:blipFill>
                    <a:blip r:embed="rId60" cstate="print"/>
                    <a:stretch>
                      <a:fillRect/>
                    </a:stretch>
                  </pic:blipFill>
                  <pic:spPr>
                    <a:xfrm>
                      <a:off x="0" y="0"/>
                      <a:ext cx="4523544" cy="2944368"/>
                    </a:xfrm>
                    <a:prstGeom prst="rect">
                      <a:avLst/>
                    </a:prstGeom>
                  </pic:spPr>
                </pic:pic>
              </a:graphicData>
            </a:graphic>
          </wp:inline>
        </w:drawing>
      </w:r>
      <w:r>
        <w:rPr>
          <w:sz w:val="20"/>
        </w:rPr>
      </w:r>
    </w:p>
    <w:p>
      <w:pPr>
        <w:pStyle w:val="BodyText"/>
        <w:spacing w:before="39"/>
        <w:ind w:left="656" w:right="109"/>
      </w:pPr>
      <w:r>
        <w:rPr/>
        <w:t>Figura 3.9. Módulo de elasticidad dinámico de los concretos poliméricos.</w:t>
      </w:r>
    </w:p>
    <w:p>
      <w:pPr>
        <w:pStyle w:val="BodyText"/>
        <w:spacing w:before="3"/>
        <w:rPr>
          <w:sz w:val="31"/>
        </w:rPr>
      </w:pPr>
    </w:p>
    <w:p>
      <w:pPr>
        <w:pStyle w:val="BodyText"/>
        <w:spacing w:line="276" w:lineRule="auto"/>
        <w:ind w:left="102" w:right="116"/>
        <w:jc w:val="both"/>
      </w:pPr>
      <w:r>
        <w:rPr/>
        <w:t>De acuerdo al inciso b) y c) de esta sección, el módulo de elasticidad dinámico disminuye al agregar fibras sin irradiar o bien irradiadas. Tal disminución es atribuida a la presencia de “canales” sobre la superficie de la fibra (Figura 3.10a). Estos canales con anchura entre 4 y 12 µm no se llenan por completo con la resina o con la arena después del proceso de mezclado (Figura 3.10b). Esto promueve las fallas en los concretos, haciendo que el módulo de elasticidad dinámico disminuya</w:t>
      </w:r>
      <w:r>
        <w:rPr>
          <w:spacing w:val="-9"/>
        </w:rPr>
        <w:t> </w:t>
      </w:r>
      <w:r>
        <w:rPr/>
        <w:t>notablemente.</w:t>
      </w:r>
    </w:p>
    <w:p>
      <w:pPr>
        <w:pStyle w:val="BodyText"/>
        <w:spacing w:before="9"/>
        <w:rPr>
          <w:sz w:val="27"/>
        </w:rPr>
      </w:pPr>
    </w:p>
    <w:p>
      <w:pPr>
        <w:pStyle w:val="BodyText"/>
        <w:spacing w:line="276" w:lineRule="auto"/>
        <w:ind w:left="102" w:right="126"/>
        <w:jc w:val="both"/>
      </w:pPr>
      <w:r>
        <w:rPr/>
        <w:t>Para concretos con fibras e irradiados, sucede un efecto contrario los módulos de elasticidad aumentan cuando se incrementa la dosis de radiación gamma, debido al incremento en el grado de polimerización y de reticulación</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9"/>
        <w:rPr>
          <w:sz w:val="17"/>
        </w:rPr>
      </w:pPr>
    </w:p>
    <w:p>
      <w:pPr>
        <w:pStyle w:val="BodyText"/>
        <w:ind w:left="154"/>
        <w:rPr>
          <w:sz w:val="20"/>
        </w:rPr>
      </w:pPr>
      <w:r>
        <w:rPr>
          <w:sz w:val="20"/>
        </w:rPr>
        <w:pict>
          <v:group style="width:436.45pt;height:206.7pt;mso-position-horizontal-relative:char;mso-position-vertical-relative:line" coordorigin="0,0" coordsize="8729,4134">
            <v:shape style="position:absolute;left:0;top:0;width:8728;height:4134" type="#_x0000_t75" stroked="false">
              <v:imagedata r:id="rId61" o:title=""/>
            </v:shape>
            <v:shape style="position:absolute;left:526;top:371;width:139;height:281" type="#_x0000_t202" filled="false" stroked="false">
              <v:textbox inset="0,0,0,0">
                <w:txbxContent>
                  <w:p>
                    <w:pPr>
                      <w:spacing w:line="281" w:lineRule="exact" w:before="0"/>
                      <w:ind w:left="0" w:right="0" w:firstLine="0"/>
                      <w:jc w:val="left"/>
                      <w:rPr>
                        <w:rFonts w:ascii="Calibri"/>
                        <w:b/>
                        <w:sz w:val="28"/>
                      </w:rPr>
                    </w:pPr>
                    <w:r>
                      <w:rPr>
                        <w:rFonts w:ascii="Calibri"/>
                        <w:b/>
                        <w:w w:val="100"/>
                        <w:sz w:val="28"/>
                      </w:rPr>
                      <w:t>a</w:t>
                    </w:r>
                  </w:p>
                </w:txbxContent>
              </v:textbox>
              <w10:wrap type="none"/>
            </v:shape>
            <v:shape style="position:absolute;left:4667;top:371;width:151;height:281" type="#_x0000_t202" filled="false" stroked="false">
              <v:textbox inset="0,0,0,0">
                <w:txbxContent>
                  <w:p>
                    <w:pPr>
                      <w:spacing w:line="281" w:lineRule="exact" w:before="0"/>
                      <w:ind w:left="0" w:right="0" w:firstLine="0"/>
                      <w:jc w:val="left"/>
                      <w:rPr>
                        <w:rFonts w:ascii="Calibri"/>
                        <w:b/>
                        <w:sz w:val="28"/>
                      </w:rPr>
                    </w:pPr>
                    <w:r>
                      <w:rPr>
                        <w:rFonts w:ascii="Calibri"/>
                        <w:b/>
                        <w:w w:val="100"/>
                        <w:sz w:val="28"/>
                      </w:rPr>
                      <w:t>b</w:t>
                    </w:r>
                  </w:p>
                </w:txbxContent>
              </v:textbox>
              <w10:wrap type="none"/>
            </v:shape>
          </v:group>
        </w:pict>
      </w:r>
      <w:r>
        <w:rPr>
          <w:sz w:val="20"/>
        </w:rPr>
      </w:r>
    </w:p>
    <w:p>
      <w:pPr>
        <w:pStyle w:val="BodyText"/>
        <w:spacing w:line="276" w:lineRule="auto"/>
        <w:ind w:left="126" w:right="153"/>
        <w:jc w:val="center"/>
      </w:pPr>
      <w:r>
        <w:rPr/>
        <w:t>Figura 3.10. Imágenes SEM de fibras de Luffa: a) sin irradiar, b) irradiada a 100 kGy.</w:t>
      </w:r>
    </w:p>
    <w:p>
      <w:pPr>
        <w:pStyle w:val="BodyText"/>
        <w:spacing w:before="9"/>
        <w:rPr>
          <w:sz w:val="27"/>
        </w:rPr>
      </w:pPr>
    </w:p>
    <w:p>
      <w:pPr>
        <w:pStyle w:val="BodyText"/>
        <w:spacing w:line="276" w:lineRule="auto"/>
        <w:ind w:left="102" w:right="121"/>
        <w:jc w:val="both"/>
      </w:pPr>
      <w:r>
        <w:rPr/>
        <w:t>En resumen al añadir fibras de luffa al concreto polimérico se observaron varios comportamientos; en general al incrementar la concentración de fibras de luffa disminuye la resistencia a la compresión y a la flexión. Este comportamiento es atribuido a la “porosidad” de la fibra y a su carácter hidrofílico. La resistencia a la compresión disminuye hasta 29% para concentraciones de 0.9% de fibra irradiada a 100 kGy, y hasta 18% en la resistencia a la flexión.</w:t>
      </w:r>
    </w:p>
    <w:p>
      <w:pPr>
        <w:pStyle w:val="BodyText"/>
      </w:pPr>
    </w:p>
    <w:p>
      <w:pPr>
        <w:pStyle w:val="BodyText"/>
        <w:spacing w:before="2"/>
        <w:rPr>
          <w:sz w:val="31"/>
        </w:rPr>
      </w:pPr>
    </w:p>
    <w:p>
      <w:pPr>
        <w:pStyle w:val="Heading2"/>
        <w:numPr>
          <w:ilvl w:val="1"/>
          <w:numId w:val="21"/>
        </w:numPr>
        <w:tabs>
          <w:tab w:pos="505" w:val="left" w:leader="none"/>
        </w:tabs>
        <w:spacing w:line="240" w:lineRule="auto" w:before="0" w:after="0"/>
        <w:ind w:left="504" w:right="0" w:hanging="402"/>
        <w:jc w:val="both"/>
      </w:pPr>
      <w:r>
        <w:rPr/>
        <w:t>Difracción de Rayos X de fibras sin irradiar e</w:t>
      </w:r>
      <w:r>
        <w:rPr>
          <w:spacing w:val="-18"/>
        </w:rPr>
        <w:t> </w:t>
      </w:r>
      <w:r>
        <w:rPr/>
        <w:t>irradiadas</w:t>
      </w:r>
    </w:p>
    <w:p>
      <w:pPr>
        <w:pStyle w:val="BodyText"/>
        <w:spacing w:before="3"/>
        <w:rPr>
          <w:b/>
          <w:sz w:val="31"/>
        </w:rPr>
      </w:pPr>
    </w:p>
    <w:p>
      <w:pPr>
        <w:pStyle w:val="BodyText"/>
        <w:spacing w:line="276" w:lineRule="auto"/>
        <w:ind w:left="102" w:right="121"/>
        <w:jc w:val="both"/>
      </w:pPr>
      <w:r>
        <w:rPr/>
        <w:t>En la Figura 3.11 se muestran los difractogramas de las fibras de luffa sin irradiar  e irradiadas a 50 y 100 kGy; El ángulo (2θ) se varió de 5° a</w:t>
      </w:r>
      <w:r>
        <w:rPr>
          <w:spacing w:val="-26"/>
        </w:rPr>
        <w:t> </w:t>
      </w:r>
      <w:r>
        <w:rPr/>
        <w:t>60°.</w:t>
      </w:r>
    </w:p>
    <w:p>
      <w:pPr>
        <w:pStyle w:val="BodyText"/>
        <w:spacing w:before="9"/>
        <w:rPr>
          <w:sz w:val="27"/>
        </w:rPr>
      </w:pPr>
    </w:p>
    <w:p>
      <w:pPr>
        <w:pStyle w:val="BodyText"/>
        <w:spacing w:line="276" w:lineRule="auto"/>
        <w:ind w:left="102" w:right="119"/>
        <w:jc w:val="both"/>
      </w:pPr>
      <w:r>
        <w:rPr/>
        <w:t>Se pueden observar tres picos principales 2θ = 15°, 22° y 34°, sobre los cuales se realizó </w:t>
      </w:r>
      <w:r>
        <w:rPr>
          <w:spacing w:val="51"/>
        </w:rPr>
        <w:t> </w:t>
      </w:r>
      <w:r>
        <w:rPr/>
        <w:t>el </w:t>
      </w:r>
      <w:r>
        <w:rPr>
          <w:spacing w:val="50"/>
        </w:rPr>
        <w:t> </w:t>
      </w:r>
      <w:r>
        <w:rPr/>
        <w:t>análisis. </w:t>
      </w:r>
      <w:r>
        <w:rPr>
          <w:spacing w:val="50"/>
        </w:rPr>
        <w:t> </w:t>
      </w:r>
      <w:r>
        <w:rPr/>
        <w:t>Los </w:t>
      </w:r>
      <w:r>
        <w:rPr>
          <w:spacing w:val="50"/>
        </w:rPr>
        <w:t> </w:t>
      </w:r>
      <w:r>
        <w:rPr/>
        <w:t>picos </w:t>
      </w:r>
      <w:r>
        <w:rPr>
          <w:spacing w:val="51"/>
        </w:rPr>
        <w:t> </w:t>
      </w:r>
      <w:r>
        <w:rPr/>
        <w:t>a </w:t>
      </w:r>
      <w:r>
        <w:rPr>
          <w:spacing w:val="51"/>
        </w:rPr>
        <w:t> </w:t>
      </w:r>
      <w:r>
        <w:rPr/>
        <w:t>2θ </w:t>
      </w:r>
      <w:r>
        <w:rPr>
          <w:spacing w:val="51"/>
        </w:rPr>
        <w:t> </w:t>
      </w:r>
      <w:r>
        <w:rPr/>
        <w:t>=  15° </w:t>
      </w:r>
      <w:r>
        <w:rPr>
          <w:spacing w:val="50"/>
        </w:rPr>
        <w:t> </w:t>
      </w:r>
      <w:r>
        <w:rPr/>
        <w:t>están  asociados  a </w:t>
      </w:r>
      <w:r>
        <w:rPr>
          <w:spacing w:val="51"/>
        </w:rPr>
        <w:t> </w:t>
      </w:r>
      <w:r>
        <w:rPr/>
        <w:t>los </w:t>
      </w:r>
      <w:r>
        <w:rPr>
          <w:spacing w:val="51"/>
        </w:rPr>
        <w:t> </w:t>
      </w:r>
      <w:r>
        <w:rPr/>
        <w:t>planos</w:t>
      </w:r>
    </w:p>
    <w:p>
      <w:pPr>
        <w:pStyle w:val="BodyText"/>
        <w:ind w:left="102"/>
      </w:pPr>
      <w:r>
        <w:rPr/>
        <w:t>cristalográficos  (110).  Mientras  que  los  picos  a  2θ  =  22°  y  34°  a  los  planos</w:t>
      </w:r>
    </w:p>
    <w:p>
      <w:pPr>
        <w:pStyle w:val="BodyText"/>
        <w:spacing w:before="41"/>
        <w:ind w:left="102" w:right="2220"/>
      </w:pPr>
      <w:r>
        <w:rPr/>
        <w:t>cristalográficos (002) y (023), respectivamente.</w:t>
      </w:r>
    </w:p>
    <w:p>
      <w:pPr>
        <w:spacing w:after="0"/>
        <w:sectPr>
          <w:pgSz w:w="12240" w:h="15840"/>
          <w:pgMar w:header="747" w:footer="0" w:top="940" w:bottom="280" w:left="1600" w:right="1580"/>
        </w:sectPr>
      </w:pPr>
    </w:p>
    <w:p>
      <w:pPr>
        <w:pStyle w:val="BodyText"/>
        <w:rPr>
          <w:sz w:val="20"/>
        </w:rPr>
      </w:pPr>
    </w:p>
    <w:p>
      <w:pPr>
        <w:pStyle w:val="BodyText"/>
        <w:spacing w:before="8"/>
        <w:rPr>
          <w:sz w:val="20"/>
        </w:rPr>
      </w:pPr>
    </w:p>
    <w:p>
      <w:pPr>
        <w:pStyle w:val="BodyText"/>
        <w:ind w:left="697"/>
        <w:rPr>
          <w:sz w:val="20"/>
        </w:rPr>
      </w:pPr>
      <w:r>
        <w:rPr>
          <w:sz w:val="20"/>
        </w:rPr>
        <w:drawing>
          <wp:inline distT="0" distB="0" distL="0" distR="0">
            <wp:extent cx="4838723" cy="3587591"/>
            <wp:effectExtent l="0" t="0" r="0" b="0"/>
            <wp:docPr id="73" name="image47.jpeg" descr=""/>
            <wp:cNvGraphicFramePr>
              <a:graphicFrameLocks noChangeAspect="1"/>
            </wp:cNvGraphicFramePr>
            <a:graphic>
              <a:graphicData uri="http://schemas.openxmlformats.org/drawingml/2006/picture">
                <pic:pic>
                  <pic:nvPicPr>
                    <pic:cNvPr id="74" name="image47.jpeg"/>
                    <pic:cNvPicPr/>
                  </pic:nvPicPr>
                  <pic:blipFill>
                    <a:blip r:embed="rId62" cstate="print"/>
                    <a:stretch>
                      <a:fillRect/>
                    </a:stretch>
                  </pic:blipFill>
                  <pic:spPr>
                    <a:xfrm>
                      <a:off x="0" y="0"/>
                      <a:ext cx="4838723" cy="3587591"/>
                    </a:xfrm>
                    <a:prstGeom prst="rect">
                      <a:avLst/>
                    </a:prstGeom>
                  </pic:spPr>
                </pic:pic>
              </a:graphicData>
            </a:graphic>
          </wp:inline>
        </w:drawing>
      </w:r>
      <w:r>
        <w:rPr>
          <w:sz w:val="20"/>
        </w:rPr>
      </w:r>
    </w:p>
    <w:p>
      <w:pPr>
        <w:pStyle w:val="BodyText"/>
        <w:spacing w:before="61"/>
        <w:ind w:right="23"/>
        <w:jc w:val="center"/>
      </w:pPr>
      <w:r>
        <w:rPr/>
        <w:t>Figura 3.11 Digractograma de fibras de Luffa sin irradiación e irradiadas.</w:t>
      </w:r>
    </w:p>
    <w:p>
      <w:pPr>
        <w:pStyle w:val="BodyText"/>
      </w:pPr>
    </w:p>
    <w:p>
      <w:pPr>
        <w:pStyle w:val="BodyText"/>
        <w:spacing w:before="9"/>
        <w:rPr>
          <w:sz w:val="34"/>
        </w:rPr>
      </w:pPr>
    </w:p>
    <w:p>
      <w:pPr>
        <w:pStyle w:val="BodyText"/>
        <w:spacing w:before="1"/>
        <w:ind w:left="102"/>
        <w:jc w:val="both"/>
      </w:pPr>
      <w:r>
        <w:rPr/>
        <w:t>El índice de cristalinidad de las fibras se calculó usando la ecuación [52]:</w:t>
      </w:r>
    </w:p>
    <w:p>
      <w:pPr>
        <w:pStyle w:val="BodyText"/>
        <w:spacing w:before="6"/>
        <w:rPr>
          <w:sz w:val="27"/>
        </w:rPr>
      </w:pPr>
      <w:r>
        <w:rPr/>
        <w:drawing>
          <wp:anchor distT="0" distB="0" distL="0" distR="0" allowOverlap="1" layoutInCell="1" locked="0" behindDoc="0" simplePos="0" relativeHeight="2488">
            <wp:simplePos x="0" y="0"/>
            <wp:positionH relativeFrom="page">
              <wp:posOffset>3171189</wp:posOffset>
            </wp:positionH>
            <wp:positionV relativeFrom="paragraph">
              <wp:posOffset>226149</wp:posOffset>
            </wp:positionV>
            <wp:extent cx="1427753" cy="400050"/>
            <wp:effectExtent l="0" t="0" r="0" b="0"/>
            <wp:wrapTopAndBottom/>
            <wp:docPr id="75" name="image48.png" descr=""/>
            <wp:cNvGraphicFramePr>
              <a:graphicFrameLocks noChangeAspect="1"/>
            </wp:cNvGraphicFramePr>
            <a:graphic>
              <a:graphicData uri="http://schemas.openxmlformats.org/drawingml/2006/picture">
                <pic:pic>
                  <pic:nvPicPr>
                    <pic:cNvPr id="76" name="image48.png"/>
                    <pic:cNvPicPr/>
                  </pic:nvPicPr>
                  <pic:blipFill>
                    <a:blip r:embed="rId63" cstate="print"/>
                    <a:stretch>
                      <a:fillRect/>
                    </a:stretch>
                  </pic:blipFill>
                  <pic:spPr>
                    <a:xfrm>
                      <a:off x="0" y="0"/>
                      <a:ext cx="1427753" cy="400050"/>
                    </a:xfrm>
                    <a:prstGeom prst="rect">
                      <a:avLst/>
                    </a:prstGeom>
                  </pic:spPr>
                </pic:pic>
              </a:graphicData>
            </a:graphic>
          </wp:anchor>
        </w:drawing>
      </w:r>
    </w:p>
    <w:p>
      <w:pPr>
        <w:pStyle w:val="BodyText"/>
        <w:spacing w:before="9"/>
        <w:rPr>
          <w:sz w:val="28"/>
        </w:rPr>
      </w:pPr>
    </w:p>
    <w:p>
      <w:pPr>
        <w:pStyle w:val="BodyText"/>
        <w:spacing w:line="276" w:lineRule="auto"/>
        <w:ind w:left="102" w:right="123"/>
        <w:jc w:val="both"/>
      </w:pPr>
      <w:r>
        <w:rPr>
          <w:position w:val="1"/>
        </w:rPr>
        <w:t>donde I</w:t>
      </w:r>
      <w:r>
        <w:rPr>
          <w:sz w:val="16"/>
        </w:rPr>
        <w:t>m </w:t>
      </w:r>
      <w:r>
        <w:rPr>
          <w:position w:val="1"/>
        </w:rPr>
        <w:t>es la intensidad máxima de difracción del pico en un ángulo de 2θ entre 22° y 23°, mientras que I</w:t>
      </w:r>
      <w:r>
        <w:rPr>
          <w:sz w:val="16"/>
        </w:rPr>
        <w:t>1 </w:t>
      </w:r>
      <w:r>
        <w:rPr>
          <w:position w:val="1"/>
        </w:rPr>
        <w:t>es la intensidad de la difracción del material amorfo, que </w:t>
      </w:r>
      <w:r>
        <w:rPr/>
        <w:t>se toma en un ángulo de 2θ entre 18° y 19° cuando la intensidad es mínima. En la Tabla 3.1 se presentan los cálculos del índice de cristalinidad.</w:t>
      </w:r>
    </w:p>
    <w:p>
      <w:pPr>
        <w:pStyle w:val="BodyText"/>
        <w:spacing w:before="6"/>
        <w:rPr>
          <w:sz w:val="27"/>
        </w:rPr>
      </w:pPr>
    </w:p>
    <w:p>
      <w:pPr>
        <w:pStyle w:val="BodyText"/>
        <w:spacing w:before="1" w:after="45"/>
        <w:ind w:left="134" w:right="153"/>
        <w:jc w:val="center"/>
      </w:pPr>
      <w:r>
        <w:rPr/>
        <w:t>Tabla 3.1 Índice de cristalinidad (ICR) de fibras de luffa.</w:t>
      </w:r>
    </w:p>
    <w:tbl>
      <w:tblPr>
        <w:tblW w:w="0" w:type="auto"/>
        <w:jc w:val="left"/>
        <w:tblInd w:w="3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3"/>
        <w:gridCol w:w="980"/>
      </w:tblGrid>
      <w:tr>
        <w:trPr>
          <w:trHeight w:val="644" w:hRule="exact"/>
        </w:trPr>
        <w:tc>
          <w:tcPr>
            <w:tcW w:w="1613" w:type="dxa"/>
            <w:tcBorders>
              <w:left w:val="nil"/>
              <w:right w:val="nil"/>
            </w:tcBorders>
          </w:tcPr>
          <w:p>
            <w:pPr>
              <w:pStyle w:val="TableParagraph"/>
              <w:spacing w:line="275" w:lineRule="exact" w:before="0"/>
              <w:ind w:left="178" w:right="233"/>
              <w:jc w:val="center"/>
              <w:rPr>
                <w:b/>
                <w:sz w:val="24"/>
              </w:rPr>
            </w:pPr>
            <w:r>
              <w:rPr>
                <w:b/>
                <w:sz w:val="24"/>
              </w:rPr>
              <w:t>Luffa</w:t>
            </w:r>
          </w:p>
        </w:tc>
        <w:tc>
          <w:tcPr>
            <w:tcW w:w="980" w:type="dxa"/>
            <w:tcBorders>
              <w:left w:val="nil"/>
              <w:right w:val="nil"/>
            </w:tcBorders>
          </w:tcPr>
          <w:p>
            <w:pPr>
              <w:pStyle w:val="TableParagraph"/>
              <w:spacing w:line="276" w:lineRule="auto" w:before="0"/>
              <w:ind w:left="274" w:right="292" w:hanging="20"/>
              <w:rPr>
                <w:b/>
                <w:sz w:val="24"/>
              </w:rPr>
            </w:pPr>
            <w:r>
              <w:rPr>
                <w:b/>
                <w:sz w:val="24"/>
              </w:rPr>
              <w:t>ICR (%)</w:t>
            </w:r>
          </w:p>
        </w:tc>
      </w:tr>
      <w:tr>
        <w:trPr>
          <w:trHeight w:val="331" w:hRule="exact"/>
        </w:trPr>
        <w:tc>
          <w:tcPr>
            <w:tcW w:w="1613" w:type="dxa"/>
            <w:tcBorders>
              <w:left w:val="nil"/>
              <w:bottom w:val="nil"/>
              <w:right w:val="nil"/>
            </w:tcBorders>
          </w:tcPr>
          <w:p>
            <w:pPr>
              <w:pStyle w:val="TableParagraph"/>
              <w:spacing w:before="0"/>
              <w:ind w:left="178" w:right="234"/>
              <w:jc w:val="center"/>
              <w:rPr>
                <w:sz w:val="24"/>
              </w:rPr>
            </w:pPr>
            <w:r>
              <w:rPr>
                <w:sz w:val="24"/>
              </w:rPr>
              <w:t>Sin irradiar</w:t>
            </w:r>
          </w:p>
        </w:tc>
        <w:tc>
          <w:tcPr>
            <w:tcW w:w="980" w:type="dxa"/>
            <w:tcBorders>
              <w:left w:val="nil"/>
              <w:bottom w:val="nil"/>
              <w:right w:val="nil"/>
            </w:tcBorders>
          </w:tcPr>
          <w:p>
            <w:pPr>
              <w:pStyle w:val="TableParagraph"/>
              <w:spacing w:before="0"/>
              <w:ind w:left="311" w:right="361"/>
              <w:jc w:val="center"/>
              <w:rPr>
                <w:sz w:val="24"/>
              </w:rPr>
            </w:pPr>
            <w:r>
              <w:rPr>
                <w:sz w:val="24"/>
              </w:rPr>
              <w:t>73</w:t>
            </w:r>
          </w:p>
        </w:tc>
      </w:tr>
      <w:tr>
        <w:trPr>
          <w:trHeight w:val="352" w:hRule="exact"/>
        </w:trPr>
        <w:tc>
          <w:tcPr>
            <w:tcW w:w="1613" w:type="dxa"/>
            <w:tcBorders>
              <w:top w:val="nil"/>
              <w:left w:val="nil"/>
              <w:bottom w:val="nil"/>
              <w:right w:val="nil"/>
            </w:tcBorders>
          </w:tcPr>
          <w:p>
            <w:pPr>
              <w:pStyle w:val="TableParagraph"/>
              <w:spacing w:before="24"/>
              <w:ind w:left="178" w:right="229"/>
              <w:jc w:val="center"/>
              <w:rPr>
                <w:sz w:val="24"/>
              </w:rPr>
            </w:pPr>
            <w:r>
              <w:rPr>
                <w:sz w:val="24"/>
              </w:rPr>
              <w:t>50 kGy</w:t>
            </w:r>
          </w:p>
        </w:tc>
        <w:tc>
          <w:tcPr>
            <w:tcW w:w="980" w:type="dxa"/>
            <w:tcBorders>
              <w:top w:val="nil"/>
              <w:left w:val="nil"/>
              <w:bottom w:val="nil"/>
              <w:right w:val="nil"/>
            </w:tcBorders>
          </w:tcPr>
          <w:p>
            <w:pPr>
              <w:pStyle w:val="TableParagraph"/>
              <w:spacing w:before="24"/>
              <w:ind w:left="311" w:right="361"/>
              <w:jc w:val="center"/>
              <w:rPr>
                <w:sz w:val="24"/>
              </w:rPr>
            </w:pPr>
            <w:r>
              <w:rPr>
                <w:sz w:val="24"/>
              </w:rPr>
              <w:t>72</w:t>
            </w:r>
          </w:p>
        </w:tc>
      </w:tr>
      <w:tr>
        <w:trPr>
          <w:trHeight w:val="402" w:hRule="exact"/>
        </w:trPr>
        <w:tc>
          <w:tcPr>
            <w:tcW w:w="1613" w:type="dxa"/>
            <w:tcBorders>
              <w:top w:val="nil"/>
              <w:left w:val="nil"/>
              <w:right w:val="nil"/>
            </w:tcBorders>
          </w:tcPr>
          <w:p>
            <w:pPr>
              <w:pStyle w:val="TableParagraph"/>
              <w:spacing w:before="25"/>
              <w:ind w:left="178" w:right="232"/>
              <w:jc w:val="center"/>
              <w:rPr>
                <w:sz w:val="24"/>
              </w:rPr>
            </w:pPr>
            <w:r>
              <w:rPr>
                <w:sz w:val="24"/>
              </w:rPr>
              <w:t>100 kGy</w:t>
            </w:r>
          </w:p>
        </w:tc>
        <w:tc>
          <w:tcPr>
            <w:tcW w:w="980" w:type="dxa"/>
            <w:tcBorders>
              <w:top w:val="nil"/>
              <w:left w:val="nil"/>
              <w:right w:val="nil"/>
            </w:tcBorders>
          </w:tcPr>
          <w:p>
            <w:pPr>
              <w:pStyle w:val="TableParagraph"/>
              <w:spacing w:before="25"/>
              <w:ind w:left="311" w:right="361"/>
              <w:jc w:val="center"/>
              <w:rPr>
                <w:sz w:val="24"/>
              </w:rPr>
            </w:pPr>
            <w:r>
              <w:rPr>
                <w:sz w:val="24"/>
              </w:rPr>
              <w:t>73</w:t>
            </w:r>
          </w:p>
        </w:tc>
      </w:tr>
    </w:tbl>
    <w:p>
      <w:pPr>
        <w:spacing w:after="0"/>
        <w:jc w:val="center"/>
        <w:rPr>
          <w:sz w:val="24"/>
        </w:rPr>
        <w:sectPr>
          <w:pgSz w:w="12240" w:h="15840"/>
          <w:pgMar w:header="747" w:footer="0" w:top="940" w:bottom="280" w:left="1600" w:right="1580"/>
        </w:sectPr>
      </w:pPr>
    </w:p>
    <w:p>
      <w:pPr>
        <w:pStyle w:val="BodyText"/>
        <w:rPr>
          <w:sz w:val="20"/>
        </w:rPr>
      </w:pPr>
    </w:p>
    <w:p>
      <w:pPr>
        <w:pStyle w:val="BodyText"/>
        <w:spacing w:before="6"/>
        <w:rPr>
          <w:sz w:val="20"/>
        </w:rPr>
      </w:pPr>
    </w:p>
    <w:p>
      <w:pPr>
        <w:pStyle w:val="BodyText"/>
        <w:spacing w:line="276" w:lineRule="auto"/>
        <w:ind w:left="542" w:right="545"/>
        <w:jc w:val="both"/>
      </w:pPr>
      <w:r>
        <w:rPr/>
        <w:t>En la Tabla 3.2 se muestran los datos de los tres ángulos de acuerdo a la dosis de radiación. También se muestran los valores de las distancias interplanares, calculadas a partir de la ley de Bragg.</w:t>
      </w:r>
    </w:p>
    <w:p>
      <w:pPr>
        <w:pStyle w:val="BodyText"/>
        <w:spacing w:before="6"/>
        <w:rPr>
          <w:sz w:val="27"/>
        </w:rPr>
      </w:pPr>
    </w:p>
    <w:p>
      <w:pPr>
        <w:pStyle w:val="BodyText"/>
        <w:spacing w:line="278" w:lineRule="auto" w:before="1"/>
        <w:ind w:left="542" w:right="537"/>
        <w:jc w:val="both"/>
      </w:pPr>
      <w:r>
        <w:rPr/>
        <w:t>Tabla 3.2. Datos de los tres picos de la fibra de Luffa a diferentes dosis de radiación.</w:t>
      </w: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
        <w:gridCol w:w="903"/>
        <w:gridCol w:w="1273"/>
        <w:gridCol w:w="762"/>
        <w:gridCol w:w="902"/>
        <w:gridCol w:w="1267"/>
        <w:gridCol w:w="743"/>
        <w:gridCol w:w="907"/>
        <w:gridCol w:w="1274"/>
        <w:gridCol w:w="762"/>
      </w:tblGrid>
      <w:tr>
        <w:trPr>
          <w:trHeight w:val="307" w:hRule="exact"/>
        </w:trPr>
        <w:tc>
          <w:tcPr>
            <w:tcW w:w="905" w:type="dxa"/>
            <w:tcBorders>
              <w:bottom w:val="single" w:sz="4" w:space="0" w:color="000000"/>
            </w:tcBorders>
          </w:tcPr>
          <w:p>
            <w:pPr/>
          </w:p>
        </w:tc>
        <w:tc>
          <w:tcPr>
            <w:tcW w:w="2938" w:type="dxa"/>
            <w:gridSpan w:val="3"/>
            <w:tcBorders>
              <w:top w:val="single" w:sz="4" w:space="0" w:color="000000"/>
              <w:bottom w:val="single" w:sz="4" w:space="0" w:color="000000"/>
              <w:right w:val="single" w:sz="4" w:space="0" w:color="000000"/>
            </w:tcBorders>
          </w:tcPr>
          <w:p>
            <w:pPr>
              <w:pStyle w:val="TableParagraph"/>
              <w:spacing w:line="230" w:lineRule="exact" w:before="0"/>
              <w:ind w:left="1168" w:right="1169"/>
              <w:jc w:val="center"/>
              <w:rPr>
                <w:sz w:val="20"/>
              </w:rPr>
            </w:pPr>
            <w:r>
              <w:rPr>
                <w:sz w:val="20"/>
              </w:rPr>
              <w:t>Pico 1</w:t>
            </w:r>
          </w:p>
        </w:tc>
        <w:tc>
          <w:tcPr>
            <w:tcW w:w="2912" w:type="dxa"/>
            <w:gridSpan w:val="3"/>
            <w:tcBorders>
              <w:top w:val="single" w:sz="4" w:space="0" w:color="000000"/>
              <w:left w:val="single" w:sz="4" w:space="0" w:color="000000"/>
              <w:bottom w:val="single" w:sz="4" w:space="0" w:color="000000"/>
              <w:right w:val="single" w:sz="4" w:space="0" w:color="000000"/>
            </w:tcBorders>
          </w:tcPr>
          <w:p>
            <w:pPr>
              <w:pStyle w:val="TableParagraph"/>
              <w:spacing w:line="230" w:lineRule="exact" w:before="0"/>
              <w:ind w:left="1151" w:right="1154"/>
              <w:jc w:val="center"/>
              <w:rPr>
                <w:sz w:val="20"/>
              </w:rPr>
            </w:pPr>
            <w:r>
              <w:rPr>
                <w:sz w:val="20"/>
              </w:rPr>
              <w:t>Pico 2</w:t>
            </w:r>
          </w:p>
        </w:tc>
        <w:tc>
          <w:tcPr>
            <w:tcW w:w="2943" w:type="dxa"/>
            <w:gridSpan w:val="3"/>
            <w:tcBorders>
              <w:top w:val="single" w:sz="4" w:space="0" w:color="000000"/>
              <w:left w:val="single" w:sz="4" w:space="0" w:color="000000"/>
              <w:bottom w:val="single" w:sz="4" w:space="0" w:color="000000"/>
            </w:tcBorders>
          </w:tcPr>
          <w:p>
            <w:pPr>
              <w:pStyle w:val="TableParagraph"/>
              <w:spacing w:line="230" w:lineRule="exact" w:before="0"/>
              <w:ind w:left="1169" w:right="1173"/>
              <w:jc w:val="center"/>
              <w:rPr>
                <w:sz w:val="20"/>
              </w:rPr>
            </w:pPr>
            <w:r>
              <w:rPr>
                <w:sz w:val="20"/>
              </w:rPr>
              <w:t>Pico 3</w:t>
            </w:r>
          </w:p>
        </w:tc>
      </w:tr>
      <w:tr>
        <w:trPr>
          <w:trHeight w:val="804" w:hRule="exact"/>
        </w:trPr>
        <w:tc>
          <w:tcPr>
            <w:tcW w:w="905" w:type="dxa"/>
            <w:tcBorders>
              <w:top w:val="single" w:sz="4" w:space="0" w:color="000000"/>
              <w:bottom w:val="single" w:sz="4" w:space="0" w:color="000000"/>
              <w:right w:val="single" w:sz="4" w:space="0" w:color="000000"/>
            </w:tcBorders>
          </w:tcPr>
          <w:p>
            <w:pPr>
              <w:pStyle w:val="TableParagraph"/>
              <w:spacing w:line="276" w:lineRule="auto" w:before="0"/>
              <w:ind w:left="154" w:right="134" w:hanging="2"/>
              <w:jc w:val="center"/>
              <w:rPr>
                <w:b/>
                <w:sz w:val="20"/>
              </w:rPr>
            </w:pPr>
            <w:r>
              <w:rPr>
                <w:b/>
                <w:sz w:val="20"/>
              </w:rPr>
              <w:t>Luffa </w:t>
            </w:r>
            <w:r>
              <w:rPr>
                <w:b/>
                <w:w w:val="95"/>
                <w:sz w:val="20"/>
              </w:rPr>
              <w:t>(Dosis </w:t>
            </w:r>
            <w:r>
              <w:rPr>
                <w:b/>
                <w:sz w:val="20"/>
              </w:rPr>
              <w:t>kGy)</w:t>
            </w:r>
          </w:p>
        </w:tc>
        <w:tc>
          <w:tcPr>
            <w:tcW w:w="903" w:type="dxa"/>
            <w:tcBorders>
              <w:top w:val="single" w:sz="4" w:space="0" w:color="000000"/>
              <w:left w:val="single" w:sz="4" w:space="0" w:color="000000"/>
              <w:bottom w:val="single" w:sz="4" w:space="0" w:color="000000"/>
            </w:tcBorders>
          </w:tcPr>
          <w:p>
            <w:pPr>
              <w:pStyle w:val="TableParagraph"/>
              <w:spacing w:line="276" w:lineRule="auto" w:before="0"/>
              <w:ind w:left="273" w:hanging="171"/>
              <w:rPr>
                <w:b/>
                <w:sz w:val="20"/>
              </w:rPr>
            </w:pPr>
            <w:r>
              <w:rPr>
                <w:b/>
                <w:w w:val="95"/>
                <w:sz w:val="20"/>
              </w:rPr>
              <w:t>Ángulo </w:t>
            </w:r>
            <w:r>
              <w:rPr>
                <w:b/>
                <w:sz w:val="20"/>
              </w:rPr>
              <w:t>(2</w:t>
            </w:r>
            <w:r>
              <w:rPr>
                <w:rFonts w:ascii="Symbol" w:hAnsi="Symbol"/>
                <w:b/>
                <w:sz w:val="20"/>
              </w:rPr>
              <w:t></w:t>
            </w:r>
            <w:r>
              <w:rPr>
                <w:b/>
                <w:sz w:val="20"/>
              </w:rPr>
              <w:t>)</w:t>
            </w:r>
          </w:p>
        </w:tc>
        <w:tc>
          <w:tcPr>
            <w:tcW w:w="1273" w:type="dxa"/>
            <w:tcBorders>
              <w:top w:val="single" w:sz="4" w:space="0" w:color="000000"/>
              <w:bottom w:val="single" w:sz="4" w:space="0" w:color="000000"/>
            </w:tcBorders>
          </w:tcPr>
          <w:p>
            <w:pPr>
              <w:pStyle w:val="TableParagraph"/>
              <w:spacing w:line="276" w:lineRule="auto" w:before="0"/>
              <w:ind w:left="109" w:right="129" w:hanging="1"/>
              <w:jc w:val="center"/>
              <w:rPr>
                <w:b/>
                <w:sz w:val="20"/>
              </w:rPr>
            </w:pPr>
            <w:r>
              <w:rPr>
                <w:b/>
                <w:sz w:val="20"/>
              </w:rPr>
              <w:t>Distancia </w:t>
            </w:r>
            <w:r>
              <w:rPr>
                <w:b/>
                <w:w w:val="95"/>
                <w:sz w:val="20"/>
              </w:rPr>
              <w:t>interplanar </w:t>
            </w:r>
            <w:r>
              <w:rPr>
                <w:b/>
                <w:sz w:val="20"/>
              </w:rPr>
              <w:t>(Å)</w:t>
            </w:r>
          </w:p>
        </w:tc>
        <w:tc>
          <w:tcPr>
            <w:tcW w:w="762" w:type="dxa"/>
            <w:tcBorders>
              <w:top w:val="single" w:sz="4" w:space="0" w:color="000000"/>
              <w:bottom w:val="single" w:sz="4" w:space="0" w:color="000000"/>
              <w:right w:val="single" w:sz="4" w:space="0" w:color="000000"/>
            </w:tcBorders>
          </w:tcPr>
          <w:p>
            <w:pPr>
              <w:pStyle w:val="TableParagraph"/>
              <w:spacing w:line="276" w:lineRule="auto" w:before="0"/>
              <w:ind w:left="131" w:right="147" w:firstLine="3"/>
              <w:jc w:val="center"/>
              <w:rPr>
                <w:b/>
                <w:sz w:val="20"/>
              </w:rPr>
            </w:pPr>
            <w:r>
              <w:rPr>
                <w:b/>
                <w:sz w:val="20"/>
              </w:rPr>
              <w:t>Max. int. </w:t>
            </w:r>
            <w:r>
              <w:rPr>
                <w:b/>
                <w:w w:val="95"/>
                <w:sz w:val="20"/>
              </w:rPr>
              <w:t>(cps)</w:t>
            </w:r>
          </w:p>
        </w:tc>
        <w:tc>
          <w:tcPr>
            <w:tcW w:w="902" w:type="dxa"/>
            <w:tcBorders>
              <w:top w:val="single" w:sz="4" w:space="0" w:color="000000"/>
              <w:left w:val="single" w:sz="4" w:space="0" w:color="000000"/>
              <w:bottom w:val="single" w:sz="4" w:space="0" w:color="000000"/>
            </w:tcBorders>
          </w:tcPr>
          <w:p>
            <w:pPr>
              <w:pStyle w:val="TableParagraph"/>
              <w:spacing w:line="276" w:lineRule="auto" w:before="0"/>
              <w:ind w:left="271" w:hanging="171"/>
              <w:rPr>
                <w:b/>
                <w:sz w:val="20"/>
              </w:rPr>
            </w:pPr>
            <w:r>
              <w:rPr>
                <w:b/>
                <w:w w:val="95"/>
                <w:sz w:val="20"/>
              </w:rPr>
              <w:t>Ángulo </w:t>
            </w:r>
            <w:r>
              <w:rPr>
                <w:b/>
                <w:sz w:val="20"/>
              </w:rPr>
              <w:t>(2</w:t>
            </w:r>
            <w:r>
              <w:rPr>
                <w:rFonts w:ascii="Symbol" w:hAnsi="Symbol"/>
                <w:b/>
                <w:sz w:val="20"/>
              </w:rPr>
              <w:t></w:t>
            </w:r>
            <w:r>
              <w:rPr>
                <w:b/>
                <w:sz w:val="20"/>
              </w:rPr>
              <w:t>)</w:t>
            </w:r>
          </w:p>
        </w:tc>
        <w:tc>
          <w:tcPr>
            <w:tcW w:w="1267" w:type="dxa"/>
            <w:tcBorders>
              <w:top w:val="single" w:sz="4" w:space="0" w:color="000000"/>
              <w:bottom w:val="single" w:sz="4" w:space="0" w:color="000000"/>
            </w:tcBorders>
          </w:tcPr>
          <w:p>
            <w:pPr>
              <w:pStyle w:val="TableParagraph"/>
              <w:spacing w:line="276" w:lineRule="auto" w:before="0"/>
              <w:ind w:left="110" w:right="121" w:hanging="1"/>
              <w:jc w:val="center"/>
              <w:rPr>
                <w:b/>
                <w:sz w:val="20"/>
              </w:rPr>
            </w:pPr>
            <w:r>
              <w:rPr>
                <w:b/>
                <w:sz w:val="20"/>
              </w:rPr>
              <w:t>Distancia </w:t>
            </w:r>
            <w:r>
              <w:rPr>
                <w:b/>
                <w:w w:val="95"/>
                <w:sz w:val="20"/>
              </w:rPr>
              <w:t>interplanar </w:t>
            </w:r>
            <w:r>
              <w:rPr>
                <w:b/>
                <w:sz w:val="20"/>
              </w:rPr>
              <w:t>(Å)</w:t>
            </w:r>
          </w:p>
        </w:tc>
        <w:tc>
          <w:tcPr>
            <w:tcW w:w="743" w:type="dxa"/>
            <w:tcBorders>
              <w:top w:val="single" w:sz="4" w:space="0" w:color="000000"/>
              <w:bottom w:val="single" w:sz="4" w:space="0" w:color="000000"/>
              <w:right w:val="single" w:sz="4" w:space="0" w:color="000000"/>
            </w:tcBorders>
          </w:tcPr>
          <w:p>
            <w:pPr>
              <w:pStyle w:val="TableParagraph"/>
              <w:spacing w:line="276" w:lineRule="auto" w:before="0"/>
              <w:ind w:left="123" w:right="135" w:hanging="2"/>
              <w:jc w:val="center"/>
              <w:rPr>
                <w:b/>
                <w:sz w:val="20"/>
              </w:rPr>
            </w:pPr>
            <w:r>
              <w:rPr>
                <w:b/>
                <w:sz w:val="20"/>
              </w:rPr>
              <w:t>Max. int. </w:t>
            </w:r>
            <w:r>
              <w:rPr>
                <w:b/>
                <w:w w:val="95"/>
                <w:sz w:val="20"/>
              </w:rPr>
              <w:t>(cps)</w:t>
            </w:r>
          </w:p>
        </w:tc>
        <w:tc>
          <w:tcPr>
            <w:tcW w:w="907" w:type="dxa"/>
            <w:tcBorders>
              <w:top w:val="single" w:sz="4" w:space="0" w:color="000000"/>
              <w:left w:val="single" w:sz="4" w:space="0" w:color="000000"/>
              <w:bottom w:val="single" w:sz="4" w:space="0" w:color="000000"/>
            </w:tcBorders>
          </w:tcPr>
          <w:p>
            <w:pPr>
              <w:pStyle w:val="TableParagraph"/>
              <w:spacing w:line="276" w:lineRule="auto" w:before="0"/>
              <w:ind w:left="273" w:hanging="168"/>
              <w:rPr>
                <w:b/>
                <w:sz w:val="20"/>
              </w:rPr>
            </w:pPr>
            <w:r>
              <w:rPr>
                <w:b/>
                <w:w w:val="95"/>
                <w:sz w:val="20"/>
              </w:rPr>
              <w:t>Ángulo </w:t>
            </w:r>
            <w:r>
              <w:rPr>
                <w:b/>
                <w:sz w:val="20"/>
              </w:rPr>
              <w:t>(2</w:t>
            </w:r>
            <w:r>
              <w:rPr>
                <w:rFonts w:ascii="Symbol" w:hAnsi="Symbol"/>
                <w:b/>
                <w:sz w:val="20"/>
              </w:rPr>
              <w:t></w:t>
            </w:r>
            <w:r>
              <w:rPr>
                <w:b/>
                <w:sz w:val="20"/>
              </w:rPr>
              <w:t>)</w:t>
            </w:r>
          </w:p>
        </w:tc>
        <w:tc>
          <w:tcPr>
            <w:tcW w:w="1274" w:type="dxa"/>
            <w:tcBorders>
              <w:top w:val="single" w:sz="4" w:space="0" w:color="000000"/>
              <w:bottom w:val="single" w:sz="4" w:space="0" w:color="000000"/>
            </w:tcBorders>
          </w:tcPr>
          <w:p>
            <w:pPr>
              <w:pStyle w:val="TableParagraph"/>
              <w:spacing w:line="276" w:lineRule="auto" w:before="0"/>
              <w:ind w:left="111" w:right="128" w:hanging="1"/>
              <w:jc w:val="center"/>
              <w:rPr>
                <w:b/>
                <w:sz w:val="20"/>
              </w:rPr>
            </w:pPr>
            <w:r>
              <w:rPr>
                <w:b/>
                <w:sz w:val="20"/>
              </w:rPr>
              <w:t>Distancia </w:t>
            </w:r>
            <w:r>
              <w:rPr>
                <w:b/>
                <w:w w:val="95"/>
                <w:sz w:val="20"/>
              </w:rPr>
              <w:t>interplanar </w:t>
            </w:r>
            <w:r>
              <w:rPr>
                <w:b/>
                <w:sz w:val="20"/>
              </w:rPr>
              <w:t>(Å)</w:t>
            </w:r>
          </w:p>
        </w:tc>
        <w:tc>
          <w:tcPr>
            <w:tcW w:w="762" w:type="dxa"/>
            <w:tcBorders>
              <w:top w:val="single" w:sz="4" w:space="0" w:color="000000"/>
              <w:bottom w:val="single" w:sz="4" w:space="0" w:color="000000"/>
            </w:tcBorders>
          </w:tcPr>
          <w:p>
            <w:pPr>
              <w:pStyle w:val="TableParagraph"/>
              <w:spacing w:line="276" w:lineRule="auto" w:before="0"/>
              <w:ind w:left="130" w:right="152" w:firstLine="3"/>
              <w:jc w:val="center"/>
              <w:rPr>
                <w:b/>
                <w:sz w:val="20"/>
              </w:rPr>
            </w:pPr>
            <w:r>
              <w:rPr>
                <w:b/>
                <w:sz w:val="20"/>
              </w:rPr>
              <w:t>Max. int. </w:t>
            </w:r>
            <w:r>
              <w:rPr>
                <w:b/>
                <w:w w:val="95"/>
                <w:sz w:val="20"/>
              </w:rPr>
              <w:t>(cps)</w:t>
            </w:r>
          </w:p>
        </w:tc>
      </w:tr>
      <w:tr>
        <w:trPr>
          <w:trHeight w:val="262" w:hRule="exact"/>
        </w:trPr>
        <w:tc>
          <w:tcPr>
            <w:tcW w:w="905" w:type="dxa"/>
            <w:tcBorders>
              <w:top w:val="single" w:sz="4" w:space="0" w:color="000000"/>
              <w:right w:val="single" w:sz="4" w:space="0" w:color="000000"/>
            </w:tcBorders>
          </w:tcPr>
          <w:p>
            <w:pPr>
              <w:pStyle w:val="TableParagraph"/>
              <w:spacing w:line="230" w:lineRule="exact" w:before="0"/>
              <w:ind w:left="17"/>
              <w:jc w:val="center"/>
              <w:rPr>
                <w:sz w:val="20"/>
              </w:rPr>
            </w:pPr>
            <w:r>
              <w:rPr>
                <w:w w:val="99"/>
                <w:sz w:val="20"/>
              </w:rPr>
              <w:t>0</w:t>
            </w:r>
          </w:p>
        </w:tc>
        <w:tc>
          <w:tcPr>
            <w:tcW w:w="903" w:type="dxa"/>
            <w:tcBorders>
              <w:top w:val="single" w:sz="4" w:space="0" w:color="000000"/>
              <w:left w:val="single" w:sz="4" w:space="0" w:color="000000"/>
            </w:tcBorders>
          </w:tcPr>
          <w:p>
            <w:pPr>
              <w:pStyle w:val="TableParagraph"/>
              <w:spacing w:line="230" w:lineRule="exact" w:before="0"/>
              <w:ind w:left="0" w:right="144"/>
              <w:jc w:val="right"/>
              <w:rPr>
                <w:sz w:val="20"/>
              </w:rPr>
            </w:pPr>
            <w:r>
              <w:rPr>
                <w:w w:val="95"/>
                <w:sz w:val="20"/>
              </w:rPr>
              <w:t>15.709</w:t>
            </w:r>
          </w:p>
        </w:tc>
        <w:tc>
          <w:tcPr>
            <w:tcW w:w="1273" w:type="dxa"/>
            <w:tcBorders>
              <w:top w:val="single" w:sz="4" w:space="0" w:color="000000"/>
            </w:tcBorders>
          </w:tcPr>
          <w:p>
            <w:pPr>
              <w:pStyle w:val="TableParagraph"/>
              <w:spacing w:line="230" w:lineRule="exact" w:before="0"/>
              <w:ind w:left="356" w:right="375"/>
              <w:jc w:val="center"/>
              <w:rPr>
                <w:sz w:val="20"/>
              </w:rPr>
            </w:pPr>
            <w:r>
              <w:rPr>
                <w:sz w:val="20"/>
              </w:rPr>
              <w:t>5.636</w:t>
            </w:r>
          </w:p>
        </w:tc>
        <w:tc>
          <w:tcPr>
            <w:tcW w:w="762" w:type="dxa"/>
            <w:tcBorders>
              <w:top w:val="single" w:sz="4" w:space="0" w:color="000000"/>
              <w:right w:val="single" w:sz="4" w:space="0" w:color="000000"/>
            </w:tcBorders>
          </w:tcPr>
          <w:p>
            <w:pPr>
              <w:pStyle w:val="TableParagraph"/>
              <w:spacing w:line="230" w:lineRule="exact" w:before="0"/>
              <w:ind w:left="182" w:right="200"/>
              <w:jc w:val="center"/>
              <w:rPr>
                <w:sz w:val="20"/>
              </w:rPr>
            </w:pPr>
            <w:r>
              <w:rPr>
                <w:sz w:val="20"/>
              </w:rPr>
              <w:t>748</w:t>
            </w:r>
          </w:p>
        </w:tc>
        <w:tc>
          <w:tcPr>
            <w:tcW w:w="902" w:type="dxa"/>
            <w:tcBorders>
              <w:top w:val="single" w:sz="4" w:space="0" w:color="000000"/>
              <w:left w:val="single" w:sz="4" w:space="0" w:color="000000"/>
            </w:tcBorders>
          </w:tcPr>
          <w:p>
            <w:pPr>
              <w:pStyle w:val="TableParagraph"/>
              <w:spacing w:line="230" w:lineRule="exact" w:before="0"/>
              <w:ind w:left="119" w:right="125"/>
              <w:jc w:val="center"/>
              <w:rPr>
                <w:sz w:val="20"/>
              </w:rPr>
            </w:pPr>
            <w:r>
              <w:rPr>
                <w:sz w:val="20"/>
              </w:rPr>
              <w:t>22.574</w:t>
            </w:r>
          </w:p>
        </w:tc>
        <w:tc>
          <w:tcPr>
            <w:tcW w:w="1267" w:type="dxa"/>
            <w:tcBorders>
              <w:top w:val="single" w:sz="4" w:space="0" w:color="000000"/>
            </w:tcBorders>
          </w:tcPr>
          <w:p>
            <w:pPr>
              <w:pStyle w:val="TableParagraph"/>
              <w:spacing w:line="230" w:lineRule="exact" w:before="0"/>
              <w:ind w:left="358" w:right="368"/>
              <w:jc w:val="center"/>
              <w:rPr>
                <w:sz w:val="20"/>
              </w:rPr>
            </w:pPr>
            <w:r>
              <w:rPr>
                <w:sz w:val="20"/>
              </w:rPr>
              <w:t>3.935</w:t>
            </w:r>
          </w:p>
        </w:tc>
        <w:tc>
          <w:tcPr>
            <w:tcW w:w="743" w:type="dxa"/>
            <w:tcBorders>
              <w:top w:val="single" w:sz="4" w:space="0" w:color="000000"/>
              <w:right w:val="single" w:sz="4" w:space="0" w:color="000000"/>
            </w:tcBorders>
          </w:tcPr>
          <w:p>
            <w:pPr>
              <w:pStyle w:val="TableParagraph"/>
              <w:spacing w:line="230" w:lineRule="exact" w:before="0"/>
              <w:ind w:left="120" w:right="133"/>
              <w:jc w:val="center"/>
              <w:rPr>
                <w:sz w:val="20"/>
              </w:rPr>
            </w:pPr>
            <w:r>
              <w:rPr>
                <w:sz w:val="20"/>
              </w:rPr>
              <w:t>1614</w:t>
            </w:r>
          </w:p>
        </w:tc>
        <w:tc>
          <w:tcPr>
            <w:tcW w:w="907" w:type="dxa"/>
            <w:tcBorders>
              <w:top w:val="single" w:sz="4" w:space="0" w:color="000000"/>
              <w:left w:val="single" w:sz="4" w:space="0" w:color="000000"/>
            </w:tcBorders>
          </w:tcPr>
          <w:p>
            <w:pPr>
              <w:pStyle w:val="TableParagraph"/>
              <w:spacing w:line="230" w:lineRule="exact" w:before="0"/>
              <w:ind w:left="122" w:right="128"/>
              <w:jc w:val="center"/>
              <w:rPr>
                <w:sz w:val="20"/>
              </w:rPr>
            </w:pPr>
            <w:r>
              <w:rPr>
                <w:sz w:val="20"/>
              </w:rPr>
              <w:t>34.776</w:t>
            </w:r>
          </w:p>
        </w:tc>
        <w:tc>
          <w:tcPr>
            <w:tcW w:w="1274" w:type="dxa"/>
            <w:tcBorders>
              <w:top w:val="single" w:sz="4" w:space="0" w:color="000000"/>
            </w:tcBorders>
          </w:tcPr>
          <w:p>
            <w:pPr>
              <w:pStyle w:val="TableParagraph"/>
              <w:spacing w:line="230" w:lineRule="exact" w:before="0"/>
              <w:ind w:left="377"/>
              <w:rPr>
                <w:sz w:val="20"/>
              </w:rPr>
            </w:pPr>
            <w:r>
              <w:rPr>
                <w:sz w:val="20"/>
              </w:rPr>
              <w:t>2.575</w:t>
            </w:r>
          </w:p>
        </w:tc>
        <w:tc>
          <w:tcPr>
            <w:tcW w:w="762" w:type="dxa"/>
            <w:tcBorders>
              <w:top w:val="single" w:sz="4" w:space="0" w:color="000000"/>
            </w:tcBorders>
          </w:tcPr>
          <w:p>
            <w:pPr>
              <w:pStyle w:val="TableParagraph"/>
              <w:spacing w:line="230" w:lineRule="exact" w:before="0"/>
              <w:rPr>
                <w:sz w:val="20"/>
              </w:rPr>
            </w:pPr>
            <w:r>
              <w:rPr>
                <w:sz w:val="20"/>
              </w:rPr>
              <w:t>440</w:t>
            </w:r>
          </w:p>
        </w:tc>
      </w:tr>
      <w:tr>
        <w:trPr>
          <w:trHeight w:val="264" w:hRule="exact"/>
        </w:trPr>
        <w:tc>
          <w:tcPr>
            <w:tcW w:w="905" w:type="dxa"/>
            <w:tcBorders>
              <w:right w:val="single" w:sz="4" w:space="0" w:color="000000"/>
            </w:tcBorders>
          </w:tcPr>
          <w:p>
            <w:pPr>
              <w:pStyle w:val="TableParagraph"/>
              <w:spacing w:before="6"/>
              <w:ind w:left="271" w:right="254"/>
              <w:jc w:val="center"/>
              <w:rPr>
                <w:sz w:val="20"/>
              </w:rPr>
            </w:pPr>
            <w:r>
              <w:rPr>
                <w:sz w:val="20"/>
              </w:rPr>
              <w:t>50</w:t>
            </w:r>
          </w:p>
        </w:tc>
        <w:tc>
          <w:tcPr>
            <w:tcW w:w="903" w:type="dxa"/>
            <w:tcBorders>
              <w:left w:val="single" w:sz="4" w:space="0" w:color="000000"/>
            </w:tcBorders>
          </w:tcPr>
          <w:p>
            <w:pPr>
              <w:pStyle w:val="TableParagraph"/>
              <w:spacing w:before="6"/>
              <w:ind w:left="0" w:right="144"/>
              <w:jc w:val="right"/>
              <w:rPr>
                <w:sz w:val="20"/>
              </w:rPr>
            </w:pPr>
            <w:r>
              <w:rPr>
                <w:w w:val="95"/>
                <w:sz w:val="20"/>
              </w:rPr>
              <w:t>14.611</w:t>
            </w:r>
          </w:p>
        </w:tc>
        <w:tc>
          <w:tcPr>
            <w:tcW w:w="1273" w:type="dxa"/>
          </w:tcPr>
          <w:p>
            <w:pPr>
              <w:pStyle w:val="TableParagraph"/>
              <w:spacing w:before="6"/>
              <w:ind w:left="356" w:right="375"/>
              <w:jc w:val="center"/>
              <w:rPr>
                <w:sz w:val="20"/>
              </w:rPr>
            </w:pPr>
            <w:r>
              <w:rPr>
                <w:sz w:val="20"/>
              </w:rPr>
              <w:t>6.057</w:t>
            </w:r>
          </w:p>
        </w:tc>
        <w:tc>
          <w:tcPr>
            <w:tcW w:w="762" w:type="dxa"/>
            <w:tcBorders>
              <w:right w:val="single" w:sz="4" w:space="0" w:color="000000"/>
            </w:tcBorders>
          </w:tcPr>
          <w:p>
            <w:pPr>
              <w:pStyle w:val="TableParagraph"/>
              <w:spacing w:before="6"/>
              <w:ind w:left="182" w:right="200"/>
              <w:jc w:val="center"/>
              <w:rPr>
                <w:sz w:val="20"/>
              </w:rPr>
            </w:pPr>
            <w:r>
              <w:rPr>
                <w:sz w:val="20"/>
              </w:rPr>
              <w:t>780</w:t>
            </w:r>
          </w:p>
        </w:tc>
        <w:tc>
          <w:tcPr>
            <w:tcW w:w="902" w:type="dxa"/>
            <w:tcBorders>
              <w:left w:val="single" w:sz="4" w:space="0" w:color="000000"/>
            </w:tcBorders>
          </w:tcPr>
          <w:p>
            <w:pPr>
              <w:pStyle w:val="TableParagraph"/>
              <w:spacing w:before="6"/>
              <w:ind w:left="119" w:right="125"/>
              <w:jc w:val="center"/>
              <w:rPr>
                <w:sz w:val="20"/>
              </w:rPr>
            </w:pPr>
            <w:r>
              <w:rPr>
                <w:sz w:val="20"/>
              </w:rPr>
              <w:t>22.370</w:t>
            </w:r>
          </w:p>
        </w:tc>
        <w:tc>
          <w:tcPr>
            <w:tcW w:w="1267" w:type="dxa"/>
          </w:tcPr>
          <w:p>
            <w:pPr>
              <w:pStyle w:val="TableParagraph"/>
              <w:spacing w:before="6"/>
              <w:ind w:left="358" w:right="368"/>
              <w:jc w:val="center"/>
              <w:rPr>
                <w:sz w:val="20"/>
              </w:rPr>
            </w:pPr>
            <w:r>
              <w:rPr>
                <w:sz w:val="20"/>
              </w:rPr>
              <w:t>3.940</w:t>
            </w:r>
          </w:p>
        </w:tc>
        <w:tc>
          <w:tcPr>
            <w:tcW w:w="743" w:type="dxa"/>
            <w:tcBorders>
              <w:right w:val="single" w:sz="4" w:space="0" w:color="000000"/>
            </w:tcBorders>
          </w:tcPr>
          <w:p>
            <w:pPr>
              <w:pStyle w:val="TableParagraph"/>
              <w:spacing w:before="6"/>
              <w:ind w:left="120" w:right="133"/>
              <w:jc w:val="center"/>
              <w:rPr>
                <w:sz w:val="20"/>
              </w:rPr>
            </w:pPr>
            <w:r>
              <w:rPr>
                <w:sz w:val="20"/>
              </w:rPr>
              <w:t>1552</w:t>
            </w:r>
          </w:p>
        </w:tc>
        <w:tc>
          <w:tcPr>
            <w:tcW w:w="907" w:type="dxa"/>
            <w:tcBorders>
              <w:left w:val="single" w:sz="4" w:space="0" w:color="000000"/>
            </w:tcBorders>
          </w:tcPr>
          <w:p>
            <w:pPr>
              <w:pStyle w:val="TableParagraph"/>
              <w:spacing w:before="6"/>
              <w:ind w:left="122" w:right="128"/>
              <w:jc w:val="center"/>
              <w:rPr>
                <w:sz w:val="20"/>
              </w:rPr>
            </w:pPr>
            <w:r>
              <w:rPr>
                <w:sz w:val="20"/>
              </w:rPr>
              <w:t>34.802</w:t>
            </w:r>
          </w:p>
        </w:tc>
        <w:tc>
          <w:tcPr>
            <w:tcW w:w="1274" w:type="dxa"/>
          </w:tcPr>
          <w:p>
            <w:pPr>
              <w:pStyle w:val="TableParagraph"/>
              <w:spacing w:before="6"/>
              <w:ind w:left="377"/>
              <w:rPr>
                <w:sz w:val="20"/>
              </w:rPr>
            </w:pPr>
            <w:r>
              <w:rPr>
                <w:sz w:val="20"/>
              </w:rPr>
              <w:t>2.598</w:t>
            </w:r>
          </w:p>
        </w:tc>
        <w:tc>
          <w:tcPr>
            <w:tcW w:w="762" w:type="dxa"/>
          </w:tcPr>
          <w:p>
            <w:pPr>
              <w:pStyle w:val="TableParagraph"/>
              <w:spacing w:before="6"/>
              <w:rPr>
                <w:sz w:val="20"/>
              </w:rPr>
            </w:pPr>
            <w:r>
              <w:rPr>
                <w:sz w:val="20"/>
              </w:rPr>
              <w:t>308</w:t>
            </w:r>
          </w:p>
        </w:tc>
      </w:tr>
      <w:tr>
        <w:trPr>
          <w:trHeight w:val="276" w:hRule="exact"/>
        </w:trPr>
        <w:tc>
          <w:tcPr>
            <w:tcW w:w="905" w:type="dxa"/>
            <w:tcBorders>
              <w:bottom w:val="single" w:sz="4" w:space="0" w:color="000000"/>
              <w:right w:val="single" w:sz="4" w:space="0" w:color="000000"/>
            </w:tcBorders>
          </w:tcPr>
          <w:p>
            <w:pPr>
              <w:pStyle w:val="TableParagraph"/>
              <w:spacing w:before="6"/>
              <w:ind w:left="271" w:right="254"/>
              <w:jc w:val="center"/>
              <w:rPr>
                <w:sz w:val="20"/>
              </w:rPr>
            </w:pPr>
            <w:r>
              <w:rPr>
                <w:sz w:val="20"/>
              </w:rPr>
              <w:t>100</w:t>
            </w:r>
          </w:p>
        </w:tc>
        <w:tc>
          <w:tcPr>
            <w:tcW w:w="903" w:type="dxa"/>
            <w:tcBorders>
              <w:left w:val="single" w:sz="4" w:space="0" w:color="000000"/>
              <w:bottom w:val="single" w:sz="4" w:space="0" w:color="000000"/>
            </w:tcBorders>
          </w:tcPr>
          <w:p>
            <w:pPr>
              <w:pStyle w:val="TableParagraph"/>
              <w:spacing w:before="6"/>
              <w:ind w:left="0" w:right="144"/>
              <w:jc w:val="right"/>
              <w:rPr>
                <w:sz w:val="20"/>
              </w:rPr>
            </w:pPr>
            <w:r>
              <w:rPr>
                <w:w w:val="95"/>
                <w:sz w:val="20"/>
              </w:rPr>
              <w:t>15.036</w:t>
            </w:r>
          </w:p>
        </w:tc>
        <w:tc>
          <w:tcPr>
            <w:tcW w:w="1273" w:type="dxa"/>
            <w:tcBorders>
              <w:bottom w:val="single" w:sz="4" w:space="0" w:color="000000"/>
            </w:tcBorders>
          </w:tcPr>
          <w:p>
            <w:pPr>
              <w:pStyle w:val="TableParagraph"/>
              <w:spacing w:before="6"/>
              <w:ind w:left="356" w:right="375"/>
              <w:jc w:val="center"/>
              <w:rPr>
                <w:sz w:val="20"/>
              </w:rPr>
            </w:pPr>
            <w:r>
              <w:rPr>
                <w:sz w:val="20"/>
              </w:rPr>
              <w:t>5.887</w:t>
            </w:r>
          </w:p>
        </w:tc>
        <w:tc>
          <w:tcPr>
            <w:tcW w:w="762" w:type="dxa"/>
            <w:tcBorders>
              <w:bottom w:val="single" w:sz="4" w:space="0" w:color="000000"/>
              <w:right w:val="single" w:sz="4" w:space="0" w:color="000000"/>
            </w:tcBorders>
          </w:tcPr>
          <w:p>
            <w:pPr>
              <w:pStyle w:val="TableParagraph"/>
              <w:spacing w:before="6"/>
              <w:ind w:left="182" w:right="200"/>
              <w:jc w:val="center"/>
              <w:rPr>
                <w:sz w:val="20"/>
              </w:rPr>
            </w:pPr>
            <w:r>
              <w:rPr>
                <w:sz w:val="20"/>
              </w:rPr>
              <w:t>820</w:t>
            </w:r>
          </w:p>
        </w:tc>
        <w:tc>
          <w:tcPr>
            <w:tcW w:w="902" w:type="dxa"/>
            <w:tcBorders>
              <w:left w:val="single" w:sz="4" w:space="0" w:color="000000"/>
              <w:bottom w:val="single" w:sz="4" w:space="0" w:color="000000"/>
            </w:tcBorders>
          </w:tcPr>
          <w:p>
            <w:pPr>
              <w:pStyle w:val="TableParagraph"/>
              <w:spacing w:before="6"/>
              <w:ind w:left="119" w:right="125"/>
              <w:jc w:val="center"/>
              <w:rPr>
                <w:sz w:val="20"/>
              </w:rPr>
            </w:pPr>
            <w:r>
              <w:rPr>
                <w:sz w:val="20"/>
              </w:rPr>
              <w:t>22.545</w:t>
            </w:r>
          </w:p>
        </w:tc>
        <w:tc>
          <w:tcPr>
            <w:tcW w:w="1267" w:type="dxa"/>
            <w:tcBorders>
              <w:bottom w:val="single" w:sz="4" w:space="0" w:color="000000"/>
            </w:tcBorders>
          </w:tcPr>
          <w:p>
            <w:pPr>
              <w:pStyle w:val="TableParagraph"/>
              <w:spacing w:before="6"/>
              <w:ind w:left="358" w:right="368"/>
              <w:jc w:val="center"/>
              <w:rPr>
                <w:sz w:val="20"/>
              </w:rPr>
            </w:pPr>
            <w:r>
              <w:rPr>
                <w:sz w:val="20"/>
              </w:rPr>
              <w:t>2.577</w:t>
            </w:r>
          </w:p>
        </w:tc>
        <w:tc>
          <w:tcPr>
            <w:tcW w:w="743" w:type="dxa"/>
            <w:tcBorders>
              <w:bottom w:val="single" w:sz="4" w:space="0" w:color="000000"/>
              <w:right w:val="single" w:sz="4" w:space="0" w:color="000000"/>
            </w:tcBorders>
          </w:tcPr>
          <w:p>
            <w:pPr>
              <w:pStyle w:val="TableParagraph"/>
              <w:spacing w:before="6"/>
              <w:ind w:left="120" w:right="133"/>
              <w:jc w:val="center"/>
              <w:rPr>
                <w:sz w:val="20"/>
              </w:rPr>
            </w:pPr>
            <w:r>
              <w:rPr>
                <w:sz w:val="20"/>
              </w:rPr>
              <w:t>308</w:t>
            </w:r>
          </w:p>
        </w:tc>
        <w:tc>
          <w:tcPr>
            <w:tcW w:w="907" w:type="dxa"/>
            <w:tcBorders>
              <w:left w:val="single" w:sz="4" w:space="0" w:color="000000"/>
              <w:bottom w:val="single" w:sz="4" w:space="0" w:color="000000"/>
            </w:tcBorders>
          </w:tcPr>
          <w:p>
            <w:pPr>
              <w:pStyle w:val="TableParagraph"/>
              <w:spacing w:before="6"/>
              <w:ind w:left="122" w:right="128"/>
              <w:jc w:val="center"/>
              <w:rPr>
                <w:sz w:val="20"/>
              </w:rPr>
            </w:pPr>
            <w:r>
              <w:rPr>
                <w:sz w:val="20"/>
              </w:rPr>
              <w:t>34.485</w:t>
            </w:r>
          </w:p>
        </w:tc>
        <w:tc>
          <w:tcPr>
            <w:tcW w:w="1274" w:type="dxa"/>
            <w:tcBorders>
              <w:bottom w:val="single" w:sz="4" w:space="0" w:color="000000"/>
            </w:tcBorders>
          </w:tcPr>
          <w:p>
            <w:pPr>
              <w:pStyle w:val="TableParagraph"/>
              <w:spacing w:before="6"/>
              <w:ind w:left="377"/>
              <w:rPr>
                <w:sz w:val="20"/>
              </w:rPr>
            </w:pPr>
            <w:r>
              <w:rPr>
                <w:sz w:val="20"/>
              </w:rPr>
              <w:t>2.598</w:t>
            </w:r>
          </w:p>
        </w:tc>
        <w:tc>
          <w:tcPr>
            <w:tcW w:w="762" w:type="dxa"/>
            <w:tcBorders>
              <w:bottom w:val="single" w:sz="4" w:space="0" w:color="000000"/>
            </w:tcBorders>
          </w:tcPr>
          <w:p>
            <w:pPr>
              <w:pStyle w:val="TableParagraph"/>
              <w:spacing w:before="6"/>
              <w:rPr>
                <w:sz w:val="20"/>
              </w:rPr>
            </w:pPr>
            <w:r>
              <w:rPr>
                <w:sz w:val="20"/>
              </w:rPr>
              <w:t>367</w:t>
            </w:r>
          </w:p>
        </w:tc>
      </w:tr>
    </w:tbl>
    <w:p>
      <w:pPr>
        <w:pStyle w:val="BodyText"/>
        <w:spacing w:before="6"/>
        <w:rPr>
          <w:sz w:val="21"/>
        </w:rPr>
      </w:pPr>
    </w:p>
    <w:p>
      <w:pPr>
        <w:pStyle w:val="BodyText"/>
        <w:spacing w:line="276" w:lineRule="auto" w:before="69"/>
        <w:ind w:left="542" w:right="540"/>
        <w:jc w:val="both"/>
      </w:pPr>
      <w:r>
        <w:rPr/>
        <w:t>La Figura 3.13 muestra la variación de los valores de la distancia interplanar para cada uno de los picos. Se observa un comportamiento constante. La máxima variación (6.9%) se obtuvo para fibras irradiadas a 50 kGy (pico 1).</w:t>
      </w:r>
    </w:p>
    <w:p>
      <w:pPr>
        <w:pStyle w:val="BodyText"/>
        <w:ind w:left="2594"/>
        <w:rPr>
          <w:sz w:val="20"/>
        </w:rPr>
      </w:pPr>
      <w:r>
        <w:rPr>
          <w:sz w:val="20"/>
        </w:rPr>
        <w:drawing>
          <wp:inline distT="0" distB="0" distL="0" distR="0">
            <wp:extent cx="2991240" cy="2300954"/>
            <wp:effectExtent l="0" t="0" r="0" b="0"/>
            <wp:docPr id="77" name="image49.png" descr=""/>
            <wp:cNvGraphicFramePr>
              <a:graphicFrameLocks noChangeAspect="1"/>
            </wp:cNvGraphicFramePr>
            <a:graphic>
              <a:graphicData uri="http://schemas.openxmlformats.org/drawingml/2006/picture">
                <pic:pic>
                  <pic:nvPicPr>
                    <pic:cNvPr id="78" name="image49.png"/>
                    <pic:cNvPicPr/>
                  </pic:nvPicPr>
                  <pic:blipFill>
                    <a:blip r:embed="rId65" cstate="print"/>
                    <a:stretch>
                      <a:fillRect/>
                    </a:stretch>
                  </pic:blipFill>
                  <pic:spPr>
                    <a:xfrm>
                      <a:off x="0" y="0"/>
                      <a:ext cx="2991240" cy="2300954"/>
                    </a:xfrm>
                    <a:prstGeom prst="rect">
                      <a:avLst/>
                    </a:prstGeom>
                  </pic:spPr>
                </pic:pic>
              </a:graphicData>
            </a:graphic>
          </wp:inline>
        </w:drawing>
      </w:r>
      <w:r>
        <w:rPr>
          <w:sz w:val="20"/>
        </w:rPr>
      </w:r>
    </w:p>
    <w:p>
      <w:pPr>
        <w:pStyle w:val="BodyText"/>
        <w:spacing w:line="278" w:lineRule="auto" w:before="56"/>
        <w:ind w:left="4526" w:right="545" w:hanging="3963"/>
      </w:pPr>
      <w:r>
        <w:rPr/>
        <w:t>Figura 3.12. Distancia interplanar de los picos conforme varía la dosis de radiación gamma.</w:t>
      </w:r>
    </w:p>
    <w:p>
      <w:pPr>
        <w:pStyle w:val="BodyText"/>
        <w:spacing w:line="276" w:lineRule="auto"/>
        <w:ind w:left="542" w:right="538"/>
        <w:jc w:val="both"/>
      </w:pPr>
      <w:r>
        <w:rPr/>
        <w:t>La intensidad de los picos no presenta variación considerable al incrementar la dosis de radiación presentando un comportamiento constante (Figura 3.13).</w:t>
      </w:r>
    </w:p>
    <w:p>
      <w:pPr>
        <w:spacing w:after="0" w:line="276" w:lineRule="auto"/>
        <w:jc w:val="both"/>
        <w:sectPr>
          <w:headerReference w:type="default" r:id="rId64"/>
          <w:pgSz w:w="12240" w:h="15840"/>
          <w:pgMar w:header="747" w:footer="0" w:top="940" w:bottom="280" w:left="1160" w:right="1160"/>
        </w:sectPr>
      </w:pPr>
    </w:p>
    <w:p>
      <w:pPr>
        <w:pStyle w:val="BodyText"/>
        <w:rPr>
          <w:sz w:val="20"/>
        </w:rPr>
      </w:pPr>
    </w:p>
    <w:p>
      <w:pPr>
        <w:pStyle w:val="BodyText"/>
        <w:spacing w:before="8"/>
        <w:rPr>
          <w:sz w:val="20"/>
        </w:rPr>
      </w:pPr>
    </w:p>
    <w:p>
      <w:pPr>
        <w:pStyle w:val="BodyText"/>
        <w:ind w:left="2295"/>
        <w:rPr>
          <w:sz w:val="20"/>
        </w:rPr>
      </w:pPr>
      <w:r>
        <w:rPr>
          <w:sz w:val="20"/>
        </w:rPr>
        <w:drawing>
          <wp:inline distT="0" distB="0" distL="0" distR="0">
            <wp:extent cx="2824173" cy="1909667"/>
            <wp:effectExtent l="0" t="0" r="0" b="0"/>
            <wp:docPr id="79" name="image50.png" descr=""/>
            <wp:cNvGraphicFramePr>
              <a:graphicFrameLocks noChangeAspect="1"/>
            </wp:cNvGraphicFramePr>
            <a:graphic>
              <a:graphicData uri="http://schemas.openxmlformats.org/drawingml/2006/picture">
                <pic:pic>
                  <pic:nvPicPr>
                    <pic:cNvPr id="80" name="image50.png"/>
                    <pic:cNvPicPr/>
                  </pic:nvPicPr>
                  <pic:blipFill>
                    <a:blip r:embed="rId67" cstate="print"/>
                    <a:stretch>
                      <a:fillRect/>
                    </a:stretch>
                  </pic:blipFill>
                  <pic:spPr>
                    <a:xfrm>
                      <a:off x="0" y="0"/>
                      <a:ext cx="2824173" cy="1909667"/>
                    </a:xfrm>
                    <a:prstGeom prst="rect">
                      <a:avLst/>
                    </a:prstGeom>
                  </pic:spPr>
                </pic:pic>
              </a:graphicData>
            </a:graphic>
          </wp:inline>
        </w:drawing>
      </w:r>
      <w:r>
        <w:rPr>
          <w:sz w:val="20"/>
        </w:rPr>
      </w:r>
    </w:p>
    <w:p>
      <w:pPr>
        <w:pStyle w:val="BodyText"/>
        <w:spacing w:before="38"/>
        <w:ind w:left="102" w:right="109" w:firstLine="100"/>
      </w:pPr>
      <w:r>
        <w:rPr/>
        <w:t>Figura 3.13. Intensidad de los picos conforme varia la dosis de radiación gamma.</w:t>
      </w:r>
    </w:p>
    <w:p>
      <w:pPr>
        <w:pStyle w:val="BodyText"/>
        <w:spacing w:before="4"/>
        <w:rPr>
          <w:sz w:val="31"/>
        </w:rPr>
      </w:pPr>
    </w:p>
    <w:p>
      <w:pPr>
        <w:pStyle w:val="BodyText"/>
        <w:spacing w:line="273" w:lineRule="auto" w:after="2"/>
        <w:ind w:left="102" w:right="115"/>
        <w:jc w:val="both"/>
      </w:pPr>
      <w:r>
        <w:rPr/>
        <w:t>Al realizar una amplificación a cada pico (Figura 3.14) se observa que: a) Para el pico ubicado a 15</w:t>
      </w:r>
      <w:r>
        <w:rPr>
          <w:position w:val="8"/>
          <w:sz w:val="16"/>
        </w:rPr>
        <w:t>o</w:t>
      </w:r>
      <w:r>
        <w:rPr/>
        <w:t>, los difractogramas a 50 y 100 kGy presentan mayor intensidad en comparación con el difractograma de fibras sin irradiar; b) Para el pico a 22</w:t>
      </w:r>
      <w:r>
        <w:rPr>
          <w:position w:val="8"/>
          <w:sz w:val="16"/>
        </w:rPr>
        <w:t>o</w:t>
      </w:r>
      <w:r>
        <w:rPr/>
        <w:t>, no se presenta claramente un difractograma con mayor o menor intensidad; c) para el pico a 34</w:t>
      </w:r>
      <w:r>
        <w:rPr>
          <w:position w:val="8"/>
          <w:sz w:val="16"/>
        </w:rPr>
        <w:t>o</w:t>
      </w:r>
      <w:r>
        <w:rPr/>
        <w:t>, los valores de la fibra sin irradiar son mayores en comparación con las fibras irradiadas a 50 y 100 kGy.</w:t>
      </w:r>
    </w:p>
    <w:p>
      <w:pPr>
        <w:pStyle w:val="BodyText"/>
        <w:ind w:left="327"/>
        <w:rPr>
          <w:sz w:val="20"/>
        </w:rPr>
      </w:pPr>
      <w:r>
        <w:rPr>
          <w:sz w:val="20"/>
        </w:rPr>
        <w:pict>
          <v:group style="width:419.3pt;height:153.950pt;mso-position-horizontal-relative:char;mso-position-vertical-relative:line" coordorigin="0,0" coordsize="8386,3079">
            <v:shape style="position:absolute;left:0;top:0;width:4193;height:3079" type="#_x0000_t75" stroked="false">
              <v:imagedata r:id="rId68" o:title=""/>
            </v:shape>
            <v:shape style="position:absolute;left:4193;top:36;width:4193;height:3043" type="#_x0000_t75" stroked="false">
              <v:imagedata r:id="rId69" o:title=""/>
            </v:shape>
          </v:group>
        </w:pict>
      </w:r>
      <w:r>
        <w:rPr>
          <w:sz w:val="20"/>
        </w:rPr>
      </w:r>
    </w:p>
    <w:p>
      <w:pPr>
        <w:pStyle w:val="ListParagraph"/>
        <w:numPr>
          <w:ilvl w:val="2"/>
          <w:numId w:val="21"/>
        </w:numPr>
        <w:tabs>
          <w:tab w:pos="6513" w:val="left" w:leader="none"/>
          <w:tab w:pos="6514" w:val="left" w:leader="none"/>
        </w:tabs>
        <w:spacing w:line="240" w:lineRule="auto" w:before="32" w:after="0"/>
        <w:ind w:left="6513" w:right="0" w:hanging="3675"/>
        <w:jc w:val="left"/>
        <w:rPr>
          <w:sz w:val="24"/>
        </w:rPr>
      </w:pPr>
      <w:r>
        <w:rPr/>
        <w:drawing>
          <wp:anchor distT="0" distB="0" distL="0" distR="0" allowOverlap="1" layoutInCell="1" locked="0" behindDoc="0" simplePos="0" relativeHeight="2536">
            <wp:simplePos x="0" y="0"/>
            <wp:positionH relativeFrom="page">
              <wp:posOffset>2537460</wp:posOffset>
            </wp:positionH>
            <wp:positionV relativeFrom="paragraph">
              <wp:posOffset>221816</wp:posOffset>
            </wp:positionV>
            <wp:extent cx="2667513" cy="1932432"/>
            <wp:effectExtent l="0" t="0" r="0" b="0"/>
            <wp:wrapTopAndBottom/>
            <wp:docPr id="81" name="image53.png" descr=""/>
            <wp:cNvGraphicFramePr>
              <a:graphicFrameLocks noChangeAspect="1"/>
            </wp:cNvGraphicFramePr>
            <a:graphic>
              <a:graphicData uri="http://schemas.openxmlformats.org/drawingml/2006/picture">
                <pic:pic>
                  <pic:nvPicPr>
                    <pic:cNvPr id="82" name="image53.png"/>
                    <pic:cNvPicPr/>
                  </pic:nvPicPr>
                  <pic:blipFill>
                    <a:blip r:embed="rId70" cstate="print"/>
                    <a:stretch>
                      <a:fillRect/>
                    </a:stretch>
                  </pic:blipFill>
                  <pic:spPr>
                    <a:xfrm>
                      <a:off x="0" y="0"/>
                      <a:ext cx="2667513" cy="1932432"/>
                    </a:xfrm>
                    <a:prstGeom prst="rect">
                      <a:avLst/>
                    </a:prstGeom>
                  </pic:spPr>
                </pic:pic>
              </a:graphicData>
            </a:graphic>
          </wp:anchor>
        </w:drawing>
      </w:r>
      <w:r>
        <w:rPr>
          <w:sz w:val="24"/>
        </w:rPr>
        <w:t>b)</w:t>
      </w:r>
    </w:p>
    <w:p>
      <w:pPr>
        <w:pStyle w:val="BodyText"/>
        <w:spacing w:before="31"/>
        <w:ind w:left="334" w:right="153"/>
        <w:jc w:val="center"/>
      </w:pPr>
      <w:r>
        <w:rPr/>
        <w:t>c)</w:t>
      </w:r>
    </w:p>
    <w:p>
      <w:pPr>
        <w:pStyle w:val="BodyText"/>
        <w:spacing w:before="35"/>
        <w:ind w:left="162" w:right="109"/>
      </w:pPr>
      <w:r>
        <w:rPr/>
        <w:t>Figura 3.14. Difractogramas de los picos: a) 15</w:t>
      </w:r>
      <w:r>
        <w:rPr>
          <w:position w:val="8"/>
          <w:sz w:val="16"/>
        </w:rPr>
        <w:t>0</w:t>
      </w:r>
      <w:r>
        <w:rPr/>
        <w:t>, b) 22</w:t>
      </w:r>
      <w:r>
        <w:rPr>
          <w:position w:val="8"/>
          <w:sz w:val="16"/>
        </w:rPr>
        <w:t>o  </w:t>
      </w:r>
      <w:r>
        <w:rPr/>
        <w:t>y c) 34</w:t>
      </w:r>
      <w:r>
        <w:rPr>
          <w:position w:val="8"/>
          <w:sz w:val="16"/>
        </w:rPr>
        <w:t>o </w:t>
      </w:r>
      <w:r>
        <w:rPr/>
        <w:t>de fibras de Luffa.</w:t>
      </w:r>
    </w:p>
    <w:p>
      <w:pPr>
        <w:spacing w:after="0"/>
        <w:sectPr>
          <w:headerReference w:type="default" r:id="rId66"/>
          <w:pgSz w:w="12240" w:h="15840"/>
          <w:pgMar w:header="747" w:footer="0" w:top="940" w:bottom="280" w:left="1600" w:right="1580"/>
          <w:pgNumType w:start="61"/>
        </w:sectPr>
      </w:pPr>
    </w:p>
    <w:p>
      <w:pPr>
        <w:pStyle w:val="BodyText"/>
        <w:rPr>
          <w:sz w:val="20"/>
        </w:rPr>
      </w:pPr>
    </w:p>
    <w:p>
      <w:pPr>
        <w:pStyle w:val="BodyText"/>
        <w:spacing w:before="6"/>
        <w:rPr>
          <w:sz w:val="20"/>
        </w:rPr>
      </w:pPr>
    </w:p>
    <w:p>
      <w:pPr>
        <w:pStyle w:val="BodyText"/>
        <w:spacing w:line="276" w:lineRule="auto"/>
        <w:ind w:left="102" w:right="115"/>
        <w:jc w:val="both"/>
      </w:pPr>
      <w:r>
        <w:rPr/>
        <w:t>En la literatura se ha reportado diferentes arreglos cristalinos para la celulosa: la </w:t>
      </w:r>
      <w:r>
        <w:rPr>
          <w:position w:val="1"/>
        </w:rPr>
        <w:t>nativa o tipo I, II, III</w:t>
      </w:r>
      <w:r>
        <w:rPr>
          <w:sz w:val="16"/>
        </w:rPr>
        <w:t>I</w:t>
      </w:r>
      <w:r>
        <w:rPr>
          <w:position w:val="1"/>
        </w:rPr>
        <w:t>, III</w:t>
      </w:r>
      <w:r>
        <w:rPr>
          <w:sz w:val="16"/>
        </w:rPr>
        <w:t>II</w:t>
      </w:r>
      <w:r>
        <w:rPr>
          <w:position w:val="1"/>
        </w:rPr>
        <w:t>, IV</w:t>
      </w:r>
      <w:r>
        <w:rPr>
          <w:sz w:val="16"/>
        </w:rPr>
        <w:t>I </w:t>
      </w:r>
      <w:r>
        <w:rPr>
          <w:position w:val="1"/>
        </w:rPr>
        <w:t>y IVI</w:t>
      </w:r>
      <w:r>
        <w:rPr>
          <w:sz w:val="16"/>
        </w:rPr>
        <w:t>II</w:t>
      </w:r>
      <w:r>
        <w:rPr>
          <w:position w:val="1"/>
        </w:rPr>
        <w:t>. Se reporta que la celulosa tipo I contiene dos fases coexistentes: celulosa I</w:t>
      </w:r>
      <w:r>
        <w:rPr>
          <w:sz w:val="16"/>
        </w:rPr>
        <w:t>α </w:t>
      </w:r>
      <w:r>
        <w:rPr>
          <w:position w:val="1"/>
        </w:rPr>
        <w:t>y celulosa I</w:t>
      </w:r>
      <w:r>
        <w:rPr>
          <w:sz w:val="16"/>
        </w:rPr>
        <w:t>β </w:t>
      </w:r>
      <w:r>
        <w:rPr>
          <w:position w:val="1"/>
        </w:rPr>
        <w:t>en una proporción que varía dependiendo de su origen. Así mismo, se ha encontrado que la celulosa I</w:t>
      </w:r>
      <w:r>
        <w:rPr>
          <w:sz w:val="16"/>
        </w:rPr>
        <w:t>α </w:t>
      </w:r>
      <w:r>
        <w:rPr>
          <w:position w:val="1"/>
        </w:rPr>
        <w:t>es metaestable y se puede convertir en I</w:t>
      </w:r>
      <w:r>
        <w:rPr>
          <w:sz w:val="16"/>
        </w:rPr>
        <w:t>β </w:t>
      </w:r>
      <w:r>
        <w:rPr>
          <w:position w:val="1"/>
        </w:rPr>
        <w:t>mediante diferentes tratamientos. Esta </w:t>
      </w:r>
      <w:r>
        <w:rPr/>
        <w:t>conversión es causada por la modificación de los enlaces que dan origen a las fases de la celulosa nativa [55]..</w:t>
      </w:r>
    </w:p>
    <w:p>
      <w:pPr>
        <w:pStyle w:val="BodyText"/>
        <w:spacing w:before="6"/>
        <w:rPr>
          <w:sz w:val="27"/>
        </w:rPr>
      </w:pPr>
    </w:p>
    <w:p>
      <w:pPr>
        <w:pStyle w:val="BodyText"/>
        <w:spacing w:line="276" w:lineRule="auto" w:before="1"/>
        <w:ind w:left="102" w:right="120"/>
        <w:jc w:val="both"/>
      </w:pPr>
      <w:r>
        <w:rPr/>
        <w:t>Con base en la Figura 3.10, se establece que la radiación gamma no modifica de manera considerable la cristalinidad (el cambio en el ICR no es mayor a 1%) por lo que estos cambios no afectan las propiedades de la fibra y con consecuencia las propiedades finales del concreto polimérico.</w:t>
      </w:r>
    </w:p>
    <w:p>
      <w:pPr>
        <w:pStyle w:val="BodyText"/>
        <w:spacing w:before="9"/>
        <w:rPr>
          <w:sz w:val="27"/>
        </w:rPr>
      </w:pPr>
    </w:p>
    <w:p>
      <w:pPr>
        <w:pStyle w:val="Heading2"/>
        <w:numPr>
          <w:ilvl w:val="1"/>
          <w:numId w:val="21"/>
        </w:numPr>
        <w:tabs>
          <w:tab w:pos="505" w:val="left" w:leader="none"/>
        </w:tabs>
        <w:spacing w:line="240" w:lineRule="auto" w:before="0" w:after="0"/>
        <w:ind w:left="504" w:right="0" w:hanging="402"/>
        <w:jc w:val="both"/>
      </w:pPr>
      <w:r>
        <w:rPr/>
        <w:t>Espectroscopia Infrarroja de fibras sin irradiar e</w:t>
      </w:r>
      <w:r>
        <w:rPr>
          <w:spacing w:val="-21"/>
        </w:rPr>
        <w:t> </w:t>
      </w:r>
      <w:r>
        <w:rPr/>
        <w:t>irradiadas</w:t>
      </w:r>
    </w:p>
    <w:p>
      <w:pPr>
        <w:pStyle w:val="BodyText"/>
        <w:spacing w:before="1"/>
        <w:rPr>
          <w:b/>
          <w:sz w:val="31"/>
        </w:rPr>
      </w:pPr>
    </w:p>
    <w:p>
      <w:pPr>
        <w:pStyle w:val="BodyText"/>
        <w:spacing w:line="276" w:lineRule="auto"/>
        <w:ind w:left="102" w:right="117"/>
        <w:jc w:val="both"/>
      </w:pPr>
      <w:r>
        <w:rPr/>
        <w:t>Se ha relacionado los diferentes comportamientos para las propiedades  mecánicas de los concretos poliméricos con las imágenes de MEB y con los rayos X; en esta sección se completa tal relación con los resultados de IR. Con base en el espectro (Figura 3.15), las bandas características de la fibra de luffa permanecen al ser irradiados a 50 y 100 kGy por </w:t>
      </w:r>
      <w:r>
        <w:rPr>
          <w:spacing w:val="2"/>
        </w:rPr>
        <w:t>lo </w:t>
      </w:r>
      <w:r>
        <w:rPr/>
        <w:t>que se establece que no existe cambios en los grupos funcionales. Con base en lo anterior, las fibras no modifican sus propiedades mecánicas de manera importante por lo que las propiedades del composito final no se ven afectadas considerablemente por la irradiación de las fibras.</w:t>
      </w:r>
    </w:p>
    <w:p>
      <w:pPr>
        <w:pStyle w:val="BodyText"/>
        <w:spacing w:before="6"/>
        <w:rPr>
          <w:sz w:val="27"/>
        </w:rPr>
      </w:pPr>
    </w:p>
    <w:p>
      <w:pPr>
        <w:pStyle w:val="BodyText"/>
        <w:spacing w:line="273" w:lineRule="auto" w:before="1"/>
        <w:ind w:left="102" w:right="114"/>
        <w:jc w:val="both"/>
      </w:pPr>
      <w:r>
        <w:rPr/>
        <w:t>En la Figura 3.15 se presentan los espectros infrarrojos de la fibra de luffa sin irradiar e irradiadas. Se observan cuatro bandas características: a) 3370 cm</w:t>
      </w:r>
      <w:r>
        <w:rPr>
          <w:position w:val="8"/>
          <w:sz w:val="16"/>
        </w:rPr>
        <w:t>-1 </w:t>
      </w:r>
      <w:r>
        <w:rPr/>
        <w:t>correspondiente al estiramiento del enlace OH; b) 1640 cm</w:t>
      </w:r>
      <w:r>
        <w:rPr>
          <w:position w:val="8"/>
          <w:sz w:val="16"/>
        </w:rPr>
        <w:t>-1 </w:t>
      </w:r>
      <w:r>
        <w:rPr/>
        <w:t>correspondiente al estiramiento de grupos hidroxilo; c) 1370 cm</w:t>
      </w:r>
      <w:r>
        <w:rPr>
          <w:position w:val="8"/>
          <w:sz w:val="16"/>
        </w:rPr>
        <w:t>-1 </w:t>
      </w:r>
      <w:r>
        <w:rPr/>
        <w:t>atribuida a la flexión del grupo hidroxilo de la celulosa; y d) 1050 cm</w:t>
      </w:r>
      <w:r>
        <w:rPr>
          <w:position w:val="8"/>
          <w:sz w:val="16"/>
        </w:rPr>
        <w:t>-1 </w:t>
      </w:r>
      <w:r>
        <w:rPr/>
        <w:t>correspondiente a las vibraciones de estiramiento del enlaces C-OH de la celulosa. Bandas similares se reportan en investigaciones llevadas a cabo por Tanobe y Akerholm [53,54].</w:t>
      </w:r>
    </w:p>
    <w:p>
      <w:pPr>
        <w:pStyle w:val="BodyText"/>
        <w:spacing w:before="10"/>
        <w:rPr>
          <w:sz w:val="27"/>
        </w:rPr>
      </w:pPr>
    </w:p>
    <w:p>
      <w:pPr>
        <w:pStyle w:val="BodyText"/>
        <w:spacing w:line="276" w:lineRule="auto"/>
        <w:ind w:left="102" w:right="119"/>
        <w:jc w:val="both"/>
      </w:pPr>
      <w:r>
        <w:rPr/>
        <w:t>Para dosis de 50 kGy se observa un espectro con los valores de transmitancia menores que los del espectro sin irradiar; un comportamiento contrario se observa cuando se irradia a 100 kGy, dado que los valores están por arriba de los del espectro sin irradiar.</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8"/>
        <w:rPr>
          <w:sz w:val="20"/>
        </w:rPr>
      </w:pPr>
    </w:p>
    <w:p>
      <w:pPr>
        <w:pStyle w:val="BodyText"/>
        <w:ind w:left="810"/>
        <w:rPr>
          <w:sz w:val="20"/>
        </w:rPr>
      </w:pPr>
      <w:r>
        <w:rPr>
          <w:sz w:val="20"/>
        </w:rPr>
        <w:pict>
          <v:group style="width:373.4pt;height:284.3pt;mso-position-horizontal-relative:char;mso-position-vertical-relative:line" coordorigin="0,0" coordsize="7468,5686">
            <v:shape style="position:absolute;left:0;top:0;width:7468;height:5686" type="#_x0000_t75" stroked="false">
              <v:imagedata r:id="rId71" o:title=""/>
            </v:shape>
            <v:shape style="position:absolute;left:1455;top:1716;width:921;height:579" coordorigin="1455,1716" coordsize="921,579" path="m2268,1771l1455,2278,1465,2294,2278,1788,2268,1771xm2348,1760l2285,1760,2295,1777,2278,1788,2305,1830,2348,1760xm2285,1760l2268,1771,2278,1788,2295,1777,2285,1760xm2375,1716l2241,1729,2268,1771,2285,1760,2348,1760,2375,1716xe" filled="true" fillcolor="#000000" stroked="false">
              <v:path arrowok="t"/>
              <v:fill type="solid"/>
            </v:shape>
            <v:shape style="position:absolute;left:3765;top:1716;width:1070;height:579" coordorigin="3765,1716" coordsize="1070,579" path="m4724,1764l3765,2277,3775,2295,4734,1781,4724,1764xm4808,1754l4742,1754,4752,1772,4734,1781,4758,1826,4808,1754xm4742,1754l4724,1764,4734,1781,4752,1772,4742,1754xm4835,1716l4701,1720,4724,1764,4742,1754,4808,1754,4835,1716xe" filled="true" fillcolor="#000000" stroked="false">
              <v:path arrowok="t"/>
              <v:fill type="solid"/>
            </v:shape>
            <v:shape style="position:absolute;left:4826;top:1896;width:448;height:935" coordorigin="4826,1896" coordsize="448,935" path="m5210,2000l4826,2822,4844,2830,5228,2009,5210,2000xm5272,1982l5219,1982,5237,1991,5228,2009,5274,2030,5272,1982xm5219,1982l5210,2000,5228,2009,5237,1991,5219,1982xm5270,1896l5165,1979,5210,2000,5219,1982,5272,1982,5270,1896xe" filled="true" fillcolor="#000000" stroked="false">
              <v:path arrowok="t"/>
              <v:fill type="solid"/>
            </v:shape>
            <v:shape style="position:absolute;left:4520;top:4086;width:990;height:120" coordorigin="4520,4086" coordsize="990,120" path="m5390,4086l5390,4206,5490,4156,5410,4156,5410,4136,5490,4136,5390,4086xm5390,4136l4520,4136,4520,4156,5390,4156,5390,4136xm5490,4136l5410,4136,5410,4156,5490,4156,5510,4146,5490,4136xe" filled="true" fillcolor="#000000" stroked="false">
              <v:path arrowok="t"/>
              <v:fill type="solid"/>
            </v:shape>
            <v:shape style="position:absolute;left:1111;top:2362;width:618;height:407" type="#_x0000_t202" filled="false" stroked="false">
              <v:textbox inset="0,0,0,0">
                <w:txbxContent>
                  <w:p>
                    <w:pPr>
                      <w:spacing w:line="154" w:lineRule="exact" w:before="0"/>
                      <w:ind w:left="-1" w:right="0" w:firstLine="0"/>
                      <w:jc w:val="center"/>
                      <w:rPr>
                        <w:sz w:val="9"/>
                      </w:rPr>
                    </w:pPr>
                    <w:r>
                      <w:rPr>
                        <w:sz w:val="14"/>
                      </w:rPr>
                      <w:t>3370</w:t>
                    </w:r>
                    <w:r>
                      <w:rPr>
                        <w:spacing w:val="-3"/>
                        <w:sz w:val="14"/>
                      </w:rPr>
                      <w:t> </w:t>
                    </w:r>
                    <w:r>
                      <w:rPr>
                        <w:sz w:val="14"/>
                      </w:rPr>
                      <w:t>cm</w:t>
                    </w:r>
                    <w:r>
                      <w:rPr>
                        <w:position w:val="5"/>
                        <w:sz w:val="9"/>
                      </w:rPr>
                      <w:t>-1</w:t>
                    </w:r>
                  </w:p>
                  <w:p>
                    <w:pPr>
                      <w:spacing w:line="225" w:lineRule="exact" w:before="27"/>
                      <w:ind w:left="0" w:right="0" w:firstLine="0"/>
                      <w:jc w:val="center"/>
                      <w:rPr>
                        <w:sz w:val="20"/>
                      </w:rPr>
                    </w:pPr>
                    <w:r>
                      <w:rPr>
                        <w:sz w:val="20"/>
                      </w:rPr>
                      <w:t>OH</w:t>
                    </w:r>
                  </w:p>
                </w:txbxContent>
              </v:textbox>
              <w10:wrap type="none"/>
            </v:shape>
            <v:shape style="position:absolute;left:3500;top:2362;width:618;height:446" type="#_x0000_t202" filled="false" stroked="false">
              <v:textbox inset="0,0,0,0">
                <w:txbxContent>
                  <w:p>
                    <w:pPr>
                      <w:spacing w:line="154" w:lineRule="exact" w:before="0"/>
                      <w:ind w:left="0" w:right="-19" w:firstLine="0"/>
                      <w:jc w:val="left"/>
                      <w:rPr>
                        <w:sz w:val="9"/>
                      </w:rPr>
                    </w:pPr>
                    <w:r>
                      <w:rPr>
                        <w:sz w:val="14"/>
                      </w:rPr>
                      <w:t>1640 cm</w:t>
                    </w:r>
                    <w:r>
                      <w:rPr>
                        <w:position w:val="5"/>
                        <w:sz w:val="9"/>
                      </w:rPr>
                      <w:t>-1</w:t>
                    </w:r>
                  </w:p>
                  <w:p>
                    <w:pPr>
                      <w:spacing w:line="265" w:lineRule="exact" w:before="27"/>
                      <w:ind w:left="0" w:right="-19" w:firstLine="0"/>
                      <w:jc w:val="left"/>
                      <w:rPr>
                        <w:rFonts w:ascii="Calibri"/>
                        <w:sz w:val="22"/>
                      </w:rPr>
                    </w:pPr>
                    <w:r>
                      <w:rPr>
                        <w:rFonts w:ascii="Calibri"/>
                        <w:sz w:val="22"/>
                      </w:rPr>
                      <w:t>O-H</w:t>
                    </w:r>
                  </w:p>
                </w:txbxContent>
              </v:textbox>
              <w10:wrap type="none"/>
            </v:shape>
            <v:shape style="position:absolute;left:4556;top:2902;width:566;height:446" type="#_x0000_t202" filled="false" stroked="false">
              <v:textbox inset="0,0,0,0">
                <w:txbxContent>
                  <w:p>
                    <w:pPr>
                      <w:spacing w:line="154" w:lineRule="exact" w:before="0"/>
                      <w:ind w:left="0" w:right="-16" w:firstLine="0"/>
                      <w:jc w:val="left"/>
                      <w:rPr>
                        <w:sz w:val="9"/>
                      </w:rPr>
                    </w:pPr>
                    <w:r>
                      <w:rPr>
                        <w:sz w:val="14"/>
                      </w:rPr>
                      <w:t>1370</w:t>
                    </w:r>
                    <w:r>
                      <w:rPr>
                        <w:spacing w:val="-5"/>
                        <w:sz w:val="14"/>
                      </w:rPr>
                      <w:t> </w:t>
                    </w:r>
                    <w:r>
                      <w:rPr>
                        <w:sz w:val="14"/>
                      </w:rPr>
                      <w:t>cm</w:t>
                    </w:r>
                    <w:r>
                      <w:rPr>
                        <w:position w:val="5"/>
                        <w:sz w:val="9"/>
                      </w:rPr>
                      <w:t>-</w:t>
                    </w:r>
                  </w:p>
                  <w:p>
                    <w:pPr>
                      <w:spacing w:line="265" w:lineRule="exact" w:before="27"/>
                      <w:ind w:left="0" w:right="-16" w:firstLine="0"/>
                      <w:jc w:val="left"/>
                      <w:rPr>
                        <w:rFonts w:ascii="Calibri"/>
                        <w:sz w:val="22"/>
                      </w:rPr>
                    </w:pPr>
                    <w:r>
                      <w:rPr>
                        <w:rFonts w:ascii="Calibri"/>
                        <w:sz w:val="22"/>
                      </w:rPr>
                      <w:t>O-H</w:t>
                    </w:r>
                  </w:p>
                </w:txbxContent>
              </v:textbox>
              <w10:wrap type="none"/>
            </v:shape>
            <v:shape style="position:absolute;left:3697;top:4029;width:618;height:405" type="#_x0000_t202" filled="false" stroked="false">
              <v:textbox inset="0,0,0,0">
                <w:txbxContent>
                  <w:p>
                    <w:pPr>
                      <w:spacing w:line="154" w:lineRule="exact" w:before="0"/>
                      <w:ind w:left="0" w:right="-19" w:firstLine="0"/>
                      <w:jc w:val="left"/>
                      <w:rPr>
                        <w:sz w:val="9"/>
                      </w:rPr>
                    </w:pPr>
                    <w:r>
                      <w:rPr>
                        <w:sz w:val="14"/>
                      </w:rPr>
                      <w:t>1050 cm</w:t>
                    </w:r>
                    <w:r>
                      <w:rPr>
                        <w:position w:val="5"/>
                        <w:sz w:val="9"/>
                      </w:rPr>
                      <w:t>-1</w:t>
                    </w:r>
                  </w:p>
                  <w:p>
                    <w:pPr>
                      <w:spacing w:line="225" w:lineRule="exact" w:before="25"/>
                      <w:ind w:left="0" w:right="-19" w:firstLine="0"/>
                      <w:jc w:val="left"/>
                      <w:rPr>
                        <w:sz w:val="20"/>
                      </w:rPr>
                    </w:pPr>
                    <w:r>
                      <w:rPr>
                        <w:sz w:val="20"/>
                      </w:rPr>
                      <w:t>C-OR</w:t>
                    </w:r>
                  </w:p>
                </w:txbxContent>
              </v:textbox>
              <w10:wrap type="none"/>
            </v:shape>
          </v:group>
        </w:pict>
      </w:r>
      <w:r>
        <w:rPr>
          <w:sz w:val="20"/>
        </w:rPr>
      </w:r>
    </w:p>
    <w:p>
      <w:pPr>
        <w:pStyle w:val="BodyText"/>
        <w:spacing w:line="276" w:lineRule="auto" w:before="3"/>
        <w:ind w:right="24"/>
        <w:jc w:val="center"/>
      </w:pPr>
      <w:r>
        <w:rPr/>
        <w:t>Figura 3.15. Espectro infrarrojo de fibra de luffa sin irradiar e irradiada a diferentes dosis.</w:t>
      </w:r>
    </w:p>
    <w:p>
      <w:pPr>
        <w:pStyle w:val="BodyText"/>
        <w:spacing w:before="9"/>
        <w:rPr>
          <w:sz w:val="27"/>
        </w:rPr>
      </w:pPr>
    </w:p>
    <w:p>
      <w:pPr>
        <w:pStyle w:val="BodyText"/>
        <w:spacing w:line="276" w:lineRule="auto"/>
        <w:ind w:left="102" w:right="109"/>
      </w:pPr>
      <w:r>
        <w:rPr/>
        <w:t>En la Tabla 3.3 se presenta la disminución o aumento en porcentaje de la transmitancia para cada una de las bandas.</w:t>
      </w:r>
    </w:p>
    <w:p>
      <w:pPr>
        <w:pStyle w:val="BodyText"/>
        <w:spacing w:before="6"/>
        <w:rPr>
          <w:sz w:val="27"/>
        </w:rPr>
      </w:pPr>
    </w:p>
    <w:p>
      <w:pPr>
        <w:pStyle w:val="BodyText"/>
        <w:spacing w:line="278" w:lineRule="auto" w:before="1"/>
        <w:ind w:right="27"/>
        <w:jc w:val="center"/>
      </w:pPr>
      <w:r>
        <w:rPr/>
        <w:t>Tabla 3.3. Porcentaje de diferencia en transmitancia respecto al espectro IR sin irradiación.</w:t>
      </w:r>
    </w:p>
    <w:p>
      <w:pPr>
        <w:pStyle w:val="BodyText"/>
        <w:spacing w:before="6"/>
        <w:rPr>
          <w:sz w:val="27"/>
        </w:rPr>
      </w:pPr>
    </w:p>
    <w:tbl>
      <w:tblPr>
        <w:tblW w:w="0" w:type="auto"/>
        <w:jc w:val="left"/>
        <w:tblInd w:w="1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9"/>
        <w:gridCol w:w="1829"/>
        <w:gridCol w:w="1518"/>
      </w:tblGrid>
      <w:tr>
        <w:trPr>
          <w:trHeight w:val="476" w:hRule="exact"/>
        </w:trPr>
        <w:tc>
          <w:tcPr>
            <w:tcW w:w="1809" w:type="dxa"/>
            <w:vMerge w:val="restart"/>
            <w:tcBorders>
              <w:left w:val="nil"/>
              <w:right w:val="nil"/>
            </w:tcBorders>
          </w:tcPr>
          <w:p>
            <w:pPr>
              <w:pStyle w:val="TableParagraph"/>
              <w:spacing w:line="273" w:lineRule="auto" w:before="0"/>
              <w:ind w:left="122" w:right="13"/>
              <w:rPr>
                <w:b/>
                <w:sz w:val="24"/>
              </w:rPr>
            </w:pPr>
            <w:r>
              <w:rPr>
                <w:b/>
                <w:sz w:val="24"/>
              </w:rPr>
              <w:t>Banda [numero de onda (cm</w:t>
            </w:r>
            <w:r>
              <w:rPr>
                <w:b/>
                <w:position w:val="8"/>
                <w:sz w:val="16"/>
              </w:rPr>
              <w:t>-1</w:t>
            </w:r>
            <w:r>
              <w:rPr>
                <w:b/>
                <w:sz w:val="24"/>
              </w:rPr>
              <w:t>)]</w:t>
            </w:r>
          </w:p>
        </w:tc>
        <w:tc>
          <w:tcPr>
            <w:tcW w:w="3347" w:type="dxa"/>
            <w:gridSpan w:val="2"/>
            <w:tcBorders>
              <w:left w:val="nil"/>
              <w:bottom w:val="nil"/>
              <w:right w:val="nil"/>
            </w:tcBorders>
          </w:tcPr>
          <w:p>
            <w:pPr>
              <w:pStyle w:val="TableParagraph"/>
              <w:spacing w:line="274" w:lineRule="exact" w:before="0"/>
              <w:ind w:left="250"/>
              <w:rPr>
                <w:b/>
                <w:sz w:val="24"/>
              </w:rPr>
            </w:pPr>
            <w:r>
              <w:rPr>
                <w:b/>
                <w:sz w:val="24"/>
              </w:rPr>
              <w:t>Porcentaje de diferencia</w:t>
            </w:r>
          </w:p>
        </w:tc>
      </w:tr>
      <w:tr>
        <w:trPr>
          <w:trHeight w:val="496" w:hRule="exact"/>
        </w:trPr>
        <w:tc>
          <w:tcPr>
            <w:tcW w:w="1809" w:type="dxa"/>
            <w:vMerge/>
            <w:tcBorders>
              <w:left w:val="nil"/>
              <w:right w:val="nil"/>
            </w:tcBorders>
          </w:tcPr>
          <w:p>
            <w:pPr/>
          </w:p>
        </w:tc>
        <w:tc>
          <w:tcPr>
            <w:tcW w:w="1829" w:type="dxa"/>
            <w:tcBorders>
              <w:top w:val="nil"/>
              <w:left w:val="nil"/>
              <w:right w:val="nil"/>
            </w:tcBorders>
          </w:tcPr>
          <w:p>
            <w:pPr>
              <w:pStyle w:val="TableParagraph"/>
              <w:spacing w:before="172"/>
              <w:ind w:left="594" w:right="407"/>
              <w:jc w:val="center"/>
              <w:rPr>
                <w:b/>
                <w:sz w:val="24"/>
              </w:rPr>
            </w:pPr>
            <w:r>
              <w:rPr>
                <w:b/>
                <w:sz w:val="24"/>
              </w:rPr>
              <w:t>50 kGy</w:t>
            </w:r>
          </w:p>
        </w:tc>
        <w:tc>
          <w:tcPr>
            <w:tcW w:w="1518" w:type="dxa"/>
            <w:tcBorders>
              <w:top w:val="nil"/>
              <w:left w:val="nil"/>
              <w:right w:val="nil"/>
            </w:tcBorders>
          </w:tcPr>
          <w:p>
            <w:pPr>
              <w:pStyle w:val="TableParagraph"/>
              <w:spacing w:before="172"/>
              <w:ind w:left="407" w:right="149"/>
              <w:jc w:val="center"/>
              <w:rPr>
                <w:b/>
                <w:sz w:val="24"/>
              </w:rPr>
            </w:pPr>
            <w:r>
              <w:rPr>
                <w:b/>
                <w:sz w:val="24"/>
              </w:rPr>
              <w:t>100 kGy</w:t>
            </w:r>
          </w:p>
        </w:tc>
      </w:tr>
      <w:tr>
        <w:trPr>
          <w:trHeight w:val="312" w:hRule="exact"/>
        </w:trPr>
        <w:tc>
          <w:tcPr>
            <w:tcW w:w="1809" w:type="dxa"/>
            <w:tcBorders>
              <w:left w:val="nil"/>
              <w:bottom w:val="nil"/>
              <w:right w:val="nil"/>
            </w:tcBorders>
          </w:tcPr>
          <w:p>
            <w:pPr>
              <w:pStyle w:val="TableParagraph"/>
              <w:spacing w:line="274" w:lineRule="exact" w:before="0"/>
              <w:ind w:left="122" w:right="13"/>
              <w:rPr>
                <w:sz w:val="24"/>
              </w:rPr>
            </w:pPr>
            <w:r>
              <w:rPr>
                <w:sz w:val="24"/>
              </w:rPr>
              <w:t>3370</w:t>
            </w:r>
          </w:p>
        </w:tc>
        <w:tc>
          <w:tcPr>
            <w:tcW w:w="1829" w:type="dxa"/>
            <w:tcBorders>
              <w:left w:val="nil"/>
              <w:bottom w:val="nil"/>
              <w:right w:val="nil"/>
            </w:tcBorders>
          </w:tcPr>
          <w:p>
            <w:pPr>
              <w:pStyle w:val="TableParagraph"/>
              <w:spacing w:line="274" w:lineRule="exact" w:before="0"/>
              <w:ind w:left="589" w:right="407"/>
              <w:jc w:val="center"/>
              <w:rPr>
                <w:sz w:val="24"/>
              </w:rPr>
            </w:pPr>
            <w:r>
              <w:rPr>
                <w:sz w:val="24"/>
              </w:rPr>
              <w:t>3.0</w:t>
            </w:r>
          </w:p>
        </w:tc>
        <w:tc>
          <w:tcPr>
            <w:tcW w:w="1518" w:type="dxa"/>
            <w:tcBorders>
              <w:left w:val="nil"/>
              <w:bottom w:val="nil"/>
              <w:right w:val="nil"/>
            </w:tcBorders>
          </w:tcPr>
          <w:p>
            <w:pPr>
              <w:pStyle w:val="TableParagraph"/>
              <w:spacing w:line="274" w:lineRule="exact" w:before="0"/>
              <w:ind w:left="402" w:right="149"/>
              <w:jc w:val="center"/>
              <w:rPr>
                <w:sz w:val="24"/>
              </w:rPr>
            </w:pPr>
            <w:r>
              <w:rPr>
                <w:sz w:val="24"/>
              </w:rPr>
              <w:t>1.0</w:t>
            </w:r>
          </w:p>
        </w:tc>
      </w:tr>
      <w:tr>
        <w:trPr>
          <w:trHeight w:val="318" w:hRule="exact"/>
        </w:trPr>
        <w:tc>
          <w:tcPr>
            <w:tcW w:w="1809" w:type="dxa"/>
            <w:tcBorders>
              <w:top w:val="nil"/>
              <w:left w:val="nil"/>
              <w:bottom w:val="nil"/>
              <w:right w:val="nil"/>
            </w:tcBorders>
          </w:tcPr>
          <w:p>
            <w:pPr>
              <w:pStyle w:val="TableParagraph"/>
              <w:ind w:left="122" w:right="13"/>
              <w:rPr>
                <w:sz w:val="24"/>
              </w:rPr>
            </w:pPr>
            <w:r>
              <w:rPr>
                <w:sz w:val="24"/>
              </w:rPr>
              <w:t>1640</w:t>
            </w:r>
          </w:p>
        </w:tc>
        <w:tc>
          <w:tcPr>
            <w:tcW w:w="1829" w:type="dxa"/>
            <w:tcBorders>
              <w:top w:val="nil"/>
              <w:left w:val="nil"/>
              <w:bottom w:val="nil"/>
              <w:right w:val="nil"/>
            </w:tcBorders>
          </w:tcPr>
          <w:p>
            <w:pPr>
              <w:pStyle w:val="TableParagraph"/>
              <w:ind w:left="589" w:right="407"/>
              <w:jc w:val="center"/>
              <w:rPr>
                <w:sz w:val="24"/>
              </w:rPr>
            </w:pPr>
            <w:r>
              <w:rPr>
                <w:sz w:val="24"/>
              </w:rPr>
              <w:t>3.6</w:t>
            </w:r>
          </w:p>
        </w:tc>
        <w:tc>
          <w:tcPr>
            <w:tcW w:w="1518" w:type="dxa"/>
            <w:tcBorders>
              <w:top w:val="nil"/>
              <w:left w:val="nil"/>
              <w:bottom w:val="nil"/>
              <w:right w:val="nil"/>
            </w:tcBorders>
          </w:tcPr>
          <w:p>
            <w:pPr>
              <w:pStyle w:val="TableParagraph"/>
              <w:ind w:left="402" w:right="149"/>
              <w:jc w:val="center"/>
              <w:rPr>
                <w:sz w:val="24"/>
              </w:rPr>
            </w:pPr>
            <w:r>
              <w:rPr>
                <w:sz w:val="24"/>
              </w:rPr>
              <w:t>0.7</w:t>
            </w:r>
          </w:p>
        </w:tc>
      </w:tr>
      <w:tr>
        <w:trPr>
          <w:trHeight w:val="318" w:hRule="exact"/>
        </w:trPr>
        <w:tc>
          <w:tcPr>
            <w:tcW w:w="1809" w:type="dxa"/>
            <w:tcBorders>
              <w:top w:val="nil"/>
              <w:left w:val="nil"/>
              <w:bottom w:val="nil"/>
              <w:right w:val="nil"/>
            </w:tcBorders>
          </w:tcPr>
          <w:p>
            <w:pPr>
              <w:pStyle w:val="TableParagraph"/>
              <w:spacing w:before="9"/>
              <w:ind w:left="122" w:right="13"/>
              <w:rPr>
                <w:sz w:val="24"/>
              </w:rPr>
            </w:pPr>
            <w:r>
              <w:rPr>
                <w:sz w:val="24"/>
              </w:rPr>
              <w:t>1370</w:t>
            </w:r>
          </w:p>
        </w:tc>
        <w:tc>
          <w:tcPr>
            <w:tcW w:w="1829" w:type="dxa"/>
            <w:tcBorders>
              <w:top w:val="nil"/>
              <w:left w:val="nil"/>
              <w:bottom w:val="nil"/>
              <w:right w:val="nil"/>
            </w:tcBorders>
          </w:tcPr>
          <w:p>
            <w:pPr>
              <w:pStyle w:val="TableParagraph"/>
              <w:spacing w:before="9"/>
              <w:ind w:left="589" w:right="407"/>
              <w:jc w:val="center"/>
              <w:rPr>
                <w:sz w:val="24"/>
              </w:rPr>
            </w:pPr>
            <w:r>
              <w:rPr>
                <w:sz w:val="24"/>
              </w:rPr>
              <w:t>4.1</w:t>
            </w:r>
          </w:p>
        </w:tc>
        <w:tc>
          <w:tcPr>
            <w:tcW w:w="1518" w:type="dxa"/>
            <w:tcBorders>
              <w:top w:val="nil"/>
              <w:left w:val="nil"/>
              <w:bottom w:val="nil"/>
              <w:right w:val="nil"/>
            </w:tcBorders>
          </w:tcPr>
          <w:p>
            <w:pPr>
              <w:pStyle w:val="TableParagraph"/>
              <w:spacing w:before="9"/>
              <w:ind w:left="402" w:right="149"/>
              <w:jc w:val="center"/>
              <w:rPr>
                <w:sz w:val="24"/>
              </w:rPr>
            </w:pPr>
            <w:r>
              <w:rPr>
                <w:sz w:val="24"/>
              </w:rPr>
              <w:t>1.4</w:t>
            </w:r>
          </w:p>
        </w:tc>
      </w:tr>
      <w:tr>
        <w:trPr>
          <w:trHeight w:val="331" w:hRule="exact"/>
        </w:trPr>
        <w:tc>
          <w:tcPr>
            <w:tcW w:w="1809" w:type="dxa"/>
            <w:tcBorders>
              <w:top w:val="nil"/>
              <w:left w:val="nil"/>
              <w:right w:val="nil"/>
            </w:tcBorders>
          </w:tcPr>
          <w:p>
            <w:pPr>
              <w:pStyle w:val="TableParagraph"/>
              <w:ind w:left="122" w:right="13"/>
              <w:rPr>
                <w:sz w:val="24"/>
              </w:rPr>
            </w:pPr>
            <w:r>
              <w:rPr>
                <w:sz w:val="24"/>
              </w:rPr>
              <w:t>1050</w:t>
            </w:r>
          </w:p>
        </w:tc>
        <w:tc>
          <w:tcPr>
            <w:tcW w:w="1829" w:type="dxa"/>
            <w:tcBorders>
              <w:top w:val="nil"/>
              <w:left w:val="nil"/>
              <w:right w:val="nil"/>
            </w:tcBorders>
          </w:tcPr>
          <w:p>
            <w:pPr>
              <w:pStyle w:val="TableParagraph"/>
              <w:ind w:left="453" w:right="407"/>
              <w:jc w:val="center"/>
              <w:rPr>
                <w:sz w:val="24"/>
              </w:rPr>
            </w:pPr>
            <w:r>
              <w:rPr>
                <w:sz w:val="24"/>
              </w:rPr>
              <w:t>13.3</w:t>
            </w:r>
          </w:p>
        </w:tc>
        <w:tc>
          <w:tcPr>
            <w:tcW w:w="1518" w:type="dxa"/>
            <w:tcBorders>
              <w:top w:val="nil"/>
              <w:left w:val="nil"/>
              <w:right w:val="nil"/>
            </w:tcBorders>
          </w:tcPr>
          <w:p>
            <w:pPr>
              <w:pStyle w:val="TableParagraph"/>
              <w:ind w:left="402" w:right="149"/>
              <w:jc w:val="center"/>
              <w:rPr>
                <w:sz w:val="24"/>
              </w:rPr>
            </w:pPr>
            <w:r>
              <w:rPr>
                <w:sz w:val="24"/>
              </w:rPr>
              <w:t>6.0</w:t>
            </w:r>
          </w:p>
        </w:tc>
      </w:tr>
    </w:tbl>
    <w:p>
      <w:pPr>
        <w:spacing w:after="0"/>
        <w:jc w:val="center"/>
        <w:rPr>
          <w:sz w:val="24"/>
        </w:rPr>
        <w:sectPr>
          <w:pgSz w:w="12240" w:h="15840"/>
          <w:pgMar w:header="747" w:footer="0" w:top="940" w:bottom="280" w:left="1600" w:right="1580"/>
        </w:sectPr>
      </w:pPr>
    </w:p>
    <w:p>
      <w:pPr>
        <w:pStyle w:val="BodyText"/>
        <w:rPr>
          <w:sz w:val="20"/>
        </w:rPr>
      </w:pPr>
    </w:p>
    <w:p>
      <w:pPr>
        <w:pStyle w:val="BodyText"/>
        <w:spacing w:before="6"/>
        <w:rPr>
          <w:sz w:val="20"/>
        </w:rPr>
      </w:pPr>
    </w:p>
    <w:p>
      <w:pPr>
        <w:pStyle w:val="Heading2"/>
        <w:ind w:left="102" w:right="2220"/>
        <w:jc w:val="left"/>
      </w:pPr>
      <w:r>
        <w:rPr/>
        <w:t>CONCLUSIONES</w:t>
      </w:r>
    </w:p>
    <w:p>
      <w:pPr>
        <w:pStyle w:val="BodyText"/>
        <w:spacing w:before="1"/>
        <w:rPr>
          <w:b/>
          <w:sz w:val="21"/>
        </w:rPr>
      </w:pPr>
    </w:p>
    <w:p>
      <w:pPr>
        <w:pStyle w:val="BodyText"/>
        <w:spacing w:line="276" w:lineRule="auto"/>
        <w:ind w:left="102" w:right="109"/>
      </w:pPr>
      <w:r>
        <w:rPr/>
        <w:t>Con base en la discusión de resultados de los cuatro tipos de concretos ensayados, se concluye:</w:t>
      </w:r>
    </w:p>
    <w:p>
      <w:pPr>
        <w:pStyle w:val="ListParagraph"/>
        <w:numPr>
          <w:ilvl w:val="0"/>
          <w:numId w:val="22"/>
        </w:numPr>
        <w:tabs>
          <w:tab w:pos="810" w:val="left" w:leader="none"/>
        </w:tabs>
        <w:spacing w:line="276" w:lineRule="auto" w:before="202" w:after="0"/>
        <w:ind w:left="822" w:right="118" w:hanging="360"/>
        <w:jc w:val="both"/>
        <w:rPr>
          <w:sz w:val="24"/>
        </w:rPr>
      </w:pPr>
      <w:r>
        <w:rPr>
          <w:sz w:val="24"/>
        </w:rPr>
        <w:t>La resistencia a la compresión del concreto polimérico sin cargas de luffa incrementa en 18 y 27% al ser irradiado a 50 y 100 </w:t>
      </w:r>
      <w:r>
        <w:rPr>
          <w:spacing w:val="2"/>
          <w:sz w:val="24"/>
        </w:rPr>
        <w:t>kGy </w:t>
      </w:r>
      <w:r>
        <w:rPr>
          <w:sz w:val="24"/>
        </w:rPr>
        <w:t>respectivamente en relación al concreto control polimerizado usando solamente peróxido de metil etil</w:t>
      </w:r>
      <w:r>
        <w:rPr>
          <w:spacing w:val="-3"/>
          <w:sz w:val="24"/>
        </w:rPr>
        <w:t> </w:t>
      </w:r>
      <w:r>
        <w:rPr>
          <w:sz w:val="24"/>
        </w:rPr>
        <w:t>cetona.</w:t>
      </w:r>
    </w:p>
    <w:p>
      <w:pPr>
        <w:pStyle w:val="ListParagraph"/>
        <w:numPr>
          <w:ilvl w:val="0"/>
          <w:numId w:val="22"/>
        </w:numPr>
        <w:tabs>
          <w:tab w:pos="810" w:val="left" w:leader="none"/>
        </w:tabs>
        <w:spacing w:line="276" w:lineRule="auto" w:before="200" w:after="0"/>
        <w:ind w:left="822" w:right="117" w:hanging="360"/>
        <w:jc w:val="both"/>
        <w:rPr>
          <w:sz w:val="24"/>
        </w:rPr>
      </w:pPr>
      <w:r>
        <w:rPr>
          <w:sz w:val="24"/>
        </w:rPr>
        <w:t>La resistencia a la compresión de los concretos poliméricos disminuye gradualmente al incrementar el porcentaje de fibra de lufa no irradiada mostrando una reducción hasta del 30% para 0.9% de fibra. Los concretos con fibras irradiadas solo mostraron cambios en la resistencia a la compresión la composición de 0.9% en fibra. Disminuyendo ésta en un 33% con fibras de lufa irradiada a 50 kGy y un 40% para los concretos preparados con fibras irradiadas a</w:t>
      </w:r>
      <w:r>
        <w:rPr>
          <w:spacing w:val="-20"/>
          <w:sz w:val="24"/>
        </w:rPr>
        <w:t> </w:t>
      </w:r>
      <w:r>
        <w:rPr>
          <w:sz w:val="24"/>
        </w:rPr>
        <w:t>100KGy.</w:t>
      </w:r>
    </w:p>
    <w:p>
      <w:pPr>
        <w:pStyle w:val="ListParagraph"/>
        <w:numPr>
          <w:ilvl w:val="0"/>
          <w:numId w:val="22"/>
        </w:numPr>
        <w:tabs>
          <w:tab w:pos="810" w:val="left" w:leader="none"/>
        </w:tabs>
        <w:spacing w:line="276" w:lineRule="auto" w:before="200" w:after="0"/>
        <w:ind w:left="822" w:right="125" w:hanging="360"/>
        <w:jc w:val="both"/>
        <w:rPr>
          <w:sz w:val="24"/>
        </w:rPr>
      </w:pPr>
      <w:r>
        <w:rPr>
          <w:sz w:val="24"/>
        </w:rPr>
        <w:t>La resistencia a la compresión de los concretos elaborados con 0.9% de fibras e irradiados es mayor en 19 y 37 % para 50 y 100 kGy de radiación respectivamente en comparación con el concreto</w:t>
      </w:r>
      <w:r>
        <w:rPr>
          <w:spacing w:val="-14"/>
          <w:sz w:val="24"/>
        </w:rPr>
        <w:t> </w:t>
      </w:r>
      <w:r>
        <w:rPr>
          <w:sz w:val="24"/>
        </w:rPr>
        <w:t>control.</w:t>
      </w:r>
    </w:p>
    <w:p>
      <w:pPr>
        <w:pStyle w:val="ListParagraph"/>
        <w:numPr>
          <w:ilvl w:val="0"/>
          <w:numId w:val="22"/>
        </w:numPr>
        <w:tabs>
          <w:tab w:pos="810" w:val="left" w:leader="none"/>
        </w:tabs>
        <w:spacing w:line="276" w:lineRule="auto" w:before="200" w:after="0"/>
        <w:ind w:left="822" w:right="119" w:hanging="360"/>
        <w:jc w:val="both"/>
        <w:rPr>
          <w:sz w:val="24"/>
        </w:rPr>
      </w:pPr>
      <w:r>
        <w:rPr>
          <w:sz w:val="24"/>
        </w:rPr>
        <w:t>De los ensayos de compresión se observo que tanto la radiación gamma como la concentración de fibra irradiada y no irradiada tienden a incrementar la deformación respecto a la observada en el concreto de control. La deformación de los concretos irradiados (sin fibras de luffa) es  de 35% para dosis de 50 y 100 kGy. La mayor deformación para concretos con fibras irradiadas y sin irradiar es de 21% respecto al concreto control. Las mayores deformaciones se presentaron en concretos elaborados con fibras e irradiados: las deformaciones observadas son de 45 y 49% para 50 y 100 kGy</w:t>
      </w:r>
      <w:r>
        <w:rPr>
          <w:spacing w:val="-11"/>
          <w:sz w:val="24"/>
        </w:rPr>
        <w:t> </w:t>
      </w:r>
      <w:r>
        <w:rPr>
          <w:sz w:val="24"/>
        </w:rPr>
        <w:t>respectivamente.</w:t>
      </w:r>
    </w:p>
    <w:p>
      <w:pPr>
        <w:pStyle w:val="ListParagraph"/>
        <w:numPr>
          <w:ilvl w:val="0"/>
          <w:numId w:val="22"/>
        </w:numPr>
        <w:tabs>
          <w:tab w:pos="810" w:val="left" w:leader="none"/>
        </w:tabs>
        <w:spacing w:line="276" w:lineRule="auto" w:before="202" w:after="0"/>
        <w:ind w:left="822" w:right="119" w:hanging="360"/>
        <w:jc w:val="both"/>
        <w:rPr>
          <w:sz w:val="24"/>
        </w:rPr>
      </w:pPr>
      <w:r>
        <w:rPr>
          <w:sz w:val="24"/>
        </w:rPr>
        <w:t>Tanto la radiación gamma como las fibras de luffa disminuyen la resistencia a la flexión para todos los concretos estudiados con respecto al concreto control.. En los concretos sin luffa disminuye en igual proporción independientemente de las dosis de radiación utilizadas, 50 y 100 kGy, mostrando solo una disminución del 5%. En el caso de usar fibras de lufa como relleno solo se observaron cambios significativos en la reducción de  la resistencia a la flexión a la concentración de 0.9% de ésta.  Observándose una disminución del 10% al adicionar 0.9% de fibra de luffa sin irradiar,  del 14% utilizando lufa irradiada a 50 kGy y una disminución  del 20% con fibras irradiadas a 100</w:t>
      </w:r>
      <w:r>
        <w:rPr>
          <w:spacing w:val="-12"/>
          <w:sz w:val="24"/>
        </w:rPr>
        <w:t> </w:t>
      </w:r>
      <w:r>
        <w:rPr>
          <w:sz w:val="24"/>
        </w:rPr>
        <w:t>kGy.</w:t>
      </w:r>
    </w:p>
    <w:p>
      <w:pPr>
        <w:spacing w:after="0" w:line="276" w:lineRule="auto"/>
        <w:jc w:val="both"/>
        <w:rPr>
          <w:sz w:val="24"/>
        </w:rPr>
        <w:sectPr>
          <w:pgSz w:w="12240" w:h="15840"/>
          <w:pgMar w:header="747" w:footer="0" w:top="940" w:bottom="280" w:left="1600" w:right="1580"/>
        </w:sectPr>
      </w:pPr>
    </w:p>
    <w:p>
      <w:pPr>
        <w:pStyle w:val="BodyText"/>
        <w:rPr>
          <w:sz w:val="20"/>
        </w:rPr>
      </w:pPr>
    </w:p>
    <w:p>
      <w:pPr>
        <w:pStyle w:val="BodyText"/>
        <w:spacing w:before="6"/>
        <w:rPr>
          <w:sz w:val="20"/>
        </w:rPr>
      </w:pPr>
    </w:p>
    <w:p>
      <w:pPr>
        <w:pStyle w:val="ListParagraph"/>
        <w:numPr>
          <w:ilvl w:val="0"/>
          <w:numId w:val="22"/>
        </w:numPr>
        <w:tabs>
          <w:tab w:pos="810" w:val="left" w:leader="none"/>
        </w:tabs>
        <w:spacing w:line="276" w:lineRule="auto" w:before="0" w:after="0"/>
        <w:ind w:left="822" w:right="122" w:hanging="360"/>
        <w:jc w:val="both"/>
        <w:rPr>
          <w:sz w:val="24"/>
        </w:rPr>
      </w:pPr>
      <w:r>
        <w:rPr>
          <w:sz w:val="24"/>
        </w:rPr>
        <w:t>En los concretos poliméricos cargados con luffa e irradiados simultáneamente tanto a 50 como a 100 kGy no se observaron cambios significativos en la resistencia a la flexión a la concentración de 0.3% de fibra de lufa. Sin embargo a las mismas dosis de radiación con 0.6% de fibras disminuye 30 % y a la concentración de 0.9 % la disminución es del 24%.</w:t>
      </w:r>
    </w:p>
    <w:p>
      <w:pPr>
        <w:pStyle w:val="ListParagraph"/>
        <w:numPr>
          <w:ilvl w:val="0"/>
          <w:numId w:val="22"/>
        </w:numPr>
        <w:tabs>
          <w:tab w:pos="810" w:val="left" w:leader="none"/>
        </w:tabs>
        <w:spacing w:line="276" w:lineRule="auto" w:before="200" w:after="0"/>
        <w:ind w:left="822" w:right="115" w:hanging="360"/>
        <w:jc w:val="both"/>
        <w:rPr>
          <w:sz w:val="24"/>
        </w:rPr>
      </w:pPr>
      <w:r>
        <w:rPr>
          <w:sz w:val="24"/>
        </w:rPr>
        <w:t>Las mayores deformaciones en flexión de los concretos se obtienen con las concentraciones de fibras más altas y a 100 kGy de radiación. El  incremento en la deformación para concretos sin cargas de luffa e irradiados es de 9% para 100 kGy. Con la mayor concentración de fibra sin irradiar se alcanzan deformaciones de hasta 29% mayores respecto al concreto control. Estas deformaciones se incrementan cuando se usa fibra irradiada donde la deformación es de 37 y 34% para dosis de 50 y 100 kGy respectivamente. Para concretos elaborados con fibra e irradiados las deformaciones son de 37% mayor para dosis de 100 kGy respecto al concreto</w:t>
      </w:r>
      <w:r>
        <w:rPr>
          <w:spacing w:val="-3"/>
          <w:sz w:val="24"/>
        </w:rPr>
        <w:t> </w:t>
      </w:r>
      <w:r>
        <w:rPr>
          <w:sz w:val="24"/>
        </w:rPr>
        <w:t>control.</w:t>
      </w:r>
    </w:p>
    <w:p>
      <w:pPr>
        <w:pStyle w:val="ListParagraph"/>
        <w:numPr>
          <w:ilvl w:val="0"/>
          <w:numId w:val="22"/>
        </w:numPr>
        <w:tabs>
          <w:tab w:pos="810" w:val="left" w:leader="none"/>
        </w:tabs>
        <w:spacing w:line="276" w:lineRule="auto" w:before="202" w:after="0"/>
        <w:ind w:left="822" w:right="122" w:hanging="360"/>
        <w:jc w:val="both"/>
        <w:rPr>
          <w:sz w:val="24"/>
        </w:rPr>
      </w:pPr>
      <w:r>
        <w:rPr>
          <w:sz w:val="24"/>
        </w:rPr>
        <w:t>La radiación gamma y las fibras de luffa irradiadas y sin irradiar disminuyen el módulo de elasticidad estático de los concretos poliméricos. La disminución del módulo estático para concretos sin fibras e irradiados es 29% mayor. Al adicionar fibra sin irradiar esta disminución se incrementa hasta 36% para el mayor porcentaje de luffa respecto al concreto control. Los concretos con fibras irradiadas presentan módulos estáticos 61% menores respecto al concreto control. Esta disminución es similar para concretos elaborados con fibra e irradiados (65 y 61% menor para dosis de 50 y 100 kGy</w:t>
      </w:r>
      <w:r>
        <w:rPr>
          <w:spacing w:val="-10"/>
          <w:sz w:val="24"/>
        </w:rPr>
        <w:t> </w:t>
      </w:r>
      <w:r>
        <w:rPr>
          <w:sz w:val="24"/>
        </w:rPr>
        <w:t>respectivamente).</w:t>
      </w:r>
    </w:p>
    <w:p>
      <w:pPr>
        <w:pStyle w:val="ListParagraph"/>
        <w:numPr>
          <w:ilvl w:val="0"/>
          <w:numId w:val="22"/>
        </w:numPr>
        <w:tabs>
          <w:tab w:pos="810" w:val="left" w:leader="none"/>
        </w:tabs>
        <w:spacing w:line="276" w:lineRule="auto" w:before="200" w:after="0"/>
        <w:ind w:left="822" w:right="123" w:hanging="360"/>
        <w:jc w:val="both"/>
        <w:rPr>
          <w:sz w:val="24"/>
        </w:rPr>
      </w:pPr>
      <w:r>
        <w:rPr>
          <w:sz w:val="24"/>
        </w:rPr>
        <w:t>El módulo de elasticidad dinámico de los concretos poliméricos se incrementa con la radiación gamma mientras que con el uso de fibras irradiadas y sin irradiar el módulo dinámico disminuye. El módulo de concretos</w:t>
      </w:r>
      <w:r>
        <w:rPr>
          <w:spacing w:val="20"/>
          <w:sz w:val="24"/>
        </w:rPr>
        <w:t> </w:t>
      </w:r>
      <w:r>
        <w:rPr>
          <w:sz w:val="24"/>
        </w:rPr>
        <w:t>irradiados</w:t>
      </w:r>
      <w:r>
        <w:rPr>
          <w:spacing w:val="22"/>
          <w:sz w:val="24"/>
        </w:rPr>
        <w:t> </w:t>
      </w:r>
      <w:r>
        <w:rPr>
          <w:sz w:val="24"/>
        </w:rPr>
        <w:t>(sin</w:t>
      </w:r>
      <w:r>
        <w:rPr>
          <w:spacing w:val="20"/>
          <w:sz w:val="24"/>
        </w:rPr>
        <w:t> </w:t>
      </w:r>
      <w:r>
        <w:rPr>
          <w:sz w:val="24"/>
        </w:rPr>
        <w:t>fibras)</w:t>
      </w:r>
      <w:r>
        <w:rPr>
          <w:spacing w:val="21"/>
          <w:sz w:val="24"/>
        </w:rPr>
        <w:t> </w:t>
      </w:r>
      <w:r>
        <w:rPr>
          <w:sz w:val="24"/>
        </w:rPr>
        <w:t>se</w:t>
      </w:r>
      <w:r>
        <w:rPr>
          <w:spacing w:val="23"/>
          <w:sz w:val="24"/>
        </w:rPr>
        <w:t> </w:t>
      </w:r>
      <w:r>
        <w:rPr>
          <w:sz w:val="24"/>
        </w:rPr>
        <w:t>incrementa</w:t>
      </w:r>
      <w:r>
        <w:rPr>
          <w:spacing w:val="21"/>
          <w:sz w:val="24"/>
        </w:rPr>
        <w:t> </w:t>
      </w:r>
      <w:r>
        <w:rPr>
          <w:sz w:val="24"/>
        </w:rPr>
        <w:t>en</w:t>
      </w:r>
      <w:r>
        <w:rPr>
          <w:spacing w:val="20"/>
          <w:sz w:val="24"/>
        </w:rPr>
        <w:t> </w:t>
      </w:r>
      <w:r>
        <w:rPr>
          <w:sz w:val="24"/>
        </w:rPr>
        <w:t>15%</w:t>
      </w:r>
      <w:r>
        <w:rPr>
          <w:spacing w:val="20"/>
          <w:sz w:val="24"/>
        </w:rPr>
        <w:t> </w:t>
      </w:r>
      <w:r>
        <w:rPr>
          <w:sz w:val="24"/>
        </w:rPr>
        <w:t>para</w:t>
      </w:r>
      <w:r>
        <w:rPr>
          <w:spacing w:val="20"/>
          <w:sz w:val="24"/>
        </w:rPr>
        <w:t> </w:t>
      </w:r>
      <w:r>
        <w:rPr>
          <w:sz w:val="24"/>
        </w:rPr>
        <w:t>dosis</w:t>
      </w:r>
      <w:r>
        <w:rPr>
          <w:spacing w:val="22"/>
          <w:sz w:val="24"/>
        </w:rPr>
        <w:t> </w:t>
      </w:r>
      <w:r>
        <w:rPr>
          <w:sz w:val="24"/>
        </w:rPr>
        <w:t>de</w:t>
      </w:r>
      <w:r>
        <w:rPr>
          <w:spacing w:val="20"/>
          <w:sz w:val="24"/>
        </w:rPr>
        <w:t> </w:t>
      </w:r>
      <w:r>
        <w:rPr>
          <w:sz w:val="24"/>
        </w:rPr>
        <w:t>50</w:t>
      </w:r>
      <w:r>
        <w:rPr>
          <w:spacing w:val="23"/>
          <w:sz w:val="24"/>
        </w:rPr>
        <w:t> </w:t>
      </w:r>
      <w:r>
        <w:rPr>
          <w:sz w:val="24"/>
        </w:rPr>
        <w:t>y</w:t>
      </w:r>
    </w:p>
    <w:p>
      <w:pPr>
        <w:pStyle w:val="BodyText"/>
        <w:spacing w:line="276" w:lineRule="auto"/>
        <w:ind w:left="821" w:right="118"/>
        <w:jc w:val="both"/>
      </w:pPr>
      <w:r>
        <w:rPr/>
        <w:t>100 kGy. Al adicionar fibras irradiadas y sin irradiar a los concretos el módulo dinámico disminuye 24%. El módulo de los concretos con fibras e irradiados a 100 kGy se incrementa en 17% respecto al concreto control.</w:t>
      </w:r>
    </w:p>
    <w:p>
      <w:pPr>
        <w:pStyle w:val="BodyText"/>
      </w:pPr>
    </w:p>
    <w:p>
      <w:pPr>
        <w:pStyle w:val="BodyText"/>
      </w:pPr>
    </w:p>
    <w:p>
      <w:pPr>
        <w:pStyle w:val="BodyText"/>
        <w:spacing w:before="166"/>
        <w:ind w:left="102" w:right="2220"/>
      </w:pPr>
      <w:r>
        <w:rPr/>
        <w:t>Del análisis de los difractogramas se concluye:</w:t>
      </w:r>
    </w:p>
    <w:p>
      <w:pPr>
        <w:pStyle w:val="BodyText"/>
        <w:rPr>
          <w:sz w:val="21"/>
        </w:rPr>
      </w:pPr>
    </w:p>
    <w:p>
      <w:pPr>
        <w:pStyle w:val="BodyText"/>
        <w:spacing w:line="276" w:lineRule="auto" w:before="1"/>
        <w:ind w:left="821" w:right="125" w:hanging="360"/>
        <w:jc w:val="both"/>
      </w:pPr>
      <w:r>
        <w:rPr/>
        <w:t>a. La fibra de luffa no modifica de manera significativa su cristalinidad al ser irradiada a 50 y 100 kGy.</w:t>
      </w:r>
    </w:p>
    <w:p>
      <w:pPr>
        <w:spacing w:after="0" w:line="276" w:lineRule="auto"/>
        <w:jc w:val="both"/>
        <w:sectPr>
          <w:pgSz w:w="12240" w:h="15840"/>
          <w:pgMar w:header="747" w:footer="0" w:top="940" w:bottom="280" w:left="1600" w:right="1580"/>
        </w:sectPr>
      </w:pPr>
    </w:p>
    <w:p>
      <w:pPr>
        <w:pStyle w:val="BodyText"/>
        <w:rPr>
          <w:sz w:val="20"/>
        </w:rPr>
      </w:pPr>
    </w:p>
    <w:p>
      <w:pPr>
        <w:pStyle w:val="BodyText"/>
        <w:spacing w:before="6"/>
        <w:rPr>
          <w:sz w:val="20"/>
        </w:rPr>
      </w:pPr>
    </w:p>
    <w:p>
      <w:pPr>
        <w:pStyle w:val="BodyText"/>
        <w:ind w:left="102" w:right="109"/>
      </w:pPr>
      <w:r>
        <w:rPr/>
        <w:t>Del análisis de Microscopia Electrónica de Barrido (SEM) se concluye:</w:t>
      </w:r>
    </w:p>
    <w:p>
      <w:pPr>
        <w:pStyle w:val="ListParagraph"/>
        <w:numPr>
          <w:ilvl w:val="0"/>
          <w:numId w:val="23"/>
        </w:numPr>
        <w:tabs>
          <w:tab w:pos="810" w:val="left" w:leader="none"/>
        </w:tabs>
        <w:spacing w:line="276" w:lineRule="auto" w:before="43" w:after="0"/>
        <w:ind w:left="822" w:right="125" w:hanging="360"/>
        <w:jc w:val="both"/>
        <w:rPr>
          <w:sz w:val="24"/>
        </w:rPr>
      </w:pPr>
      <w:r>
        <w:rPr>
          <w:sz w:val="24"/>
        </w:rPr>
        <w:t>La fibra de luffa presenta una superficie rugosa con canales de diferentes anchuras, la cual no se ve modificada al ser irradiada a 50 y 100</w:t>
      </w:r>
      <w:r>
        <w:rPr>
          <w:spacing w:val="-31"/>
          <w:sz w:val="24"/>
        </w:rPr>
        <w:t> </w:t>
      </w:r>
      <w:r>
        <w:rPr>
          <w:sz w:val="24"/>
        </w:rPr>
        <w:t>kGy.</w:t>
      </w:r>
    </w:p>
    <w:p>
      <w:pPr>
        <w:pStyle w:val="BodyText"/>
      </w:pPr>
    </w:p>
    <w:p>
      <w:pPr>
        <w:pStyle w:val="BodyText"/>
      </w:pPr>
    </w:p>
    <w:p>
      <w:pPr>
        <w:pStyle w:val="ListParagraph"/>
        <w:numPr>
          <w:ilvl w:val="0"/>
          <w:numId w:val="23"/>
        </w:numPr>
        <w:tabs>
          <w:tab w:pos="810" w:val="left" w:leader="none"/>
        </w:tabs>
        <w:spacing w:line="276" w:lineRule="auto" w:before="166" w:after="0"/>
        <w:ind w:left="822" w:right="117" w:hanging="360"/>
        <w:jc w:val="both"/>
        <w:rPr>
          <w:sz w:val="24"/>
        </w:rPr>
      </w:pPr>
      <w:r>
        <w:rPr>
          <w:sz w:val="24"/>
        </w:rPr>
        <w:t>La fibra de luffa presenta porosidad, lo cual es determinante en el comportamiento mecánico del</w:t>
      </w:r>
      <w:r>
        <w:rPr>
          <w:spacing w:val="-13"/>
          <w:sz w:val="24"/>
        </w:rPr>
        <w:t> </w:t>
      </w:r>
      <w:r>
        <w:rPr>
          <w:sz w:val="24"/>
        </w:rPr>
        <w:t>concreto.</w:t>
      </w:r>
    </w:p>
    <w:p>
      <w:pPr>
        <w:pStyle w:val="BodyText"/>
        <w:spacing w:before="202"/>
        <w:ind w:left="102" w:right="2220"/>
      </w:pPr>
      <w:r>
        <w:rPr/>
        <w:t>Del análisis de Espectroscopia Infrarroja se concluye:</w:t>
      </w:r>
    </w:p>
    <w:p>
      <w:pPr>
        <w:pStyle w:val="BodyText"/>
        <w:spacing w:line="276" w:lineRule="auto" w:before="41"/>
        <w:ind w:left="821" w:right="115" w:hanging="360"/>
        <w:jc w:val="both"/>
      </w:pPr>
      <w:r>
        <w:rPr/>
        <w:t>a. Las bandas características de la fibra de luffa permanecen al ser irradiada a 50 y 100 kGy por lo que se establece que la radiación no modifica los grupos funcionales.</w:t>
      </w:r>
    </w:p>
    <w:p>
      <w:pPr>
        <w:pStyle w:val="BodyText"/>
        <w:spacing w:before="200"/>
        <w:ind w:left="102"/>
      </w:pPr>
      <w:r>
        <w:rPr>
          <w:w w:val="100"/>
        </w:rPr>
        <w:t>.</w:t>
      </w:r>
    </w:p>
    <w:p>
      <w:pPr>
        <w:spacing w:after="0"/>
        <w:sectPr>
          <w:pgSz w:w="12240" w:h="15840"/>
          <w:pgMar w:header="747" w:footer="0" w:top="940" w:bottom="280" w:left="1600" w:right="1580"/>
        </w:sectPr>
      </w:pPr>
    </w:p>
    <w:p>
      <w:pPr>
        <w:pStyle w:val="BodyText"/>
        <w:rPr>
          <w:sz w:val="20"/>
        </w:rPr>
      </w:pPr>
    </w:p>
    <w:p>
      <w:pPr>
        <w:pStyle w:val="BodyText"/>
        <w:spacing w:before="6"/>
        <w:rPr>
          <w:sz w:val="20"/>
        </w:rPr>
      </w:pPr>
    </w:p>
    <w:p>
      <w:pPr>
        <w:pStyle w:val="Heading2"/>
        <w:ind w:left="302"/>
        <w:jc w:val="left"/>
      </w:pPr>
      <w:r>
        <w:rPr/>
        <w:t>BIBLIOGRAFÍA</w:t>
      </w:r>
    </w:p>
    <w:p>
      <w:pPr>
        <w:pStyle w:val="BodyText"/>
        <w:spacing w:before="9"/>
        <w:rPr>
          <w:b/>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2"/>
        <w:gridCol w:w="8495"/>
      </w:tblGrid>
      <w:tr>
        <w:trPr>
          <w:trHeight w:val="1070" w:hRule="exact"/>
        </w:trPr>
        <w:tc>
          <w:tcPr>
            <w:tcW w:w="672" w:type="dxa"/>
          </w:tcPr>
          <w:p>
            <w:pPr>
              <w:pStyle w:val="TableParagraph"/>
              <w:spacing w:line="245" w:lineRule="exact" w:before="0"/>
              <w:ind w:left="0" w:right="136"/>
              <w:jc w:val="center"/>
              <w:rPr>
                <w:sz w:val="24"/>
              </w:rPr>
            </w:pPr>
            <w:r>
              <w:rPr>
                <w:w w:val="99"/>
                <w:sz w:val="24"/>
              </w:rPr>
              <w:t>1</w:t>
            </w:r>
          </w:p>
        </w:tc>
        <w:tc>
          <w:tcPr>
            <w:tcW w:w="8495" w:type="dxa"/>
          </w:tcPr>
          <w:p>
            <w:pPr>
              <w:pStyle w:val="TableParagraph"/>
              <w:spacing w:line="245" w:lineRule="exact" w:before="0"/>
              <w:ind w:right="163"/>
              <w:rPr>
                <w:sz w:val="24"/>
              </w:rPr>
            </w:pPr>
            <w:r>
              <w:rPr>
                <w:sz w:val="24"/>
              </w:rPr>
              <w:t>Islam  M.A.,  Rahman M.M.,  Ahmed  M., Polymer-modified Concrete: World</w:t>
            </w:r>
          </w:p>
          <w:p>
            <w:pPr>
              <w:pStyle w:val="TableParagraph"/>
              <w:spacing w:before="38"/>
              <w:ind w:right="163"/>
              <w:rPr>
                <w:i/>
                <w:sz w:val="24"/>
              </w:rPr>
            </w:pPr>
            <w:r>
              <w:rPr>
                <w:sz w:val="24"/>
              </w:rPr>
              <w:t>Experience</w:t>
            </w:r>
            <w:r>
              <w:rPr>
                <w:spacing w:val="51"/>
                <w:sz w:val="24"/>
              </w:rPr>
              <w:t> </w:t>
            </w:r>
            <w:r>
              <w:rPr>
                <w:sz w:val="24"/>
              </w:rPr>
              <w:t>and</w:t>
            </w:r>
            <w:r>
              <w:rPr>
                <w:spacing w:val="51"/>
                <w:sz w:val="24"/>
              </w:rPr>
              <w:t> </w:t>
            </w:r>
            <w:r>
              <w:rPr>
                <w:sz w:val="24"/>
              </w:rPr>
              <w:t>Potential for Bangladesh,</w:t>
            </w:r>
            <w:r>
              <w:rPr>
                <w:spacing w:val="57"/>
                <w:sz w:val="24"/>
              </w:rPr>
              <w:t> </w:t>
            </w:r>
            <w:r>
              <w:rPr>
                <w:i/>
                <w:sz w:val="24"/>
              </w:rPr>
              <w:t>The</w:t>
            </w:r>
            <w:r>
              <w:rPr>
                <w:i/>
                <w:spacing w:val="51"/>
                <w:sz w:val="24"/>
              </w:rPr>
              <w:t> </w:t>
            </w:r>
            <w:r>
              <w:rPr>
                <w:i/>
                <w:sz w:val="24"/>
              </w:rPr>
              <w:t>IndIan</w:t>
            </w:r>
            <w:r>
              <w:rPr>
                <w:i/>
                <w:spacing w:val="51"/>
                <w:sz w:val="24"/>
              </w:rPr>
              <w:t> </w:t>
            </w:r>
            <w:r>
              <w:rPr>
                <w:i/>
                <w:sz w:val="24"/>
              </w:rPr>
              <w:t>ConCreTe Journal</w:t>
            </w:r>
          </w:p>
          <w:p>
            <w:pPr>
              <w:pStyle w:val="TableParagraph"/>
              <w:spacing w:before="43"/>
              <w:ind w:right="163"/>
              <w:rPr>
                <w:sz w:val="24"/>
              </w:rPr>
            </w:pPr>
            <w:r>
              <w:rPr>
                <w:sz w:val="24"/>
              </w:rPr>
              <w:t>volume 22 (2011) 55-63.</w:t>
            </w:r>
          </w:p>
        </w:tc>
      </w:tr>
      <w:tr>
        <w:trPr>
          <w:trHeight w:val="953" w:hRule="exact"/>
        </w:trPr>
        <w:tc>
          <w:tcPr>
            <w:tcW w:w="672" w:type="dxa"/>
          </w:tcPr>
          <w:p>
            <w:pPr>
              <w:pStyle w:val="TableParagraph"/>
              <w:spacing w:before="168"/>
              <w:ind w:left="0" w:right="136"/>
              <w:jc w:val="center"/>
              <w:rPr>
                <w:sz w:val="24"/>
              </w:rPr>
            </w:pPr>
            <w:r>
              <w:rPr>
                <w:w w:val="99"/>
                <w:sz w:val="24"/>
              </w:rPr>
              <w:t>2</w:t>
            </w:r>
          </w:p>
        </w:tc>
        <w:tc>
          <w:tcPr>
            <w:tcW w:w="8495" w:type="dxa"/>
          </w:tcPr>
          <w:p>
            <w:pPr>
              <w:pStyle w:val="TableParagraph"/>
              <w:spacing w:line="276" w:lineRule="auto" w:before="166"/>
              <w:ind w:right="163"/>
              <w:rPr>
                <w:sz w:val="24"/>
              </w:rPr>
            </w:pPr>
            <w:r>
              <w:rPr>
                <w:sz w:val="24"/>
              </w:rPr>
              <w:t>Barbut M., Harja M., Properties of fiber reinforced polymer concrete, </w:t>
            </w:r>
            <w:r>
              <w:rPr>
                <w:i/>
                <w:sz w:val="24"/>
              </w:rPr>
              <w:t>Bul. </w:t>
            </w:r>
            <w:r>
              <w:rPr>
                <w:i/>
                <w:sz w:val="24"/>
              </w:rPr>
              <w:t>Inst. Polit. </w:t>
            </w:r>
            <w:r>
              <w:rPr>
                <w:sz w:val="24"/>
              </w:rPr>
              <w:t>43 (2008) 13-21.</w:t>
            </w:r>
          </w:p>
        </w:tc>
      </w:tr>
      <w:tr>
        <w:trPr>
          <w:trHeight w:val="952" w:hRule="exact"/>
        </w:trPr>
        <w:tc>
          <w:tcPr>
            <w:tcW w:w="672" w:type="dxa"/>
          </w:tcPr>
          <w:p>
            <w:pPr>
              <w:pStyle w:val="TableParagraph"/>
              <w:spacing w:before="168"/>
              <w:ind w:left="0" w:right="136"/>
              <w:jc w:val="center"/>
              <w:rPr>
                <w:sz w:val="24"/>
              </w:rPr>
            </w:pPr>
            <w:r>
              <w:rPr>
                <w:w w:val="99"/>
                <w:sz w:val="24"/>
              </w:rPr>
              <w:t>3</w:t>
            </w:r>
          </w:p>
        </w:tc>
        <w:tc>
          <w:tcPr>
            <w:tcW w:w="8495" w:type="dxa"/>
          </w:tcPr>
          <w:p>
            <w:pPr>
              <w:pStyle w:val="TableParagraph"/>
              <w:spacing w:line="273" w:lineRule="auto" w:before="168"/>
              <w:ind w:right="163"/>
              <w:rPr>
                <w:sz w:val="24"/>
              </w:rPr>
            </w:pPr>
            <w:r>
              <w:rPr>
                <w:sz w:val="24"/>
              </w:rPr>
              <w:t>Martínez-Barrera G., Brostow W., Compressive Strength of Gamma- Irradiated Polymer Concrete, </w:t>
            </w:r>
            <w:r>
              <w:rPr>
                <w:i/>
                <w:sz w:val="24"/>
              </w:rPr>
              <w:t>Polym. Comp.  </w:t>
            </w:r>
            <w:r>
              <w:rPr>
                <w:sz w:val="24"/>
              </w:rPr>
              <w:t>(2008) 1211-1217.</w:t>
            </w:r>
          </w:p>
        </w:tc>
      </w:tr>
      <w:tr>
        <w:trPr>
          <w:trHeight w:val="1271" w:hRule="exact"/>
        </w:trPr>
        <w:tc>
          <w:tcPr>
            <w:tcW w:w="672" w:type="dxa"/>
          </w:tcPr>
          <w:p>
            <w:pPr>
              <w:pStyle w:val="TableParagraph"/>
              <w:spacing w:before="167"/>
              <w:ind w:left="0" w:right="136"/>
              <w:jc w:val="center"/>
              <w:rPr>
                <w:sz w:val="24"/>
              </w:rPr>
            </w:pPr>
            <w:r>
              <w:rPr>
                <w:w w:val="99"/>
                <w:sz w:val="24"/>
              </w:rPr>
              <w:t>4</w:t>
            </w:r>
          </w:p>
        </w:tc>
        <w:tc>
          <w:tcPr>
            <w:tcW w:w="8495" w:type="dxa"/>
          </w:tcPr>
          <w:p>
            <w:pPr>
              <w:pStyle w:val="TableParagraph"/>
              <w:spacing w:line="276" w:lineRule="auto" w:before="167"/>
              <w:ind w:right="200"/>
              <w:jc w:val="both"/>
              <w:rPr>
                <w:sz w:val="24"/>
              </w:rPr>
            </w:pPr>
            <w:r>
              <w:rPr>
                <w:sz w:val="24"/>
              </w:rPr>
              <w:t>Kukacka L.E., Romano A.J., Process Techniques for Producing Polymer- Impregnated Concrete: Polymers in Concrete, </w:t>
            </w:r>
            <w:r>
              <w:rPr>
                <w:i/>
                <w:sz w:val="24"/>
              </w:rPr>
              <w:t>American Concrete Institute </w:t>
            </w:r>
            <w:r>
              <w:rPr>
                <w:sz w:val="24"/>
              </w:rPr>
              <w:t>volume 19 (1993) 15-31.</w:t>
            </w:r>
          </w:p>
        </w:tc>
      </w:tr>
      <w:tr>
        <w:trPr>
          <w:trHeight w:val="953" w:hRule="exact"/>
        </w:trPr>
        <w:tc>
          <w:tcPr>
            <w:tcW w:w="672" w:type="dxa"/>
          </w:tcPr>
          <w:p>
            <w:pPr>
              <w:pStyle w:val="TableParagraph"/>
              <w:spacing w:before="166"/>
              <w:ind w:left="0" w:right="136"/>
              <w:jc w:val="center"/>
              <w:rPr>
                <w:sz w:val="24"/>
              </w:rPr>
            </w:pPr>
            <w:r>
              <w:rPr>
                <w:w w:val="99"/>
                <w:sz w:val="24"/>
              </w:rPr>
              <w:t>5</w:t>
            </w:r>
          </w:p>
        </w:tc>
        <w:tc>
          <w:tcPr>
            <w:tcW w:w="8495" w:type="dxa"/>
          </w:tcPr>
          <w:p>
            <w:pPr>
              <w:pStyle w:val="TableParagraph"/>
              <w:spacing w:line="278" w:lineRule="auto" w:before="166"/>
              <w:ind w:right="209"/>
              <w:rPr>
                <w:sz w:val="24"/>
              </w:rPr>
            </w:pPr>
            <w:r>
              <w:rPr>
                <w:sz w:val="24"/>
              </w:rPr>
              <w:t>Zhihong Z., Feldman F., Synthetic fibre-reinforced concrete, Elsevier Science Ltd, 20 (1995) 185-210.</w:t>
            </w:r>
          </w:p>
        </w:tc>
      </w:tr>
      <w:tr>
        <w:trPr>
          <w:trHeight w:val="971" w:hRule="exact"/>
        </w:trPr>
        <w:tc>
          <w:tcPr>
            <w:tcW w:w="672" w:type="dxa"/>
          </w:tcPr>
          <w:p>
            <w:pPr>
              <w:pStyle w:val="TableParagraph"/>
              <w:spacing w:before="166"/>
              <w:ind w:left="0" w:right="136"/>
              <w:jc w:val="center"/>
              <w:rPr>
                <w:sz w:val="24"/>
              </w:rPr>
            </w:pPr>
            <w:r>
              <w:rPr>
                <w:w w:val="99"/>
                <w:sz w:val="24"/>
              </w:rPr>
              <w:t>6</w:t>
            </w:r>
          </w:p>
        </w:tc>
        <w:tc>
          <w:tcPr>
            <w:tcW w:w="8495" w:type="dxa"/>
          </w:tcPr>
          <w:p>
            <w:pPr>
              <w:pStyle w:val="TableParagraph"/>
              <w:spacing w:line="273" w:lineRule="auto" w:before="167"/>
              <w:ind w:right="163"/>
              <w:rPr>
                <w:sz w:val="24"/>
              </w:rPr>
            </w:pPr>
            <w:hyperlink r:id="rId72">
              <w:r>
                <w:rPr>
                  <w:rFonts w:ascii="Calibri"/>
                  <w:sz w:val="24"/>
                  <w:u w:val="single"/>
                </w:rPr>
                <w:t>http://www.prefamex.com.mx/registros-electronicos.html</w:t>
              </w:r>
            </w:hyperlink>
            <w:r>
              <w:rPr>
                <w:sz w:val="24"/>
              </w:rPr>
              <w:t>, consultado 20 Mayo 2012.</w:t>
            </w:r>
          </w:p>
        </w:tc>
      </w:tr>
      <w:tr>
        <w:trPr>
          <w:trHeight w:val="1269" w:hRule="exact"/>
        </w:trPr>
        <w:tc>
          <w:tcPr>
            <w:tcW w:w="672" w:type="dxa"/>
          </w:tcPr>
          <w:p>
            <w:pPr>
              <w:pStyle w:val="TableParagraph"/>
              <w:spacing w:before="167"/>
              <w:ind w:left="0" w:right="136"/>
              <w:jc w:val="center"/>
              <w:rPr>
                <w:sz w:val="24"/>
              </w:rPr>
            </w:pPr>
            <w:r>
              <w:rPr>
                <w:w w:val="99"/>
                <w:sz w:val="24"/>
              </w:rPr>
              <w:t>7</w:t>
            </w:r>
          </w:p>
        </w:tc>
        <w:tc>
          <w:tcPr>
            <w:tcW w:w="8495" w:type="dxa"/>
          </w:tcPr>
          <w:p>
            <w:pPr>
              <w:pStyle w:val="TableParagraph"/>
              <w:spacing w:line="276" w:lineRule="auto" w:before="167"/>
              <w:ind w:right="201"/>
              <w:jc w:val="both"/>
              <w:rPr>
                <w:sz w:val="24"/>
              </w:rPr>
            </w:pPr>
            <w:r>
              <w:rPr>
                <w:sz w:val="24"/>
              </w:rPr>
              <w:t>James I.D., Gopalaratnam V.S., Galinat M.A., State-of-the-Art Report on Fiber Reinforced Concrete, </w:t>
            </w:r>
            <w:r>
              <w:rPr>
                <w:i/>
                <w:sz w:val="24"/>
              </w:rPr>
              <w:t>Manual of concrete practice</w:t>
            </w:r>
            <w:r>
              <w:rPr>
                <w:sz w:val="24"/>
              </w:rPr>
              <w:t>, volume 21 (2002) 2-66.</w:t>
            </w:r>
          </w:p>
        </w:tc>
      </w:tr>
      <w:tr>
        <w:trPr>
          <w:trHeight w:val="953" w:hRule="exact"/>
        </w:trPr>
        <w:tc>
          <w:tcPr>
            <w:tcW w:w="672" w:type="dxa"/>
          </w:tcPr>
          <w:p>
            <w:pPr>
              <w:pStyle w:val="TableParagraph"/>
              <w:spacing w:before="168"/>
              <w:ind w:left="0" w:right="136"/>
              <w:jc w:val="center"/>
              <w:rPr>
                <w:sz w:val="24"/>
              </w:rPr>
            </w:pPr>
            <w:r>
              <w:rPr>
                <w:w w:val="99"/>
                <w:sz w:val="24"/>
              </w:rPr>
              <w:t>8</w:t>
            </w:r>
          </w:p>
        </w:tc>
        <w:tc>
          <w:tcPr>
            <w:tcW w:w="8495" w:type="dxa"/>
          </w:tcPr>
          <w:p>
            <w:pPr>
              <w:pStyle w:val="TableParagraph"/>
              <w:spacing w:line="276" w:lineRule="auto" w:before="166"/>
              <w:ind w:right="163"/>
              <w:rPr>
                <w:sz w:val="24"/>
              </w:rPr>
            </w:pPr>
            <w:r>
              <w:rPr>
                <w:sz w:val="24"/>
              </w:rPr>
              <w:t>Naaman A.E., Fiber Reinforcement for Concrete, </w:t>
            </w:r>
            <w:r>
              <w:rPr>
                <w:i/>
                <w:sz w:val="24"/>
              </w:rPr>
              <w:t>Concrete International: </w:t>
            </w:r>
            <w:r>
              <w:rPr>
                <w:i/>
                <w:sz w:val="24"/>
              </w:rPr>
              <w:t>Design and Construction </w:t>
            </w:r>
            <w:r>
              <w:rPr>
                <w:sz w:val="24"/>
              </w:rPr>
              <w:t>7 (3) (1985) 21-25.</w:t>
            </w:r>
          </w:p>
        </w:tc>
      </w:tr>
      <w:tr>
        <w:trPr>
          <w:trHeight w:val="952" w:hRule="exact"/>
        </w:trPr>
        <w:tc>
          <w:tcPr>
            <w:tcW w:w="672" w:type="dxa"/>
          </w:tcPr>
          <w:p>
            <w:pPr>
              <w:pStyle w:val="TableParagraph"/>
              <w:spacing w:before="168"/>
              <w:ind w:left="0" w:right="136"/>
              <w:jc w:val="center"/>
              <w:rPr>
                <w:sz w:val="24"/>
              </w:rPr>
            </w:pPr>
            <w:r>
              <w:rPr>
                <w:w w:val="99"/>
                <w:sz w:val="24"/>
              </w:rPr>
              <w:t>9</w:t>
            </w:r>
          </w:p>
        </w:tc>
        <w:tc>
          <w:tcPr>
            <w:tcW w:w="8495" w:type="dxa"/>
          </w:tcPr>
          <w:p>
            <w:pPr>
              <w:pStyle w:val="TableParagraph"/>
              <w:spacing w:line="273" w:lineRule="auto" w:before="168"/>
              <w:ind w:right="163"/>
              <w:rPr>
                <w:sz w:val="24"/>
              </w:rPr>
            </w:pPr>
            <w:r>
              <w:rPr>
                <w:sz w:val="24"/>
              </w:rPr>
              <w:t>Hoff G.C., Use of Steel Fiber Reinforced Concrete in Bridge Decks and Pavements, </w:t>
            </w:r>
            <w:r>
              <w:rPr>
                <w:i/>
                <w:sz w:val="24"/>
              </w:rPr>
              <w:t>Steel Fiber Concrete</w:t>
            </w:r>
            <w:r>
              <w:rPr>
                <w:sz w:val="24"/>
              </w:rPr>
              <w:t>, volume 23 (1986) 67-108.</w:t>
            </w:r>
          </w:p>
        </w:tc>
      </w:tr>
      <w:tr>
        <w:trPr>
          <w:trHeight w:val="955" w:hRule="exact"/>
        </w:trPr>
        <w:tc>
          <w:tcPr>
            <w:tcW w:w="672" w:type="dxa"/>
          </w:tcPr>
          <w:p>
            <w:pPr>
              <w:pStyle w:val="TableParagraph"/>
              <w:spacing w:before="167"/>
              <w:ind w:left="181" w:right="181"/>
              <w:jc w:val="center"/>
              <w:rPr>
                <w:sz w:val="24"/>
              </w:rPr>
            </w:pPr>
            <w:r>
              <w:rPr>
                <w:sz w:val="24"/>
              </w:rPr>
              <w:t>10</w:t>
            </w:r>
          </w:p>
        </w:tc>
        <w:tc>
          <w:tcPr>
            <w:tcW w:w="8495" w:type="dxa"/>
          </w:tcPr>
          <w:p>
            <w:pPr>
              <w:pStyle w:val="TableParagraph"/>
              <w:spacing w:line="278" w:lineRule="auto" w:before="167"/>
              <w:ind w:right="163"/>
              <w:rPr>
                <w:sz w:val="24"/>
              </w:rPr>
            </w:pPr>
            <w:r>
              <w:rPr>
                <w:sz w:val="24"/>
              </w:rPr>
              <w:t>Shah S.P., Fiber Reinforced Concretes, Handbook of Structural Concrete, (eds.: Kong F.K., Evans R.H., Cohen E., Roll F.), McGraw-Hill, U.K., (1983).</w:t>
            </w:r>
          </w:p>
        </w:tc>
      </w:tr>
      <w:tr>
        <w:trPr>
          <w:trHeight w:val="1267" w:hRule="exact"/>
        </w:trPr>
        <w:tc>
          <w:tcPr>
            <w:tcW w:w="672" w:type="dxa"/>
          </w:tcPr>
          <w:p>
            <w:pPr>
              <w:pStyle w:val="TableParagraph"/>
              <w:spacing w:before="166"/>
              <w:ind w:left="181" w:right="181"/>
              <w:jc w:val="center"/>
              <w:rPr>
                <w:sz w:val="24"/>
              </w:rPr>
            </w:pPr>
            <w:r>
              <w:rPr>
                <w:sz w:val="24"/>
              </w:rPr>
              <w:t>11</w:t>
            </w:r>
          </w:p>
        </w:tc>
        <w:tc>
          <w:tcPr>
            <w:tcW w:w="8495" w:type="dxa"/>
          </w:tcPr>
          <w:p>
            <w:pPr>
              <w:pStyle w:val="TableParagraph"/>
              <w:spacing w:line="276" w:lineRule="auto" w:before="166"/>
              <w:ind w:right="206"/>
              <w:jc w:val="both"/>
              <w:rPr>
                <w:sz w:val="24"/>
              </w:rPr>
            </w:pPr>
            <w:r>
              <w:rPr>
                <w:sz w:val="24"/>
              </w:rPr>
              <w:t>Gram H.E., Skarendahl A., A Sisal Reinforced Concrete: Study No. 1 Material, Report No. 7822, Swedish Cement and Concrete Research Institute, (1978) 1-15.</w:t>
            </w:r>
          </w:p>
        </w:tc>
      </w:tr>
      <w:tr>
        <w:trPr>
          <w:trHeight w:val="754" w:hRule="exact"/>
        </w:trPr>
        <w:tc>
          <w:tcPr>
            <w:tcW w:w="672" w:type="dxa"/>
          </w:tcPr>
          <w:p>
            <w:pPr>
              <w:pStyle w:val="TableParagraph"/>
              <w:spacing w:before="168"/>
              <w:ind w:left="181" w:right="181"/>
              <w:jc w:val="center"/>
              <w:rPr>
                <w:sz w:val="24"/>
              </w:rPr>
            </w:pPr>
            <w:r>
              <w:rPr>
                <w:sz w:val="24"/>
              </w:rPr>
              <w:t>12</w:t>
            </w:r>
          </w:p>
        </w:tc>
        <w:tc>
          <w:tcPr>
            <w:tcW w:w="8495" w:type="dxa"/>
          </w:tcPr>
          <w:p>
            <w:pPr>
              <w:pStyle w:val="TableParagraph"/>
              <w:spacing w:line="276" w:lineRule="auto" w:before="166"/>
              <w:ind w:right="163"/>
              <w:rPr>
                <w:sz w:val="24"/>
              </w:rPr>
            </w:pPr>
            <w:r>
              <w:rPr>
                <w:sz w:val="24"/>
              </w:rPr>
              <w:t>Uzomaka O.J., Characteristics of Akwara as Reinforcing Fiber, </w:t>
            </w:r>
            <w:r>
              <w:rPr>
                <w:i/>
                <w:sz w:val="24"/>
              </w:rPr>
              <w:t>Magazine of </w:t>
            </w:r>
            <w:r>
              <w:rPr>
                <w:i/>
                <w:sz w:val="24"/>
              </w:rPr>
              <w:t>Concrete Research </w:t>
            </w:r>
            <w:r>
              <w:rPr>
                <w:sz w:val="24"/>
              </w:rPr>
              <w:t>28 (96) (1976) 162-167.</w:t>
            </w:r>
          </w:p>
        </w:tc>
      </w:tr>
    </w:tbl>
    <w:p>
      <w:pPr>
        <w:spacing w:after="0" w:line="276" w:lineRule="auto"/>
        <w:rPr>
          <w:sz w:val="24"/>
        </w:rPr>
        <w:sectPr>
          <w:pgSz w:w="12240" w:h="15840"/>
          <w:pgMar w:header="747" w:footer="0" w:top="940" w:bottom="280" w:left="1400" w:right="14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2"/>
        <w:gridCol w:w="8495"/>
      </w:tblGrid>
      <w:tr>
        <w:trPr>
          <w:trHeight w:val="1070" w:hRule="exact"/>
        </w:trPr>
        <w:tc>
          <w:tcPr>
            <w:tcW w:w="672" w:type="dxa"/>
          </w:tcPr>
          <w:p>
            <w:pPr>
              <w:pStyle w:val="TableParagraph"/>
              <w:spacing w:line="245" w:lineRule="exact" w:before="0"/>
              <w:ind w:left="181" w:right="181"/>
              <w:jc w:val="center"/>
              <w:rPr>
                <w:sz w:val="24"/>
              </w:rPr>
            </w:pPr>
            <w:r>
              <w:rPr>
                <w:sz w:val="24"/>
              </w:rPr>
              <w:t>13</w:t>
            </w:r>
          </w:p>
        </w:tc>
        <w:tc>
          <w:tcPr>
            <w:tcW w:w="8495" w:type="dxa"/>
          </w:tcPr>
          <w:p>
            <w:pPr>
              <w:pStyle w:val="TableParagraph"/>
              <w:spacing w:line="245" w:lineRule="exact" w:before="0"/>
              <w:ind w:right="198"/>
              <w:rPr>
                <w:sz w:val="24"/>
              </w:rPr>
            </w:pPr>
            <w:r>
              <w:rPr>
                <w:sz w:val="24"/>
              </w:rPr>
              <w:t>Davallo M., Pasdar H., Mohseni M., Mechanical Properties of Unsaturated</w:t>
            </w:r>
          </w:p>
          <w:p>
            <w:pPr>
              <w:pStyle w:val="TableParagraph"/>
              <w:spacing w:line="278" w:lineRule="auto" w:before="38"/>
              <w:ind w:right="198"/>
              <w:rPr>
                <w:sz w:val="24"/>
              </w:rPr>
            </w:pPr>
            <w:r>
              <w:rPr>
                <w:sz w:val="24"/>
              </w:rPr>
              <w:t>Polyester Resin, </w:t>
            </w:r>
            <w:r>
              <w:rPr>
                <w:i/>
                <w:sz w:val="24"/>
              </w:rPr>
              <w:t>International Journal of ChemTech Research </w:t>
            </w:r>
            <w:r>
              <w:rPr>
                <w:sz w:val="24"/>
              </w:rPr>
              <w:t>2 (2010) 2113-2117.</w:t>
            </w:r>
          </w:p>
        </w:tc>
      </w:tr>
      <w:tr>
        <w:trPr>
          <w:trHeight w:val="894" w:hRule="exact"/>
        </w:trPr>
        <w:tc>
          <w:tcPr>
            <w:tcW w:w="672" w:type="dxa"/>
          </w:tcPr>
          <w:p>
            <w:pPr>
              <w:pStyle w:val="TableParagraph"/>
              <w:spacing w:before="168"/>
              <w:ind w:left="181" w:right="181"/>
              <w:jc w:val="center"/>
              <w:rPr>
                <w:sz w:val="24"/>
              </w:rPr>
            </w:pPr>
            <w:r>
              <w:rPr>
                <w:sz w:val="24"/>
              </w:rPr>
              <w:t>14</w:t>
            </w:r>
          </w:p>
        </w:tc>
        <w:tc>
          <w:tcPr>
            <w:tcW w:w="8495" w:type="dxa"/>
          </w:tcPr>
          <w:p>
            <w:pPr>
              <w:pStyle w:val="TableParagraph"/>
              <w:spacing w:line="278" w:lineRule="auto" w:before="166"/>
              <w:ind w:right="198"/>
              <w:rPr>
                <w:sz w:val="24"/>
              </w:rPr>
            </w:pPr>
            <w:r>
              <w:rPr>
                <w:sz w:val="24"/>
              </w:rPr>
              <w:t>Pepper T., Polyester Resin, ASM Handbook Volume 21, </w:t>
            </w:r>
            <w:r>
              <w:rPr>
                <w:i/>
                <w:sz w:val="24"/>
              </w:rPr>
              <w:t>Composites </w:t>
            </w:r>
            <w:r>
              <w:rPr>
                <w:sz w:val="24"/>
              </w:rPr>
              <w:t>(ASM International), (2001) 90-96.</w:t>
            </w:r>
          </w:p>
        </w:tc>
      </w:tr>
      <w:tr>
        <w:trPr>
          <w:trHeight w:val="1211" w:hRule="exact"/>
        </w:trPr>
        <w:tc>
          <w:tcPr>
            <w:tcW w:w="672" w:type="dxa"/>
          </w:tcPr>
          <w:p>
            <w:pPr>
              <w:pStyle w:val="TableParagraph"/>
              <w:spacing w:before="107"/>
              <w:ind w:left="181" w:right="181"/>
              <w:jc w:val="center"/>
              <w:rPr>
                <w:sz w:val="24"/>
              </w:rPr>
            </w:pPr>
            <w:r>
              <w:rPr>
                <w:sz w:val="24"/>
              </w:rPr>
              <w:t>15</w:t>
            </w:r>
          </w:p>
        </w:tc>
        <w:tc>
          <w:tcPr>
            <w:tcW w:w="8495" w:type="dxa"/>
          </w:tcPr>
          <w:p>
            <w:pPr>
              <w:pStyle w:val="TableParagraph"/>
              <w:spacing w:line="276" w:lineRule="auto" w:before="107"/>
              <w:ind w:right="198"/>
              <w:jc w:val="both"/>
              <w:rPr>
                <w:sz w:val="24"/>
              </w:rPr>
            </w:pPr>
            <w:r>
              <w:rPr>
                <w:sz w:val="24"/>
              </w:rPr>
              <w:t>Zaske O. C., Unsaturated Polyester and VinylEster Resins, Chapter 4 in, Handbook of Thermoset Plastics, Goodman S. H (Ed), </w:t>
            </w:r>
            <w:r>
              <w:rPr>
                <w:i/>
                <w:sz w:val="24"/>
              </w:rPr>
              <w:t>Noyes Publications</w:t>
            </w:r>
            <w:r>
              <w:rPr>
                <w:sz w:val="24"/>
              </w:rPr>
              <w:t>, USA, (1986), 59-111.</w:t>
            </w:r>
          </w:p>
        </w:tc>
      </w:tr>
      <w:tr>
        <w:trPr>
          <w:trHeight w:val="1269" w:hRule="exact"/>
        </w:trPr>
        <w:tc>
          <w:tcPr>
            <w:tcW w:w="672" w:type="dxa"/>
          </w:tcPr>
          <w:p>
            <w:pPr>
              <w:pStyle w:val="TableParagraph"/>
              <w:spacing w:before="166"/>
              <w:ind w:left="181" w:right="181"/>
              <w:jc w:val="center"/>
              <w:rPr>
                <w:sz w:val="24"/>
              </w:rPr>
            </w:pPr>
            <w:r>
              <w:rPr>
                <w:sz w:val="24"/>
              </w:rPr>
              <w:t>16</w:t>
            </w:r>
          </w:p>
        </w:tc>
        <w:tc>
          <w:tcPr>
            <w:tcW w:w="8495" w:type="dxa"/>
          </w:tcPr>
          <w:p>
            <w:pPr>
              <w:pStyle w:val="TableParagraph"/>
              <w:spacing w:line="276" w:lineRule="auto" w:before="166"/>
              <w:ind w:right="199"/>
              <w:jc w:val="both"/>
              <w:rPr>
                <w:sz w:val="24"/>
              </w:rPr>
            </w:pPr>
            <w:r>
              <w:rPr>
                <w:sz w:val="24"/>
              </w:rPr>
              <w:t>Vale C. P., The Chemistry of Unsaturated Polyesters and Allyl Resins, Chapter 2 in, Glass Reinforced Plastics, Morgan P (Ed), IL1FFE, London, (1961),19-36.</w:t>
            </w:r>
          </w:p>
        </w:tc>
      </w:tr>
      <w:tr>
        <w:trPr>
          <w:trHeight w:val="953" w:hRule="exact"/>
        </w:trPr>
        <w:tc>
          <w:tcPr>
            <w:tcW w:w="672" w:type="dxa"/>
          </w:tcPr>
          <w:p>
            <w:pPr>
              <w:pStyle w:val="TableParagraph"/>
              <w:spacing w:before="167"/>
              <w:ind w:left="181" w:right="181"/>
              <w:jc w:val="center"/>
              <w:rPr>
                <w:sz w:val="24"/>
              </w:rPr>
            </w:pPr>
            <w:r>
              <w:rPr>
                <w:sz w:val="24"/>
              </w:rPr>
              <w:t>17</w:t>
            </w:r>
          </w:p>
        </w:tc>
        <w:tc>
          <w:tcPr>
            <w:tcW w:w="8495" w:type="dxa"/>
          </w:tcPr>
          <w:p>
            <w:pPr>
              <w:pStyle w:val="TableParagraph"/>
              <w:spacing w:line="278" w:lineRule="auto" w:before="165"/>
              <w:ind w:right="198"/>
              <w:rPr>
                <w:sz w:val="24"/>
              </w:rPr>
            </w:pPr>
            <w:r>
              <w:rPr>
                <w:sz w:val="24"/>
              </w:rPr>
              <w:t>Oboh I.O., Aluyor E.O., Luffa cylindrica - an emerging cash crop, </w:t>
            </w:r>
            <w:r>
              <w:rPr>
                <w:i/>
                <w:sz w:val="24"/>
              </w:rPr>
              <w:t>African </w:t>
            </w:r>
            <w:r>
              <w:rPr>
                <w:i/>
                <w:sz w:val="24"/>
              </w:rPr>
              <w:t>Journal of Agricultural Research </w:t>
            </w:r>
            <w:r>
              <w:rPr>
                <w:sz w:val="24"/>
              </w:rPr>
              <w:t>4 (8) (2009) 684-688.</w:t>
            </w:r>
          </w:p>
        </w:tc>
      </w:tr>
      <w:tr>
        <w:trPr>
          <w:trHeight w:val="1529" w:hRule="exact"/>
        </w:trPr>
        <w:tc>
          <w:tcPr>
            <w:tcW w:w="672" w:type="dxa"/>
          </w:tcPr>
          <w:p>
            <w:pPr>
              <w:pStyle w:val="TableParagraph"/>
              <w:spacing w:before="167"/>
              <w:ind w:left="181" w:right="181"/>
              <w:jc w:val="center"/>
              <w:rPr>
                <w:sz w:val="24"/>
              </w:rPr>
            </w:pPr>
            <w:r>
              <w:rPr>
                <w:sz w:val="24"/>
              </w:rPr>
              <w:t>18</w:t>
            </w:r>
          </w:p>
        </w:tc>
        <w:tc>
          <w:tcPr>
            <w:tcW w:w="8495" w:type="dxa"/>
          </w:tcPr>
          <w:p>
            <w:pPr>
              <w:pStyle w:val="TableParagraph"/>
              <w:spacing w:line="276" w:lineRule="auto" w:before="167"/>
              <w:ind w:right="200"/>
              <w:jc w:val="both"/>
              <w:rPr>
                <w:sz w:val="24"/>
              </w:rPr>
            </w:pPr>
            <w:r>
              <w:rPr>
                <w:sz w:val="24"/>
              </w:rPr>
              <w:t>Boynard C.A., D'almeida J.R.M. Morphological characterization and mechanical behavior of sponge gourd (luffa cylindrica)–polyester composite materials, </w:t>
            </w:r>
            <w:r>
              <w:rPr>
                <w:i/>
                <w:sz w:val="24"/>
              </w:rPr>
              <w:t>Polymer-plastics Technology and Engineering </w:t>
            </w:r>
            <w:r>
              <w:rPr>
                <w:sz w:val="24"/>
              </w:rPr>
              <w:t>39 (3) (2010)  489-</w:t>
            </w:r>
          </w:p>
          <w:p>
            <w:pPr>
              <w:pStyle w:val="TableParagraph"/>
              <w:spacing w:before="3"/>
              <w:jc w:val="both"/>
              <w:rPr>
                <w:sz w:val="24"/>
              </w:rPr>
            </w:pPr>
            <w:r>
              <w:rPr>
                <w:sz w:val="24"/>
              </w:rPr>
              <w:t>499.</w:t>
            </w:r>
          </w:p>
        </w:tc>
      </w:tr>
      <w:tr>
        <w:trPr>
          <w:trHeight w:val="893" w:hRule="exact"/>
        </w:trPr>
        <w:tc>
          <w:tcPr>
            <w:tcW w:w="672" w:type="dxa"/>
          </w:tcPr>
          <w:p>
            <w:pPr>
              <w:pStyle w:val="TableParagraph"/>
              <w:spacing w:before="107"/>
              <w:ind w:left="181" w:right="181"/>
              <w:jc w:val="center"/>
              <w:rPr>
                <w:sz w:val="24"/>
              </w:rPr>
            </w:pPr>
            <w:r>
              <w:rPr>
                <w:sz w:val="24"/>
              </w:rPr>
              <w:t>19</w:t>
            </w:r>
          </w:p>
        </w:tc>
        <w:tc>
          <w:tcPr>
            <w:tcW w:w="8495" w:type="dxa"/>
          </w:tcPr>
          <w:p>
            <w:pPr>
              <w:pStyle w:val="TableParagraph"/>
              <w:spacing w:before="107"/>
              <w:rPr>
                <w:sz w:val="24"/>
              </w:rPr>
            </w:pPr>
            <w:r>
              <w:rPr>
                <w:sz w:val="24"/>
              </w:rPr>
              <w:t>Nabi  D.  y  Jog  J.  P.,  Natural  Fiber  Polymer  Compos-ites:  A    </w:t>
            </w:r>
            <w:r>
              <w:rPr>
                <w:spacing w:val="55"/>
                <w:sz w:val="24"/>
              </w:rPr>
              <w:t> </w:t>
            </w:r>
            <w:r>
              <w:rPr>
                <w:sz w:val="24"/>
              </w:rPr>
              <w:t>Review,</w:t>
            </w:r>
          </w:p>
          <w:p>
            <w:pPr>
              <w:pStyle w:val="TableParagraph"/>
              <w:spacing w:before="41"/>
              <w:ind w:right="198"/>
              <w:rPr>
                <w:sz w:val="24"/>
              </w:rPr>
            </w:pPr>
            <w:r>
              <w:rPr>
                <w:i/>
                <w:sz w:val="24"/>
              </w:rPr>
              <w:t>Advances in Polymer Technology</w:t>
            </w:r>
            <w:r>
              <w:rPr>
                <w:sz w:val="24"/>
              </w:rPr>
              <w:t>, Vol. 18, No. 4, 1999, pp. 351-363.</w:t>
            </w:r>
          </w:p>
        </w:tc>
      </w:tr>
      <w:tr>
        <w:trPr>
          <w:trHeight w:val="1586" w:hRule="exact"/>
        </w:trPr>
        <w:tc>
          <w:tcPr>
            <w:tcW w:w="672" w:type="dxa"/>
          </w:tcPr>
          <w:p>
            <w:pPr>
              <w:pStyle w:val="TableParagraph"/>
              <w:spacing w:before="167"/>
              <w:ind w:left="181" w:right="181"/>
              <w:jc w:val="center"/>
              <w:rPr>
                <w:sz w:val="24"/>
              </w:rPr>
            </w:pPr>
            <w:r>
              <w:rPr>
                <w:sz w:val="24"/>
              </w:rPr>
              <w:t>20</w:t>
            </w:r>
          </w:p>
        </w:tc>
        <w:tc>
          <w:tcPr>
            <w:tcW w:w="8495" w:type="dxa"/>
          </w:tcPr>
          <w:p>
            <w:pPr>
              <w:pStyle w:val="TableParagraph"/>
              <w:spacing w:line="276" w:lineRule="auto" w:before="167"/>
              <w:ind w:right="206"/>
              <w:jc w:val="both"/>
              <w:rPr>
                <w:sz w:val="24"/>
              </w:rPr>
            </w:pPr>
            <w:r>
              <w:rPr>
                <w:sz w:val="24"/>
              </w:rPr>
              <w:t>Boynard C. A., Monteiro S.E. y D’Almeida R. M., “Aspects of Alkali Treatment of Sponge Gourd (Luffa Cylindrica) Fibers on the Flexural Properties of Polyester Matrix Composites,” </w:t>
            </w:r>
            <w:r>
              <w:rPr>
                <w:i/>
                <w:sz w:val="24"/>
              </w:rPr>
              <w:t>Journal of Applied Polymer </w:t>
            </w:r>
            <w:r>
              <w:rPr>
                <w:i/>
                <w:sz w:val="24"/>
              </w:rPr>
              <w:t>Science</w:t>
            </w:r>
            <w:r>
              <w:rPr>
                <w:sz w:val="24"/>
              </w:rPr>
              <w:t>, Vol. 87, No. 12, 2003, pp. 1927-1932.</w:t>
            </w:r>
          </w:p>
        </w:tc>
      </w:tr>
      <w:tr>
        <w:trPr>
          <w:trHeight w:val="1271" w:hRule="exact"/>
        </w:trPr>
        <w:tc>
          <w:tcPr>
            <w:tcW w:w="672" w:type="dxa"/>
          </w:tcPr>
          <w:p>
            <w:pPr>
              <w:pStyle w:val="TableParagraph"/>
              <w:spacing w:before="167"/>
              <w:ind w:left="181" w:right="181"/>
              <w:jc w:val="center"/>
              <w:rPr>
                <w:sz w:val="24"/>
              </w:rPr>
            </w:pPr>
            <w:r>
              <w:rPr>
                <w:sz w:val="24"/>
              </w:rPr>
              <w:t>21</w:t>
            </w:r>
          </w:p>
        </w:tc>
        <w:tc>
          <w:tcPr>
            <w:tcW w:w="8495" w:type="dxa"/>
          </w:tcPr>
          <w:p>
            <w:pPr>
              <w:pStyle w:val="TableParagraph"/>
              <w:spacing w:line="276" w:lineRule="auto" w:before="167"/>
              <w:ind w:right="202"/>
              <w:jc w:val="both"/>
              <w:rPr>
                <w:sz w:val="24"/>
              </w:rPr>
            </w:pPr>
            <w:r>
              <w:rPr>
                <w:sz w:val="24"/>
              </w:rPr>
              <w:t>Ghali L., Msahli S., Zidi M. y Sakli E., “Effect of Pre-Treatment of Luffa Fibres on the Structural Proper-ties,” </w:t>
            </w:r>
            <w:r>
              <w:rPr>
                <w:i/>
                <w:sz w:val="24"/>
              </w:rPr>
              <w:t>Materials Letters</w:t>
            </w:r>
            <w:r>
              <w:rPr>
                <w:sz w:val="24"/>
              </w:rPr>
              <w:t>, Vol. 63, No. 1, 2009, pp. 61-63.</w:t>
            </w:r>
          </w:p>
        </w:tc>
      </w:tr>
      <w:tr>
        <w:trPr>
          <w:trHeight w:val="952" w:hRule="exact"/>
        </w:trPr>
        <w:tc>
          <w:tcPr>
            <w:tcW w:w="672" w:type="dxa"/>
          </w:tcPr>
          <w:p>
            <w:pPr>
              <w:pStyle w:val="TableParagraph"/>
              <w:spacing w:before="166"/>
              <w:ind w:left="181" w:right="181"/>
              <w:jc w:val="center"/>
              <w:rPr>
                <w:sz w:val="24"/>
              </w:rPr>
            </w:pPr>
            <w:r>
              <w:rPr>
                <w:sz w:val="24"/>
              </w:rPr>
              <w:t>22</w:t>
            </w:r>
          </w:p>
        </w:tc>
        <w:tc>
          <w:tcPr>
            <w:tcW w:w="8495" w:type="dxa"/>
          </w:tcPr>
          <w:p>
            <w:pPr>
              <w:pStyle w:val="TableParagraph"/>
              <w:spacing w:line="276" w:lineRule="auto" w:before="166"/>
              <w:ind w:right="199"/>
              <w:rPr>
                <w:sz w:val="24"/>
              </w:rPr>
            </w:pPr>
            <w:r>
              <w:rPr>
                <w:sz w:val="24"/>
              </w:rPr>
              <w:t>Cherry R.N. Radiaciones ionizantes, Enciclopedia de salud y seguridad en el trabajo, España, (1998) 48.1- 48.48.</w:t>
            </w:r>
          </w:p>
        </w:tc>
      </w:tr>
      <w:tr>
        <w:trPr>
          <w:trHeight w:val="755" w:hRule="exact"/>
        </w:trPr>
        <w:tc>
          <w:tcPr>
            <w:tcW w:w="672" w:type="dxa"/>
          </w:tcPr>
          <w:p>
            <w:pPr>
              <w:pStyle w:val="TableParagraph"/>
              <w:spacing w:before="167"/>
              <w:ind w:left="181" w:right="181"/>
              <w:jc w:val="center"/>
              <w:rPr>
                <w:sz w:val="24"/>
              </w:rPr>
            </w:pPr>
            <w:r>
              <w:rPr>
                <w:sz w:val="24"/>
              </w:rPr>
              <w:t>23</w:t>
            </w:r>
          </w:p>
        </w:tc>
        <w:tc>
          <w:tcPr>
            <w:tcW w:w="8495" w:type="dxa"/>
          </w:tcPr>
          <w:p>
            <w:pPr>
              <w:pStyle w:val="TableParagraph"/>
              <w:spacing w:line="276" w:lineRule="auto" w:before="167"/>
              <w:ind w:right="198"/>
              <w:rPr>
                <w:sz w:val="24"/>
              </w:rPr>
            </w:pPr>
            <w:r>
              <w:rPr>
                <w:sz w:val="24"/>
              </w:rPr>
              <w:t>E.Cruz-Zaragoza y G.Martínez-Barrera, Ionizing radiation effects on the matter and its applications in research and industry, In Gamma Radiation</w:t>
            </w:r>
          </w:p>
        </w:tc>
      </w:tr>
    </w:tbl>
    <w:p>
      <w:pPr>
        <w:spacing w:after="0" w:line="276" w:lineRule="auto"/>
        <w:rPr>
          <w:sz w:val="24"/>
        </w:rPr>
        <w:sectPr>
          <w:pgSz w:w="12240" w:h="15840"/>
          <w:pgMar w:header="747" w:footer="0" w:top="940" w:bottom="280" w:left="1400" w:right="1460"/>
        </w:sectPr>
      </w:pPr>
    </w:p>
    <w:p>
      <w:pPr>
        <w:pStyle w:val="BodyText"/>
        <w:rPr>
          <w:rFonts w:ascii="Times New Roman"/>
          <w:sz w:val="20"/>
        </w:rPr>
      </w:pPr>
    </w:p>
    <w:p>
      <w:pPr>
        <w:pStyle w:val="BodyText"/>
        <w:spacing w:before="2" w:after="1"/>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2"/>
        <w:gridCol w:w="8494"/>
      </w:tblGrid>
      <w:tr>
        <w:trPr>
          <w:trHeight w:val="698" w:hRule="exact"/>
        </w:trPr>
        <w:tc>
          <w:tcPr>
            <w:tcW w:w="672" w:type="dxa"/>
          </w:tcPr>
          <w:p>
            <w:pPr/>
          </w:p>
        </w:tc>
        <w:tc>
          <w:tcPr>
            <w:tcW w:w="8494" w:type="dxa"/>
          </w:tcPr>
          <w:p>
            <w:pPr>
              <w:pStyle w:val="TableParagraph"/>
              <w:spacing w:line="245" w:lineRule="exact" w:before="0"/>
              <w:ind w:right="125"/>
              <w:rPr>
                <w:sz w:val="24"/>
              </w:rPr>
            </w:pPr>
            <w:r>
              <w:rPr>
                <w:sz w:val="24"/>
              </w:rPr>
              <w:t>Effects on Polymeric Materials and its Applications, (eds. C.E.   Barrea-Díaz</w:t>
            </w:r>
          </w:p>
          <w:p>
            <w:pPr>
              <w:pStyle w:val="TableParagraph"/>
              <w:spacing w:before="43"/>
              <w:ind w:right="125"/>
              <w:rPr>
                <w:sz w:val="24"/>
              </w:rPr>
            </w:pPr>
            <w:r>
              <w:rPr>
                <w:sz w:val="24"/>
              </w:rPr>
              <w:t>y G. Martínez-Barrera), Research Signpost, India, (2009).</w:t>
            </w:r>
          </w:p>
        </w:tc>
      </w:tr>
      <w:tr>
        <w:trPr>
          <w:trHeight w:val="1211" w:hRule="exact"/>
        </w:trPr>
        <w:tc>
          <w:tcPr>
            <w:tcW w:w="672" w:type="dxa"/>
          </w:tcPr>
          <w:p>
            <w:pPr>
              <w:pStyle w:val="TableParagraph"/>
              <w:spacing w:before="107"/>
              <w:ind w:left="181" w:right="181"/>
              <w:jc w:val="center"/>
              <w:rPr>
                <w:sz w:val="24"/>
              </w:rPr>
            </w:pPr>
            <w:r>
              <w:rPr>
                <w:sz w:val="24"/>
              </w:rPr>
              <w:t>24</w:t>
            </w:r>
          </w:p>
        </w:tc>
        <w:tc>
          <w:tcPr>
            <w:tcW w:w="8494" w:type="dxa"/>
          </w:tcPr>
          <w:p>
            <w:pPr>
              <w:pStyle w:val="TableParagraph"/>
              <w:spacing w:line="276" w:lineRule="auto" w:before="107"/>
              <w:ind w:right="206"/>
              <w:jc w:val="both"/>
              <w:rPr>
                <w:sz w:val="24"/>
              </w:rPr>
            </w:pPr>
            <w:r>
              <w:rPr>
                <w:sz w:val="24"/>
              </w:rPr>
              <w:t>Coranguez O. Concretos elaborados con resinas poliméricas irradiadas: análisis estructural y de la propiedad mecánica de la compresión. Tesis. Universidad Autónoma del Estado de México. 2006.</w:t>
            </w:r>
          </w:p>
        </w:tc>
      </w:tr>
      <w:tr>
        <w:trPr>
          <w:trHeight w:val="1268" w:hRule="exact"/>
        </w:trPr>
        <w:tc>
          <w:tcPr>
            <w:tcW w:w="672" w:type="dxa"/>
          </w:tcPr>
          <w:p>
            <w:pPr>
              <w:pStyle w:val="TableParagraph"/>
              <w:spacing w:before="166"/>
              <w:ind w:left="181" w:right="181"/>
              <w:jc w:val="center"/>
              <w:rPr>
                <w:sz w:val="24"/>
              </w:rPr>
            </w:pPr>
            <w:r>
              <w:rPr>
                <w:sz w:val="24"/>
              </w:rPr>
              <w:t>25</w:t>
            </w:r>
          </w:p>
        </w:tc>
        <w:tc>
          <w:tcPr>
            <w:tcW w:w="8494" w:type="dxa"/>
          </w:tcPr>
          <w:p>
            <w:pPr>
              <w:pStyle w:val="TableParagraph"/>
              <w:spacing w:line="276" w:lineRule="auto" w:before="166"/>
              <w:ind w:right="198"/>
              <w:jc w:val="both"/>
              <w:rPr>
                <w:sz w:val="24"/>
              </w:rPr>
            </w:pPr>
            <w:r>
              <w:rPr>
                <w:sz w:val="24"/>
              </w:rPr>
              <w:t>Bakraji E.H., Salman N., Othman I., Radiation-induced polymerization of acrylamide within Okoume (Aucoumea klaineana pierre). </w:t>
            </w:r>
            <w:r>
              <w:rPr>
                <w:i/>
                <w:sz w:val="24"/>
              </w:rPr>
              <w:t>Radiation Physics </w:t>
            </w:r>
            <w:r>
              <w:rPr>
                <w:i/>
                <w:sz w:val="24"/>
              </w:rPr>
              <w:t>and Chemistry</w:t>
            </w:r>
            <w:r>
              <w:rPr>
                <w:sz w:val="24"/>
              </w:rPr>
              <w:t>. 64(4) ( 2002), 277-281.</w:t>
            </w:r>
          </w:p>
        </w:tc>
      </w:tr>
      <w:tr>
        <w:trPr>
          <w:trHeight w:val="1588" w:hRule="exact"/>
        </w:trPr>
        <w:tc>
          <w:tcPr>
            <w:tcW w:w="672" w:type="dxa"/>
          </w:tcPr>
          <w:p>
            <w:pPr>
              <w:pStyle w:val="TableParagraph"/>
              <w:spacing w:before="167"/>
              <w:ind w:left="181" w:right="181"/>
              <w:jc w:val="center"/>
              <w:rPr>
                <w:sz w:val="24"/>
              </w:rPr>
            </w:pPr>
            <w:r>
              <w:rPr>
                <w:sz w:val="24"/>
              </w:rPr>
              <w:t>26</w:t>
            </w:r>
          </w:p>
        </w:tc>
        <w:tc>
          <w:tcPr>
            <w:tcW w:w="8494" w:type="dxa"/>
          </w:tcPr>
          <w:p>
            <w:pPr>
              <w:pStyle w:val="TableParagraph"/>
              <w:spacing w:line="276" w:lineRule="auto" w:before="167"/>
              <w:ind w:right="198"/>
              <w:jc w:val="both"/>
              <w:rPr>
                <w:sz w:val="24"/>
              </w:rPr>
            </w:pPr>
            <w:r>
              <w:rPr>
                <w:sz w:val="24"/>
              </w:rPr>
              <w:t>Csupor K., Divos F., Gonczol E., Radiation induced effects on wood  material and fungi, In: Proceedings of 12th Int. symposium on  nondestructive testing of  wood, Sopron, 13.  – 15. September, 2000,  </w:t>
            </w:r>
            <w:r>
              <w:rPr>
                <w:spacing w:val="56"/>
                <w:sz w:val="24"/>
              </w:rPr>
              <w:t> </w:t>
            </w:r>
            <w:r>
              <w:rPr>
                <w:sz w:val="24"/>
              </w:rPr>
              <w:t>125-</w:t>
            </w:r>
          </w:p>
          <w:p>
            <w:pPr>
              <w:pStyle w:val="TableParagraph"/>
              <w:spacing w:before="0"/>
              <w:jc w:val="both"/>
              <w:rPr>
                <w:sz w:val="24"/>
              </w:rPr>
            </w:pPr>
            <w:r>
              <w:rPr>
                <w:sz w:val="24"/>
              </w:rPr>
              <w:t>147.</w:t>
            </w:r>
          </w:p>
        </w:tc>
      </w:tr>
      <w:tr>
        <w:trPr>
          <w:trHeight w:val="1270" w:hRule="exact"/>
        </w:trPr>
        <w:tc>
          <w:tcPr>
            <w:tcW w:w="672" w:type="dxa"/>
          </w:tcPr>
          <w:p>
            <w:pPr>
              <w:pStyle w:val="TableParagraph"/>
              <w:spacing w:before="166"/>
              <w:ind w:left="181" w:right="181"/>
              <w:jc w:val="center"/>
              <w:rPr>
                <w:sz w:val="24"/>
              </w:rPr>
            </w:pPr>
            <w:r>
              <w:rPr>
                <w:sz w:val="24"/>
              </w:rPr>
              <w:t>27</w:t>
            </w:r>
          </w:p>
        </w:tc>
        <w:tc>
          <w:tcPr>
            <w:tcW w:w="8494" w:type="dxa"/>
          </w:tcPr>
          <w:p>
            <w:pPr>
              <w:pStyle w:val="TableParagraph"/>
              <w:spacing w:line="276" w:lineRule="auto" w:before="166"/>
              <w:ind w:right="199"/>
              <w:jc w:val="both"/>
              <w:rPr>
                <w:sz w:val="24"/>
              </w:rPr>
            </w:pPr>
            <w:r>
              <w:rPr>
                <w:sz w:val="24"/>
              </w:rPr>
              <w:t>Curling S., Winandy J.E, Comparison of the effects of gamma irradiation  and steam sterilization on southern pine sapwood. </w:t>
            </w:r>
            <w:r>
              <w:rPr>
                <w:i/>
                <w:sz w:val="24"/>
              </w:rPr>
              <w:t>Forest Products Journal </w:t>
            </w:r>
            <w:r>
              <w:rPr>
                <w:sz w:val="24"/>
              </w:rPr>
              <w:t>58(2008)</w:t>
            </w:r>
            <w:r>
              <w:rPr>
                <w:spacing w:val="-5"/>
                <w:sz w:val="24"/>
              </w:rPr>
              <w:t> </w:t>
            </w:r>
            <w:r>
              <w:rPr>
                <w:sz w:val="24"/>
              </w:rPr>
              <w:t>87-90.</w:t>
            </w:r>
          </w:p>
        </w:tc>
      </w:tr>
      <w:tr>
        <w:trPr>
          <w:trHeight w:val="951" w:hRule="exact"/>
        </w:trPr>
        <w:tc>
          <w:tcPr>
            <w:tcW w:w="672" w:type="dxa"/>
          </w:tcPr>
          <w:p>
            <w:pPr>
              <w:pStyle w:val="TableParagraph"/>
              <w:spacing w:before="166"/>
              <w:ind w:left="181" w:right="181"/>
              <w:jc w:val="center"/>
              <w:rPr>
                <w:sz w:val="24"/>
              </w:rPr>
            </w:pPr>
            <w:r>
              <w:rPr>
                <w:sz w:val="24"/>
              </w:rPr>
              <w:t>28</w:t>
            </w:r>
          </w:p>
        </w:tc>
        <w:tc>
          <w:tcPr>
            <w:tcW w:w="8494" w:type="dxa"/>
          </w:tcPr>
          <w:p>
            <w:pPr>
              <w:pStyle w:val="TableParagraph"/>
              <w:spacing w:line="276" w:lineRule="auto" w:before="166"/>
              <w:ind w:right="125"/>
              <w:rPr>
                <w:sz w:val="24"/>
              </w:rPr>
            </w:pPr>
            <w:r>
              <w:rPr>
                <w:sz w:val="24"/>
              </w:rPr>
              <w:t>Divos F., Bejo L, The effect of gamma irradiation on the MOE of various species. </w:t>
            </w:r>
            <w:r>
              <w:rPr>
                <w:i/>
                <w:sz w:val="24"/>
              </w:rPr>
              <w:t>Wood Science and Technology</w:t>
            </w:r>
            <w:r>
              <w:rPr>
                <w:sz w:val="24"/>
              </w:rPr>
              <w:t>, 40(2) (2005), 87-93.</w:t>
            </w:r>
          </w:p>
        </w:tc>
      </w:tr>
      <w:tr>
        <w:trPr>
          <w:trHeight w:val="953" w:hRule="exact"/>
        </w:trPr>
        <w:tc>
          <w:tcPr>
            <w:tcW w:w="672" w:type="dxa"/>
          </w:tcPr>
          <w:p>
            <w:pPr>
              <w:pStyle w:val="TableParagraph"/>
              <w:spacing w:before="168"/>
              <w:ind w:left="181" w:right="181"/>
              <w:jc w:val="center"/>
              <w:rPr>
                <w:sz w:val="24"/>
              </w:rPr>
            </w:pPr>
            <w:r>
              <w:rPr>
                <w:sz w:val="24"/>
              </w:rPr>
              <w:t>29</w:t>
            </w:r>
          </w:p>
        </w:tc>
        <w:tc>
          <w:tcPr>
            <w:tcW w:w="8494" w:type="dxa"/>
          </w:tcPr>
          <w:p>
            <w:pPr>
              <w:pStyle w:val="TableParagraph"/>
              <w:spacing w:line="276" w:lineRule="auto" w:before="166"/>
              <w:ind w:right="125"/>
              <w:rPr>
                <w:sz w:val="24"/>
              </w:rPr>
            </w:pPr>
            <w:r>
              <w:rPr>
                <w:sz w:val="24"/>
              </w:rPr>
              <w:t>Loos W. E., Effect of Gamma Radiation on the Toughness of Wood. </w:t>
            </w:r>
            <w:r>
              <w:rPr>
                <w:i/>
                <w:sz w:val="24"/>
              </w:rPr>
              <w:t>Forest </w:t>
            </w:r>
            <w:r>
              <w:rPr>
                <w:i/>
                <w:sz w:val="24"/>
              </w:rPr>
              <w:t>Products Journal </w:t>
            </w:r>
            <w:r>
              <w:rPr>
                <w:sz w:val="24"/>
              </w:rPr>
              <w:t>12(5) (1992) 261-264.</w:t>
            </w:r>
          </w:p>
        </w:tc>
      </w:tr>
      <w:tr>
        <w:trPr>
          <w:trHeight w:val="1270" w:hRule="exact"/>
        </w:trPr>
        <w:tc>
          <w:tcPr>
            <w:tcW w:w="672" w:type="dxa"/>
          </w:tcPr>
          <w:p>
            <w:pPr>
              <w:pStyle w:val="TableParagraph"/>
              <w:spacing w:before="168"/>
              <w:ind w:left="181" w:right="181"/>
              <w:jc w:val="center"/>
              <w:rPr>
                <w:sz w:val="24"/>
              </w:rPr>
            </w:pPr>
            <w:r>
              <w:rPr>
                <w:sz w:val="24"/>
              </w:rPr>
              <w:t>30</w:t>
            </w:r>
          </w:p>
        </w:tc>
        <w:tc>
          <w:tcPr>
            <w:tcW w:w="8494" w:type="dxa"/>
          </w:tcPr>
          <w:p>
            <w:pPr>
              <w:pStyle w:val="TableParagraph"/>
              <w:spacing w:line="273" w:lineRule="auto" w:before="168"/>
              <w:ind w:right="199"/>
              <w:jc w:val="both"/>
              <w:rPr>
                <w:sz w:val="24"/>
              </w:rPr>
            </w:pPr>
            <w:r>
              <w:rPr>
                <w:sz w:val="24"/>
              </w:rPr>
              <w:t>Sheikh N. y Afshar T. F., Radiation induced polymerization of vinyl monomers and their application for preparation of wood-polymer composites. </w:t>
            </w:r>
            <w:r>
              <w:rPr>
                <w:i/>
                <w:sz w:val="24"/>
              </w:rPr>
              <w:t>Radiation Physics and Chemistry</w:t>
            </w:r>
            <w:r>
              <w:rPr>
                <w:sz w:val="24"/>
              </w:rPr>
              <w:t>. 42(3) (1993)179-182.</w:t>
            </w:r>
          </w:p>
        </w:tc>
      </w:tr>
      <w:tr>
        <w:trPr>
          <w:trHeight w:val="953" w:hRule="exact"/>
        </w:trPr>
        <w:tc>
          <w:tcPr>
            <w:tcW w:w="672" w:type="dxa"/>
          </w:tcPr>
          <w:p>
            <w:pPr>
              <w:pStyle w:val="TableParagraph"/>
              <w:spacing w:before="168"/>
              <w:ind w:left="181" w:right="181"/>
              <w:jc w:val="center"/>
              <w:rPr>
                <w:sz w:val="24"/>
              </w:rPr>
            </w:pPr>
            <w:r>
              <w:rPr>
                <w:sz w:val="24"/>
              </w:rPr>
              <w:t>31</w:t>
            </w:r>
          </w:p>
        </w:tc>
        <w:tc>
          <w:tcPr>
            <w:tcW w:w="8494" w:type="dxa"/>
          </w:tcPr>
          <w:p>
            <w:pPr>
              <w:pStyle w:val="TableParagraph"/>
              <w:spacing w:line="276" w:lineRule="auto" w:before="168"/>
              <w:ind w:right="125"/>
              <w:rPr>
                <w:sz w:val="24"/>
              </w:rPr>
            </w:pPr>
            <w:r>
              <w:rPr>
                <w:sz w:val="24"/>
              </w:rPr>
              <w:t>Shuler C. E., Gamma Irradiation Effects On Modulus of Elasticity Of Engelman Spruce. Forest Products Journal 21(1) (1991) 49-51.</w:t>
            </w:r>
          </w:p>
        </w:tc>
      </w:tr>
      <w:tr>
        <w:trPr>
          <w:trHeight w:val="953" w:hRule="exact"/>
        </w:trPr>
        <w:tc>
          <w:tcPr>
            <w:tcW w:w="672" w:type="dxa"/>
          </w:tcPr>
          <w:p>
            <w:pPr>
              <w:pStyle w:val="TableParagraph"/>
              <w:spacing w:before="166"/>
              <w:ind w:left="181" w:right="181"/>
              <w:jc w:val="center"/>
              <w:rPr>
                <w:sz w:val="24"/>
              </w:rPr>
            </w:pPr>
            <w:r>
              <w:rPr>
                <w:sz w:val="24"/>
              </w:rPr>
              <w:t>32</w:t>
            </w:r>
          </w:p>
        </w:tc>
        <w:tc>
          <w:tcPr>
            <w:tcW w:w="8494" w:type="dxa"/>
          </w:tcPr>
          <w:p>
            <w:pPr>
              <w:pStyle w:val="TableParagraph"/>
              <w:tabs>
                <w:tab w:pos="7923" w:val="left" w:leader="none"/>
              </w:tabs>
              <w:spacing w:line="278" w:lineRule="auto" w:before="166"/>
              <w:ind w:right="207"/>
              <w:rPr>
                <w:sz w:val="24"/>
              </w:rPr>
            </w:pPr>
            <w:r>
              <w:rPr>
                <w:sz w:val="24"/>
              </w:rPr>
              <w:t>Callister W.D.,  Introducción  a  la Ciencia e  Ingeniería</w:t>
            </w:r>
            <w:r>
              <w:rPr>
                <w:spacing w:val="45"/>
                <w:sz w:val="24"/>
              </w:rPr>
              <w:t> </w:t>
            </w:r>
            <w:r>
              <w:rPr>
                <w:sz w:val="24"/>
              </w:rPr>
              <w:t>de</w:t>
            </w:r>
            <w:r>
              <w:rPr>
                <w:spacing w:val="40"/>
                <w:sz w:val="24"/>
              </w:rPr>
              <w:t> </w:t>
            </w:r>
            <w:r>
              <w:rPr>
                <w:sz w:val="24"/>
              </w:rPr>
              <w:t>Materiales,</w:t>
              <w:tab/>
              <w:t>Ed. Reverté, Barcelona, España,</w:t>
            </w:r>
            <w:r>
              <w:rPr>
                <w:spacing w:val="-15"/>
                <w:sz w:val="24"/>
              </w:rPr>
              <w:t> </w:t>
            </w:r>
            <w:r>
              <w:rPr>
                <w:sz w:val="24"/>
              </w:rPr>
              <w:t>1995.</w:t>
            </w:r>
          </w:p>
        </w:tc>
      </w:tr>
      <w:tr>
        <w:trPr>
          <w:trHeight w:val="952" w:hRule="exact"/>
        </w:trPr>
        <w:tc>
          <w:tcPr>
            <w:tcW w:w="672" w:type="dxa"/>
          </w:tcPr>
          <w:p>
            <w:pPr>
              <w:pStyle w:val="TableParagraph"/>
              <w:spacing w:before="166"/>
              <w:ind w:left="181" w:right="182"/>
              <w:jc w:val="center"/>
              <w:rPr>
                <w:sz w:val="24"/>
              </w:rPr>
            </w:pPr>
            <w:r>
              <w:rPr>
                <w:sz w:val="24"/>
              </w:rPr>
              <w:t>33</w:t>
            </w:r>
          </w:p>
        </w:tc>
        <w:tc>
          <w:tcPr>
            <w:tcW w:w="8494" w:type="dxa"/>
          </w:tcPr>
          <w:p>
            <w:pPr>
              <w:pStyle w:val="TableParagraph"/>
              <w:spacing w:line="276" w:lineRule="auto" w:before="166"/>
              <w:ind w:right="125"/>
              <w:rPr>
                <w:sz w:val="24"/>
              </w:rPr>
            </w:pPr>
            <w:r>
              <w:rPr>
                <w:sz w:val="24"/>
              </w:rPr>
              <w:t>Bedford A., Mecánica de Materiales, Prentice Hall, 1ª edición, Bogotá, Colombia, 2002.</w:t>
            </w:r>
          </w:p>
        </w:tc>
      </w:tr>
      <w:tr>
        <w:trPr>
          <w:trHeight w:val="755" w:hRule="exact"/>
        </w:trPr>
        <w:tc>
          <w:tcPr>
            <w:tcW w:w="672" w:type="dxa"/>
          </w:tcPr>
          <w:p>
            <w:pPr>
              <w:pStyle w:val="TableParagraph"/>
              <w:spacing w:before="167"/>
              <w:ind w:left="181" w:right="181"/>
              <w:jc w:val="center"/>
              <w:rPr>
                <w:sz w:val="24"/>
              </w:rPr>
            </w:pPr>
            <w:r>
              <w:rPr>
                <w:sz w:val="24"/>
              </w:rPr>
              <w:t>34</w:t>
            </w:r>
          </w:p>
        </w:tc>
        <w:tc>
          <w:tcPr>
            <w:tcW w:w="8494" w:type="dxa"/>
          </w:tcPr>
          <w:p>
            <w:pPr>
              <w:pStyle w:val="TableParagraph"/>
              <w:spacing w:line="276" w:lineRule="auto" w:before="167"/>
              <w:ind w:right="125"/>
              <w:rPr>
                <w:sz w:val="24"/>
              </w:rPr>
            </w:pPr>
            <w:r>
              <w:rPr>
                <w:sz w:val="24"/>
              </w:rPr>
              <w:t>Craig R., Mecánica de Materiales, Compañía Editorial Continental, 1ª edición, México, 2002.</w:t>
            </w:r>
          </w:p>
        </w:tc>
      </w:tr>
    </w:tbl>
    <w:p>
      <w:pPr>
        <w:spacing w:after="0" w:line="276" w:lineRule="auto"/>
        <w:rPr>
          <w:sz w:val="24"/>
        </w:rPr>
        <w:sectPr>
          <w:pgSz w:w="12240" w:h="15840"/>
          <w:pgMar w:header="747" w:footer="0" w:top="940" w:bottom="280" w:left="1400" w:right="14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2"/>
        <w:gridCol w:w="8495"/>
      </w:tblGrid>
      <w:tr>
        <w:trPr>
          <w:trHeight w:val="755" w:hRule="exact"/>
        </w:trPr>
        <w:tc>
          <w:tcPr>
            <w:tcW w:w="672" w:type="dxa"/>
          </w:tcPr>
          <w:p>
            <w:pPr>
              <w:pStyle w:val="TableParagraph"/>
              <w:spacing w:line="248" w:lineRule="exact" w:before="0"/>
              <w:ind w:left="181" w:right="181"/>
              <w:jc w:val="center"/>
              <w:rPr>
                <w:sz w:val="24"/>
              </w:rPr>
            </w:pPr>
            <w:r>
              <w:rPr>
                <w:sz w:val="24"/>
              </w:rPr>
              <w:t>35</w:t>
            </w:r>
          </w:p>
        </w:tc>
        <w:tc>
          <w:tcPr>
            <w:tcW w:w="8495" w:type="dxa"/>
          </w:tcPr>
          <w:p>
            <w:pPr>
              <w:pStyle w:val="TableParagraph"/>
              <w:spacing w:line="245" w:lineRule="exact" w:before="0"/>
              <w:ind w:right="163"/>
              <w:rPr>
                <w:i/>
                <w:sz w:val="24"/>
              </w:rPr>
            </w:pPr>
            <w:r>
              <w:rPr>
                <w:sz w:val="24"/>
              </w:rPr>
              <w:t>Voutou  B.,  Stefanaki  E.,  Electron  Microscopy:  The  basics,  </w:t>
            </w:r>
            <w:r>
              <w:rPr>
                <w:i/>
                <w:sz w:val="24"/>
              </w:rPr>
              <w:t>Physics    of</w:t>
            </w:r>
          </w:p>
          <w:p>
            <w:pPr>
              <w:pStyle w:val="TableParagraph"/>
              <w:spacing w:before="41"/>
              <w:ind w:right="163"/>
              <w:rPr>
                <w:sz w:val="24"/>
              </w:rPr>
            </w:pPr>
            <w:r>
              <w:rPr>
                <w:i/>
                <w:sz w:val="24"/>
              </w:rPr>
              <w:t>Advanced Materials </w:t>
            </w:r>
            <w:r>
              <w:rPr>
                <w:sz w:val="24"/>
              </w:rPr>
              <w:t>29 (2008) 234-245.</w:t>
            </w:r>
          </w:p>
        </w:tc>
      </w:tr>
      <w:tr>
        <w:trPr>
          <w:trHeight w:val="1589" w:hRule="exact"/>
        </w:trPr>
        <w:tc>
          <w:tcPr>
            <w:tcW w:w="672" w:type="dxa"/>
          </w:tcPr>
          <w:p>
            <w:pPr>
              <w:pStyle w:val="TableParagraph"/>
              <w:spacing w:before="167"/>
              <w:ind w:left="181" w:right="181"/>
              <w:jc w:val="center"/>
              <w:rPr>
                <w:sz w:val="24"/>
              </w:rPr>
            </w:pPr>
            <w:r>
              <w:rPr>
                <w:sz w:val="24"/>
              </w:rPr>
              <w:t>36</w:t>
            </w:r>
          </w:p>
        </w:tc>
        <w:tc>
          <w:tcPr>
            <w:tcW w:w="8495" w:type="dxa"/>
          </w:tcPr>
          <w:p>
            <w:pPr>
              <w:pStyle w:val="TableParagraph"/>
              <w:spacing w:line="276" w:lineRule="auto" w:before="167"/>
              <w:ind w:right="206"/>
              <w:jc w:val="both"/>
              <w:rPr>
                <w:sz w:val="24"/>
              </w:rPr>
            </w:pPr>
            <w:r>
              <w:rPr>
                <w:sz w:val="24"/>
              </w:rPr>
              <w:t>Herguth W.R. y President G.N., Applications of Scanning Electron Microscopy and Energy Dispersive Spectroscopy (SEM/EDS) To Practical Tribology Problems. Senior Technical Associate Herguth Laboratories, Inc. 1998, U.S.</w:t>
            </w:r>
          </w:p>
        </w:tc>
      </w:tr>
      <w:tr>
        <w:trPr>
          <w:trHeight w:val="951" w:hRule="exact"/>
        </w:trPr>
        <w:tc>
          <w:tcPr>
            <w:tcW w:w="672" w:type="dxa"/>
          </w:tcPr>
          <w:p>
            <w:pPr>
              <w:pStyle w:val="TableParagraph"/>
              <w:spacing w:before="167"/>
              <w:ind w:left="181" w:right="181"/>
              <w:jc w:val="center"/>
              <w:rPr>
                <w:sz w:val="24"/>
              </w:rPr>
            </w:pPr>
            <w:r>
              <w:rPr>
                <w:sz w:val="24"/>
              </w:rPr>
              <w:t>37</w:t>
            </w:r>
          </w:p>
        </w:tc>
        <w:tc>
          <w:tcPr>
            <w:tcW w:w="8495" w:type="dxa"/>
          </w:tcPr>
          <w:p>
            <w:pPr>
              <w:pStyle w:val="TableParagraph"/>
              <w:spacing w:line="273" w:lineRule="auto" w:before="167"/>
              <w:ind w:right="163"/>
              <w:rPr>
                <w:sz w:val="24"/>
              </w:rPr>
            </w:pPr>
            <w:r>
              <w:rPr>
                <w:sz w:val="24"/>
              </w:rPr>
              <w:t>Von Heimendahl M. y Bell W., Thomas G., Applications of Kikuchi line Analyses in Electron Microscopy, </w:t>
            </w:r>
            <w:r>
              <w:rPr>
                <w:i/>
                <w:sz w:val="24"/>
              </w:rPr>
              <w:t>J. Appl. Phys. </w:t>
            </w:r>
            <w:r>
              <w:rPr>
                <w:sz w:val="24"/>
              </w:rPr>
              <w:t>35 (1964) 3614-3700.</w:t>
            </w:r>
          </w:p>
        </w:tc>
      </w:tr>
      <w:tr>
        <w:trPr>
          <w:trHeight w:val="656" w:hRule="exact"/>
        </w:trPr>
        <w:tc>
          <w:tcPr>
            <w:tcW w:w="672" w:type="dxa"/>
          </w:tcPr>
          <w:p>
            <w:pPr>
              <w:pStyle w:val="TableParagraph"/>
              <w:spacing w:before="167"/>
              <w:ind w:left="181" w:right="181"/>
              <w:jc w:val="center"/>
              <w:rPr>
                <w:sz w:val="24"/>
              </w:rPr>
            </w:pPr>
            <w:r>
              <w:rPr>
                <w:sz w:val="24"/>
              </w:rPr>
              <w:t>38</w:t>
            </w:r>
          </w:p>
        </w:tc>
        <w:tc>
          <w:tcPr>
            <w:tcW w:w="8495" w:type="dxa"/>
          </w:tcPr>
          <w:p>
            <w:pPr>
              <w:pStyle w:val="TableParagraph"/>
              <w:spacing w:before="169"/>
              <w:ind w:right="163"/>
              <w:rPr>
                <w:sz w:val="24"/>
              </w:rPr>
            </w:pPr>
            <w:hyperlink r:id="rId74">
              <w:r>
                <w:rPr>
                  <w:rFonts w:ascii="Calibri"/>
                  <w:sz w:val="24"/>
                  <w:u w:val="single"/>
                </w:rPr>
                <w:t>http://www.microscopy.ethz.ch/lens.htm </w:t>
              </w:r>
            </w:hyperlink>
            <w:r>
              <w:rPr>
                <w:sz w:val="24"/>
              </w:rPr>
              <w:t>consultado el 15 julio 2012.</w:t>
            </w:r>
          </w:p>
        </w:tc>
      </w:tr>
      <w:tr>
        <w:trPr>
          <w:trHeight w:val="1588" w:hRule="exact"/>
        </w:trPr>
        <w:tc>
          <w:tcPr>
            <w:tcW w:w="672" w:type="dxa"/>
          </w:tcPr>
          <w:p>
            <w:pPr>
              <w:pStyle w:val="TableParagraph"/>
              <w:spacing w:before="167"/>
              <w:ind w:left="181" w:right="181"/>
              <w:jc w:val="center"/>
              <w:rPr>
                <w:sz w:val="24"/>
              </w:rPr>
            </w:pPr>
            <w:r>
              <w:rPr>
                <w:sz w:val="24"/>
              </w:rPr>
              <w:t>39</w:t>
            </w:r>
          </w:p>
        </w:tc>
        <w:tc>
          <w:tcPr>
            <w:tcW w:w="8495" w:type="dxa"/>
          </w:tcPr>
          <w:p>
            <w:pPr>
              <w:pStyle w:val="TableParagraph"/>
              <w:spacing w:line="276" w:lineRule="auto" w:before="167"/>
              <w:ind w:right="198"/>
              <w:jc w:val="both"/>
              <w:rPr>
                <w:sz w:val="24"/>
              </w:rPr>
            </w:pPr>
            <w:r>
              <w:rPr>
                <w:sz w:val="24"/>
              </w:rPr>
              <w:t>Mazuelas A., Caracterización por difracción de rayos X de hetero- estructuras de semiconductores III-V. Aplicación al diseño de superconductores tensados para epitaxias de GaAs/Si. Tesis. Universidad Complutense de Madrid. 1992.</w:t>
            </w:r>
          </w:p>
        </w:tc>
      </w:tr>
      <w:tr>
        <w:trPr>
          <w:trHeight w:val="1270" w:hRule="exact"/>
        </w:trPr>
        <w:tc>
          <w:tcPr>
            <w:tcW w:w="672" w:type="dxa"/>
          </w:tcPr>
          <w:p>
            <w:pPr>
              <w:pStyle w:val="TableParagraph"/>
              <w:spacing w:before="166"/>
              <w:ind w:left="181" w:right="181"/>
              <w:jc w:val="center"/>
              <w:rPr>
                <w:sz w:val="24"/>
              </w:rPr>
            </w:pPr>
            <w:r>
              <w:rPr>
                <w:sz w:val="24"/>
              </w:rPr>
              <w:t>40</w:t>
            </w:r>
          </w:p>
        </w:tc>
        <w:tc>
          <w:tcPr>
            <w:tcW w:w="8495" w:type="dxa"/>
          </w:tcPr>
          <w:p>
            <w:pPr>
              <w:pStyle w:val="TableParagraph"/>
              <w:spacing w:line="276" w:lineRule="auto" w:before="166"/>
              <w:ind w:right="207"/>
              <w:jc w:val="both"/>
              <w:rPr>
                <w:sz w:val="24"/>
              </w:rPr>
            </w:pPr>
            <w:r>
              <w:rPr>
                <w:sz w:val="24"/>
              </w:rPr>
              <w:t>Ramon M. y Jimenez G., Manual Básico de Operación del equipo de Difracción de Rayos X Rigaku DMAX 2200. Centro de Investigación en energía, UNAM. México 2006.</w:t>
            </w:r>
          </w:p>
        </w:tc>
      </w:tr>
      <w:tr>
        <w:trPr>
          <w:trHeight w:val="1270" w:hRule="exact"/>
        </w:trPr>
        <w:tc>
          <w:tcPr>
            <w:tcW w:w="672" w:type="dxa"/>
          </w:tcPr>
          <w:p>
            <w:pPr>
              <w:pStyle w:val="TableParagraph"/>
              <w:spacing w:before="166"/>
              <w:ind w:left="181" w:right="181"/>
              <w:jc w:val="center"/>
              <w:rPr>
                <w:sz w:val="24"/>
              </w:rPr>
            </w:pPr>
            <w:r>
              <w:rPr>
                <w:sz w:val="24"/>
              </w:rPr>
              <w:t>41</w:t>
            </w:r>
          </w:p>
        </w:tc>
        <w:tc>
          <w:tcPr>
            <w:tcW w:w="8495" w:type="dxa"/>
          </w:tcPr>
          <w:p>
            <w:pPr>
              <w:pStyle w:val="TableParagraph"/>
              <w:spacing w:line="276" w:lineRule="auto" w:before="166"/>
              <w:ind w:right="205"/>
              <w:jc w:val="both"/>
              <w:rPr>
                <w:sz w:val="24"/>
              </w:rPr>
            </w:pPr>
            <w:r>
              <w:rPr>
                <w:sz w:val="24"/>
              </w:rPr>
              <w:t>Jourdan C. y Guenin G., X-ray Diffraction effects given by the austenitic phase during the training process of shape memory Cu-Zn-Al polycrystals, J. de Physique 39 (1997)</w:t>
            </w:r>
            <w:r>
              <w:rPr>
                <w:spacing w:val="-11"/>
                <w:sz w:val="24"/>
              </w:rPr>
              <w:t> </w:t>
            </w:r>
            <w:r>
              <w:rPr>
                <w:sz w:val="24"/>
              </w:rPr>
              <w:t>489-494.</w:t>
            </w:r>
          </w:p>
        </w:tc>
      </w:tr>
      <w:tr>
        <w:trPr>
          <w:trHeight w:val="952" w:hRule="exact"/>
        </w:trPr>
        <w:tc>
          <w:tcPr>
            <w:tcW w:w="672" w:type="dxa"/>
          </w:tcPr>
          <w:p>
            <w:pPr>
              <w:pStyle w:val="TableParagraph"/>
              <w:spacing w:before="166"/>
              <w:ind w:left="181" w:right="181"/>
              <w:jc w:val="center"/>
              <w:rPr>
                <w:sz w:val="24"/>
              </w:rPr>
            </w:pPr>
            <w:r>
              <w:rPr>
                <w:sz w:val="24"/>
              </w:rPr>
              <w:t>42</w:t>
            </w:r>
          </w:p>
        </w:tc>
        <w:tc>
          <w:tcPr>
            <w:tcW w:w="8495" w:type="dxa"/>
          </w:tcPr>
          <w:p>
            <w:pPr>
              <w:pStyle w:val="TableParagraph"/>
              <w:tabs>
                <w:tab w:pos="1219" w:val="left" w:leader="none"/>
                <w:tab w:pos="1729" w:val="left" w:leader="none"/>
                <w:tab w:pos="4014" w:val="left" w:leader="none"/>
                <w:tab w:pos="5225" w:val="left" w:leader="none"/>
                <w:tab w:pos="6856" w:val="left" w:leader="none"/>
                <w:tab w:pos="7259" w:val="left" w:leader="none"/>
              </w:tabs>
              <w:spacing w:line="276" w:lineRule="auto" w:before="166"/>
              <w:ind w:right="209"/>
              <w:rPr>
                <w:sz w:val="24"/>
              </w:rPr>
            </w:pPr>
            <w:r>
              <w:rPr>
                <w:sz w:val="24"/>
              </w:rPr>
              <w:t>Jenkins</w:t>
              <w:tab/>
              <w:t>R.,</w:t>
              <w:tab/>
              <w:t>X-ray </w:t>
            </w:r>
            <w:r>
              <w:rPr>
                <w:spacing w:val="63"/>
                <w:sz w:val="24"/>
              </w:rPr>
              <w:t> </w:t>
            </w:r>
            <w:r>
              <w:rPr>
                <w:sz w:val="24"/>
              </w:rPr>
              <w:t>Techniques:</w:t>
              <w:tab/>
              <w:t>overview.</w:t>
              <w:tab/>
              <w:t>Encyclopedia</w:t>
              <w:tab/>
              <w:t>of</w:t>
              <w:tab/>
            </w:r>
            <w:r>
              <w:rPr>
                <w:spacing w:val="-1"/>
                <w:sz w:val="24"/>
              </w:rPr>
              <w:t>Analytical </w:t>
            </w:r>
            <w:r>
              <w:rPr>
                <w:sz w:val="24"/>
              </w:rPr>
              <w:t>Chemistry. Ed. Meyers, U.K. (2000)</w:t>
            </w:r>
            <w:r>
              <w:rPr>
                <w:spacing w:val="-14"/>
                <w:sz w:val="24"/>
              </w:rPr>
              <w:t> </w:t>
            </w:r>
            <w:r>
              <w:rPr>
                <w:sz w:val="24"/>
              </w:rPr>
              <w:t>422-443.</w:t>
            </w:r>
          </w:p>
        </w:tc>
      </w:tr>
      <w:tr>
        <w:trPr>
          <w:trHeight w:val="952" w:hRule="exact"/>
        </w:trPr>
        <w:tc>
          <w:tcPr>
            <w:tcW w:w="672" w:type="dxa"/>
          </w:tcPr>
          <w:p>
            <w:pPr>
              <w:pStyle w:val="TableParagraph"/>
              <w:spacing w:before="167"/>
              <w:ind w:left="181" w:right="181"/>
              <w:jc w:val="center"/>
              <w:rPr>
                <w:sz w:val="24"/>
              </w:rPr>
            </w:pPr>
            <w:r>
              <w:rPr>
                <w:sz w:val="24"/>
              </w:rPr>
              <w:t>43</w:t>
            </w:r>
          </w:p>
        </w:tc>
        <w:tc>
          <w:tcPr>
            <w:tcW w:w="8495" w:type="dxa"/>
          </w:tcPr>
          <w:p>
            <w:pPr>
              <w:pStyle w:val="TableParagraph"/>
              <w:spacing w:line="276" w:lineRule="auto" w:before="167"/>
              <w:ind w:right="209"/>
              <w:rPr>
                <w:sz w:val="24"/>
              </w:rPr>
            </w:pPr>
            <w:r>
              <w:rPr>
                <w:sz w:val="24"/>
              </w:rPr>
              <w:t>Settle F., Handbook of Instrumental Techniques for Analytical Chemistry. Ed. Mallinckrodt, U.E. (1997)</w:t>
            </w:r>
            <w:r>
              <w:rPr>
                <w:spacing w:val="57"/>
                <w:sz w:val="24"/>
              </w:rPr>
              <w:t> </w:t>
            </w:r>
            <w:r>
              <w:rPr>
                <w:sz w:val="24"/>
              </w:rPr>
              <w:t>247-283.</w:t>
            </w:r>
          </w:p>
        </w:tc>
      </w:tr>
      <w:tr>
        <w:trPr>
          <w:trHeight w:val="972" w:hRule="exact"/>
        </w:trPr>
        <w:tc>
          <w:tcPr>
            <w:tcW w:w="672" w:type="dxa"/>
          </w:tcPr>
          <w:p>
            <w:pPr>
              <w:pStyle w:val="TableParagraph"/>
              <w:spacing w:before="166"/>
              <w:ind w:left="181" w:right="181"/>
              <w:jc w:val="center"/>
              <w:rPr>
                <w:sz w:val="24"/>
              </w:rPr>
            </w:pPr>
            <w:r>
              <w:rPr>
                <w:sz w:val="24"/>
              </w:rPr>
              <w:t>44</w:t>
            </w:r>
          </w:p>
        </w:tc>
        <w:tc>
          <w:tcPr>
            <w:tcW w:w="8495" w:type="dxa"/>
          </w:tcPr>
          <w:p>
            <w:pPr>
              <w:pStyle w:val="TableParagraph"/>
              <w:spacing w:line="276" w:lineRule="auto" w:before="168"/>
              <w:ind w:right="163"/>
              <w:rPr>
                <w:sz w:val="24"/>
              </w:rPr>
            </w:pPr>
            <w:hyperlink r:id="rId75">
              <w:r>
                <w:rPr>
                  <w:rFonts w:ascii="Calibri"/>
                  <w:sz w:val="24"/>
                  <w:u w:val="single"/>
                </w:rPr>
                <w:t>http://orgchem.colorado.edu/Spectroscopy/irtutor/IRtheory.pdf</w:t>
              </w:r>
            </w:hyperlink>
            <w:r>
              <w:rPr>
                <w:sz w:val="24"/>
              </w:rPr>
              <w:t>, consultado el 5 julio 2012.</w:t>
            </w:r>
          </w:p>
        </w:tc>
      </w:tr>
      <w:tr>
        <w:trPr>
          <w:trHeight w:val="654" w:hRule="exact"/>
        </w:trPr>
        <w:tc>
          <w:tcPr>
            <w:tcW w:w="672" w:type="dxa"/>
          </w:tcPr>
          <w:p>
            <w:pPr>
              <w:pStyle w:val="TableParagraph"/>
              <w:spacing w:before="166"/>
              <w:ind w:left="181" w:right="181"/>
              <w:jc w:val="center"/>
              <w:rPr>
                <w:sz w:val="24"/>
              </w:rPr>
            </w:pPr>
            <w:r>
              <w:rPr>
                <w:sz w:val="24"/>
              </w:rPr>
              <w:t>45</w:t>
            </w:r>
          </w:p>
        </w:tc>
        <w:tc>
          <w:tcPr>
            <w:tcW w:w="8495" w:type="dxa"/>
          </w:tcPr>
          <w:p>
            <w:pPr>
              <w:pStyle w:val="TableParagraph"/>
              <w:spacing w:before="167"/>
              <w:ind w:right="163"/>
              <w:rPr>
                <w:sz w:val="24"/>
              </w:rPr>
            </w:pPr>
            <w:hyperlink r:id="rId76">
              <w:r>
                <w:rPr>
                  <w:rFonts w:ascii="Calibri"/>
                  <w:sz w:val="24"/>
                  <w:u w:val="single"/>
                </w:rPr>
                <w:t>http://www.vanbokhoven.ethz.ch/education/D.F2</w:t>
              </w:r>
            </w:hyperlink>
            <w:r>
              <w:rPr>
                <w:sz w:val="24"/>
              </w:rPr>
              <w:t>, consultado el 10 julio 2012.</w:t>
            </w:r>
          </w:p>
        </w:tc>
      </w:tr>
      <w:tr>
        <w:trPr>
          <w:trHeight w:val="755" w:hRule="exact"/>
        </w:trPr>
        <w:tc>
          <w:tcPr>
            <w:tcW w:w="672" w:type="dxa"/>
          </w:tcPr>
          <w:p>
            <w:pPr>
              <w:pStyle w:val="TableParagraph"/>
              <w:spacing w:before="167"/>
              <w:ind w:left="181" w:right="181"/>
              <w:jc w:val="center"/>
              <w:rPr>
                <w:sz w:val="24"/>
              </w:rPr>
            </w:pPr>
            <w:r>
              <w:rPr>
                <w:sz w:val="24"/>
              </w:rPr>
              <w:t>46</w:t>
            </w:r>
          </w:p>
        </w:tc>
        <w:tc>
          <w:tcPr>
            <w:tcW w:w="8495" w:type="dxa"/>
          </w:tcPr>
          <w:p>
            <w:pPr>
              <w:pStyle w:val="TableParagraph"/>
              <w:spacing w:line="276" w:lineRule="auto" w:before="167"/>
              <w:ind w:right="163"/>
              <w:rPr>
                <w:sz w:val="24"/>
              </w:rPr>
            </w:pPr>
            <w:r>
              <w:rPr>
                <w:sz w:val="24"/>
              </w:rPr>
              <w:t>Stuart B., Infrared spectroscopy: fundamentals and applications. Ed. Wiley, U.E. (2004) 20-85.</w:t>
            </w:r>
          </w:p>
        </w:tc>
      </w:tr>
    </w:tbl>
    <w:p>
      <w:pPr>
        <w:spacing w:after="0" w:line="276" w:lineRule="auto"/>
        <w:rPr>
          <w:sz w:val="24"/>
        </w:rPr>
        <w:sectPr>
          <w:headerReference w:type="default" r:id="rId73"/>
          <w:pgSz w:w="12240" w:h="15840"/>
          <w:pgMar w:header="747" w:footer="0" w:top="940" w:bottom="280" w:left="1400" w:right="14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2"/>
        <w:gridCol w:w="8495"/>
      </w:tblGrid>
      <w:tr>
        <w:trPr>
          <w:trHeight w:val="715" w:hRule="exact"/>
        </w:trPr>
        <w:tc>
          <w:tcPr>
            <w:tcW w:w="672" w:type="dxa"/>
          </w:tcPr>
          <w:p>
            <w:pPr>
              <w:pStyle w:val="TableParagraph"/>
              <w:spacing w:line="245" w:lineRule="exact" w:before="0"/>
              <w:ind w:left="181" w:right="181"/>
              <w:jc w:val="center"/>
              <w:rPr>
                <w:sz w:val="24"/>
              </w:rPr>
            </w:pPr>
            <w:r>
              <w:rPr>
                <w:sz w:val="24"/>
              </w:rPr>
              <w:t>47</w:t>
            </w:r>
          </w:p>
        </w:tc>
        <w:tc>
          <w:tcPr>
            <w:tcW w:w="8495" w:type="dxa"/>
          </w:tcPr>
          <w:p>
            <w:pPr>
              <w:pStyle w:val="TableParagraph"/>
              <w:spacing w:line="264" w:lineRule="exact" w:before="0"/>
              <w:ind w:right="163"/>
              <w:rPr>
                <w:sz w:val="24"/>
              </w:rPr>
            </w:pPr>
            <w:hyperlink r:id="rId78">
              <w:r>
                <w:rPr>
                  <w:rFonts w:ascii="Calibri"/>
                  <w:sz w:val="24"/>
                  <w:u w:val="single"/>
                </w:rPr>
                <w:t>http://www.thermo.com/eThermo/CMA/PDFs/Various/File_52263.pdf</w:t>
              </w:r>
            </w:hyperlink>
            <w:r>
              <w:rPr>
                <w:sz w:val="24"/>
              </w:rPr>
              <w:t>,</w:t>
            </w:r>
          </w:p>
          <w:p>
            <w:pPr>
              <w:pStyle w:val="TableParagraph"/>
              <w:spacing w:before="41"/>
              <w:ind w:right="163"/>
              <w:rPr>
                <w:sz w:val="24"/>
              </w:rPr>
            </w:pPr>
            <w:r>
              <w:rPr>
                <w:sz w:val="24"/>
              </w:rPr>
              <w:t>consultado el 7 julio 2012.</w:t>
            </w:r>
          </w:p>
        </w:tc>
      </w:tr>
      <w:tr>
        <w:trPr>
          <w:trHeight w:val="1469" w:hRule="exact"/>
        </w:trPr>
        <w:tc>
          <w:tcPr>
            <w:tcW w:w="672" w:type="dxa"/>
          </w:tcPr>
          <w:p>
            <w:pPr>
              <w:pStyle w:val="TableParagraph"/>
              <w:spacing w:before="108"/>
              <w:ind w:left="181" w:right="181"/>
              <w:jc w:val="center"/>
              <w:rPr>
                <w:sz w:val="24"/>
              </w:rPr>
            </w:pPr>
            <w:r>
              <w:rPr>
                <w:sz w:val="24"/>
              </w:rPr>
              <w:t>48</w:t>
            </w:r>
          </w:p>
        </w:tc>
        <w:tc>
          <w:tcPr>
            <w:tcW w:w="8495" w:type="dxa"/>
          </w:tcPr>
          <w:p>
            <w:pPr>
              <w:pStyle w:val="TableParagraph"/>
              <w:spacing w:line="276" w:lineRule="auto" w:before="108"/>
              <w:ind w:right="198"/>
              <w:jc w:val="both"/>
              <w:rPr>
                <w:sz w:val="24"/>
              </w:rPr>
            </w:pPr>
            <w:r>
              <w:rPr>
                <w:sz w:val="24"/>
              </w:rPr>
              <w:t>Lassaad H. G., Mourad A., Mondher Z. y Hachmi B. D., Effect of chemical modification of luffa cylindrica fibers on the mechanical and hygrothermal behaviours of  polyester/luffa composites. BioResources 6(4) (2011)   3836-</w:t>
            </w:r>
          </w:p>
          <w:p>
            <w:pPr>
              <w:pStyle w:val="TableParagraph"/>
              <w:spacing w:before="0"/>
              <w:jc w:val="both"/>
              <w:rPr>
                <w:sz w:val="24"/>
              </w:rPr>
            </w:pPr>
            <w:r>
              <w:rPr>
                <w:sz w:val="24"/>
              </w:rPr>
              <w:t>3849.</w:t>
            </w:r>
          </w:p>
        </w:tc>
      </w:tr>
      <w:tr>
        <w:trPr>
          <w:trHeight w:val="1173" w:hRule="exact"/>
        </w:trPr>
        <w:tc>
          <w:tcPr>
            <w:tcW w:w="672" w:type="dxa"/>
          </w:tcPr>
          <w:p>
            <w:pPr>
              <w:pStyle w:val="TableParagraph"/>
              <w:spacing w:before="108"/>
              <w:ind w:left="181" w:right="181"/>
              <w:jc w:val="center"/>
              <w:rPr>
                <w:sz w:val="24"/>
              </w:rPr>
            </w:pPr>
            <w:r>
              <w:rPr>
                <w:sz w:val="24"/>
              </w:rPr>
              <w:t>49</w:t>
            </w:r>
          </w:p>
        </w:tc>
        <w:tc>
          <w:tcPr>
            <w:tcW w:w="8495" w:type="dxa"/>
          </w:tcPr>
          <w:p>
            <w:pPr>
              <w:pStyle w:val="TableParagraph"/>
              <w:spacing w:line="276" w:lineRule="auto" w:before="110"/>
              <w:ind w:right="200"/>
              <w:jc w:val="both"/>
              <w:rPr>
                <w:sz w:val="24"/>
              </w:rPr>
            </w:pPr>
            <w:hyperlink r:id="rId79">
              <w:r>
                <w:rPr>
                  <w:rFonts w:ascii="Calibri"/>
                  <w:sz w:val="24"/>
                  <w:u w:val="single"/>
                </w:rPr>
                <w:t>Ghali</w:t>
              </w:r>
            </w:hyperlink>
            <w:hyperlink r:id="rId79">
              <w:r>
                <w:rPr>
                  <w:rFonts w:ascii="Calibri"/>
                  <w:sz w:val="24"/>
                  <w:u w:val="single"/>
                </w:rPr>
                <w:t>a</w:t>
              </w:r>
            </w:hyperlink>
            <w:r>
              <w:rPr>
                <w:rFonts w:ascii="Calibri"/>
                <w:sz w:val="24"/>
                <w:u w:val="single"/>
              </w:rPr>
              <w:t>     </w:t>
            </w:r>
            <w:r>
              <w:rPr>
                <w:sz w:val="24"/>
              </w:rPr>
              <w:t>L., </w:t>
            </w:r>
            <w:hyperlink r:id="rId79">
              <w:r>
                <w:rPr>
                  <w:rFonts w:ascii="Calibri"/>
                  <w:sz w:val="24"/>
                  <w:u w:val="single"/>
                </w:rPr>
                <w:t>Msahli</w:t>
              </w:r>
            </w:hyperlink>
            <w:hyperlink r:id="rId79">
              <w:r>
                <w:rPr>
                  <w:rFonts w:ascii="Calibri"/>
                  <w:sz w:val="24"/>
                  <w:u w:val="single"/>
                </w:rPr>
                <w:t>a</w:t>
              </w:r>
            </w:hyperlink>
            <w:r>
              <w:rPr>
                <w:rFonts w:ascii="Calibri"/>
                <w:sz w:val="24"/>
                <w:u w:val="single"/>
              </w:rPr>
              <w:t>     </w:t>
            </w:r>
            <w:r>
              <w:rPr>
                <w:sz w:val="24"/>
              </w:rPr>
              <w:t>s., </w:t>
            </w:r>
            <w:hyperlink r:id="rId79">
              <w:r>
                <w:rPr>
                  <w:rFonts w:ascii="Calibri"/>
                  <w:sz w:val="24"/>
                  <w:u w:val="single"/>
                </w:rPr>
                <w:t>Zid</w:t>
              </w:r>
            </w:hyperlink>
            <w:hyperlink r:id="rId79">
              <w:r>
                <w:rPr>
                  <w:rFonts w:ascii="Calibri"/>
                  <w:sz w:val="24"/>
                  <w:u w:val="single"/>
                </w:rPr>
                <w:t>ib</w:t>
              </w:r>
            </w:hyperlink>
            <w:r>
              <w:rPr>
                <w:rFonts w:ascii="Calibri"/>
                <w:sz w:val="24"/>
                <w:u w:val="single"/>
              </w:rPr>
              <w:t>     </w:t>
            </w:r>
            <w:r>
              <w:rPr>
                <w:sz w:val="24"/>
              </w:rPr>
              <w:t>M.      y </w:t>
            </w:r>
            <w:hyperlink r:id="rId79">
              <w:r>
                <w:rPr>
                  <w:rFonts w:ascii="Calibri"/>
                  <w:sz w:val="24"/>
                  <w:u w:val="single"/>
                </w:rPr>
                <w:t>Sakli</w:t>
              </w:r>
            </w:hyperlink>
            <w:hyperlink r:id="rId79">
              <w:r>
                <w:rPr>
                  <w:rFonts w:ascii="Calibri"/>
                  <w:sz w:val="24"/>
                  <w:u w:val="single"/>
                </w:rPr>
                <w:t>a</w:t>
              </w:r>
            </w:hyperlink>
            <w:r>
              <w:rPr>
                <w:rFonts w:ascii="Calibri"/>
                <w:sz w:val="24"/>
                <w:u w:val="single"/>
              </w:rPr>
              <w:t>      </w:t>
            </w:r>
            <w:r>
              <w:rPr>
                <w:sz w:val="24"/>
              </w:rPr>
              <w:t>F.,      Effect of pre- treatment of Luffafibres on thestructuralproperties, Elsevier Science 6 (1) (2009) 61-63.</w:t>
            </w:r>
          </w:p>
        </w:tc>
      </w:tr>
      <w:tr>
        <w:trPr>
          <w:trHeight w:val="893" w:hRule="exact"/>
        </w:trPr>
        <w:tc>
          <w:tcPr>
            <w:tcW w:w="672" w:type="dxa"/>
          </w:tcPr>
          <w:p>
            <w:pPr>
              <w:pStyle w:val="TableParagraph"/>
              <w:spacing w:before="107"/>
              <w:ind w:left="181" w:right="181"/>
              <w:jc w:val="center"/>
              <w:rPr>
                <w:sz w:val="24"/>
              </w:rPr>
            </w:pPr>
            <w:r>
              <w:rPr>
                <w:sz w:val="24"/>
              </w:rPr>
              <w:t>50</w:t>
            </w:r>
          </w:p>
        </w:tc>
        <w:tc>
          <w:tcPr>
            <w:tcW w:w="8495" w:type="dxa"/>
          </w:tcPr>
          <w:p>
            <w:pPr>
              <w:pStyle w:val="TableParagraph"/>
              <w:spacing w:line="276" w:lineRule="auto" w:before="107"/>
              <w:ind w:right="163"/>
              <w:rPr>
                <w:sz w:val="24"/>
              </w:rPr>
            </w:pPr>
            <w:r>
              <w:rPr>
                <w:sz w:val="24"/>
              </w:rPr>
              <w:t>Barbuta M. y Hrja M. Mechanical Characterization of Fiber Reinforced Polymer Concrete. Elsevier Science 20 (1995) 185-210.</w:t>
            </w:r>
          </w:p>
        </w:tc>
      </w:tr>
      <w:tr>
        <w:trPr>
          <w:trHeight w:val="1270" w:hRule="exact"/>
        </w:trPr>
        <w:tc>
          <w:tcPr>
            <w:tcW w:w="672" w:type="dxa"/>
          </w:tcPr>
          <w:p>
            <w:pPr>
              <w:pStyle w:val="TableParagraph"/>
              <w:spacing w:before="167"/>
              <w:ind w:left="181" w:right="181"/>
              <w:jc w:val="center"/>
              <w:rPr>
                <w:sz w:val="24"/>
              </w:rPr>
            </w:pPr>
            <w:r>
              <w:rPr>
                <w:sz w:val="24"/>
              </w:rPr>
              <w:t>51</w:t>
            </w:r>
          </w:p>
        </w:tc>
        <w:tc>
          <w:tcPr>
            <w:tcW w:w="8495" w:type="dxa"/>
          </w:tcPr>
          <w:p>
            <w:pPr>
              <w:pStyle w:val="TableParagraph"/>
              <w:spacing w:line="276" w:lineRule="auto" w:before="167"/>
              <w:ind w:right="207"/>
              <w:jc w:val="both"/>
              <w:rPr>
                <w:sz w:val="24"/>
              </w:rPr>
            </w:pPr>
            <w:r>
              <w:rPr>
                <w:sz w:val="24"/>
              </w:rPr>
              <w:t>Reis J.M.L, Fracture and flexural characterization of polymer concrete reinforced with wood waste. Congreso Brasileño de Ciencia e Ingeniería de Materiales. (2006) 2871-2882.</w:t>
            </w:r>
          </w:p>
        </w:tc>
      </w:tr>
      <w:tr>
        <w:trPr>
          <w:trHeight w:val="1269" w:hRule="exact"/>
        </w:trPr>
        <w:tc>
          <w:tcPr>
            <w:tcW w:w="672" w:type="dxa"/>
          </w:tcPr>
          <w:p>
            <w:pPr>
              <w:pStyle w:val="TableParagraph"/>
              <w:spacing w:before="167"/>
              <w:ind w:left="181" w:right="181"/>
              <w:jc w:val="center"/>
              <w:rPr>
                <w:sz w:val="24"/>
              </w:rPr>
            </w:pPr>
            <w:r>
              <w:rPr>
                <w:sz w:val="24"/>
              </w:rPr>
              <w:t>52</w:t>
            </w:r>
          </w:p>
        </w:tc>
        <w:tc>
          <w:tcPr>
            <w:tcW w:w="8495" w:type="dxa"/>
          </w:tcPr>
          <w:p>
            <w:pPr>
              <w:pStyle w:val="TableParagraph"/>
              <w:spacing w:line="273" w:lineRule="auto" w:before="167"/>
              <w:ind w:right="204"/>
              <w:jc w:val="both"/>
              <w:rPr>
                <w:sz w:val="24"/>
              </w:rPr>
            </w:pPr>
            <w:r>
              <w:rPr>
                <w:color w:val="221F1F"/>
                <w:sz w:val="24"/>
              </w:rPr>
              <w:t>Tserki V., Zafeiropoulos N.E., Simon F., Panayiotou C., A study of the effect of acetylation and propionylation surface treatments on natural fibres. Compos Part A </w:t>
            </w:r>
            <w:r>
              <w:rPr>
                <w:i/>
                <w:color w:val="221F1F"/>
                <w:sz w:val="24"/>
              </w:rPr>
              <w:t>Appl Sci Manuf</w:t>
            </w:r>
            <w:r>
              <w:rPr>
                <w:color w:val="221F1F"/>
                <w:sz w:val="24"/>
              </w:rPr>
              <w:t>; 36 (8) (2005)1110–8.</w:t>
            </w:r>
          </w:p>
        </w:tc>
      </w:tr>
      <w:tr>
        <w:trPr>
          <w:trHeight w:val="1270" w:hRule="exact"/>
        </w:trPr>
        <w:tc>
          <w:tcPr>
            <w:tcW w:w="672" w:type="dxa"/>
          </w:tcPr>
          <w:p>
            <w:pPr>
              <w:pStyle w:val="TableParagraph"/>
              <w:spacing w:before="168"/>
              <w:ind w:left="181" w:right="181"/>
              <w:jc w:val="center"/>
              <w:rPr>
                <w:sz w:val="24"/>
              </w:rPr>
            </w:pPr>
            <w:r>
              <w:rPr>
                <w:sz w:val="24"/>
              </w:rPr>
              <w:t>53</w:t>
            </w:r>
          </w:p>
        </w:tc>
        <w:tc>
          <w:tcPr>
            <w:tcW w:w="8495" w:type="dxa"/>
          </w:tcPr>
          <w:p>
            <w:pPr>
              <w:pStyle w:val="TableParagraph"/>
              <w:spacing w:line="273" w:lineRule="auto" w:before="168"/>
              <w:ind w:right="198"/>
              <w:jc w:val="both"/>
              <w:rPr>
                <w:sz w:val="24"/>
              </w:rPr>
            </w:pPr>
            <w:r>
              <w:rPr>
                <w:sz w:val="24"/>
              </w:rPr>
              <w:t>Tanobe V.O.A., Sydenstricker T.H.D., Murano M., y Amico S.C., Acomprehensive characterization of chemically treated Brazilian sponge- gourds (Luffa cylindrica),  </w:t>
            </w:r>
            <w:r>
              <w:rPr>
                <w:i/>
                <w:sz w:val="24"/>
              </w:rPr>
              <w:t>Polymer Testing </w:t>
            </w:r>
            <w:r>
              <w:rPr>
                <w:sz w:val="24"/>
              </w:rPr>
              <w:t>24 (4) (2005) 474-482.</w:t>
            </w:r>
          </w:p>
        </w:tc>
      </w:tr>
      <w:tr>
        <w:trPr>
          <w:trHeight w:val="1070" w:hRule="exact"/>
        </w:trPr>
        <w:tc>
          <w:tcPr>
            <w:tcW w:w="672" w:type="dxa"/>
          </w:tcPr>
          <w:p>
            <w:pPr>
              <w:pStyle w:val="TableParagraph"/>
              <w:spacing w:before="168"/>
              <w:ind w:left="181" w:right="181"/>
              <w:jc w:val="center"/>
              <w:rPr>
                <w:sz w:val="24"/>
              </w:rPr>
            </w:pPr>
            <w:r>
              <w:rPr>
                <w:sz w:val="24"/>
              </w:rPr>
              <w:t>54</w:t>
            </w:r>
          </w:p>
        </w:tc>
        <w:tc>
          <w:tcPr>
            <w:tcW w:w="8495" w:type="dxa"/>
          </w:tcPr>
          <w:p>
            <w:pPr>
              <w:pStyle w:val="TableParagraph"/>
              <w:spacing w:line="273" w:lineRule="auto" w:before="168"/>
              <w:ind w:right="201"/>
              <w:jc w:val="both"/>
              <w:rPr>
                <w:sz w:val="24"/>
              </w:rPr>
            </w:pPr>
            <w:r>
              <w:rPr>
                <w:sz w:val="24"/>
              </w:rPr>
              <w:t>Akerholm M., Hinterstoisser B., y Salmén L., Characterization of the crystalline structure of cellulose using static and dynamic FT-IR spectroscopy, </w:t>
            </w:r>
            <w:r>
              <w:rPr>
                <w:i/>
                <w:sz w:val="24"/>
              </w:rPr>
              <w:t>Carbohydr. Res. </w:t>
            </w:r>
            <w:r>
              <w:rPr>
                <w:sz w:val="24"/>
              </w:rPr>
              <w:t>339 (3) (2004) 569-578.</w:t>
            </w:r>
          </w:p>
        </w:tc>
      </w:tr>
    </w:tbl>
    <w:p>
      <w:pPr>
        <w:spacing w:after="0" w:line="273" w:lineRule="auto"/>
        <w:jc w:val="both"/>
        <w:rPr>
          <w:sz w:val="24"/>
        </w:rPr>
        <w:sectPr>
          <w:headerReference w:type="default" r:id="rId77"/>
          <w:pgSz w:w="12240" w:h="15840"/>
          <w:pgMar w:header="747" w:footer="0" w:top="940" w:bottom="280" w:left="1400" w:right="1460"/>
          <w:pgNumType w:start="71"/>
        </w:sectPr>
      </w:pPr>
    </w:p>
    <w:p>
      <w:pPr>
        <w:pStyle w:val="BodyText"/>
        <w:rPr>
          <w:rFonts w:ascii="Times New Roman"/>
          <w:sz w:val="20"/>
        </w:rPr>
      </w:pPr>
    </w:p>
    <w:p>
      <w:pPr>
        <w:pStyle w:val="BodyText"/>
        <w:spacing w:before="6"/>
        <w:rPr>
          <w:rFonts w:ascii="Times New Roman"/>
          <w:sz w:val="20"/>
        </w:rPr>
      </w:pPr>
    </w:p>
    <w:p>
      <w:pPr>
        <w:pStyle w:val="Heading2"/>
        <w:ind w:left="102" w:right="2220"/>
        <w:jc w:val="left"/>
      </w:pPr>
      <w:r>
        <w:rPr/>
        <w:t>ANEXOS</w:t>
      </w:r>
    </w:p>
    <w:p>
      <w:pPr>
        <w:pStyle w:val="BodyText"/>
        <w:spacing w:before="1"/>
        <w:rPr>
          <w:b/>
          <w:sz w:val="21"/>
        </w:rPr>
      </w:pPr>
    </w:p>
    <w:p>
      <w:pPr>
        <w:pStyle w:val="BodyText"/>
        <w:ind w:left="102" w:right="2220"/>
      </w:pPr>
      <w:r>
        <w:rPr/>
        <w:t>Anexo A</w:t>
      </w:r>
    </w:p>
    <w:p>
      <w:pPr>
        <w:pStyle w:val="BodyText"/>
        <w:rPr>
          <w:sz w:val="21"/>
        </w:rPr>
      </w:pPr>
    </w:p>
    <w:p>
      <w:pPr>
        <w:pStyle w:val="BodyText"/>
        <w:spacing w:line="276" w:lineRule="auto" w:before="1"/>
        <w:ind w:left="102" w:right="109"/>
      </w:pPr>
      <w:r>
        <w:rPr/>
        <w:t>Artículo aceptado: “Effect of the Loofah-fibers on the mechanical properties of Polymer Concrete”</w:t>
      </w:r>
    </w:p>
    <w:p>
      <w:pPr>
        <w:pStyle w:val="BodyText"/>
        <w:spacing w:before="1"/>
        <w:rPr>
          <w:sz w:val="14"/>
        </w:rPr>
      </w:pPr>
      <w:r>
        <w:rPr/>
        <w:pict>
          <v:group style="position:absolute;margin-left:95.300003pt;margin-top:10.086121pt;width:421.3pt;height:554.75pt;mso-position-horizontal-relative:page;mso-position-vertical-relative:paragraph;z-index:2680;mso-wrap-distance-left:0;mso-wrap-distance-right:0" coordorigin="1906,202" coordsize="8426,11095">
            <v:shape style="position:absolute;left:1906;top:202;width:8426;height:5380" type="#_x0000_t75" stroked="false">
              <v:imagedata r:id="rId80" o:title=""/>
            </v:shape>
            <v:shape style="position:absolute;left:2326;top:5582;width:7588;height:5715" type="#_x0000_t75" stroked="false">
              <v:imagedata r:id="rId81" o:title=""/>
            </v:shape>
            <w10:wrap type="topAndBottom"/>
          </v:group>
        </w:pict>
      </w:r>
    </w:p>
    <w:p>
      <w:pPr>
        <w:spacing w:after="0"/>
        <w:rPr>
          <w:sz w:val="14"/>
        </w:rPr>
        <w:sectPr>
          <w:pgSz w:w="12240" w:h="15840"/>
          <w:pgMar w:header="747" w:footer="0" w:top="940" w:bottom="280" w:left="1600" w:right="1580"/>
        </w:sectPr>
      </w:pPr>
    </w:p>
    <w:p>
      <w:pPr>
        <w:pStyle w:val="BodyText"/>
        <w:rPr>
          <w:rFonts w:ascii="Times New Roman"/>
          <w:sz w:val="20"/>
        </w:rPr>
      </w:pPr>
    </w:p>
    <w:p>
      <w:pPr>
        <w:pStyle w:val="BodyText"/>
        <w:spacing w:before="8"/>
        <w:rPr>
          <w:rFonts w:ascii="Times New Roman"/>
          <w:sz w:val="20"/>
        </w:rPr>
      </w:pPr>
    </w:p>
    <w:p>
      <w:pPr>
        <w:pStyle w:val="BodyText"/>
        <w:ind w:left="238"/>
        <w:rPr>
          <w:rFonts w:ascii="Times New Roman"/>
          <w:sz w:val="20"/>
        </w:rPr>
      </w:pPr>
      <w:r>
        <w:rPr>
          <w:rFonts w:ascii="Times New Roman"/>
          <w:sz w:val="20"/>
        </w:rPr>
        <w:drawing>
          <wp:inline distT="0" distB="0" distL="0" distR="0">
            <wp:extent cx="5259927" cy="6806183"/>
            <wp:effectExtent l="0" t="0" r="0" b="0"/>
            <wp:docPr id="83" name="image57.png" descr=""/>
            <wp:cNvGraphicFramePr>
              <a:graphicFrameLocks noChangeAspect="1"/>
            </wp:cNvGraphicFramePr>
            <a:graphic>
              <a:graphicData uri="http://schemas.openxmlformats.org/drawingml/2006/picture">
                <pic:pic>
                  <pic:nvPicPr>
                    <pic:cNvPr id="84" name="image57.png"/>
                    <pic:cNvPicPr/>
                  </pic:nvPicPr>
                  <pic:blipFill>
                    <a:blip r:embed="rId82" cstate="print"/>
                    <a:stretch>
                      <a:fillRect/>
                    </a:stretch>
                  </pic:blipFill>
                  <pic:spPr>
                    <a:xfrm>
                      <a:off x="0" y="0"/>
                      <a:ext cx="5259927" cy="680618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7" w:footer="0" w:top="940" w:bottom="280" w:left="1720" w:right="1580"/>
        </w:sectPr>
      </w:pPr>
    </w:p>
    <w:p>
      <w:pPr>
        <w:pStyle w:val="BodyText"/>
        <w:rPr>
          <w:rFonts w:ascii="Times New Roman"/>
          <w:sz w:val="20"/>
        </w:rPr>
      </w:pPr>
    </w:p>
    <w:p>
      <w:pPr>
        <w:pStyle w:val="BodyText"/>
        <w:spacing w:before="8"/>
        <w:rPr>
          <w:rFonts w:ascii="Times New Roman"/>
          <w:sz w:val="20"/>
        </w:rPr>
      </w:pPr>
    </w:p>
    <w:p>
      <w:pPr>
        <w:pStyle w:val="BodyText"/>
        <w:ind w:left="226"/>
        <w:rPr>
          <w:rFonts w:ascii="Times New Roman"/>
          <w:sz w:val="20"/>
        </w:rPr>
      </w:pPr>
      <w:r>
        <w:rPr>
          <w:rFonts w:ascii="Times New Roman"/>
          <w:sz w:val="20"/>
        </w:rPr>
        <w:drawing>
          <wp:inline distT="0" distB="0" distL="0" distR="0">
            <wp:extent cx="5287144" cy="6824186"/>
            <wp:effectExtent l="0" t="0" r="0" b="0"/>
            <wp:docPr id="85" name="image58.png" descr=""/>
            <wp:cNvGraphicFramePr>
              <a:graphicFrameLocks noChangeAspect="1"/>
            </wp:cNvGraphicFramePr>
            <a:graphic>
              <a:graphicData uri="http://schemas.openxmlformats.org/drawingml/2006/picture">
                <pic:pic>
                  <pic:nvPicPr>
                    <pic:cNvPr id="86" name="image58.png"/>
                    <pic:cNvPicPr/>
                  </pic:nvPicPr>
                  <pic:blipFill>
                    <a:blip r:embed="rId83" cstate="print"/>
                    <a:stretch>
                      <a:fillRect/>
                    </a:stretch>
                  </pic:blipFill>
                  <pic:spPr>
                    <a:xfrm>
                      <a:off x="0" y="0"/>
                      <a:ext cx="5287144" cy="682418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7" w:footer="0" w:top="940" w:bottom="280" w:left="1720" w:right="1580"/>
        </w:sectPr>
      </w:pPr>
    </w:p>
    <w:p>
      <w:pPr>
        <w:pStyle w:val="BodyText"/>
        <w:rPr>
          <w:rFonts w:ascii="Times New Roman"/>
          <w:sz w:val="20"/>
        </w:rPr>
      </w:pPr>
    </w:p>
    <w:p>
      <w:pPr>
        <w:pStyle w:val="BodyText"/>
        <w:spacing w:before="8"/>
        <w:rPr>
          <w:rFonts w:ascii="Times New Roman"/>
          <w:sz w:val="20"/>
        </w:rPr>
      </w:pPr>
    </w:p>
    <w:p>
      <w:pPr>
        <w:pStyle w:val="BodyText"/>
        <w:ind w:left="207"/>
        <w:rPr>
          <w:rFonts w:ascii="Times New Roman"/>
          <w:sz w:val="20"/>
        </w:rPr>
      </w:pPr>
      <w:r>
        <w:rPr>
          <w:rFonts w:ascii="Times New Roman"/>
          <w:sz w:val="20"/>
        </w:rPr>
        <w:drawing>
          <wp:inline distT="0" distB="0" distL="0" distR="0">
            <wp:extent cx="5312601" cy="6823519"/>
            <wp:effectExtent l="0" t="0" r="0" b="0"/>
            <wp:docPr id="87" name="image59.png" descr=""/>
            <wp:cNvGraphicFramePr>
              <a:graphicFrameLocks noChangeAspect="1"/>
            </wp:cNvGraphicFramePr>
            <a:graphic>
              <a:graphicData uri="http://schemas.openxmlformats.org/drawingml/2006/picture">
                <pic:pic>
                  <pic:nvPicPr>
                    <pic:cNvPr id="88" name="image59.png"/>
                    <pic:cNvPicPr/>
                  </pic:nvPicPr>
                  <pic:blipFill>
                    <a:blip r:embed="rId84" cstate="print"/>
                    <a:stretch>
                      <a:fillRect/>
                    </a:stretch>
                  </pic:blipFill>
                  <pic:spPr>
                    <a:xfrm>
                      <a:off x="0" y="0"/>
                      <a:ext cx="5312601" cy="68235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7" w:footer="0" w:top="940" w:bottom="280" w:left="1720" w:right="1580"/>
        </w:sectPr>
      </w:pPr>
    </w:p>
    <w:p>
      <w:pPr>
        <w:pStyle w:val="BodyText"/>
        <w:rPr>
          <w:rFonts w:ascii="Times New Roman"/>
          <w:sz w:val="20"/>
        </w:rPr>
      </w:pPr>
    </w:p>
    <w:p>
      <w:pPr>
        <w:pStyle w:val="BodyText"/>
        <w:spacing w:before="8"/>
        <w:rPr>
          <w:rFonts w:ascii="Times New Roman"/>
          <w:sz w:val="20"/>
        </w:rPr>
      </w:pPr>
    </w:p>
    <w:p>
      <w:pPr>
        <w:pStyle w:val="BodyText"/>
        <w:ind w:left="442"/>
        <w:rPr>
          <w:rFonts w:ascii="Times New Roman"/>
          <w:sz w:val="20"/>
        </w:rPr>
      </w:pPr>
      <w:r>
        <w:rPr>
          <w:rFonts w:ascii="Times New Roman"/>
          <w:sz w:val="20"/>
        </w:rPr>
        <w:drawing>
          <wp:inline distT="0" distB="0" distL="0" distR="0">
            <wp:extent cx="5002112" cy="6806183"/>
            <wp:effectExtent l="0" t="0" r="0" b="0"/>
            <wp:docPr id="89" name="image60.png" descr=""/>
            <wp:cNvGraphicFramePr>
              <a:graphicFrameLocks noChangeAspect="1"/>
            </wp:cNvGraphicFramePr>
            <a:graphic>
              <a:graphicData uri="http://schemas.openxmlformats.org/drawingml/2006/picture">
                <pic:pic>
                  <pic:nvPicPr>
                    <pic:cNvPr id="90" name="image60.png"/>
                    <pic:cNvPicPr/>
                  </pic:nvPicPr>
                  <pic:blipFill>
                    <a:blip r:embed="rId85" cstate="print"/>
                    <a:stretch>
                      <a:fillRect/>
                    </a:stretch>
                  </pic:blipFill>
                  <pic:spPr>
                    <a:xfrm>
                      <a:off x="0" y="0"/>
                      <a:ext cx="5002112" cy="680618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7" w:footer="0" w:top="940" w:bottom="280" w:left="1720" w:right="1580"/>
        </w:sectPr>
      </w:pPr>
    </w:p>
    <w:p>
      <w:pPr>
        <w:pStyle w:val="BodyText"/>
        <w:rPr>
          <w:rFonts w:ascii="Times New Roman"/>
          <w:sz w:val="20"/>
        </w:rPr>
      </w:pPr>
    </w:p>
    <w:p>
      <w:pPr>
        <w:pStyle w:val="BodyText"/>
        <w:spacing w:before="6"/>
        <w:rPr>
          <w:rFonts w:ascii="Times New Roman"/>
          <w:sz w:val="20"/>
        </w:rPr>
      </w:pPr>
    </w:p>
    <w:p>
      <w:pPr>
        <w:pStyle w:val="BodyText"/>
        <w:ind w:left="102"/>
        <w:jc w:val="both"/>
      </w:pPr>
      <w:r>
        <w:rPr/>
        <w:t>Anexo B.</w:t>
      </w:r>
    </w:p>
    <w:p>
      <w:pPr>
        <w:pStyle w:val="BodyText"/>
        <w:spacing w:before="1"/>
        <w:rPr>
          <w:sz w:val="21"/>
        </w:rPr>
      </w:pPr>
    </w:p>
    <w:p>
      <w:pPr>
        <w:pStyle w:val="BodyText"/>
        <w:spacing w:line="276" w:lineRule="auto"/>
        <w:ind w:left="102" w:right="123"/>
        <w:jc w:val="both"/>
      </w:pPr>
      <w:r>
        <w:rPr/>
        <w:t>Curvas esfuerzo-deformación de ensayos de compresión de concretos  poliméricos.</w:t>
      </w:r>
    </w:p>
    <w:p>
      <w:pPr>
        <w:pStyle w:val="BodyText"/>
        <w:spacing w:line="276" w:lineRule="auto" w:before="202"/>
        <w:ind w:left="102" w:right="121"/>
        <w:jc w:val="both"/>
      </w:pPr>
      <w:r>
        <w:rPr/>
        <w:t>En la Figura B1-B6 se muestran las curvas esfuerzo-deformación que sirvieron para el análisis de resultados de la prueba de compresión realizada a los concretos</w:t>
      </w:r>
      <w:r>
        <w:rPr>
          <w:spacing w:val="-8"/>
        </w:rPr>
        <w:t> </w:t>
      </w:r>
      <w:r>
        <w:rPr/>
        <w:t>poliméricos.</w:t>
      </w:r>
    </w:p>
    <w:p>
      <w:pPr>
        <w:pStyle w:val="BodyText"/>
        <w:spacing w:before="4"/>
        <w:rPr>
          <w:sz w:val="14"/>
        </w:rPr>
      </w:pPr>
      <w:r>
        <w:rPr/>
        <w:drawing>
          <wp:anchor distT="0" distB="0" distL="0" distR="0" allowOverlap="1" layoutInCell="1" locked="0" behindDoc="0" simplePos="0" relativeHeight="2704">
            <wp:simplePos x="0" y="0"/>
            <wp:positionH relativeFrom="page">
              <wp:posOffset>2098675</wp:posOffset>
            </wp:positionH>
            <wp:positionV relativeFrom="paragraph">
              <wp:posOffset>129617</wp:posOffset>
            </wp:positionV>
            <wp:extent cx="3578763" cy="2753677"/>
            <wp:effectExtent l="0" t="0" r="0" b="0"/>
            <wp:wrapTopAndBottom/>
            <wp:docPr id="91" name="image61.png" descr=""/>
            <wp:cNvGraphicFramePr>
              <a:graphicFrameLocks noChangeAspect="1"/>
            </wp:cNvGraphicFramePr>
            <a:graphic>
              <a:graphicData uri="http://schemas.openxmlformats.org/drawingml/2006/picture">
                <pic:pic>
                  <pic:nvPicPr>
                    <pic:cNvPr id="92" name="image61.png"/>
                    <pic:cNvPicPr/>
                  </pic:nvPicPr>
                  <pic:blipFill>
                    <a:blip r:embed="rId86" cstate="print"/>
                    <a:stretch>
                      <a:fillRect/>
                    </a:stretch>
                  </pic:blipFill>
                  <pic:spPr>
                    <a:xfrm>
                      <a:off x="0" y="0"/>
                      <a:ext cx="3578763" cy="2753677"/>
                    </a:xfrm>
                    <a:prstGeom prst="rect">
                      <a:avLst/>
                    </a:prstGeom>
                  </pic:spPr>
                </pic:pic>
              </a:graphicData>
            </a:graphic>
          </wp:anchor>
        </w:drawing>
      </w:r>
    </w:p>
    <w:p>
      <w:pPr>
        <w:pStyle w:val="BodyText"/>
        <w:spacing w:line="276" w:lineRule="auto" w:before="6"/>
        <w:ind w:right="23"/>
        <w:jc w:val="center"/>
      </w:pPr>
      <w:r>
        <w:rPr/>
        <w:t>Figura B1. Curvas esfuerzo – deformación de concretos poliméricos irradiados a diferentes dosis (50 y 100 kGy).</w:t>
      </w:r>
    </w:p>
    <w:p>
      <w:pPr>
        <w:pStyle w:val="BodyText"/>
        <w:rPr>
          <w:sz w:val="14"/>
        </w:rPr>
      </w:pPr>
      <w:r>
        <w:rPr/>
        <w:drawing>
          <wp:anchor distT="0" distB="0" distL="0" distR="0" allowOverlap="1" layoutInCell="1" locked="0" behindDoc="0" simplePos="0" relativeHeight="2728">
            <wp:simplePos x="0" y="0"/>
            <wp:positionH relativeFrom="page">
              <wp:posOffset>2098675</wp:posOffset>
            </wp:positionH>
            <wp:positionV relativeFrom="paragraph">
              <wp:posOffset>127077</wp:posOffset>
            </wp:positionV>
            <wp:extent cx="3580020" cy="2835402"/>
            <wp:effectExtent l="0" t="0" r="0" b="0"/>
            <wp:wrapTopAndBottom/>
            <wp:docPr id="93" name="image35.png" descr=""/>
            <wp:cNvGraphicFramePr>
              <a:graphicFrameLocks noChangeAspect="1"/>
            </wp:cNvGraphicFramePr>
            <a:graphic>
              <a:graphicData uri="http://schemas.openxmlformats.org/drawingml/2006/picture">
                <pic:pic>
                  <pic:nvPicPr>
                    <pic:cNvPr id="94" name="image35.png"/>
                    <pic:cNvPicPr/>
                  </pic:nvPicPr>
                  <pic:blipFill>
                    <a:blip r:embed="rId48" cstate="print"/>
                    <a:stretch>
                      <a:fillRect/>
                    </a:stretch>
                  </pic:blipFill>
                  <pic:spPr>
                    <a:xfrm>
                      <a:off x="0" y="0"/>
                      <a:ext cx="3580020" cy="2835402"/>
                    </a:xfrm>
                    <a:prstGeom prst="rect">
                      <a:avLst/>
                    </a:prstGeom>
                  </pic:spPr>
                </pic:pic>
              </a:graphicData>
            </a:graphic>
          </wp:anchor>
        </w:drawing>
      </w:r>
    </w:p>
    <w:p>
      <w:pPr>
        <w:pStyle w:val="BodyText"/>
        <w:spacing w:line="276" w:lineRule="auto" w:before="8"/>
        <w:ind w:left="134" w:right="153"/>
        <w:jc w:val="center"/>
      </w:pPr>
      <w:r>
        <w:rPr/>
        <w:t>Figura B2. Curvas esfuerzo – deformación de concretos poliméricos elaborados con 0, 03, 0.6 y 0.9 % de fibra de luffa.</w:t>
      </w:r>
    </w:p>
    <w:p>
      <w:pPr>
        <w:spacing w:after="0" w:line="276" w:lineRule="auto"/>
        <w:jc w:val="center"/>
        <w:sectPr>
          <w:pgSz w:w="12240" w:h="15840"/>
          <w:pgMar w:header="747" w:footer="0" w:top="940" w:bottom="280" w:left="1600" w:right="1580"/>
        </w:sectPr>
      </w:pPr>
    </w:p>
    <w:p>
      <w:pPr>
        <w:pStyle w:val="BodyText"/>
        <w:rPr>
          <w:sz w:val="20"/>
        </w:rPr>
      </w:pPr>
    </w:p>
    <w:p>
      <w:pPr>
        <w:pStyle w:val="BodyText"/>
        <w:spacing w:before="8"/>
        <w:rPr>
          <w:sz w:val="20"/>
        </w:rPr>
      </w:pPr>
    </w:p>
    <w:p>
      <w:pPr>
        <w:pStyle w:val="BodyText"/>
        <w:ind w:left="1177"/>
        <w:rPr>
          <w:sz w:val="20"/>
        </w:rPr>
      </w:pPr>
      <w:r>
        <w:rPr>
          <w:sz w:val="20"/>
        </w:rPr>
        <w:drawing>
          <wp:inline distT="0" distB="0" distL="0" distR="0">
            <wp:extent cx="4081293" cy="2990373"/>
            <wp:effectExtent l="0" t="0" r="0" b="0"/>
            <wp:docPr id="95" name="image62.png" descr=""/>
            <wp:cNvGraphicFramePr>
              <a:graphicFrameLocks noChangeAspect="1"/>
            </wp:cNvGraphicFramePr>
            <a:graphic>
              <a:graphicData uri="http://schemas.openxmlformats.org/drawingml/2006/picture">
                <pic:pic>
                  <pic:nvPicPr>
                    <pic:cNvPr id="96" name="image62.png"/>
                    <pic:cNvPicPr/>
                  </pic:nvPicPr>
                  <pic:blipFill>
                    <a:blip r:embed="rId87" cstate="print"/>
                    <a:stretch>
                      <a:fillRect/>
                    </a:stretch>
                  </pic:blipFill>
                  <pic:spPr>
                    <a:xfrm>
                      <a:off x="0" y="0"/>
                      <a:ext cx="4081293" cy="2990373"/>
                    </a:xfrm>
                    <a:prstGeom prst="rect">
                      <a:avLst/>
                    </a:prstGeom>
                  </pic:spPr>
                </pic:pic>
              </a:graphicData>
            </a:graphic>
          </wp:inline>
        </w:drawing>
      </w:r>
      <w:r>
        <w:rPr>
          <w:sz w:val="20"/>
        </w:rPr>
      </w:r>
    </w:p>
    <w:p>
      <w:pPr>
        <w:pStyle w:val="BodyText"/>
        <w:spacing w:before="1"/>
        <w:rPr>
          <w:sz w:val="16"/>
        </w:rPr>
      </w:pPr>
    </w:p>
    <w:p>
      <w:pPr>
        <w:pStyle w:val="BodyText"/>
        <w:spacing w:line="276" w:lineRule="auto" w:before="69"/>
        <w:ind w:left="1578" w:right="281" w:hanging="1424"/>
      </w:pPr>
      <w:r>
        <w:rPr/>
        <w:t>Figura B3. Curvas esfuerzo – deformación de concretos poliméricos elaborados con 0, 03, 0.6 y 0.9 % de fibra de luffa irradiada a 50.</w:t>
      </w:r>
    </w:p>
    <w:p>
      <w:pPr>
        <w:pStyle w:val="BodyText"/>
        <w:spacing w:before="3"/>
        <w:rPr>
          <w:sz w:val="14"/>
        </w:rPr>
      </w:pPr>
      <w:r>
        <w:rPr/>
        <w:drawing>
          <wp:anchor distT="0" distB="0" distL="0" distR="0" allowOverlap="1" layoutInCell="1" locked="0" behindDoc="0" simplePos="0" relativeHeight="2752">
            <wp:simplePos x="0" y="0"/>
            <wp:positionH relativeFrom="page">
              <wp:posOffset>1891029</wp:posOffset>
            </wp:positionH>
            <wp:positionV relativeFrom="paragraph">
              <wp:posOffset>129109</wp:posOffset>
            </wp:positionV>
            <wp:extent cx="3974872" cy="3067812"/>
            <wp:effectExtent l="0" t="0" r="0" b="0"/>
            <wp:wrapTopAndBottom/>
            <wp:docPr id="97" name="image63.png" descr=""/>
            <wp:cNvGraphicFramePr>
              <a:graphicFrameLocks noChangeAspect="1"/>
            </wp:cNvGraphicFramePr>
            <a:graphic>
              <a:graphicData uri="http://schemas.openxmlformats.org/drawingml/2006/picture">
                <pic:pic>
                  <pic:nvPicPr>
                    <pic:cNvPr id="98" name="image63.png"/>
                    <pic:cNvPicPr/>
                  </pic:nvPicPr>
                  <pic:blipFill>
                    <a:blip r:embed="rId88" cstate="print"/>
                    <a:stretch>
                      <a:fillRect/>
                    </a:stretch>
                  </pic:blipFill>
                  <pic:spPr>
                    <a:xfrm>
                      <a:off x="0" y="0"/>
                      <a:ext cx="3974872" cy="3067812"/>
                    </a:xfrm>
                    <a:prstGeom prst="rect">
                      <a:avLst/>
                    </a:prstGeom>
                  </pic:spPr>
                </pic:pic>
              </a:graphicData>
            </a:graphic>
          </wp:anchor>
        </w:drawing>
      </w:r>
    </w:p>
    <w:p>
      <w:pPr>
        <w:pStyle w:val="BodyText"/>
        <w:rPr>
          <w:sz w:val="20"/>
        </w:rPr>
      </w:pPr>
    </w:p>
    <w:p>
      <w:pPr>
        <w:pStyle w:val="BodyText"/>
        <w:spacing w:line="276" w:lineRule="auto"/>
        <w:ind w:left="1510" w:right="281" w:hanging="1356"/>
      </w:pPr>
      <w:r>
        <w:rPr/>
        <w:t>Figura B4. Curvas esfuerzo – deformación de concretos poliméricos elaborados con 0, 03, 0.6 y 0.9 % de fibra de luffa irradiada a 100.</w:t>
      </w:r>
    </w:p>
    <w:p>
      <w:pPr>
        <w:spacing w:after="0" w:line="276" w:lineRule="auto"/>
        <w:sectPr>
          <w:pgSz w:w="12240" w:h="15840"/>
          <w:pgMar w:header="747" w:footer="0" w:top="940" w:bottom="280" w:left="1720" w:right="1580"/>
        </w:sectPr>
      </w:pPr>
    </w:p>
    <w:p>
      <w:pPr>
        <w:pStyle w:val="BodyText"/>
        <w:rPr>
          <w:sz w:val="20"/>
        </w:rPr>
      </w:pPr>
    </w:p>
    <w:p>
      <w:pPr>
        <w:pStyle w:val="BodyText"/>
        <w:spacing w:before="8"/>
        <w:rPr>
          <w:sz w:val="20"/>
        </w:rPr>
      </w:pPr>
    </w:p>
    <w:p>
      <w:pPr>
        <w:pStyle w:val="BodyText"/>
        <w:ind w:left="1002"/>
        <w:rPr>
          <w:sz w:val="20"/>
        </w:rPr>
      </w:pPr>
      <w:r>
        <w:rPr>
          <w:sz w:val="20"/>
        </w:rPr>
        <w:drawing>
          <wp:inline distT="0" distB="0" distL="0" distR="0">
            <wp:extent cx="4345185" cy="3293745"/>
            <wp:effectExtent l="0" t="0" r="0" b="0"/>
            <wp:docPr id="99" name="image64.png" descr=""/>
            <wp:cNvGraphicFramePr>
              <a:graphicFrameLocks noChangeAspect="1"/>
            </wp:cNvGraphicFramePr>
            <a:graphic>
              <a:graphicData uri="http://schemas.openxmlformats.org/drawingml/2006/picture">
                <pic:pic>
                  <pic:nvPicPr>
                    <pic:cNvPr id="100" name="image64.png"/>
                    <pic:cNvPicPr/>
                  </pic:nvPicPr>
                  <pic:blipFill>
                    <a:blip r:embed="rId89" cstate="print"/>
                    <a:stretch>
                      <a:fillRect/>
                    </a:stretch>
                  </pic:blipFill>
                  <pic:spPr>
                    <a:xfrm>
                      <a:off x="0" y="0"/>
                      <a:ext cx="4345185" cy="3293745"/>
                    </a:xfrm>
                    <a:prstGeom prst="rect">
                      <a:avLst/>
                    </a:prstGeom>
                  </pic:spPr>
                </pic:pic>
              </a:graphicData>
            </a:graphic>
          </wp:inline>
        </w:drawing>
      </w:r>
      <w:r>
        <w:rPr>
          <w:sz w:val="20"/>
        </w:rPr>
      </w:r>
    </w:p>
    <w:p>
      <w:pPr>
        <w:pStyle w:val="BodyText"/>
        <w:spacing w:before="9"/>
        <w:rPr>
          <w:sz w:val="11"/>
        </w:rPr>
      </w:pPr>
    </w:p>
    <w:p>
      <w:pPr>
        <w:pStyle w:val="BodyText"/>
        <w:spacing w:line="276" w:lineRule="auto" w:before="69"/>
        <w:ind w:left="1417" w:right="281" w:hanging="1263"/>
      </w:pPr>
      <w:r>
        <w:rPr/>
        <w:t>Figura B5. Curvas esfuerzo – deformación de concretos poliméricos elaborados con 0, 03, 0.6 y 0.9 % de fibra de luffa e irradiados a 50.</w:t>
      </w:r>
    </w:p>
    <w:p>
      <w:pPr>
        <w:pStyle w:val="BodyText"/>
        <w:rPr>
          <w:sz w:val="20"/>
        </w:rPr>
      </w:pPr>
    </w:p>
    <w:p>
      <w:pPr>
        <w:pStyle w:val="BodyText"/>
        <w:rPr>
          <w:sz w:val="20"/>
        </w:rPr>
      </w:pPr>
    </w:p>
    <w:p>
      <w:pPr>
        <w:pStyle w:val="BodyText"/>
        <w:spacing w:before="1"/>
        <w:rPr>
          <w:sz w:val="19"/>
        </w:rPr>
      </w:pPr>
      <w:r>
        <w:rPr/>
        <w:drawing>
          <wp:anchor distT="0" distB="0" distL="0" distR="0" allowOverlap="1" layoutInCell="1" locked="0" behindDoc="0" simplePos="0" relativeHeight="2776">
            <wp:simplePos x="0" y="0"/>
            <wp:positionH relativeFrom="page">
              <wp:posOffset>1897379</wp:posOffset>
            </wp:positionH>
            <wp:positionV relativeFrom="paragraph">
              <wp:posOffset>164567</wp:posOffset>
            </wp:positionV>
            <wp:extent cx="3973539" cy="3076575"/>
            <wp:effectExtent l="0" t="0" r="0" b="0"/>
            <wp:wrapTopAndBottom/>
            <wp:docPr id="101" name="image65.png" descr=""/>
            <wp:cNvGraphicFramePr>
              <a:graphicFrameLocks noChangeAspect="1"/>
            </wp:cNvGraphicFramePr>
            <a:graphic>
              <a:graphicData uri="http://schemas.openxmlformats.org/drawingml/2006/picture">
                <pic:pic>
                  <pic:nvPicPr>
                    <pic:cNvPr id="102" name="image65.png"/>
                    <pic:cNvPicPr/>
                  </pic:nvPicPr>
                  <pic:blipFill>
                    <a:blip r:embed="rId90" cstate="print"/>
                    <a:stretch>
                      <a:fillRect/>
                    </a:stretch>
                  </pic:blipFill>
                  <pic:spPr>
                    <a:xfrm>
                      <a:off x="0" y="0"/>
                      <a:ext cx="3973539" cy="3076575"/>
                    </a:xfrm>
                    <a:prstGeom prst="rect">
                      <a:avLst/>
                    </a:prstGeom>
                  </pic:spPr>
                </pic:pic>
              </a:graphicData>
            </a:graphic>
          </wp:anchor>
        </w:drawing>
      </w:r>
    </w:p>
    <w:p>
      <w:pPr>
        <w:pStyle w:val="BodyText"/>
        <w:spacing w:before="9"/>
        <w:rPr>
          <w:sz w:val="12"/>
        </w:rPr>
      </w:pPr>
    </w:p>
    <w:p>
      <w:pPr>
        <w:pStyle w:val="BodyText"/>
        <w:spacing w:line="278" w:lineRule="auto" w:before="69"/>
        <w:ind w:left="1350" w:right="281" w:hanging="1196"/>
      </w:pPr>
      <w:r>
        <w:rPr/>
        <w:t>Figura B5. Curvas esfuerzo – deformación de concretos poliméricos elaborados con 0, 03, 0.6 y 0.9 % de fibra de luffa e irradiados a 100.</w:t>
      </w:r>
    </w:p>
    <w:sectPr>
      <w:pgSz w:w="12240" w:h="15840"/>
      <w:pgMar w:header="747" w:footer="0" w:top="940" w:bottom="28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979980pt;margin-top:36.410pt;width:9.050pt;height:12pt;mso-position-horizontal-relative:page;mso-position-vertical-relative:page;z-index:-8382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w w:val="99"/>
                    <w:sz w:val="20"/>
                  </w:rPr>
                  <w:instrText> PAGE </w:instrText>
                </w:r>
                <w:r>
                  <w:rPr/>
                  <w:fldChar w:fldCharType="separate"/>
                </w:r>
                <w:r>
                  <w:rPr/>
                  <w:t>1</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36.410pt;width:12.1pt;height:12pt;mso-position-horizontal-relative:page;mso-position-vertical-relative:page;z-index:-83608" type="#_x0000_t202" filled="false" stroked="false">
          <v:textbox inset="0,0,0,0">
            <w:txbxContent>
              <w:p>
                <w:pPr>
                  <w:spacing w:line="223" w:lineRule="exact" w:before="0"/>
                  <w:ind w:left="20" w:right="-1" w:firstLine="0"/>
                  <w:jc w:val="left"/>
                  <w:rPr>
                    <w:rFonts w:ascii="Calibri"/>
                    <w:sz w:val="20"/>
                  </w:rPr>
                </w:pPr>
                <w:r>
                  <w:rPr>
                    <w:rFonts w:ascii="Calibri"/>
                    <w:sz w:val="20"/>
                  </w:rPr>
                  <w:t>50</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36.410pt;width:14.1pt;height:12pt;mso-position-horizontal-relative:page;mso-position-vertical-relative:page;z-index:-8358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51</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36.410pt;width:12.1pt;height:12pt;mso-position-horizontal-relative:page;mso-position-vertical-relative:page;z-index:-83560" type="#_x0000_t202" filled="false" stroked="false">
          <v:textbox inset="0,0,0,0">
            <w:txbxContent>
              <w:p>
                <w:pPr>
                  <w:spacing w:line="223" w:lineRule="exact" w:before="0"/>
                  <w:ind w:left="20" w:right="-1" w:firstLine="0"/>
                  <w:jc w:val="left"/>
                  <w:rPr>
                    <w:rFonts w:ascii="Calibri"/>
                    <w:sz w:val="20"/>
                  </w:rPr>
                </w:pPr>
                <w:r>
                  <w:rPr>
                    <w:rFonts w:ascii="Calibri"/>
                    <w:sz w:val="20"/>
                  </w:rPr>
                  <w:t>60</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36.410pt;width:14.1pt;height:12pt;mso-position-horizontal-relative:page;mso-position-vertical-relative:page;z-index:-8353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61</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36.410pt;width:12.1pt;height:12pt;mso-position-horizontal-relative:page;mso-position-vertical-relative:page;z-index:-83512" type="#_x0000_t202" filled="false" stroked="false">
          <v:textbox inset="0,0,0,0">
            <w:txbxContent>
              <w:p>
                <w:pPr>
                  <w:spacing w:line="223" w:lineRule="exact" w:before="0"/>
                  <w:ind w:left="20" w:right="-1" w:firstLine="0"/>
                  <w:jc w:val="left"/>
                  <w:rPr>
                    <w:rFonts w:ascii="Calibri"/>
                    <w:sz w:val="20"/>
                  </w:rPr>
                </w:pPr>
                <w:r>
                  <w:rPr>
                    <w:rFonts w:ascii="Calibri"/>
                    <w:sz w:val="20"/>
                  </w:rPr>
                  <w:t>70</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36.410pt;width:14.1pt;height:12pt;mso-position-horizontal-relative:page;mso-position-vertical-relative:page;z-index:-8348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71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36.410pt;width:12.1pt;height:12pt;mso-position-horizontal-relative:page;mso-position-vertical-relative:page;z-index:-83800" type="#_x0000_t202" filled="false" stroked="false">
          <v:textbox inset="0,0,0,0">
            <w:txbxContent>
              <w:p>
                <w:pPr>
                  <w:spacing w:line="223" w:lineRule="exact" w:before="0"/>
                  <w:ind w:left="20" w:right="-1" w:firstLine="0"/>
                  <w:jc w:val="left"/>
                  <w:rPr>
                    <w:rFonts w:ascii="Calibri"/>
                    <w:sz w:val="20"/>
                  </w:rPr>
                </w:pPr>
                <w:r>
                  <w:rPr>
                    <w:rFonts w:ascii="Calibri"/>
                    <w:sz w:val="20"/>
                  </w:rPr>
                  <w:t>10</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36.410pt;width:14.1pt;height:12pt;mso-position-horizontal-relative:page;mso-position-vertical-relative:page;z-index:-8377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36.410pt;width:12.1pt;height:12pt;mso-position-horizontal-relative:page;mso-position-vertical-relative:page;z-index:-83752" type="#_x0000_t202" filled="false" stroked="false">
          <v:textbox inset="0,0,0,0">
            <w:txbxContent>
              <w:p>
                <w:pPr>
                  <w:spacing w:line="223" w:lineRule="exact" w:before="0"/>
                  <w:ind w:left="20" w:right="-1" w:firstLine="0"/>
                  <w:jc w:val="left"/>
                  <w:rPr>
                    <w:rFonts w:ascii="Calibri"/>
                    <w:sz w:val="20"/>
                  </w:rPr>
                </w:pPr>
                <w:r>
                  <w:rPr>
                    <w:rFonts w:ascii="Calibri"/>
                    <w:sz w:val="20"/>
                  </w:rPr>
                  <w:t>20</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36.410pt;width:14.1pt;height:12pt;mso-position-horizontal-relative:page;mso-position-vertical-relative:page;z-index:-8372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21</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36.410pt;width:12.1pt;height:12pt;mso-position-horizontal-relative:page;mso-position-vertical-relative:page;z-index:-83704" type="#_x0000_t202" filled="false" stroked="false">
          <v:textbox inset="0,0,0,0">
            <w:txbxContent>
              <w:p>
                <w:pPr>
                  <w:spacing w:line="223" w:lineRule="exact" w:before="0"/>
                  <w:ind w:left="20" w:right="-1" w:firstLine="0"/>
                  <w:jc w:val="left"/>
                  <w:rPr>
                    <w:rFonts w:ascii="Calibri"/>
                    <w:sz w:val="20"/>
                  </w:rPr>
                </w:pPr>
                <w:r>
                  <w:rPr>
                    <w:rFonts w:ascii="Calibri"/>
                    <w:sz w:val="20"/>
                  </w:rPr>
                  <w:t>30</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36.410pt;width:14.1pt;height:12pt;mso-position-horizontal-relative:page;mso-position-vertical-relative:page;z-index:-8368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31</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40002pt;margin-top:36.410pt;width:12.1pt;height:12pt;mso-position-horizontal-relative:page;mso-position-vertical-relative:page;z-index:-83656" type="#_x0000_t202" filled="false" stroked="false">
          <v:textbox inset="0,0,0,0">
            <w:txbxContent>
              <w:p>
                <w:pPr>
                  <w:spacing w:line="223" w:lineRule="exact" w:before="0"/>
                  <w:ind w:left="20" w:right="-1" w:firstLine="0"/>
                  <w:jc w:val="left"/>
                  <w:rPr>
                    <w:rFonts w:ascii="Calibri"/>
                    <w:sz w:val="20"/>
                  </w:rPr>
                </w:pPr>
                <w:r>
                  <w:rPr>
                    <w:rFonts w:ascii="Calibri"/>
                    <w:sz w:val="20"/>
                  </w:rPr>
                  <w:t>40</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40002pt;margin-top:36.410pt;width:14.1pt;height:12pt;mso-position-horizontal-relative:page;mso-position-vertical-relative:page;z-index:-8363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41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889" w:hanging="281"/>
      </w:pPr>
      <w:rPr>
        <w:rFonts w:hint="default" w:ascii="Symbol" w:hAnsi="Symbol" w:eastAsia="Symbol" w:cs="Symbol"/>
        <w:w w:val="100"/>
        <w:sz w:val="24"/>
        <w:szCs w:val="24"/>
      </w:rPr>
    </w:lvl>
    <w:lvl w:ilvl="1">
      <w:start w:val="1"/>
      <w:numFmt w:val="bullet"/>
      <w:lvlText w:val="•"/>
      <w:lvlJc w:val="left"/>
      <w:pPr>
        <w:ind w:left="1698" w:hanging="281"/>
      </w:pPr>
      <w:rPr>
        <w:rFonts w:hint="default"/>
      </w:rPr>
    </w:lvl>
    <w:lvl w:ilvl="2">
      <w:start w:val="1"/>
      <w:numFmt w:val="bullet"/>
      <w:lvlText w:val="•"/>
      <w:lvlJc w:val="left"/>
      <w:pPr>
        <w:ind w:left="2516" w:hanging="281"/>
      </w:pPr>
      <w:rPr>
        <w:rFonts w:hint="default"/>
      </w:rPr>
    </w:lvl>
    <w:lvl w:ilvl="3">
      <w:start w:val="1"/>
      <w:numFmt w:val="bullet"/>
      <w:lvlText w:val="•"/>
      <w:lvlJc w:val="left"/>
      <w:pPr>
        <w:ind w:left="3334" w:hanging="281"/>
      </w:pPr>
      <w:rPr>
        <w:rFonts w:hint="default"/>
      </w:rPr>
    </w:lvl>
    <w:lvl w:ilvl="4">
      <w:start w:val="1"/>
      <w:numFmt w:val="bullet"/>
      <w:lvlText w:val="•"/>
      <w:lvlJc w:val="left"/>
      <w:pPr>
        <w:ind w:left="4152" w:hanging="281"/>
      </w:pPr>
      <w:rPr>
        <w:rFonts w:hint="default"/>
      </w:rPr>
    </w:lvl>
    <w:lvl w:ilvl="5">
      <w:start w:val="1"/>
      <w:numFmt w:val="bullet"/>
      <w:lvlText w:val="•"/>
      <w:lvlJc w:val="left"/>
      <w:pPr>
        <w:ind w:left="4970" w:hanging="281"/>
      </w:pPr>
      <w:rPr>
        <w:rFonts w:hint="default"/>
      </w:rPr>
    </w:lvl>
    <w:lvl w:ilvl="6">
      <w:start w:val="1"/>
      <w:numFmt w:val="bullet"/>
      <w:lvlText w:val="•"/>
      <w:lvlJc w:val="left"/>
      <w:pPr>
        <w:ind w:left="5788" w:hanging="281"/>
      </w:pPr>
      <w:rPr>
        <w:rFonts w:hint="default"/>
      </w:rPr>
    </w:lvl>
    <w:lvl w:ilvl="7">
      <w:start w:val="1"/>
      <w:numFmt w:val="bullet"/>
      <w:lvlText w:val="•"/>
      <w:lvlJc w:val="left"/>
      <w:pPr>
        <w:ind w:left="6606" w:hanging="281"/>
      </w:pPr>
      <w:rPr>
        <w:rFonts w:hint="default"/>
      </w:rPr>
    </w:lvl>
    <w:lvl w:ilvl="8">
      <w:start w:val="1"/>
      <w:numFmt w:val="bullet"/>
      <w:lvlText w:val="•"/>
      <w:lvlJc w:val="left"/>
      <w:pPr>
        <w:ind w:left="7424" w:hanging="281"/>
      </w:pPr>
      <w:rPr>
        <w:rFonts w:hint="default"/>
      </w:rPr>
    </w:lvl>
  </w:abstractNum>
  <w:abstractNum w:abstractNumId="22">
    <w:multiLevelType w:val="hybridMultilevel"/>
    <w:lvl w:ilvl="0">
      <w:start w:val="1"/>
      <w:numFmt w:val="lowerLetter"/>
      <w:lvlText w:val="%1."/>
      <w:lvlJc w:val="left"/>
      <w:pPr>
        <w:ind w:left="822" w:hanging="348"/>
        <w:jc w:val="left"/>
      </w:pPr>
      <w:rPr>
        <w:rFonts w:hint="default" w:ascii="Arial" w:hAnsi="Arial" w:eastAsia="Arial" w:cs="Arial"/>
        <w:spacing w:val="-4"/>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21">
    <w:multiLevelType w:val="hybridMultilevel"/>
    <w:lvl w:ilvl="0">
      <w:start w:val="1"/>
      <w:numFmt w:val="lowerLetter"/>
      <w:lvlText w:val="%1."/>
      <w:lvlJc w:val="left"/>
      <w:pPr>
        <w:ind w:left="822" w:hanging="348"/>
        <w:jc w:val="left"/>
      </w:pPr>
      <w:rPr>
        <w:rFonts w:hint="default" w:ascii="Arial" w:hAnsi="Arial" w:eastAsia="Arial" w:cs="Arial"/>
        <w:spacing w:val="-10"/>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20">
    <w:multiLevelType w:val="hybridMultilevel"/>
    <w:lvl w:ilvl="0">
      <w:start w:val="4"/>
      <w:numFmt w:val="decimal"/>
      <w:lvlText w:val="%1"/>
      <w:lvlJc w:val="left"/>
      <w:pPr>
        <w:ind w:left="504" w:hanging="403"/>
        <w:jc w:val="left"/>
      </w:pPr>
      <w:rPr>
        <w:rFonts w:hint="default"/>
      </w:rPr>
    </w:lvl>
    <w:lvl w:ilvl="1">
      <w:start w:val="2"/>
      <w:numFmt w:val="decimal"/>
      <w:lvlText w:val="%1.%2"/>
      <w:lvlJc w:val="left"/>
      <w:pPr>
        <w:ind w:left="504" w:hanging="403"/>
        <w:jc w:val="left"/>
      </w:pPr>
      <w:rPr>
        <w:rFonts w:hint="default" w:ascii="Arial" w:hAnsi="Arial" w:eastAsia="Arial" w:cs="Arial"/>
        <w:b/>
        <w:bCs/>
        <w:w w:val="99"/>
        <w:sz w:val="24"/>
        <w:szCs w:val="24"/>
      </w:rPr>
    </w:lvl>
    <w:lvl w:ilvl="2">
      <w:start w:val="1"/>
      <w:numFmt w:val="lowerLetter"/>
      <w:lvlText w:val="%3)"/>
      <w:lvlJc w:val="left"/>
      <w:pPr>
        <w:ind w:left="6513" w:hanging="3675"/>
        <w:jc w:val="left"/>
      </w:pPr>
      <w:rPr>
        <w:rFonts w:hint="default" w:ascii="Arial" w:hAnsi="Arial" w:eastAsia="Arial" w:cs="Arial"/>
        <w:w w:val="99"/>
        <w:sz w:val="24"/>
        <w:szCs w:val="24"/>
      </w:rPr>
    </w:lvl>
    <w:lvl w:ilvl="3">
      <w:start w:val="1"/>
      <w:numFmt w:val="bullet"/>
      <w:lvlText w:val="•"/>
      <w:lvlJc w:val="left"/>
      <w:pPr>
        <w:ind w:left="7084" w:hanging="3675"/>
      </w:pPr>
      <w:rPr>
        <w:rFonts w:hint="default"/>
      </w:rPr>
    </w:lvl>
    <w:lvl w:ilvl="4">
      <w:start w:val="1"/>
      <w:numFmt w:val="bullet"/>
      <w:lvlText w:val="•"/>
      <w:lvlJc w:val="left"/>
      <w:pPr>
        <w:ind w:left="7366" w:hanging="3675"/>
      </w:pPr>
      <w:rPr>
        <w:rFonts w:hint="default"/>
      </w:rPr>
    </w:lvl>
    <w:lvl w:ilvl="5">
      <w:start w:val="1"/>
      <w:numFmt w:val="bullet"/>
      <w:lvlText w:val="•"/>
      <w:lvlJc w:val="left"/>
      <w:pPr>
        <w:ind w:left="7648" w:hanging="3675"/>
      </w:pPr>
      <w:rPr>
        <w:rFonts w:hint="default"/>
      </w:rPr>
    </w:lvl>
    <w:lvl w:ilvl="6">
      <w:start w:val="1"/>
      <w:numFmt w:val="bullet"/>
      <w:lvlText w:val="•"/>
      <w:lvlJc w:val="left"/>
      <w:pPr>
        <w:ind w:left="7931" w:hanging="3675"/>
      </w:pPr>
      <w:rPr>
        <w:rFonts w:hint="default"/>
      </w:rPr>
    </w:lvl>
    <w:lvl w:ilvl="7">
      <w:start w:val="1"/>
      <w:numFmt w:val="bullet"/>
      <w:lvlText w:val="•"/>
      <w:lvlJc w:val="left"/>
      <w:pPr>
        <w:ind w:left="8213" w:hanging="3675"/>
      </w:pPr>
      <w:rPr>
        <w:rFonts w:hint="default"/>
      </w:rPr>
    </w:lvl>
    <w:lvl w:ilvl="8">
      <w:start w:val="1"/>
      <w:numFmt w:val="bullet"/>
      <w:lvlText w:val="•"/>
      <w:lvlJc w:val="left"/>
      <w:pPr>
        <w:ind w:left="8495" w:hanging="3675"/>
      </w:pPr>
      <w:rPr>
        <w:rFonts w:hint="default"/>
      </w:rPr>
    </w:lvl>
  </w:abstractNum>
  <w:abstractNum w:abstractNumId="19">
    <w:multiLevelType w:val="hybridMultilevel"/>
    <w:lvl w:ilvl="0">
      <w:start w:val="1"/>
      <w:numFmt w:val="lowerLetter"/>
      <w:lvlText w:val="%1)"/>
      <w:lvlJc w:val="left"/>
      <w:pPr>
        <w:ind w:left="822" w:hanging="348"/>
        <w:jc w:val="left"/>
      </w:pPr>
      <w:rPr>
        <w:rFonts w:hint="default" w:ascii="Arial" w:hAnsi="Arial" w:eastAsia="Arial" w:cs="Arial"/>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8">
    <w:multiLevelType w:val="hybridMultilevel"/>
    <w:lvl w:ilvl="0">
      <w:start w:val="1"/>
      <w:numFmt w:val="lowerLetter"/>
      <w:lvlText w:val="%1)"/>
      <w:lvlJc w:val="left"/>
      <w:pPr>
        <w:ind w:left="822" w:hanging="348"/>
        <w:jc w:val="left"/>
      </w:pPr>
      <w:rPr>
        <w:rFonts w:hint="default" w:ascii="Arial" w:hAnsi="Arial" w:eastAsia="Arial" w:cs="Arial"/>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7">
    <w:multiLevelType w:val="hybridMultilevel"/>
    <w:lvl w:ilvl="0">
      <w:start w:val="1"/>
      <w:numFmt w:val="lowerLetter"/>
      <w:lvlText w:val="%1)"/>
      <w:lvlJc w:val="left"/>
      <w:pPr>
        <w:ind w:left="822" w:hanging="348"/>
        <w:jc w:val="left"/>
      </w:pPr>
      <w:rPr>
        <w:rFonts w:hint="default" w:ascii="Arial" w:hAnsi="Arial" w:eastAsia="Arial" w:cs="Arial"/>
        <w:w w:val="99"/>
        <w:sz w:val="24"/>
        <w:szCs w:val="24"/>
      </w:rPr>
    </w:lvl>
    <w:lvl w:ilvl="1">
      <w:start w:val="1"/>
      <w:numFmt w:val="lowerRoman"/>
      <w:lvlText w:val="%2)"/>
      <w:lvlJc w:val="left"/>
      <w:pPr>
        <w:ind w:left="822" w:hanging="202"/>
        <w:jc w:val="left"/>
      </w:pPr>
      <w:rPr>
        <w:rFonts w:hint="default" w:ascii="Arial" w:hAnsi="Arial" w:eastAsia="Arial" w:cs="Arial"/>
        <w:w w:val="99"/>
        <w:sz w:val="24"/>
        <w:szCs w:val="24"/>
      </w:rPr>
    </w:lvl>
    <w:lvl w:ilvl="2">
      <w:start w:val="1"/>
      <w:numFmt w:val="bullet"/>
      <w:lvlText w:val="•"/>
      <w:lvlJc w:val="left"/>
      <w:pPr>
        <w:ind w:left="2468" w:hanging="202"/>
      </w:pPr>
      <w:rPr>
        <w:rFonts w:hint="default"/>
      </w:rPr>
    </w:lvl>
    <w:lvl w:ilvl="3">
      <w:start w:val="1"/>
      <w:numFmt w:val="bullet"/>
      <w:lvlText w:val="•"/>
      <w:lvlJc w:val="left"/>
      <w:pPr>
        <w:ind w:left="3292" w:hanging="202"/>
      </w:pPr>
      <w:rPr>
        <w:rFonts w:hint="default"/>
      </w:rPr>
    </w:lvl>
    <w:lvl w:ilvl="4">
      <w:start w:val="1"/>
      <w:numFmt w:val="bullet"/>
      <w:lvlText w:val="•"/>
      <w:lvlJc w:val="left"/>
      <w:pPr>
        <w:ind w:left="4116" w:hanging="202"/>
      </w:pPr>
      <w:rPr>
        <w:rFonts w:hint="default"/>
      </w:rPr>
    </w:lvl>
    <w:lvl w:ilvl="5">
      <w:start w:val="1"/>
      <w:numFmt w:val="bullet"/>
      <w:lvlText w:val="•"/>
      <w:lvlJc w:val="left"/>
      <w:pPr>
        <w:ind w:left="4940" w:hanging="202"/>
      </w:pPr>
      <w:rPr>
        <w:rFonts w:hint="default"/>
      </w:rPr>
    </w:lvl>
    <w:lvl w:ilvl="6">
      <w:start w:val="1"/>
      <w:numFmt w:val="bullet"/>
      <w:lvlText w:val="•"/>
      <w:lvlJc w:val="left"/>
      <w:pPr>
        <w:ind w:left="5764" w:hanging="202"/>
      </w:pPr>
      <w:rPr>
        <w:rFonts w:hint="default"/>
      </w:rPr>
    </w:lvl>
    <w:lvl w:ilvl="7">
      <w:start w:val="1"/>
      <w:numFmt w:val="bullet"/>
      <w:lvlText w:val="•"/>
      <w:lvlJc w:val="left"/>
      <w:pPr>
        <w:ind w:left="6588" w:hanging="202"/>
      </w:pPr>
      <w:rPr>
        <w:rFonts w:hint="default"/>
      </w:rPr>
    </w:lvl>
    <w:lvl w:ilvl="8">
      <w:start w:val="1"/>
      <w:numFmt w:val="bullet"/>
      <w:lvlText w:val="•"/>
      <w:lvlJc w:val="left"/>
      <w:pPr>
        <w:ind w:left="7412" w:hanging="202"/>
      </w:pPr>
      <w:rPr>
        <w:rFonts w:hint="default"/>
      </w:rPr>
    </w:lvl>
  </w:abstractNum>
  <w:abstractNum w:abstractNumId="16">
    <w:multiLevelType w:val="hybridMultilevel"/>
    <w:lvl w:ilvl="0">
      <w:start w:val="1"/>
      <w:numFmt w:val="lowerLetter"/>
      <w:lvlText w:val="%1)"/>
      <w:lvlJc w:val="left"/>
      <w:pPr>
        <w:ind w:left="702" w:hanging="348"/>
        <w:jc w:val="right"/>
      </w:pPr>
      <w:rPr>
        <w:rFonts w:hint="default" w:ascii="Arial" w:hAnsi="Arial" w:eastAsia="Arial" w:cs="Arial"/>
        <w:w w:val="99"/>
        <w:sz w:val="24"/>
        <w:szCs w:val="24"/>
      </w:rPr>
    </w:lvl>
    <w:lvl w:ilvl="1">
      <w:start w:val="1"/>
      <w:numFmt w:val="bullet"/>
      <w:lvlText w:val="•"/>
      <w:lvlJc w:val="left"/>
      <w:pPr>
        <w:ind w:left="1524" w:hanging="348"/>
      </w:pPr>
      <w:rPr>
        <w:rFonts w:hint="default"/>
      </w:rPr>
    </w:lvl>
    <w:lvl w:ilvl="2">
      <w:start w:val="1"/>
      <w:numFmt w:val="bullet"/>
      <w:lvlText w:val="•"/>
      <w:lvlJc w:val="left"/>
      <w:pPr>
        <w:ind w:left="2348" w:hanging="348"/>
      </w:pPr>
      <w:rPr>
        <w:rFonts w:hint="default"/>
      </w:rPr>
    </w:lvl>
    <w:lvl w:ilvl="3">
      <w:start w:val="1"/>
      <w:numFmt w:val="bullet"/>
      <w:lvlText w:val="•"/>
      <w:lvlJc w:val="left"/>
      <w:pPr>
        <w:ind w:left="3172" w:hanging="348"/>
      </w:pPr>
      <w:rPr>
        <w:rFonts w:hint="default"/>
      </w:rPr>
    </w:lvl>
    <w:lvl w:ilvl="4">
      <w:start w:val="1"/>
      <w:numFmt w:val="bullet"/>
      <w:lvlText w:val="•"/>
      <w:lvlJc w:val="left"/>
      <w:pPr>
        <w:ind w:left="3996" w:hanging="348"/>
      </w:pPr>
      <w:rPr>
        <w:rFonts w:hint="default"/>
      </w:rPr>
    </w:lvl>
    <w:lvl w:ilvl="5">
      <w:start w:val="1"/>
      <w:numFmt w:val="bullet"/>
      <w:lvlText w:val="•"/>
      <w:lvlJc w:val="left"/>
      <w:pPr>
        <w:ind w:left="4820" w:hanging="348"/>
      </w:pPr>
      <w:rPr>
        <w:rFonts w:hint="default"/>
      </w:rPr>
    </w:lvl>
    <w:lvl w:ilvl="6">
      <w:start w:val="1"/>
      <w:numFmt w:val="bullet"/>
      <w:lvlText w:val="•"/>
      <w:lvlJc w:val="left"/>
      <w:pPr>
        <w:ind w:left="5644" w:hanging="348"/>
      </w:pPr>
      <w:rPr>
        <w:rFonts w:hint="default"/>
      </w:rPr>
    </w:lvl>
    <w:lvl w:ilvl="7">
      <w:start w:val="1"/>
      <w:numFmt w:val="bullet"/>
      <w:lvlText w:val="•"/>
      <w:lvlJc w:val="left"/>
      <w:pPr>
        <w:ind w:left="6468" w:hanging="348"/>
      </w:pPr>
      <w:rPr>
        <w:rFonts w:hint="default"/>
      </w:rPr>
    </w:lvl>
    <w:lvl w:ilvl="8">
      <w:start w:val="1"/>
      <w:numFmt w:val="bullet"/>
      <w:lvlText w:val="•"/>
      <w:lvlJc w:val="left"/>
      <w:pPr>
        <w:ind w:left="7292" w:hanging="348"/>
      </w:pPr>
      <w:rPr>
        <w:rFonts w:hint="default"/>
      </w:rPr>
    </w:lvl>
  </w:abstractNum>
  <w:abstractNum w:abstractNumId="15">
    <w:multiLevelType w:val="hybridMultilevel"/>
    <w:lvl w:ilvl="0">
      <w:start w:val="1"/>
      <w:numFmt w:val="lowerLetter"/>
      <w:lvlText w:val="%1)"/>
      <w:lvlJc w:val="left"/>
      <w:pPr>
        <w:ind w:left="822" w:hanging="348"/>
        <w:jc w:val="right"/>
      </w:pPr>
      <w:rPr>
        <w:rFonts w:hint="default" w:ascii="Arial" w:hAnsi="Arial" w:eastAsia="Arial" w:cs="Arial"/>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4">
    <w:multiLevelType w:val="hybridMultilevel"/>
    <w:lvl w:ilvl="0">
      <w:start w:val="1"/>
      <w:numFmt w:val="lowerLetter"/>
      <w:lvlText w:val="%1)"/>
      <w:lvlJc w:val="left"/>
      <w:pPr>
        <w:ind w:left="810" w:hanging="348"/>
        <w:jc w:val="left"/>
      </w:pPr>
      <w:rPr>
        <w:rFonts w:hint="default" w:ascii="Arial" w:hAnsi="Arial" w:eastAsia="Arial" w:cs="Arial"/>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3">
    <w:multiLevelType w:val="hybridMultilevel"/>
    <w:lvl w:ilvl="0">
      <w:start w:val="1"/>
      <w:numFmt w:val="upperRoman"/>
      <w:lvlText w:val="%1."/>
      <w:lvlJc w:val="left"/>
      <w:pPr>
        <w:ind w:left="810" w:hanging="348"/>
        <w:jc w:val="right"/>
      </w:pPr>
      <w:rPr>
        <w:rFonts w:hint="default"/>
        <w:b/>
        <w:bCs/>
        <w:w w:val="99"/>
      </w:rPr>
    </w:lvl>
    <w:lvl w:ilvl="1">
      <w:start w:val="1"/>
      <w:numFmt w:val="lowerLetter"/>
      <w:lvlText w:val="%2)"/>
      <w:lvlJc w:val="left"/>
      <w:pPr>
        <w:ind w:left="810" w:hanging="360"/>
        <w:jc w:val="left"/>
      </w:pPr>
      <w:rPr>
        <w:rFonts w:hint="default"/>
        <w:w w:val="99"/>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2">
    <w:multiLevelType w:val="hybridMultilevel"/>
    <w:lvl w:ilvl="0">
      <w:start w:val="1"/>
      <w:numFmt w:val="bullet"/>
      <w:lvlText w:val=""/>
      <w:lvlJc w:val="left"/>
      <w:pPr>
        <w:ind w:left="810"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1">
    <w:multiLevelType w:val="hybridMultilevel"/>
    <w:lvl w:ilvl="0">
      <w:start w:val="3"/>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upperRoman"/>
      <w:lvlText w:val="%3."/>
      <w:lvlJc w:val="left"/>
      <w:pPr>
        <w:ind w:left="102" w:hanging="348"/>
        <w:jc w:val="left"/>
      </w:pPr>
      <w:rPr>
        <w:rFonts w:hint="default" w:ascii="Times New Roman" w:hAnsi="Times New Roman" w:eastAsia="Times New Roman" w:cs="Times New Roman"/>
        <w:spacing w:val="-4"/>
        <w:w w:val="99"/>
        <w:sz w:val="24"/>
        <w:szCs w:val="24"/>
      </w:rPr>
    </w:lvl>
    <w:lvl w:ilvl="3">
      <w:start w:val="1"/>
      <w:numFmt w:val="bullet"/>
      <w:lvlText w:val="•"/>
      <w:lvlJc w:val="left"/>
      <w:pPr>
        <w:ind w:left="2402" w:hanging="348"/>
      </w:pPr>
      <w:rPr>
        <w:rFonts w:hint="default"/>
      </w:rPr>
    </w:lvl>
    <w:lvl w:ilvl="4">
      <w:start w:val="1"/>
      <w:numFmt w:val="bullet"/>
      <w:lvlText w:val="•"/>
      <w:lvlJc w:val="left"/>
      <w:pPr>
        <w:ind w:left="3353" w:hanging="348"/>
      </w:pPr>
      <w:rPr>
        <w:rFonts w:hint="default"/>
      </w:rPr>
    </w:lvl>
    <w:lvl w:ilvl="5">
      <w:start w:val="1"/>
      <w:numFmt w:val="bullet"/>
      <w:lvlText w:val="•"/>
      <w:lvlJc w:val="left"/>
      <w:pPr>
        <w:ind w:left="4304" w:hanging="348"/>
      </w:pPr>
      <w:rPr>
        <w:rFonts w:hint="default"/>
      </w:rPr>
    </w:lvl>
    <w:lvl w:ilvl="6">
      <w:start w:val="1"/>
      <w:numFmt w:val="bullet"/>
      <w:lvlText w:val="•"/>
      <w:lvlJc w:val="left"/>
      <w:pPr>
        <w:ind w:left="5255" w:hanging="348"/>
      </w:pPr>
      <w:rPr>
        <w:rFonts w:hint="default"/>
      </w:rPr>
    </w:lvl>
    <w:lvl w:ilvl="7">
      <w:start w:val="1"/>
      <w:numFmt w:val="bullet"/>
      <w:lvlText w:val="•"/>
      <w:lvlJc w:val="left"/>
      <w:pPr>
        <w:ind w:left="6206" w:hanging="348"/>
      </w:pPr>
      <w:rPr>
        <w:rFonts w:hint="default"/>
      </w:rPr>
    </w:lvl>
    <w:lvl w:ilvl="8">
      <w:start w:val="1"/>
      <w:numFmt w:val="bullet"/>
      <w:lvlText w:val="•"/>
      <w:lvlJc w:val="left"/>
      <w:pPr>
        <w:ind w:left="7157" w:hanging="348"/>
      </w:pPr>
      <w:rPr>
        <w:rFonts w:hint="default"/>
      </w:rPr>
    </w:lvl>
  </w:abstractNum>
  <w:abstractNum w:abstractNumId="10">
    <w:multiLevelType w:val="hybridMultilevel"/>
    <w:lvl w:ilvl="0">
      <w:start w:val="1"/>
      <w:numFmt w:val="decimal"/>
      <w:lvlText w:val="%1."/>
      <w:lvlJc w:val="left"/>
      <w:pPr>
        <w:ind w:left="822" w:hanging="348"/>
        <w:jc w:val="left"/>
      </w:pPr>
      <w:rPr>
        <w:rFonts w:hint="default" w:ascii="Arial" w:hAnsi="Arial" w:eastAsia="Arial" w:cs="Arial"/>
        <w:spacing w:val="-4"/>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9">
    <w:multiLevelType w:val="hybridMultilevel"/>
    <w:lvl w:ilvl="0">
      <w:start w:val="1"/>
      <w:numFmt w:val="decimal"/>
      <w:lvlText w:val="%1."/>
      <w:lvlJc w:val="left"/>
      <w:pPr>
        <w:ind w:left="822" w:hanging="348"/>
        <w:jc w:val="left"/>
      </w:pPr>
      <w:rPr>
        <w:rFonts w:hint="default" w:ascii="Arial" w:hAnsi="Arial" w:eastAsia="Arial" w:cs="Arial"/>
        <w:spacing w:val="-4"/>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8">
    <w:multiLevelType w:val="hybridMultilevel"/>
    <w:lvl w:ilvl="0">
      <w:start w:val="1"/>
      <w:numFmt w:val="decimal"/>
      <w:lvlText w:val="%1."/>
      <w:lvlJc w:val="left"/>
      <w:pPr>
        <w:ind w:left="462" w:hanging="360"/>
        <w:jc w:val="left"/>
      </w:pPr>
      <w:rPr>
        <w:rFonts w:hint="default" w:ascii="Arial" w:hAnsi="Arial" w:eastAsia="Arial" w:cs="Arial"/>
        <w:spacing w:val="-4"/>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7">
    <w:multiLevelType w:val="hybridMultilevel"/>
    <w:lvl w:ilvl="0">
      <w:start w:val="2"/>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b/>
        <w:bCs/>
        <w:w w:val="99"/>
      </w:rPr>
    </w:lvl>
    <w:lvl w:ilvl="2">
      <w:start w:val="1"/>
      <w:numFmt w:val="bullet"/>
      <w:lvlText w:val=""/>
      <w:lvlJc w:val="left"/>
      <w:pPr>
        <w:ind w:left="810" w:hanging="348"/>
      </w:pPr>
      <w:rPr>
        <w:rFonts w:hint="default" w:ascii="Symbol" w:hAnsi="Symbol" w:eastAsia="Symbol" w:cs="Symbol"/>
        <w:w w:val="100"/>
        <w:sz w:val="24"/>
        <w:szCs w:val="24"/>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6">
    <w:multiLevelType w:val="hybridMultilevel"/>
    <w:lvl w:ilvl="0">
      <w:start w:val="1"/>
      <w:numFmt w:val="decimal"/>
      <w:lvlText w:val="%1"/>
      <w:lvlJc w:val="left"/>
      <w:pPr>
        <w:ind w:left="102" w:hanging="425"/>
        <w:jc w:val="left"/>
      </w:pPr>
      <w:rPr>
        <w:rFonts w:hint="default"/>
      </w:rPr>
    </w:lvl>
    <w:lvl w:ilvl="1">
      <w:start w:val="5"/>
      <w:numFmt w:val="decimal"/>
      <w:lvlText w:val="%1.%2"/>
      <w:lvlJc w:val="left"/>
      <w:pPr>
        <w:ind w:left="102" w:hanging="425"/>
        <w:jc w:val="left"/>
      </w:pPr>
      <w:rPr>
        <w:rFonts w:hint="default" w:ascii="Arial" w:hAnsi="Arial" w:eastAsia="Arial" w:cs="Arial"/>
        <w:w w:val="99"/>
        <w:sz w:val="24"/>
        <w:szCs w:val="24"/>
      </w:rPr>
    </w:lvl>
    <w:lvl w:ilvl="2">
      <w:start w:val="1"/>
      <w:numFmt w:val="bullet"/>
      <w:lvlText w:val=""/>
      <w:lvlJc w:val="left"/>
      <w:pPr>
        <w:ind w:left="822" w:hanging="348"/>
      </w:pPr>
      <w:rPr>
        <w:rFonts w:hint="default" w:ascii="Symbol" w:hAnsi="Symbol" w:eastAsia="Symbol" w:cs="Symbol"/>
        <w:w w:val="100"/>
        <w:sz w:val="24"/>
        <w:szCs w:val="24"/>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5">
    <w:multiLevelType w:val="hybridMultilevel"/>
    <w:lvl w:ilvl="0">
      <w:start w:val="1"/>
      <w:numFmt w:val="bullet"/>
      <w:lvlText w:val=""/>
      <w:lvlJc w:val="left"/>
      <w:pPr>
        <w:ind w:left="462" w:hanging="360"/>
      </w:pPr>
      <w:rPr>
        <w:rFonts w:hint="default" w:ascii="Symbol" w:hAnsi="Symbol" w:eastAsia="Symbol" w:cs="Symbol"/>
        <w:w w:val="100"/>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4">
    <w:multiLevelType w:val="hybridMultilevel"/>
    <w:lvl w:ilvl="0">
      <w:start w:val="1"/>
      <w:numFmt w:val="decimal"/>
      <w:lvlText w:val="%1"/>
      <w:lvlJc w:val="left"/>
      <w:pPr>
        <w:ind w:left="504" w:hanging="403"/>
        <w:jc w:val="left"/>
      </w:pPr>
      <w:rPr>
        <w:rFonts w:hint="default"/>
      </w:rPr>
    </w:lvl>
    <w:lvl w:ilvl="1">
      <w:start w:val="7"/>
      <w:numFmt w:val="decimal"/>
      <w:lvlText w:val="%1.%2"/>
      <w:lvlJc w:val="left"/>
      <w:pPr>
        <w:ind w:left="504" w:hanging="403"/>
        <w:jc w:val="left"/>
      </w:pPr>
      <w:rPr>
        <w:rFonts w:hint="default" w:ascii="Arial" w:hAnsi="Arial" w:eastAsia="Arial" w:cs="Arial"/>
        <w:b/>
        <w:bCs/>
        <w:w w:val="99"/>
        <w:sz w:val="24"/>
        <w:szCs w:val="24"/>
      </w:rPr>
    </w:lvl>
    <w:lvl w:ilvl="2">
      <w:start w:val="1"/>
      <w:numFmt w:val="lowerLetter"/>
      <w:lvlText w:val="%3)"/>
      <w:lvlJc w:val="left"/>
      <w:pPr>
        <w:ind w:left="822" w:hanging="283"/>
        <w:jc w:val="left"/>
      </w:pPr>
      <w:rPr>
        <w:rFonts w:hint="default" w:ascii="Arial" w:hAnsi="Arial" w:eastAsia="Arial" w:cs="Arial"/>
        <w:w w:val="99"/>
        <w:sz w:val="24"/>
        <w:szCs w:val="24"/>
      </w:rPr>
    </w:lvl>
    <w:lvl w:ilvl="3">
      <w:start w:val="1"/>
      <w:numFmt w:val="bullet"/>
      <w:lvlText w:val="•"/>
      <w:lvlJc w:val="left"/>
      <w:pPr>
        <w:ind w:left="2651" w:hanging="283"/>
      </w:pPr>
      <w:rPr>
        <w:rFonts w:hint="default"/>
      </w:rPr>
    </w:lvl>
    <w:lvl w:ilvl="4">
      <w:start w:val="1"/>
      <w:numFmt w:val="bullet"/>
      <w:lvlText w:val="•"/>
      <w:lvlJc w:val="left"/>
      <w:pPr>
        <w:ind w:left="3566" w:hanging="283"/>
      </w:pPr>
      <w:rPr>
        <w:rFonts w:hint="default"/>
      </w:rPr>
    </w:lvl>
    <w:lvl w:ilvl="5">
      <w:start w:val="1"/>
      <w:numFmt w:val="bullet"/>
      <w:lvlText w:val="•"/>
      <w:lvlJc w:val="left"/>
      <w:pPr>
        <w:ind w:left="4482" w:hanging="283"/>
      </w:pPr>
      <w:rPr>
        <w:rFonts w:hint="default"/>
      </w:rPr>
    </w:lvl>
    <w:lvl w:ilvl="6">
      <w:start w:val="1"/>
      <w:numFmt w:val="bullet"/>
      <w:lvlText w:val="•"/>
      <w:lvlJc w:val="left"/>
      <w:pPr>
        <w:ind w:left="5397" w:hanging="283"/>
      </w:pPr>
      <w:rPr>
        <w:rFonts w:hint="default"/>
      </w:rPr>
    </w:lvl>
    <w:lvl w:ilvl="7">
      <w:start w:val="1"/>
      <w:numFmt w:val="bullet"/>
      <w:lvlText w:val="•"/>
      <w:lvlJc w:val="left"/>
      <w:pPr>
        <w:ind w:left="6313" w:hanging="283"/>
      </w:pPr>
      <w:rPr>
        <w:rFonts w:hint="default"/>
      </w:rPr>
    </w:lvl>
    <w:lvl w:ilvl="8">
      <w:start w:val="1"/>
      <w:numFmt w:val="bullet"/>
      <w:lvlText w:val="•"/>
      <w:lvlJc w:val="left"/>
      <w:pPr>
        <w:ind w:left="7228" w:hanging="283"/>
      </w:pPr>
      <w:rPr>
        <w:rFonts w:hint="default"/>
      </w:rPr>
    </w:lvl>
  </w:abstractNum>
  <w:abstractNum w:abstractNumId="3">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
    <w:multiLevelType w:val="hybridMultilevel"/>
    <w:lvl w:ilvl="0">
      <w:start w:val="1"/>
      <w:numFmt w:val="decimal"/>
      <w:lvlText w:val="%1"/>
      <w:lvlJc w:val="left"/>
      <w:pPr>
        <w:ind w:left="504" w:hanging="403"/>
        <w:jc w:val="left"/>
      </w:pPr>
      <w:rPr>
        <w:rFonts w:hint="default"/>
      </w:rPr>
    </w:lvl>
    <w:lvl w:ilvl="1">
      <w:start w:val="1"/>
      <w:numFmt w:val="decimal"/>
      <w:lvlText w:val="%1.%2"/>
      <w:lvlJc w:val="left"/>
      <w:pPr>
        <w:ind w:left="504" w:hanging="403"/>
        <w:jc w:val="right"/>
      </w:pPr>
      <w:rPr>
        <w:rFonts w:hint="default" w:ascii="Arial" w:hAnsi="Arial" w:eastAsia="Arial" w:cs="Arial"/>
        <w:b/>
        <w:bCs/>
        <w:w w:val="99"/>
        <w:sz w:val="24"/>
        <w:szCs w:val="24"/>
      </w:rPr>
    </w:lvl>
    <w:lvl w:ilvl="2">
      <w:start w:val="1"/>
      <w:numFmt w:val="bullet"/>
      <w:lvlText w:val=""/>
      <w:lvlJc w:val="left"/>
      <w:pPr>
        <w:ind w:left="822" w:hanging="348"/>
      </w:pPr>
      <w:rPr>
        <w:rFonts w:hint="default" w:ascii="Symbol" w:hAnsi="Symbol" w:eastAsia="Symbol" w:cs="Symbol"/>
        <w:w w:val="100"/>
        <w:sz w:val="24"/>
        <w:szCs w:val="24"/>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0">
    <w:multiLevelType w:val="hybridMultilevel"/>
    <w:lvl w:ilvl="0">
      <w:start w:val="1"/>
      <w:numFmt w:val="bullet"/>
      <w:lvlText w:val=""/>
      <w:lvlJc w:val="left"/>
      <w:pPr>
        <w:ind w:left="822"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num w:numId="3">
    <w:abstractNumId w:val="2"/>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97"/>
      <w:ind w:left="1258"/>
      <w:outlineLvl w:val="1"/>
    </w:pPr>
    <w:rPr>
      <w:rFonts w:ascii="Arial" w:hAnsi="Arial" w:eastAsia="Arial" w:cs="Arial"/>
      <w:b/>
      <w:bCs/>
      <w:sz w:val="56"/>
      <w:szCs w:val="56"/>
    </w:rPr>
  </w:style>
  <w:style w:styleId="Heading2" w:type="paragraph">
    <w:name w:val="Heading 2"/>
    <w:basedOn w:val="Normal"/>
    <w:uiPriority w:val="1"/>
    <w:qFormat/>
    <w:pPr>
      <w:ind w:left="504"/>
      <w:jc w:val="both"/>
      <w:outlineLvl w:val="2"/>
    </w:pPr>
    <w:rPr>
      <w:rFonts w:ascii="Arial" w:hAnsi="Arial" w:eastAsia="Arial" w:cs="Arial"/>
      <w:b/>
      <w:bCs/>
      <w:sz w:val="24"/>
      <w:szCs w:val="24"/>
    </w:rPr>
  </w:style>
  <w:style w:styleId="ListParagraph" w:type="paragraph">
    <w:name w:val="List Paragraph"/>
    <w:basedOn w:val="Normal"/>
    <w:uiPriority w:val="1"/>
    <w:qFormat/>
    <w:pPr>
      <w:ind w:left="822" w:hanging="360"/>
      <w:jc w:val="both"/>
    </w:pPr>
    <w:rPr>
      <w:rFonts w:ascii="Arial" w:hAnsi="Arial" w:eastAsia="Arial" w:cs="Arial"/>
    </w:rPr>
  </w:style>
  <w:style w:styleId="TableParagraph" w:type="paragraph">
    <w:name w:val="Table Paragraph"/>
    <w:basedOn w:val="Normal"/>
    <w:uiPriority w:val="1"/>
    <w:qFormat/>
    <w:pPr>
      <w:spacing w:before="7"/>
      <w:ind w:left="202"/>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image" Target="media/image3.png"/><Relationship Id="rId11" Type="http://schemas.openxmlformats.org/officeDocument/2006/relationships/header" Target="header4.xml"/><Relationship Id="rId12" Type="http://schemas.openxmlformats.org/officeDocument/2006/relationships/image" Target="media/image4.png"/><Relationship Id="rId13" Type="http://schemas.openxmlformats.org/officeDocument/2006/relationships/header" Target="header5.xml"/><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image" Target="media/image16.png"/><Relationship Id="rId26" Type="http://schemas.openxmlformats.org/officeDocument/2006/relationships/image" Target="media/image17.jpeg"/><Relationship Id="rId27" Type="http://schemas.openxmlformats.org/officeDocument/2006/relationships/header" Target="header6.xml"/><Relationship Id="rId28" Type="http://schemas.openxmlformats.org/officeDocument/2006/relationships/image" Target="media/image18.jpeg"/><Relationship Id="rId29" Type="http://schemas.openxmlformats.org/officeDocument/2006/relationships/header" Target="header7.xml"/><Relationship Id="rId30" Type="http://schemas.openxmlformats.org/officeDocument/2006/relationships/image" Target="media/image19.jpeg"/><Relationship Id="rId31" Type="http://schemas.openxmlformats.org/officeDocument/2006/relationships/image" Target="media/image20.jpeg"/><Relationship Id="rId32" Type="http://schemas.openxmlformats.org/officeDocument/2006/relationships/image" Target="media/image21.jpeg"/><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image" Target="media/image24.png"/><Relationship Id="rId36" Type="http://schemas.openxmlformats.org/officeDocument/2006/relationships/image" Target="media/image25.png"/><Relationship Id="rId37" Type="http://schemas.openxmlformats.org/officeDocument/2006/relationships/image" Target="media/image26.png"/><Relationship Id="rId38" Type="http://schemas.openxmlformats.org/officeDocument/2006/relationships/image" Target="media/image27.png"/><Relationship Id="rId39" Type="http://schemas.openxmlformats.org/officeDocument/2006/relationships/header" Target="header8.xml"/><Relationship Id="rId40" Type="http://schemas.openxmlformats.org/officeDocument/2006/relationships/image" Target="media/image28.png"/><Relationship Id="rId41" Type="http://schemas.openxmlformats.org/officeDocument/2006/relationships/image" Target="media/image29.jpeg"/><Relationship Id="rId42" Type="http://schemas.openxmlformats.org/officeDocument/2006/relationships/header" Target="header9.xml"/><Relationship Id="rId43" Type="http://schemas.openxmlformats.org/officeDocument/2006/relationships/image" Target="media/image30.jpeg"/><Relationship Id="rId44" Type="http://schemas.openxmlformats.org/officeDocument/2006/relationships/image" Target="media/image31.jpeg"/><Relationship Id="rId45" Type="http://schemas.openxmlformats.org/officeDocument/2006/relationships/image" Target="media/image32.png"/><Relationship Id="rId46" Type="http://schemas.openxmlformats.org/officeDocument/2006/relationships/image" Target="media/image33.jpeg"/><Relationship Id="rId47" Type="http://schemas.openxmlformats.org/officeDocument/2006/relationships/image" Target="media/image34.jpeg"/><Relationship Id="rId48" Type="http://schemas.openxmlformats.org/officeDocument/2006/relationships/image" Target="media/image35.png"/><Relationship Id="rId49" Type="http://schemas.openxmlformats.org/officeDocument/2006/relationships/image" Target="media/image36.png"/><Relationship Id="rId50" Type="http://schemas.openxmlformats.org/officeDocument/2006/relationships/image" Target="media/image37.png"/><Relationship Id="rId51" Type="http://schemas.openxmlformats.org/officeDocument/2006/relationships/image" Target="media/image38.png"/><Relationship Id="rId52" Type="http://schemas.openxmlformats.org/officeDocument/2006/relationships/header" Target="header10.xml"/><Relationship Id="rId53" Type="http://schemas.openxmlformats.org/officeDocument/2006/relationships/image" Target="media/image39.png"/><Relationship Id="rId54" Type="http://schemas.openxmlformats.org/officeDocument/2006/relationships/image" Target="media/image40.png"/><Relationship Id="rId55" Type="http://schemas.openxmlformats.org/officeDocument/2006/relationships/header" Target="header11.xml"/><Relationship Id="rId56" Type="http://schemas.openxmlformats.org/officeDocument/2006/relationships/image" Target="media/image41.png"/><Relationship Id="rId57" Type="http://schemas.openxmlformats.org/officeDocument/2006/relationships/image" Target="media/image42.png"/><Relationship Id="rId58" Type="http://schemas.openxmlformats.org/officeDocument/2006/relationships/image" Target="media/image43.png"/><Relationship Id="rId59" Type="http://schemas.openxmlformats.org/officeDocument/2006/relationships/image" Target="media/image44.png"/><Relationship Id="rId60" Type="http://schemas.openxmlformats.org/officeDocument/2006/relationships/image" Target="media/image45.png"/><Relationship Id="rId61" Type="http://schemas.openxmlformats.org/officeDocument/2006/relationships/image" Target="media/image46.png"/><Relationship Id="rId62" Type="http://schemas.openxmlformats.org/officeDocument/2006/relationships/image" Target="media/image47.jpeg"/><Relationship Id="rId63" Type="http://schemas.openxmlformats.org/officeDocument/2006/relationships/image" Target="media/image48.png"/><Relationship Id="rId64" Type="http://schemas.openxmlformats.org/officeDocument/2006/relationships/header" Target="header12.xml"/><Relationship Id="rId65" Type="http://schemas.openxmlformats.org/officeDocument/2006/relationships/image" Target="media/image49.png"/><Relationship Id="rId66" Type="http://schemas.openxmlformats.org/officeDocument/2006/relationships/header" Target="header13.xml"/><Relationship Id="rId67" Type="http://schemas.openxmlformats.org/officeDocument/2006/relationships/image" Target="media/image50.png"/><Relationship Id="rId68" Type="http://schemas.openxmlformats.org/officeDocument/2006/relationships/image" Target="media/image51.png"/><Relationship Id="rId69" Type="http://schemas.openxmlformats.org/officeDocument/2006/relationships/image" Target="media/image52.png"/><Relationship Id="rId70" Type="http://schemas.openxmlformats.org/officeDocument/2006/relationships/image" Target="media/image53.png"/><Relationship Id="rId71" Type="http://schemas.openxmlformats.org/officeDocument/2006/relationships/image" Target="media/image54.jpeg"/><Relationship Id="rId72" Type="http://schemas.openxmlformats.org/officeDocument/2006/relationships/hyperlink" Target="http://www.prefamex.com.mx/registros-electronicos.html" TargetMode="External"/><Relationship Id="rId73" Type="http://schemas.openxmlformats.org/officeDocument/2006/relationships/header" Target="header14.xml"/><Relationship Id="rId74" Type="http://schemas.openxmlformats.org/officeDocument/2006/relationships/hyperlink" Target="http://www.microscopy.ethz.ch/lens.htm" TargetMode="External"/><Relationship Id="rId75" Type="http://schemas.openxmlformats.org/officeDocument/2006/relationships/hyperlink" Target="http://orgchem.colorado.edu/Spectroscopy/irtutor/IRtheory.pdf" TargetMode="External"/><Relationship Id="rId76" Type="http://schemas.openxmlformats.org/officeDocument/2006/relationships/hyperlink" Target="http://www.vanbokhoven.ethz.ch/education/D.F2" TargetMode="External"/><Relationship Id="rId77" Type="http://schemas.openxmlformats.org/officeDocument/2006/relationships/header" Target="header15.xml"/><Relationship Id="rId78" Type="http://schemas.openxmlformats.org/officeDocument/2006/relationships/hyperlink" Target="http://www.thermo.com/eThermo/CMA/PDFs/Various/File_52263.pdf" TargetMode="External"/><Relationship Id="rId79" Type="http://schemas.openxmlformats.org/officeDocument/2006/relationships/hyperlink" Target="http://www.sciencedirect.com/science/article/pii/S0167577X08007647" TargetMode="External"/><Relationship Id="rId80" Type="http://schemas.openxmlformats.org/officeDocument/2006/relationships/image" Target="media/image55.jpeg"/><Relationship Id="rId81" Type="http://schemas.openxmlformats.org/officeDocument/2006/relationships/image" Target="media/image56.jpeg"/><Relationship Id="rId82" Type="http://schemas.openxmlformats.org/officeDocument/2006/relationships/image" Target="media/image57.png"/><Relationship Id="rId83" Type="http://schemas.openxmlformats.org/officeDocument/2006/relationships/image" Target="media/image58.png"/><Relationship Id="rId84" Type="http://schemas.openxmlformats.org/officeDocument/2006/relationships/image" Target="media/image59.png"/><Relationship Id="rId85" Type="http://schemas.openxmlformats.org/officeDocument/2006/relationships/image" Target="media/image60.png"/><Relationship Id="rId86" Type="http://schemas.openxmlformats.org/officeDocument/2006/relationships/image" Target="media/image61.png"/><Relationship Id="rId87" Type="http://schemas.openxmlformats.org/officeDocument/2006/relationships/image" Target="media/image62.png"/><Relationship Id="rId88" Type="http://schemas.openxmlformats.org/officeDocument/2006/relationships/image" Target="media/image63.png"/><Relationship Id="rId89" Type="http://schemas.openxmlformats.org/officeDocument/2006/relationships/image" Target="media/image64.png"/><Relationship Id="rId90" Type="http://schemas.openxmlformats.org/officeDocument/2006/relationships/image" Target="media/image65.png"/><Relationship Id="rId9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IQ CAMIL</dc:creator>
  <dcterms:created xsi:type="dcterms:W3CDTF">2017-05-25T01:56:49Z</dcterms:created>
  <dcterms:modified xsi:type="dcterms:W3CDTF">2017-05-25T01:56:49Z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2016-06-09T00:00:00Z</vt:filetime>
  </property>
  <property fmtid="{D5CDD505-2E9C-101B-9397-08002B2CF9AE}" pid="3" name="Creator">
    <vt:lpwstr>Microsoft® Word 2013</vt:lpwstr>
  </property>
  <property fmtid="{D5CDD505-2E9C-101B-9397-08002B2CF9AE}" pid="4" name="LastSaved">
    <vt:filetime>2017-05-24T00:00:00Z</vt:filetime>
  </property>
</Properties>
</file>