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before="189"/>
        <w:ind w:left="4307" w:right="1309" w:hanging="777"/>
        <w:jc w:val="left"/>
        <w:rPr>
          <w:b/>
          <w:sz w:val="30"/>
        </w:rPr>
      </w:pPr>
      <w:r>
        <w:rPr/>
        <w:pict>
          <v:group style="position:absolute;margin-left:164pt;margin-top:49.869835pt;width:347.2pt;height:18.8pt;mso-position-horizontal-relative:page;mso-position-vertical-relative:paragraph;z-index:0;mso-wrap-distance-left:0;mso-wrap-distance-right:0" coordorigin="3280,997" coordsize="6944,376">
            <v:shape style="position:absolute;left:3280;top:997;width:6944;height:184" type="#_x0000_t75" stroked="false">
              <v:imagedata r:id="rId5" o:title=""/>
            </v:shape>
            <v:line style="position:absolute" from="3351,1058" to="10153,1058" stroked="true" strokeweight="2pt" strokecolor="#000000"/>
            <v:shape style="position:absolute;left:3296;top:1189;width:6928;height:184" type="#_x0000_t75" stroked="false">
              <v:imagedata r:id="rId6" o:title=""/>
            </v:shape>
            <v:line style="position:absolute" from="3366,1246" to="10153,1246" stroked="true" strokeweight="2pt" strokecolor="#000000"/>
            <w10:wrap type="topAndBottom"/>
          </v:group>
        </w:pict>
      </w:r>
      <w:r>
        <w:rPr/>
        <w:drawing>
          <wp:anchor distT="0" distB="0" distL="0" distR="0" allowOverlap="1" layoutInCell="1" locked="0" behindDoc="0" simplePos="0" relativeHeight="1072">
            <wp:simplePos x="0" y="0"/>
            <wp:positionH relativeFrom="page">
              <wp:posOffset>800100</wp:posOffset>
            </wp:positionH>
            <wp:positionV relativeFrom="paragraph">
              <wp:posOffset>371230</wp:posOffset>
            </wp:positionV>
            <wp:extent cx="1165267" cy="1019900"/>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7" cstate="print"/>
                    <a:stretch>
                      <a:fillRect/>
                    </a:stretch>
                  </pic:blipFill>
                  <pic:spPr>
                    <a:xfrm>
                      <a:off x="0" y="0"/>
                      <a:ext cx="1165267" cy="1019900"/>
                    </a:xfrm>
                    <a:prstGeom prst="rect">
                      <a:avLst/>
                    </a:prstGeom>
                  </pic:spPr>
                </pic:pic>
              </a:graphicData>
            </a:graphic>
          </wp:anchor>
        </w:drawing>
      </w:r>
      <w:r>
        <w:rPr>
          <w:b/>
          <w:sz w:val="30"/>
        </w:rPr>
        <w:t>UNIVERSIDAD AUTÓNOMA DEL ESTADO DE MÉXICO</w:t>
      </w:r>
    </w:p>
    <w:p>
      <w:pPr>
        <w:spacing w:before="168"/>
        <w:ind w:left="4307" w:right="1309" w:firstLine="0"/>
        <w:jc w:val="left"/>
        <w:rPr>
          <w:b/>
          <w:sz w:val="26"/>
        </w:rPr>
      </w:pPr>
      <w:r>
        <w:rPr>
          <w:b/>
          <w:sz w:val="26"/>
        </w:rPr>
        <w:t>FACULTAD DE QUÍMICA</w:t>
      </w:r>
    </w:p>
    <w:p>
      <w:pPr>
        <w:pStyle w:val="BodyText"/>
        <w:spacing w:before="5"/>
        <w:rPr>
          <w:b/>
          <w:sz w:val="25"/>
        </w:rPr>
      </w:pPr>
    </w:p>
    <w:p>
      <w:pPr>
        <w:spacing w:line="240" w:lineRule="auto" w:before="1"/>
        <w:ind w:left="2274" w:right="98" w:firstLine="0"/>
        <w:jc w:val="center"/>
        <w:rPr>
          <w:i/>
          <w:sz w:val="26"/>
        </w:rPr>
      </w:pPr>
      <w:r>
        <w:rPr/>
        <w:pict>
          <v:group style="position:absolute;margin-left:101.199997pt;margin-top:5.343823pt;width:9.6pt;height:376pt;mso-position-horizontal-relative:page;mso-position-vertical-relative:paragraph;z-index:1096" coordorigin="2024,107" coordsize="192,7520">
            <v:shape style="position:absolute;left:2024;top:107;width:192;height:7520" type="#_x0000_t75" stroked="false">
              <v:imagedata r:id="rId8" o:title=""/>
            </v:shape>
            <v:line style="position:absolute" from="2116,149" to="2124,7521" stroked="true" strokeweight="2pt" strokecolor="#000000"/>
            <w10:wrap type="none"/>
          </v:group>
        </w:pict>
      </w:r>
      <w:r>
        <w:rPr/>
        <w:pict>
          <v:group style="position:absolute;margin-left:118pt;margin-top:6.143823pt;width:10pt;height:374pt;mso-position-horizontal-relative:page;mso-position-vertical-relative:paragraph;z-index:1120" coordorigin="2360,123" coordsize="200,7480">
            <v:shape style="position:absolute;left:2360;top:123;width:200;height:7480" type="#_x0000_t75" stroked="false">
              <v:imagedata r:id="rId9" o:title=""/>
            </v:shape>
            <v:line style="position:absolute" from="2454,164" to="2469,7499" stroked="true" strokeweight="2pt" strokecolor="#000000"/>
            <w10:wrap type="none"/>
          </v:group>
        </w:pict>
      </w:r>
      <w:r>
        <w:rPr>
          <w:i/>
          <w:sz w:val="26"/>
        </w:rPr>
        <w:t>“COMPORTAMIENTO ESPACIAL DE LAS PARTÍCULAS </w:t>
      </w:r>
      <w:r>
        <w:rPr>
          <w:i/>
          <w:sz w:val="26"/>
        </w:rPr>
        <w:t>SUSPENDIDAS PM 10 Y ESTRATEGIAS DE GESTIÓN AMBIENTAL DEL AIRE EN LA ZONA METROPOLITANA DE TOLUCA, MÉXICO”</w:t>
      </w:r>
    </w:p>
    <w:p>
      <w:pPr>
        <w:pStyle w:val="BodyText"/>
        <w:spacing w:before="11"/>
        <w:rPr>
          <w:i/>
          <w:sz w:val="37"/>
        </w:rPr>
      </w:pPr>
    </w:p>
    <w:p>
      <w:pPr>
        <w:spacing w:before="0"/>
        <w:ind w:left="2274" w:right="98" w:firstLine="0"/>
        <w:jc w:val="center"/>
        <w:rPr>
          <w:b/>
          <w:sz w:val="44"/>
        </w:rPr>
      </w:pPr>
      <w:r>
        <w:rPr>
          <w:b/>
          <w:sz w:val="44"/>
        </w:rPr>
        <w:t>T e s i s</w:t>
      </w:r>
    </w:p>
    <w:p>
      <w:pPr>
        <w:spacing w:before="4"/>
        <w:ind w:left="2274" w:right="97" w:firstLine="0"/>
        <w:jc w:val="center"/>
        <w:rPr>
          <w:sz w:val="28"/>
        </w:rPr>
      </w:pPr>
      <w:r>
        <w:rPr>
          <w:sz w:val="28"/>
        </w:rPr>
        <w:t>QUE PARA OBTENER EL GRADO DE:</w:t>
      </w:r>
    </w:p>
    <w:p>
      <w:pPr>
        <w:pStyle w:val="BodyText"/>
        <w:spacing w:before="8"/>
        <w:rPr>
          <w:sz w:val="39"/>
        </w:rPr>
      </w:pPr>
    </w:p>
    <w:p>
      <w:pPr>
        <w:spacing w:before="0"/>
        <w:ind w:left="2253" w:right="98" w:firstLine="0"/>
        <w:jc w:val="center"/>
        <w:rPr>
          <w:b/>
          <w:sz w:val="32"/>
        </w:rPr>
      </w:pPr>
      <w:r>
        <w:rPr>
          <w:b/>
          <w:sz w:val="32"/>
        </w:rPr>
        <w:t>MAESTRO EN CIENCIAS AMBIENTALES</w:t>
      </w:r>
    </w:p>
    <w:p>
      <w:pPr>
        <w:pStyle w:val="BodyText"/>
        <w:spacing w:before="6"/>
        <w:rPr>
          <w:b/>
          <w:sz w:val="44"/>
        </w:rPr>
      </w:pPr>
    </w:p>
    <w:p>
      <w:pPr>
        <w:spacing w:line="296" w:lineRule="exact" w:before="1"/>
        <w:ind w:left="2274" w:right="85" w:firstLine="0"/>
        <w:jc w:val="center"/>
        <w:rPr>
          <w:sz w:val="26"/>
        </w:rPr>
      </w:pPr>
      <w:r>
        <w:rPr>
          <w:sz w:val="26"/>
        </w:rPr>
        <w:t>PRESENTA:</w:t>
      </w:r>
    </w:p>
    <w:p>
      <w:pPr>
        <w:spacing w:line="319" w:lineRule="exact" w:before="0"/>
        <w:ind w:left="2274" w:right="75" w:firstLine="0"/>
        <w:jc w:val="center"/>
        <w:rPr>
          <w:b/>
          <w:sz w:val="28"/>
        </w:rPr>
      </w:pPr>
      <w:r>
        <w:rPr>
          <w:b/>
          <w:sz w:val="28"/>
        </w:rPr>
        <w:t>HUGO ERNESTO SÁNCHEZ MUÑOZ</w:t>
      </w:r>
    </w:p>
    <w:p>
      <w:pPr>
        <w:pStyle w:val="BodyText"/>
        <w:rPr>
          <w:b/>
          <w:sz w:val="28"/>
        </w:rPr>
      </w:pPr>
    </w:p>
    <w:p>
      <w:pPr>
        <w:pStyle w:val="BodyText"/>
        <w:spacing w:before="5"/>
        <w:rPr>
          <w:b/>
          <w:sz w:val="28"/>
        </w:rPr>
      </w:pPr>
    </w:p>
    <w:p>
      <w:pPr>
        <w:spacing w:before="0"/>
        <w:ind w:left="2274" w:right="87" w:firstLine="0"/>
        <w:jc w:val="center"/>
        <w:rPr>
          <w:sz w:val="22"/>
        </w:rPr>
      </w:pPr>
      <w:r>
        <w:rPr>
          <w:sz w:val="26"/>
        </w:rPr>
        <w:t>DIRIGIDA POR</w:t>
      </w:r>
      <w:r>
        <w:rPr>
          <w:sz w:val="22"/>
        </w:rPr>
        <w:t>:</w:t>
      </w:r>
    </w:p>
    <w:p>
      <w:pPr>
        <w:spacing w:line="296" w:lineRule="exact" w:before="12"/>
        <w:ind w:left="3004" w:right="841" w:firstLine="0"/>
        <w:jc w:val="center"/>
        <w:rPr>
          <w:b/>
          <w:sz w:val="26"/>
        </w:rPr>
      </w:pPr>
      <w:r>
        <w:rPr>
          <w:b/>
          <w:sz w:val="26"/>
        </w:rPr>
        <w:t>DRA. MARÍA ESTELA OROZCO HERNÁNDEZ DRA. MARÍA EUGENIA VALDEZ  PEREZ</w:t>
      </w:r>
    </w:p>
    <w:p>
      <w:pPr>
        <w:spacing w:line="475" w:lineRule="auto" w:before="1"/>
        <w:ind w:left="2274" w:right="97" w:firstLine="0"/>
        <w:jc w:val="center"/>
        <w:rPr>
          <w:b/>
          <w:sz w:val="26"/>
        </w:rPr>
      </w:pPr>
      <w:r>
        <w:rPr>
          <w:b/>
          <w:sz w:val="26"/>
        </w:rPr>
        <w:t>MTO. VÍCTOR FRANCISCO PACHECO SALAZAR TOLUCA, MÉXICO 2015</w:t>
      </w:r>
    </w:p>
    <w:p>
      <w:pPr>
        <w:pStyle w:val="BodyText"/>
        <w:rPr>
          <w:b/>
          <w:sz w:val="20"/>
        </w:rPr>
      </w:pPr>
    </w:p>
    <w:p>
      <w:pPr>
        <w:pStyle w:val="BodyText"/>
        <w:rPr>
          <w:b/>
          <w:sz w:val="20"/>
        </w:rPr>
      </w:pPr>
    </w:p>
    <w:p>
      <w:pPr>
        <w:pStyle w:val="BodyText"/>
        <w:spacing w:before="5"/>
        <w:rPr>
          <w:b/>
          <w:sz w:val="23"/>
        </w:rPr>
      </w:pPr>
      <w:r>
        <w:rPr/>
        <w:drawing>
          <wp:anchor distT="0" distB="0" distL="0" distR="0" allowOverlap="1" layoutInCell="1" locked="0" behindDoc="0" simplePos="0" relativeHeight="1048">
            <wp:simplePos x="0" y="0"/>
            <wp:positionH relativeFrom="page">
              <wp:posOffset>828675</wp:posOffset>
            </wp:positionH>
            <wp:positionV relativeFrom="paragraph">
              <wp:posOffset>196152</wp:posOffset>
            </wp:positionV>
            <wp:extent cx="1159650" cy="1014984"/>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1159650" cy="1014984"/>
                    </a:xfrm>
                    <a:prstGeom prst="rect">
                      <a:avLst/>
                    </a:prstGeom>
                  </pic:spPr>
                </pic:pic>
              </a:graphicData>
            </a:graphic>
          </wp:anchor>
        </w:drawing>
      </w:r>
    </w:p>
    <w:p>
      <w:pPr>
        <w:spacing w:after="0"/>
        <w:rPr>
          <w:sz w:val="23"/>
        </w:rPr>
        <w:sectPr>
          <w:type w:val="continuous"/>
          <w:pgSz w:w="12240" w:h="15840"/>
          <w:pgMar w:top="1500" w:bottom="280" w:left="1160" w:right="1620"/>
        </w:sectPr>
      </w:pPr>
    </w:p>
    <w:p>
      <w:pPr>
        <w:spacing w:before="29"/>
        <w:ind w:left="745" w:right="45" w:firstLine="0"/>
        <w:jc w:val="center"/>
        <w:rPr>
          <w:rFonts w:ascii="Cambria" w:hAnsi="Cambria"/>
          <w:b/>
          <w:sz w:val="32"/>
        </w:rPr>
      </w:pPr>
      <w:r>
        <w:rPr>
          <w:rFonts w:ascii="Cambria" w:hAnsi="Cambria"/>
          <w:b/>
          <w:color w:val="365F91"/>
          <w:sz w:val="32"/>
        </w:rPr>
        <w:t>ÍNDICE</w:t>
      </w:r>
    </w:p>
    <w:p>
      <w:pPr>
        <w:spacing w:after="0"/>
        <w:jc w:val="center"/>
        <w:rPr>
          <w:rFonts w:ascii="Cambria" w:hAnsi="Cambria"/>
          <w:sz w:val="32"/>
        </w:rPr>
        <w:sectPr>
          <w:footerReference w:type="default" r:id="rId10"/>
          <w:pgSz w:w="12240" w:h="15840"/>
          <w:pgMar w:footer="1001" w:header="0" w:top="1380" w:bottom="1433" w:left="1600" w:right="1580"/>
          <w:pgNumType w:start="2"/>
        </w:sectPr>
      </w:pPr>
    </w:p>
    <w:sdt>
      <w:sdtPr>
        <w:docPartObj>
          <w:docPartGallery w:val="Table of Contents"/>
          <w:docPartUnique/>
        </w:docPartObj>
      </w:sdtPr>
      <w:sdtEndPr/>
      <w:sdtContent>
        <w:p>
          <w:pPr>
            <w:pStyle w:val="TOC1"/>
            <w:tabs>
              <w:tab w:pos="8936" w:val="right" w:leader="dot"/>
            </w:tabs>
            <w:spacing w:before="63"/>
          </w:pPr>
          <w:r>
            <w:fldChar w:fldCharType="begin"/>
          </w:r>
          <w:r>
            <w:instrText>TOC \o "1-3" \h \z \u </w:instrText>
          </w:r>
          <w:r>
            <w:fldChar w:fldCharType="separate"/>
          </w:r>
          <w:hyperlink w:history="true" w:anchor="_bookmark0">
            <w:r>
              <w:rPr>
                <w:spacing w:val="-3"/>
              </w:rPr>
              <w:t>Abreviaturas</w:t>
              <w:tab/>
            </w:r>
            <w:r>
              <w:rPr/>
              <w:t>7</w:t>
            </w:r>
          </w:hyperlink>
        </w:p>
        <w:p>
          <w:pPr>
            <w:pStyle w:val="TOC1"/>
            <w:tabs>
              <w:tab w:pos="8936" w:val="right" w:leader="dot"/>
            </w:tabs>
          </w:pPr>
          <w:hyperlink w:history="true" w:anchor="_bookmark1">
            <w:r>
              <w:rPr>
                <w:spacing w:val="-3"/>
              </w:rPr>
              <w:t>Índice</w:t>
            </w:r>
            <w:r>
              <w:rPr>
                <w:spacing w:val="-2"/>
              </w:rPr>
              <w:t> </w:t>
            </w:r>
            <w:r>
              <w:rPr/>
              <w:t>de</w:t>
            </w:r>
            <w:r>
              <w:rPr>
                <w:spacing w:val="-2"/>
              </w:rPr>
              <w:t> </w:t>
            </w:r>
            <w:r>
              <w:rPr>
                <w:spacing w:val="-3"/>
              </w:rPr>
              <w:t>cuadros</w:t>
              <w:tab/>
            </w:r>
            <w:r>
              <w:rPr/>
              <w:t>8</w:t>
            </w:r>
          </w:hyperlink>
        </w:p>
        <w:p>
          <w:pPr>
            <w:pStyle w:val="TOC1"/>
            <w:tabs>
              <w:tab w:pos="8936" w:val="right" w:leader="dot"/>
            </w:tabs>
            <w:spacing w:before="140"/>
          </w:pPr>
          <w:hyperlink w:history="true" w:anchor="_bookmark2">
            <w:r>
              <w:rPr>
                <w:spacing w:val="-3"/>
              </w:rPr>
              <w:t>Índice</w:t>
            </w:r>
            <w:r>
              <w:rPr>
                <w:spacing w:val="-2"/>
              </w:rPr>
              <w:t> </w:t>
            </w:r>
            <w:r>
              <w:rPr/>
              <w:t>de</w:t>
            </w:r>
            <w:r>
              <w:rPr>
                <w:spacing w:val="-10"/>
              </w:rPr>
              <w:t> </w:t>
            </w:r>
            <w:r>
              <w:rPr/>
              <w:t>figuras</w:t>
              <w:tab/>
              <w:t>9</w:t>
            </w:r>
          </w:hyperlink>
        </w:p>
        <w:p>
          <w:pPr>
            <w:pStyle w:val="TOC1"/>
            <w:tabs>
              <w:tab w:pos="8934" w:val="right" w:leader="dot"/>
            </w:tabs>
          </w:pPr>
          <w:hyperlink w:history="true" w:anchor="_bookmark3">
            <w:r>
              <w:rPr>
                <w:spacing w:val="-3"/>
              </w:rPr>
              <w:t>Resumen</w:t>
              <w:tab/>
            </w:r>
            <w:r>
              <w:rPr/>
              <w:t>10</w:t>
            </w:r>
          </w:hyperlink>
        </w:p>
        <w:p>
          <w:pPr>
            <w:pStyle w:val="TOC1"/>
            <w:tabs>
              <w:tab w:pos="8934" w:val="right" w:leader="dot"/>
            </w:tabs>
            <w:spacing w:before="140"/>
          </w:pPr>
          <w:hyperlink w:history="true" w:anchor="_bookmark4">
            <w:r>
              <w:rPr>
                <w:spacing w:val="-3"/>
              </w:rPr>
              <w:t>Abstract</w:t>
              <w:tab/>
            </w:r>
            <w:r>
              <w:rPr/>
              <w:t>10</w:t>
            </w:r>
          </w:hyperlink>
        </w:p>
        <w:p>
          <w:pPr>
            <w:pStyle w:val="TOC1"/>
            <w:tabs>
              <w:tab w:pos="8934" w:val="right" w:leader="dot"/>
            </w:tabs>
            <w:spacing w:before="147"/>
          </w:pPr>
          <w:hyperlink w:history="true" w:anchor="_bookmark5">
            <w:r>
              <w:rPr>
                <w:spacing w:val="-3"/>
              </w:rPr>
              <w:t>Introducción</w:t>
              <w:tab/>
            </w:r>
            <w:r>
              <w:rPr/>
              <w:t>11</w:t>
            </w:r>
          </w:hyperlink>
        </w:p>
        <w:p>
          <w:pPr>
            <w:pStyle w:val="TOC1"/>
            <w:tabs>
              <w:tab w:pos="8934" w:val="right" w:leader="dot"/>
            </w:tabs>
          </w:pPr>
          <w:hyperlink w:history="true" w:anchor="_bookmark6">
            <w:r>
              <w:rPr>
                <w:spacing w:val="-3"/>
              </w:rPr>
              <w:t>Capítulo </w:t>
            </w:r>
            <w:r>
              <w:rPr/>
              <w:t>1 </w:t>
            </w:r>
            <w:r>
              <w:rPr>
                <w:spacing w:val="-3"/>
              </w:rPr>
              <w:t>Protocolo</w:t>
            </w:r>
            <w:r>
              <w:rPr>
                <w:spacing w:val="-1"/>
              </w:rPr>
              <w:t> </w:t>
            </w:r>
            <w:r>
              <w:rPr/>
              <w:t>de</w:t>
            </w:r>
            <w:r>
              <w:rPr>
                <w:spacing w:val="-10"/>
              </w:rPr>
              <w:t> </w:t>
            </w:r>
            <w:r>
              <w:rPr/>
              <w:t>Investigación</w:t>
              <w:tab/>
              <w:t>13</w:t>
            </w:r>
          </w:hyperlink>
        </w:p>
        <w:p>
          <w:pPr>
            <w:pStyle w:val="TOC2"/>
            <w:tabs>
              <w:tab w:pos="8934" w:val="right" w:leader="dot"/>
            </w:tabs>
            <w:spacing w:before="140"/>
            <w:ind w:left="329" w:firstLine="0"/>
          </w:pPr>
          <w:hyperlink w:history="true" w:anchor="_bookmark7">
            <w:r>
              <w:rPr/>
              <w:t>1.1</w:t>
            </w:r>
            <w:r>
              <w:rPr>
                <w:spacing w:val="-4"/>
              </w:rPr>
              <w:t> </w:t>
            </w:r>
            <w:r>
              <w:rPr>
                <w:spacing w:val="-3"/>
              </w:rPr>
              <w:t>Contaminación</w:t>
            </w:r>
            <w:r>
              <w:rPr>
                <w:spacing w:val="-8"/>
              </w:rPr>
              <w:t> </w:t>
            </w:r>
            <w:r>
              <w:rPr>
                <w:spacing w:val="-3"/>
              </w:rPr>
              <w:t>Atmosférica</w:t>
              <w:tab/>
            </w:r>
            <w:r>
              <w:rPr/>
              <w:t>13</w:t>
            </w:r>
          </w:hyperlink>
        </w:p>
        <w:p>
          <w:pPr>
            <w:pStyle w:val="TOC2"/>
            <w:numPr>
              <w:ilvl w:val="2"/>
              <w:numId w:val="1"/>
            </w:numPr>
            <w:tabs>
              <w:tab w:pos="826" w:val="left" w:leader="none"/>
              <w:tab w:pos="8934" w:val="right" w:leader="dot"/>
            </w:tabs>
            <w:spacing w:line="240" w:lineRule="auto" w:before="139" w:after="0"/>
            <w:ind w:left="825" w:right="0" w:hanging="496"/>
            <w:jc w:val="left"/>
          </w:pPr>
          <w:hyperlink w:history="true" w:anchor="_bookmark8">
            <w:r>
              <w:rPr>
                <w:spacing w:val="-4"/>
              </w:rPr>
              <w:t>Contaminantes</w:t>
              <w:tab/>
            </w:r>
            <w:r>
              <w:rPr/>
              <w:t>15</w:t>
            </w:r>
          </w:hyperlink>
        </w:p>
        <w:p>
          <w:pPr>
            <w:pStyle w:val="TOC3"/>
            <w:numPr>
              <w:ilvl w:val="0"/>
              <w:numId w:val="2"/>
            </w:numPr>
            <w:tabs>
              <w:tab w:pos="770" w:val="left" w:leader="none"/>
              <w:tab w:pos="8934" w:val="right" w:leader="dot"/>
            </w:tabs>
            <w:spacing w:line="240" w:lineRule="auto" w:before="140" w:after="0"/>
            <w:ind w:left="769" w:right="0" w:hanging="224"/>
            <w:jc w:val="left"/>
          </w:pPr>
          <w:hyperlink w:history="true" w:anchor="_bookmark9">
            <w:r>
              <w:rPr/>
              <w:t>Por</w:t>
            </w:r>
            <w:r>
              <w:rPr>
                <w:spacing w:val="-8"/>
              </w:rPr>
              <w:t> </w:t>
            </w:r>
            <w:r>
              <w:rPr/>
              <w:t>su origen</w:t>
              <w:tab/>
              <w:t>16</w:t>
            </w:r>
          </w:hyperlink>
        </w:p>
        <w:p>
          <w:pPr>
            <w:pStyle w:val="TOC3"/>
            <w:numPr>
              <w:ilvl w:val="0"/>
              <w:numId w:val="2"/>
            </w:numPr>
            <w:tabs>
              <w:tab w:pos="770" w:val="left" w:leader="none"/>
              <w:tab w:pos="8934" w:val="right" w:leader="dot"/>
            </w:tabs>
            <w:spacing w:line="240" w:lineRule="auto" w:before="139" w:after="0"/>
            <w:ind w:left="769" w:right="0" w:hanging="224"/>
            <w:jc w:val="left"/>
          </w:pPr>
          <w:hyperlink w:history="true" w:anchor="_bookmark10">
            <w:r>
              <w:rPr/>
              <w:t>Por su</w:t>
            </w:r>
            <w:r>
              <w:rPr>
                <w:spacing w:val="-8"/>
              </w:rPr>
              <w:t> </w:t>
            </w:r>
            <w:r>
              <w:rPr>
                <w:spacing w:val="-3"/>
              </w:rPr>
              <w:t>estado</w:t>
            </w:r>
            <w:r>
              <w:rPr>
                <w:spacing w:val="-1"/>
              </w:rPr>
              <w:t> </w:t>
            </w:r>
            <w:r>
              <w:rPr>
                <w:spacing w:val="-3"/>
              </w:rPr>
              <w:t>físico</w:t>
              <w:tab/>
            </w:r>
            <w:r>
              <w:rPr/>
              <w:t>16</w:t>
            </w:r>
          </w:hyperlink>
        </w:p>
        <w:p>
          <w:pPr>
            <w:pStyle w:val="TOC3"/>
            <w:numPr>
              <w:ilvl w:val="0"/>
              <w:numId w:val="2"/>
            </w:numPr>
            <w:tabs>
              <w:tab w:pos="770" w:val="left" w:leader="none"/>
              <w:tab w:pos="8934" w:val="right" w:leader="dot"/>
            </w:tabs>
            <w:spacing w:line="240" w:lineRule="auto" w:before="139" w:after="0"/>
            <w:ind w:left="769" w:right="0" w:hanging="224"/>
            <w:jc w:val="left"/>
          </w:pPr>
          <w:hyperlink w:history="true" w:anchor="_bookmark11">
            <w:r>
              <w:rPr/>
              <w:t>Por su</w:t>
            </w:r>
            <w:r>
              <w:rPr>
                <w:spacing w:val="-8"/>
              </w:rPr>
              <w:t> </w:t>
            </w:r>
            <w:r>
              <w:rPr>
                <w:spacing w:val="-3"/>
              </w:rPr>
              <w:t>composición</w:t>
            </w:r>
            <w:r>
              <w:rPr/>
              <w:t> </w:t>
            </w:r>
            <w:r>
              <w:rPr>
                <w:spacing w:val="-3"/>
              </w:rPr>
              <w:t>química</w:t>
              <w:tab/>
            </w:r>
            <w:r>
              <w:rPr/>
              <w:t>16</w:t>
            </w:r>
          </w:hyperlink>
        </w:p>
        <w:p>
          <w:pPr>
            <w:pStyle w:val="TOC3"/>
            <w:numPr>
              <w:ilvl w:val="0"/>
              <w:numId w:val="2"/>
            </w:numPr>
            <w:tabs>
              <w:tab w:pos="770" w:val="left" w:leader="none"/>
              <w:tab w:pos="8934" w:val="right" w:leader="dot"/>
            </w:tabs>
            <w:spacing w:line="240" w:lineRule="auto" w:before="140" w:after="0"/>
            <w:ind w:left="769" w:right="0" w:hanging="224"/>
            <w:jc w:val="left"/>
          </w:pPr>
          <w:hyperlink w:history="true" w:anchor="_bookmark12">
            <w:r>
              <w:rPr>
                <w:spacing w:val="-3"/>
              </w:rPr>
              <w:t>Fuentes emisoras </w:t>
            </w:r>
            <w:r>
              <w:rPr/>
              <w:t>de</w:t>
            </w:r>
            <w:r>
              <w:rPr>
                <w:spacing w:val="4"/>
              </w:rPr>
              <w:t> </w:t>
            </w:r>
            <w:r>
              <w:rPr>
                <w:spacing w:val="-4"/>
              </w:rPr>
              <w:t>contaminantes</w:t>
            </w:r>
            <w:r>
              <w:rPr>
                <w:spacing w:val="-1"/>
              </w:rPr>
              <w:t> </w:t>
            </w:r>
            <w:r>
              <w:rPr>
                <w:spacing w:val="-3"/>
              </w:rPr>
              <w:t>atmosféricos</w:t>
              <w:tab/>
            </w:r>
            <w:r>
              <w:rPr/>
              <w:t>17</w:t>
            </w:r>
          </w:hyperlink>
        </w:p>
        <w:p>
          <w:pPr>
            <w:pStyle w:val="TOC2"/>
            <w:numPr>
              <w:ilvl w:val="2"/>
              <w:numId w:val="1"/>
            </w:numPr>
            <w:tabs>
              <w:tab w:pos="826" w:val="left" w:leader="none"/>
              <w:tab w:pos="8934" w:val="right" w:leader="dot"/>
            </w:tabs>
            <w:spacing w:line="240" w:lineRule="auto" w:before="139" w:after="0"/>
            <w:ind w:left="825" w:right="0" w:hanging="496"/>
            <w:jc w:val="left"/>
          </w:pPr>
          <w:hyperlink w:history="true" w:anchor="_bookmark13">
            <w:r>
              <w:rPr>
                <w:spacing w:val="-3"/>
              </w:rPr>
              <w:t>Partículas</w:t>
            </w:r>
            <w:r>
              <w:rPr>
                <w:spacing w:val="-2"/>
              </w:rPr>
              <w:t> </w:t>
            </w:r>
            <w:r>
              <w:rPr>
                <w:spacing w:val="-3"/>
              </w:rPr>
              <w:t>suspendidas</w:t>
            </w:r>
            <w:r>
              <w:rPr>
                <w:spacing w:val="-2"/>
              </w:rPr>
              <w:t> </w:t>
            </w:r>
            <w:r>
              <w:rPr>
                <w:spacing w:val="-3"/>
              </w:rPr>
              <w:t>totales</w:t>
              <w:tab/>
            </w:r>
            <w:r>
              <w:rPr/>
              <w:t>18</w:t>
            </w:r>
          </w:hyperlink>
        </w:p>
        <w:p>
          <w:pPr>
            <w:pStyle w:val="TOC3"/>
            <w:numPr>
              <w:ilvl w:val="3"/>
              <w:numId w:val="1"/>
            </w:numPr>
            <w:tabs>
              <w:tab w:pos="727" w:val="left" w:leader="none"/>
              <w:tab w:pos="8934" w:val="right" w:leader="dot"/>
            </w:tabs>
            <w:spacing w:line="240" w:lineRule="auto" w:before="148" w:after="0"/>
            <w:ind w:left="726" w:right="0" w:hanging="181"/>
            <w:jc w:val="left"/>
          </w:pPr>
          <w:hyperlink w:history="true" w:anchor="_bookmark14">
            <w:r>
              <w:rPr>
                <w:spacing w:val="-3"/>
              </w:rPr>
              <w:t>Partículas </w:t>
            </w:r>
            <w:r>
              <w:rPr/>
              <w:t>menores a 10</w:t>
            </w:r>
            <w:r>
              <w:rPr>
                <w:spacing w:val="-2"/>
              </w:rPr>
              <w:t> </w:t>
            </w:r>
            <w:r>
              <w:rPr>
                <w:spacing w:val="-3"/>
              </w:rPr>
              <w:t>micras</w:t>
            </w:r>
            <w:r>
              <w:rPr>
                <w:spacing w:val="-2"/>
              </w:rPr>
              <w:t> </w:t>
            </w:r>
            <w:r>
              <w:rPr/>
              <w:t>PM10</w:t>
              <w:tab/>
              <w:t>21</w:t>
            </w:r>
          </w:hyperlink>
        </w:p>
        <w:p>
          <w:pPr>
            <w:pStyle w:val="TOC3"/>
            <w:numPr>
              <w:ilvl w:val="3"/>
              <w:numId w:val="1"/>
            </w:numPr>
            <w:tabs>
              <w:tab w:pos="727" w:val="left" w:leader="none"/>
              <w:tab w:pos="8934" w:val="right" w:leader="dot"/>
            </w:tabs>
            <w:spacing w:line="240" w:lineRule="auto" w:before="139" w:after="0"/>
            <w:ind w:left="726" w:right="0" w:hanging="181"/>
            <w:jc w:val="left"/>
          </w:pPr>
          <w:hyperlink w:history="true" w:anchor="_bookmark15">
            <w:r>
              <w:rPr>
                <w:spacing w:val="-3"/>
              </w:rPr>
              <w:t>Partículas menores </w:t>
            </w:r>
            <w:r>
              <w:rPr/>
              <w:t>a 2.5</w:t>
            </w:r>
            <w:r>
              <w:rPr>
                <w:spacing w:val="2"/>
              </w:rPr>
              <w:t> </w:t>
            </w:r>
            <w:r>
              <w:rPr>
                <w:spacing w:val="-3"/>
              </w:rPr>
              <w:t>micras</w:t>
            </w:r>
            <w:r>
              <w:rPr>
                <w:spacing w:val="-2"/>
              </w:rPr>
              <w:t> </w:t>
            </w:r>
            <w:r>
              <w:rPr/>
              <w:t>PM2.5</w:t>
              <w:tab/>
              <w:t>22</w:t>
            </w:r>
          </w:hyperlink>
        </w:p>
        <w:p>
          <w:pPr>
            <w:pStyle w:val="TOC2"/>
            <w:numPr>
              <w:ilvl w:val="1"/>
              <w:numId w:val="1"/>
            </w:numPr>
            <w:tabs>
              <w:tab w:pos="658" w:val="left" w:leader="none"/>
              <w:tab w:pos="8934" w:val="right" w:leader="dot"/>
            </w:tabs>
            <w:spacing w:line="240" w:lineRule="auto" w:before="139" w:after="0"/>
            <w:ind w:left="657" w:right="0" w:hanging="328"/>
            <w:jc w:val="left"/>
          </w:pPr>
          <w:hyperlink w:history="true" w:anchor="_bookmark16">
            <w:r>
              <w:rPr>
                <w:spacing w:val="-4"/>
              </w:rPr>
              <w:t>Marco</w:t>
            </w:r>
            <w:r>
              <w:rPr>
                <w:spacing w:val="-1"/>
              </w:rPr>
              <w:t> </w:t>
            </w:r>
            <w:r>
              <w:rPr/>
              <w:t>Jurídico</w:t>
              <w:tab/>
              <w:t>23</w:t>
            </w:r>
          </w:hyperlink>
        </w:p>
        <w:p>
          <w:pPr>
            <w:pStyle w:val="TOC2"/>
            <w:numPr>
              <w:ilvl w:val="1"/>
              <w:numId w:val="1"/>
            </w:numPr>
            <w:tabs>
              <w:tab w:pos="658" w:val="left" w:leader="none"/>
              <w:tab w:pos="8934" w:val="right" w:leader="dot"/>
            </w:tabs>
            <w:spacing w:line="240" w:lineRule="auto" w:before="140" w:after="0"/>
            <w:ind w:left="657" w:right="0" w:hanging="328"/>
            <w:jc w:val="left"/>
          </w:pPr>
          <w:hyperlink w:history="true" w:anchor="_bookmark17">
            <w:r>
              <w:rPr>
                <w:spacing w:val="-3"/>
              </w:rPr>
              <w:t>Antecedentes</w:t>
              <w:tab/>
            </w:r>
            <w:r>
              <w:rPr/>
              <w:t>26</w:t>
            </w:r>
          </w:hyperlink>
        </w:p>
        <w:p>
          <w:pPr>
            <w:pStyle w:val="TOC2"/>
            <w:numPr>
              <w:ilvl w:val="1"/>
              <w:numId w:val="1"/>
            </w:numPr>
            <w:tabs>
              <w:tab w:pos="658" w:val="left" w:leader="none"/>
              <w:tab w:pos="8934" w:val="right" w:leader="dot"/>
            </w:tabs>
            <w:spacing w:line="240" w:lineRule="auto" w:before="139" w:after="0"/>
            <w:ind w:left="657" w:right="0" w:hanging="328"/>
            <w:jc w:val="left"/>
          </w:pPr>
          <w:hyperlink w:history="true" w:anchor="_bookmark18">
            <w:r>
              <w:rPr>
                <w:spacing w:val="-3"/>
              </w:rPr>
              <w:t>Diseño </w:t>
            </w:r>
            <w:r>
              <w:rPr/>
              <w:t>y </w:t>
            </w:r>
            <w:r>
              <w:rPr>
                <w:spacing w:val="-3"/>
              </w:rPr>
              <w:t>estructura </w:t>
            </w:r>
            <w:r>
              <w:rPr/>
              <w:t>de</w:t>
            </w:r>
            <w:r>
              <w:rPr>
                <w:spacing w:val="-9"/>
              </w:rPr>
              <w:t> </w:t>
            </w:r>
            <w:r>
              <w:rPr/>
              <w:t>la</w:t>
            </w:r>
            <w:r>
              <w:rPr>
                <w:spacing w:val="2"/>
              </w:rPr>
              <w:t> </w:t>
            </w:r>
            <w:r>
              <w:rPr/>
              <w:t>investigación</w:t>
              <w:tab/>
              <w:t>36</w:t>
            </w:r>
          </w:hyperlink>
        </w:p>
        <w:p>
          <w:pPr>
            <w:pStyle w:val="TOC3"/>
            <w:numPr>
              <w:ilvl w:val="2"/>
              <w:numId w:val="1"/>
            </w:numPr>
            <w:tabs>
              <w:tab w:pos="1042" w:val="left" w:leader="none"/>
              <w:tab w:pos="8934" w:val="right" w:leader="dot"/>
            </w:tabs>
            <w:spacing w:line="240" w:lineRule="auto" w:before="140" w:after="0"/>
            <w:ind w:left="1041" w:right="0" w:hanging="496"/>
            <w:jc w:val="left"/>
          </w:pPr>
          <w:hyperlink w:history="true" w:anchor="_bookmark19">
            <w:r>
              <w:rPr>
                <w:spacing w:val="-3"/>
              </w:rPr>
              <w:t>Justificación</w:t>
              <w:tab/>
            </w:r>
            <w:r>
              <w:rPr/>
              <w:t>36</w:t>
            </w:r>
          </w:hyperlink>
        </w:p>
        <w:p>
          <w:pPr>
            <w:pStyle w:val="TOC3"/>
            <w:numPr>
              <w:ilvl w:val="2"/>
              <w:numId w:val="1"/>
            </w:numPr>
            <w:tabs>
              <w:tab w:pos="1042" w:val="left" w:leader="none"/>
              <w:tab w:pos="8934" w:val="right" w:leader="dot"/>
            </w:tabs>
            <w:spacing w:line="240" w:lineRule="auto" w:before="139" w:after="0"/>
            <w:ind w:left="1041" w:right="0" w:hanging="496"/>
            <w:jc w:val="left"/>
          </w:pPr>
          <w:hyperlink w:history="true" w:anchor="_bookmark20">
            <w:r>
              <w:rPr>
                <w:spacing w:val="-3"/>
              </w:rPr>
              <w:t>Planteamiento </w:t>
            </w:r>
            <w:r>
              <w:rPr>
                <w:spacing w:val="2"/>
              </w:rPr>
              <w:t> </w:t>
            </w:r>
            <w:r>
              <w:rPr>
                <w:spacing w:val="-2"/>
              </w:rPr>
              <w:t>del</w:t>
            </w:r>
            <w:r>
              <w:rPr>
                <w:spacing w:val="2"/>
              </w:rPr>
              <w:t> </w:t>
            </w:r>
            <w:r>
              <w:rPr>
                <w:spacing w:val="-3"/>
              </w:rPr>
              <w:t>problema</w:t>
              <w:tab/>
            </w:r>
            <w:r>
              <w:rPr/>
              <w:t>37</w:t>
            </w:r>
          </w:hyperlink>
        </w:p>
        <w:p>
          <w:pPr>
            <w:pStyle w:val="TOC3"/>
            <w:numPr>
              <w:ilvl w:val="2"/>
              <w:numId w:val="1"/>
            </w:numPr>
            <w:tabs>
              <w:tab w:pos="1042" w:val="left" w:leader="none"/>
              <w:tab w:pos="8934" w:val="right" w:leader="dot"/>
            </w:tabs>
            <w:spacing w:line="240" w:lineRule="auto" w:before="139" w:after="0"/>
            <w:ind w:left="1041" w:right="0" w:hanging="496"/>
            <w:jc w:val="left"/>
          </w:pPr>
          <w:hyperlink w:history="true" w:anchor="_bookmark21">
            <w:r>
              <w:rPr>
                <w:spacing w:val="-4"/>
              </w:rPr>
              <w:t>Hipótesis</w:t>
              <w:tab/>
            </w:r>
            <w:r>
              <w:rPr/>
              <w:t>39</w:t>
            </w:r>
          </w:hyperlink>
        </w:p>
        <w:p>
          <w:pPr>
            <w:pStyle w:val="TOC3"/>
            <w:numPr>
              <w:ilvl w:val="2"/>
              <w:numId w:val="1"/>
            </w:numPr>
            <w:tabs>
              <w:tab w:pos="1042" w:val="left" w:leader="none"/>
              <w:tab w:pos="8934" w:val="right" w:leader="dot"/>
            </w:tabs>
            <w:spacing w:line="240" w:lineRule="auto" w:before="140" w:after="0"/>
            <w:ind w:left="1041" w:right="0" w:hanging="496"/>
            <w:jc w:val="left"/>
          </w:pPr>
          <w:hyperlink w:history="true" w:anchor="_bookmark22">
            <w:r>
              <w:rPr>
                <w:spacing w:val="-3"/>
              </w:rPr>
              <w:t>Objetivo</w:t>
            </w:r>
            <w:r>
              <w:rPr>
                <w:spacing w:val="-1"/>
              </w:rPr>
              <w:t> </w:t>
            </w:r>
            <w:r>
              <w:rPr>
                <w:spacing w:val="-3"/>
              </w:rPr>
              <w:t>General</w:t>
              <w:tab/>
            </w:r>
            <w:r>
              <w:rPr/>
              <w:t>39</w:t>
            </w:r>
          </w:hyperlink>
        </w:p>
        <w:p>
          <w:pPr>
            <w:pStyle w:val="TOC3"/>
            <w:tabs>
              <w:tab w:pos="8934" w:val="right" w:leader="dot"/>
            </w:tabs>
            <w:ind w:left="545" w:firstLine="0"/>
          </w:pPr>
          <w:hyperlink w:history="true" w:anchor="_bookmark23">
            <w:r>
              <w:rPr>
                <w:spacing w:val="-4"/>
              </w:rPr>
              <w:t>Objetivos</w:t>
            </w:r>
            <w:r>
              <w:rPr>
                <w:spacing w:val="6"/>
              </w:rPr>
              <w:t> </w:t>
            </w:r>
            <w:r>
              <w:rPr>
                <w:spacing w:val="-3"/>
              </w:rPr>
              <w:t>Específicos</w:t>
              <w:tab/>
            </w:r>
            <w:r>
              <w:rPr/>
              <w:t>39</w:t>
            </w:r>
          </w:hyperlink>
        </w:p>
        <w:p>
          <w:pPr>
            <w:pStyle w:val="TOC3"/>
            <w:numPr>
              <w:ilvl w:val="2"/>
              <w:numId w:val="1"/>
            </w:numPr>
            <w:tabs>
              <w:tab w:pos="1042" w:val="left" w:leader="none"/>
              <w:tab w:pos="8934" w:val="right" w:leader="dot"/>
            </w:tabs>
            <w:spacing w:line="240" w:lineRule="auto" w:before="148" w:after="0"/>
            <w:ind w:left="1041" w:right="0" w:hanging="496"/>
            <w:jc w:val="left"/>
          </w:pPr>
          <w:hyperlink w:history="true" w:anchor="_bookmark24">
            <w:r>
              <w:rPr>
                <w:spacing w:val="-3"/>
              </w:rPr>
              <w:t>Contribución </w:t>
            </w:r>
            <w:r>
              <w:rPr/>
              <w:t>de</w:t>
            </w:r>
            <w:r>
              <w:rPr>
                <w:spacing w:val="-7"/>
              </w:rPr>
              <w:t> </w:t>
            </w:r>
            <w:r>
              <w:rPr/>
              <w:t>la</w:t>
            </w:r>
            <w:r>
              <w:rPr>
                <w:spacing w:val="2"/>
              </w:rPr>
              <w:t> </w:t>
            </w:r>
            <w:r>
              <w:rPr>
                <w:spacing w:val="-3"/>
              </w:rPr>
              <w:t>propuesta</w:t>
              <w:tab/>
            </w:r>
            <w:r>
              <w:rPr/>
              <w:t>40</w:t>
            </w:r>
          </w:hyperlink>
        </w:p>
        <w:p>
          <w:pPr>
            <w:pStyle w:val="TOC2"/>
            <w:tabs>
              <w:tab w:pos="8934" w:val="right" w:leader="dot"/>
            </w:tabs>
            <w:ind w:left="329" w:firstLine="0"/>
          </w:pPr>
          <w:hyperlink w:history="true" w:anchor="_bookmark25">
            <w:r>
              <w:rPr/>
              <w:t>1.6.-</w:t>
            </w:r>
            <w:r>
              <w:rPr>
                <w:spacing w:val="-7"/>
              </w:rPr>
              <w:t> </w:t>
            </w:r>
            <w:r>
              <w:rPr>
                <w:spacing w:val="-3"/>
              </w:rPr>
              <w:t>Variables</w:t>
              <w:tab/>
            </w:r>
            <w:r>
              <w:rPr/>
              <w:t>40</w:t>
            </w:r>
          </w:hyperlink>
        </w:p>
        <w:p>
          <w:pPr>
            <w:pStyle w:val="TOC3"/>
            <w:numPr>
              <w:ilvl w:val="2"/>
              <w:numId w:val="3"/>
            </w:numPr>
            <w:tabs>
              <w:tab w:pos="1042" w:val="left" w:leader="none"/>
              <w:tab w:pos="8934" w:val="right" w:leader="dot"/>
            </w:tabs>
            <w:spacing w:line="240" w:lineRule="auto" w:before="140" w:after="0"/>
            <w:ind w:left="1041" w:right="0" w:hanging="496"/>
            <w:jc w:val="left"/>
          </w:pPr>
          <w:hyperlink w:history="true" w:anchor="_bookmark26">
            <w:r>
              <w:rPr>
                <w:spacing w:val="-4"/>
              </w:rPr>
              <w:t>Temperatura</w:t>
              <w:tab/>
            </w:r>
            <w:r>
              <w:rPr/>
              <w:t>40</w:t>
            </w:r>
          </w:hyperlink>
        </w:p>
        <w:p>
          <w:pPr>
            <w:pStyle w:val="TOC3"/>
            <w:numPr>
              <w:ilvl w:val="2"/>
              <w:numId w:val="3"/>
            </w:numPr>
            <w:tabs>
              <w:tab w:pos="1042" w:val="left" w:leader="none"/>
              <w:tab w:pos="8934" w:val="right" w:leader="dot"/>
            </w:tabs>
            <w:spacing w:line="240" w:lineRule="auto" w:before="139" w:after="0"/>
            <w:ind w:left="1041" w:right="0" w:hanging="496"/>
            <w:jc w:val="left"/>
          </w:pPr>
          <w:hyperlink w:history="true" w:anchor="_bookmark27">
            <w:r>
              <w:rPr>
                <w:spacing w:val="-3"/>
              </w:rPr>
              <w:t>Velocidad  </w:t>
            </w:r>
            <w:r>
              <w:rPr/>
              <w:t>y dirección de</w:t>
            </w:r>
            <w:r>
              <w:rPr>
                <w:spacing w:val="-5"/>
              </w:rPr>
              <w:t> </w:t>
            </w:r>
            <w:r>
              <w:rPr>
                <w:spacing w:val="-4"/>
              </w:rPr>
              <w:t>los</w:t>
            </w:r>
            <w:r>
              <w:rPr>
                <w:spacing w:val="2"/>
              </w:rPr>
              <w:t> </w:t>
            </w:r>
            <w:r>
              <w:rPr/>
              <w:t>vientos</w:t>
              <w:tab/>
              <w:t>41</w:t>
            </w:r>
          </w:hyperlink>
        </w:p>
        <w:p>
          <w:pPr>
            <w:pStyle w:val="TOC3"/>
            <w:numPr>
              <w:ilvl w:val="2"/>
              <w:numId w:val="3"/>
            </w:numPr>
            <w:tabs>
              <w:tab w:pos="1042" w:val="left" w:leader="none"/>
              <w:tab w:pos="8934" w:val="right" w:leader="dot"/>
            </w:tabs>
            <w:spacing w:line="240" w:lineRule="auto" w:before="139" w:after="0"/>
            <w:ind w:left="1041" w:right="0" w:hanging="496"/>
            <w:jc w:val="left"/>
          </w:pPr>
          <w:hyperlink w:history="true" w:anchor="_bookmark28">
            <w:r>
              <w:rPr>
                <w:spacing w:val="-4"/>
              </w:rPr>
              <w:t>Humedad</w:t>
              <w:tab/>
            </w:r>
            <w:r>
              <w:rPr/>
              <w:t>41</w:t>
            </w:r>
          </w:hyperlink>
        </w:p>
        <w:p>
          <w:pPr>
            <w:pStyle w:val="TOC3"/>
            <w:numPr>
              <w:ilvl w:val="2"/>
              <w:numId w:val="3"/>
            </w:numPr>
            <w:tabs>
              <w:tab w:pos="1042" w:val="left" w:leader="none"/>
              <w:tab w:pos="8934" w:val="right" w:leader="dot"/>
            </w:tabs>
            <w:spacing w:line="240" w:lineRule="auto" w:before="140" w:after="0"/>
            <w:ind w:left="1041" w:right="0" w:hanging="496"/>
            <w:jc w:val="left"/>
          </w:pPr>
          <w:hyperlink w:history="true" w:anchor="_bookmark29">
            <w:r>
              <w:rPr>
                <w:spacing w:val="-3"/>
              </w:rPr>
              <w:t>Precipitación</w:t>
              <w:tab/>
            </w:r>
            <w:r>
              <w:rPr/>
              <w:t>42</w:t>
            </w:r>
          </w:hyperlink>
        </w:p>
        <w:p>
          <w:pPr>
            <w:pStyle w:val="TOC3"/>
            <w:numPr>
              <w:ilvl w:val="2"/>
              <w:numId w:val="3"/>
            </w:numPr>
            <w:tabs>
              <w:tab w:pos="1042" w:val="left" w:leader="none"/>
              <w:tab w:pos="8934" w:val="right" w:leader="dot"/>
            </w:tabs>
            <w:spacing w:line="240" w:lineRule="auto" w:before="139" w:after="0"/>
            <w:ind w:left="1041" w:right="0" w:hanging="496"/>
            <w:jc w:val="left"/>
          </w:pPr>
          <w:hyperlink w:history="true" w:anchor="_bookmark30">
            <w:r>
              <w:rPr>
                <w:spacing w:val="-4"/>
              </w:rPr>
              <w:t>Topografía</w:t>
              <w:tab/>
            </w:r>
            <w:r>
              <w:rPr/>
              <w:t>42</w:t>
            </w:r>
          </w:hyperlink>
        </w:p>
        <w:p>
          <w:pPr>
            <w:pStyle w:val="TOC3"/>
            <w:numPr>
              <w:ilvl w:val="2"/>
              <w:numId w:val="3"/>
            </w:numPr>
            <w:tabs>
              <w:tab w:pos="1042" w:val="left" w:leader="none"/>
              <w:tab w:pos="8934" w:val="right" w:leader="dot"/>
            </w:tabs>
            <w:spacing w:line="240" w:lineRule="auto" w:before="35" w:after="0"/>
            <w:ind w:left="1041" w:right="0" w:hanging="496"/>
            <w:jc w:val="left"/>
          </w:pPr>
          <w:hyperlink w:history="true" w:anchor="_bookmark31">
            <w:r>
              <w:rPr>
                <w:spacing w:val="-4"/>
              </w:rPr>
              <w:t>Micro</w:t>
            </w:r>
            <w:r>
              <w:rPr>
                <w:spacing w:val="-1"/>
              </w:rPr>
              <w:t> </w:t>
            </w:r>
            <w:r>
              <w:rPr/>
              <w:t>clima</w:t>
              <w:tab/>
              <w:t>43</w:t>
            </w:r>
          </w:hyperlink>
        </w:p>
        <w:p>
          <w:pPr>
            <w:pStyle w:val="TOC3"/>
            <w:numPr>
              <w:ilvl w:val="2"/>
              <w:numId w:val="3"/>
            </w:numPr>
            <w:tabs>
              <w:tab w:pos="1042" w:val="left" w:leader="none"/>
              <w:tab w:pos="8934" w:val="right" w:leader="dot"/>
            </w:tabs>
            <w:spacing w:line="240" w:lineRule="auto" w:before="139" w:after="0"/>
            <w:ind w:left="1041" w:right="0" w:hanging="496"/>
            <w:jc w:val="left"/>
          </w:pPr>
          <w:hyperlink w:history="true" w:anchor="_bookmark32">
            <w:r>
              <w:rPr>
                <w:spacing w:val="-3"/>
              </w:rPr>
              <w:t>Uso</w:t>
            </w:r>
            <w:r>
              <w:rPr>
                <w:spacing w:val="-8"/>
              </w:rPr>
              <w:t> </w:t>
            </w:r>
            <w:r>
              <w:rPr/>
              <w:t>de</w:t>
            </w:r>
            <w:r>
              <w:rPr>
                <w:spacing w:val="-10"/>
              </w:rPr>
              <w:t> </w:t>
            </w:r>
            <w:r>
              <w:rPr/>
              <w:t>suelo</w:t>
              <w:tab/>
              <w:t>43</w:t>
            </w:r>
          </w:hyperlink>
        </w:p>
        <w:p>
          <w:pPr>
            <w:pStyle w:val="TOC2"/>
            <w:numPr>
              <w:ilvl w:val="1"/>
              <w:numId w:val="3"/>
            </w:numPr>
            <w:tabs>
              <w:tab w:pos="658" w:val="left" w:leader="none"/>
              <w:tab w:pos="8934" w:val="right" w:leader="dot"/>
            </w:tabs>
            <w:spacing w:line="240" w:lineRule="auto" w:before="139" w:after="0"/>
            <w:ind w:left="657" w:right="0" w:hanging="328"/>
            <w:jc w:val="left"/>
          </w:pPr>
          <w:hyperlink w:history="true" w:anchor="_bookmark33">
            <w:r>
              <w:rPr>
                <w:spacing w:val="-3"/>
              </w:rPr>
              <w:t>Materiales</w:t>
            </w:r>
            <w:r>
              <w:rPr>
                <w:spacing w:val="-2"/>
              </w:rPr>
              <w:t> </w:t>
            </w:r>
            <w:r>
              <w:rPr/>
              <w:t>y</w:t>
            </w:r>
            <w:r>
              <w:rPr>
                <w:spacing w:val="-8"/>
              </w:rPr>
              <w:t> </w:t>
            </w:r>
            <w:r>
              <w:rPr>
                <w:spacing w:val="-3"/>
              </w:rPr>
              <w:t>Métodos</w:t>
              <w:tab/>
            </w:r>
            <w:r>
              <w:rPr/>
              <w:t>44</w:t>
            </w:r>
          </w:hyperlink>
        </w:p>
        <w:p>
          <w:pPr>
            <w:pStyle w:val="TOC3"/>
            <w:numPr>
              <w:ilvl w:val="2"/>
              <w:numId w:val="3"/>
            </w:numPr>
            <w:tabs>
              <w:tab w:pos="1042" w:val="left" w:leader="none"/>
              <w:tab w:pos="8934" w:val="right" w:leader="dot"/>
            </w:tabs>
            <w:spacing w:line="240" w:lineRule="auto" w:before="140" w:after="0"/>
            <w:ind w:left="1041" w:right="0" w:hanging="496"/>
            <w:jc w:val="left"/>
          </w:pPr>
          <w:hyperlink w:history="true" w:anchor="_bookmark34">
            <w:r>
              <w:rPr>
                <w:spacing w:val="-3"/>
              </w:rPr>
              <w:t>Fase</w:t>
            </w:r>
            <w:r>
              <w:rPr>
                <w:spacing w:val="-2"/>
              </w:rPr>
              <w:t> </w:t>
            </w:r>
            <w:r>
              <w:rPr>
                <w:spacing w:val="-3"/>
              </w:rPr>
              <w:t>descriptiva</w:t>
              <w:tab/>
            </w:r>
            <w:r>
              <w:rPr/>
              <w:t>46</w:t>
            </w:r>
          </w:hyperlink>
        </w:p>
        <w:p>
          <w:pPr>
            <w:pStyle w:val="TOC3"/>
            <w:numPr>
              <w:ilvl w:val="2"/>
              <w:numId w:val="3"/>
            </w:numPr>
            <w:tabs>
              <w:tab w:pos="1042" w:val="left" w:leader="none"/>
              <w:tab w:pos="8934" w:val="right" w:leader="dot"/>
            </w:tabs>
            <w:spacing w:line="240" w:lineRule="auto" w:before="147" w:after="0"/>
            <w:ind w:left="1041" w:right="0" w:hanging="496"/>
            <w:jc w:val="left"/>
          </w:pPr>
          <w:hyperlink w:history="true" w:anchor="_bookmark35">
            <w:r>
              <w:rPr>
                <w:spacing w:val="-3"/>
              </w:rPr>
              <w:t>Fase</w:t>
            </w:r>
            <w:r>
              <w:rPr>
                <w:spacing w:val="-9"/>
              </w:rPr>
              <w:t> </w:t>
            </w:r>
            <w:r>
              <w:rPr/>
              <w:t>Analítica</w:t>
              <w:tab/>
              <w:t>48</w:t>
            </w:r>
          </w:hyperlink>
        </w:p>
        <w:p>
          <w:pPr>
            <w:pStyle w:val="TOC3"/>
            <w:tabs>
              <w:tab w:pos="8934" w:val="right" w:leader="dot"/>
            </w:tabs>
            <w:spacing w:before="140"/>
            <w:ind w:left="545" w:firstLine="0"/>
          </w:pPr>
          <w:hyperlink w:history="true" w:anchor="_bookmark36">
            <w:r>
              <w:rPr>
                <w:spacing w:val="-3"/>
              </w:rPr>
              <w:t>Fase</w:t>
            </w:r>
            <w:r>
              <w:rPr>
                <w:spacing w:val="-2"/>
              </w:rPr>
              <w:t> </w:t>
            </w:r>
            <w:r>
              <w:rPr>
                <w:spacing w:val="-3"/>
              </w:rPr>
              <w:t>Propositiva</w:t>
              <w:tab/>
            </w:r>
            <w:r>
              <w:rPr/>
              <w:t>50</w:t>
            </w:r>
          </w:hyperlink>
        </w:p>
        <w:p>
          <w:pPr>
            <w:pStyle w:val="TOC1"/>
            <w:tabs>
              <w:tab w:pos="8934" w:val="right" w:leader="dot"/>
            </w:tabs>
          </w:pPr>
          <w:hyperlink w:history="true" w:anchor="_bookmark37">
            <w:r>
              <w:rPr>
                <w:spacing w:val="-3"/>
              </w:rPr>
              <w:t>Capítulo</w:t>
            </w:r>
            <w:r>
              <w:rPr>
                <w:spacing w:val="-8"/>
              </w:rPr>
              <w:t> </w:t>
            </w:r>
            <w:r>
              <w:rPr/>
              <w:t>2</w:t>
            </w:r>
            <w:r>
              <w:rPr>
                <w:spacing w:val="-4"/>
              </w:rPr>
              <w:t> </w:t>
            </w:r>
            <w:r>
              <w:rPr/>
              <w:t>Resultados</w:t>
              <w:tab/>
              <w:t>52</w:t>
            </w:r>
          </w:hyperlink>
        </w:p>
        <w:p>
          <w:pPr>
            <w:pStyle w:val="TOC2"/>
            <w:numPr>
              <w:ilvl w:val="1"/>
              <w:numId w:val="4"/>
            </w:numPr>
            <w:tabs>
              <w:tab w:pos="658" w:val="left" w:leader="none"/>
              <w:tab w:pos="8934" w:val="right" w:leader="dot"/>
            </w:tabs>
            <w:spacing w:line="240" w:lineRule="auto" w:before="139" w:after="0"/>
            <w:ind w:left="657" w:right="0" w:hanging="328"/>
            <w:jc w:val="left"/>
          </w:pPr>
          <w:hyperlink w:history="true" w:anchor="_bookmark38">
            <w:r>
              <w:rPr>
                <w:spacing w:val="-5"/>
              </w:rPr>
              <w:t>Área </w:t>
            </w:r>
            <w:r>
              <w:rPr/>
              <w:t>de </w:t>
            </w:r>
            <w:r>
              <w:rPr>
                <w:spacing w:val="-3"/>
              </w:rPr>
              <w:t>estudio </w:t>
            </w:r>
            <w:r>
              <w:rPr/>
              <w:t>y </w:t>
            </w:r>
            <w:r>
              <w:rPr>
                <w:spacing w:val="-4"/>
              </w:rPr>
              <w:t>Fuentes</w:t>
            </w:r>
            <w:r>
              <w:rPr>
                <w:spacing w:val="15"/>
              </w:rPr>
              <w:t> </w:t>
            </w:r>
            <w:r>
              <w:rPr>
                <w:spacing w:val="-3"/>
              </w:rPr>
              <w:t>de</w:t>
            </w:r>
            <w:r>
              <w:rPr>
                <w:spacing w:val="-2"/>
              </w:rPr>
              <w:t> </w:t>
            </w:r>
            <w:r>
              <w:rPr/>
              <w:t>emisión</w:t>
              <w:tab/>
              <w:t>52</w:t>
            </w:r>
          </w:hyperlink>
        </w:p>
        <w:p>
          <w:pPr>
            <w:pStyle w:val="TOC3"/>
            <w:numPr>
              <w:ilvl w:val="2"/>
              <w:numId w:val="4"/>
            </w:numPr>
            <w:tabs>
              <w:tab w:pos="1042" w:val="left" w:leader="none"/>
              <w:tab w:pos="8934" w:val="right" w:leader="dot"/>
            </w:tabs>
            <w:spacing w:line="240" w:lineRule="auto" w:before="140" w:after="0"/>
            <w:ind w:left="1041" w:right="0" w:hanging="496"/>
            <w:jc w:val="left"/>
          </w:pPr>
          <w:hyperlink w:history="true" w:anchor="_bookmark39">
            <w:r>
              <w:rPr>
                <w:spacing w:val="-4"/>
              </w:rPr>
              <w:t>Fuentes</w:t>
            </w:r>
            <w:r>
              <w:rPr>
                <w:spacing w:val="-2"/>
              </w:rPr>
              <w:t> </w:t>
            </w:r>
            <w:r>
              <w:rPr/>
              <w:t>de</w:t>
            </w:r>
            <w:r>
              <w:rPr>
                <w:spacing w:val="-2"/>
              </w:rPr>
              <w:t> </w:t>
            </w:r>
            <w:r>
              <w:rPr>
                <w:spacing w:val="-3"/>
              </w:rPr>
              <w:t>área</w:t>
              <w:tab/>
            </w:r>
            <w:r>
              <w:rPr/>
              <w:t>53</w:t>
            </w:r>
          </w:hyperlink>
        </w:p>
        <w:p>
          <w:pPr>
            <w:pStyle w:val="TOC3"/>
            <w:tabs>
              <w:tab w:pos="8934" w:val="right" w:leader="dot"/>
            </w:tabs>
            <w:ind w:left="545" w:firstLine="0"/>
          </w:pPr>
          <w:hyperlink w:history="true" w:anchor="_bookmark40">
            <w:r>
              <w:rPr/>
              <w:t>1) </w:t>
            </w:r>
            <w:r>
              <w:rPr>
                <w:spacing w:val="-3"/>
              </w:rPr>
              <w:t>Cambios </w:t>
            </w:r>
            <w:r>
              <w:rPr/>
              <w:t>en los </w:t>
            </w:r>
            <w:r>
              <w:rPr>
                <w:spacing w:val="-4"/>
              </w:rPr>
              <w:t>usos </w:t>
            </w:r>
            <w:r>
              <w:rPr>
                <w:spacing w:val="-3"/>
              </w:rPr>
              <w:t>de suelo</w:t>
            </w:r>
            <w:r>
              <w:rPr>
                <w:spacing w:val="-1"/>
              </w:rPr>
              <w:t> </w:t>
            </w:r>
            <w:r>
              <w:rPr/>
              <w:t>de</w:t>
            </w:r>
            <w:r>
              <w:rPr>
                <w:spacing w:val="-10"/>
              </w:rPr>
              <w:t> </w:t>
            </w:r>
            <w:r>
              <w:rPr/>
              <w:t>1990-2013.</w:t>
              <w:tab/>
              <w:t>54</w:t>
            </w:r>
          </w:hyperlink>
        </w:p>
        <w:p>
          <w:pPr>
            <w:pStyle w:val="TOC3"/>
            <w:numPr>
              <w:ilvl w:val="2"/>
              <w:numId w:val="4"/>
            </w:numPr>
            <w:tabs>
              <w:tab w:pos="1042" w:val="left" w:leader="none"/>
              <w:tab w:pos="8934" w:val="right" w:leader="dot"/>
            </w:tabs>
            <w:spacing w:line="240" w:lineRule="auto" w:before="140" w:after="0"/>
            <w:ind w:left="1041" w:right="0" w:hanging="496"/>
            <w:jc w:val="left"/>
          </w:pPr>
          <w:hyperlink w:history="true" w:anchor="_bookmark41">
            <w:r>
              <w:rPr>
                <w:spacing w:val="-4"/>
              </w:rPr>
              <w:t>Fuentes</w:t>
            </w:r>
            <w:r>
              <w:rPr>
                <w:spacing w:val="-2"/>
              </w:rPr>
              <w:t> </w:t>
            </w:r>
            <w:r>
              <w:rPr>
                <w:spacing w:val="-3"/>
              </w:rPr>
              <w:t>fijas</w:t>
              <w:tab/>
            </w:r>
            <w:r>
              <w:rPr/>
              <w:t>58</w:t>
            </w:r>
          </w:hyperlink>
        </w:p>
        <w:p>
          <w:pPr>
            <w:pStyle w:val="TOC3"/>
            <w:numPr>
              <w:ilvl w:val="2"/>
              <w:numId w:val="4"/>
            </w:numPr>
            <w:tabs>
              <w:tab w:pos="1042" w:val="left" w:leader="none"/>
              <w:tab w:pos="8934" w:val="right" w:leader="dot"/>
            </w:tabs>
            <w:spacing w:line="240" w:lineRule="auto" w:before="139" w:after="0"/>
            <w:ind w:left="1041" w:right="0" w:hanging="496"/>
            <w:jc w:val="left"/>
          </w:pPr>
          <w:hyperlink w:history="true" w:anchor="_bookmark42">
            <w:r>
              <w:rPr>
                <w:spacing w:val="-4"/>
              </w:rPr>
              <w:t>Fuentes</w:t>
            </w:r>
            <w:r>
              <w:rPr>
                <w:spacing w:val="-2"/>
              </w:rPr>
              <w:t> </w:t>
            </w:r>
            <w:r>
              <w:rPr>
                <w:spacing w:val="-3"/>
              </w:rPr>
              <w:t>móviles:</w:t>
              <w:tab/>
            </w:r>
            <w:r>
              <w:rPr/>
              <w:t>62</w:t>
            </w:r>
          </w:hyperlink>
        </w:p>
        <w:p>
          <w:pPr>
            <w:pStyle w:val="TOC2"/>
            <w:tabs>
              <w:tab w:pos="8934" w:val="right" w:leader="dot"/>
            </w:tabs>
            <w:ind w:left="329" w:firstLine="0"/>
          </w:pPr>
          <w:hyperlink w:history="true" w:anchor="_bookmark43">
            <w:r>
              <w:rPr/>
              <w:t>2.2. </w:t>
            </w:r>
            <w:r>
              <w:rPr>
                <w:spacing w:val="-3"/>
              </w:rPr>
              <w:t>Artículo</w:t>
            </w:r>
            <w:r>
              <w:rPr>
                <w:spacing w:val="-4"/>
              </w:rPr>
              <w:t> </w:t>
            </w:r>
            <w:r>
              <w:rPr>
                <w:spacing w:val="-3"/>
              </w:rPr>
              <w:t>de</w:t>
            </w:r>
            <w:r>
              <w:rPr>
                <w:spacing w:val="-10"/>
              </w:rPr>
              <w:t> </w:t>
            </w:r>
            <w:r>
              <w:rPr/>
              <w:t>Investigación</w:t>
              <w:tab/>
              <w:t>65</w:t>
            </w:r>
          </w:hyperlink>
        </w:p>
        <w:p>
          <w:pPr>
            <w:pStyle w:val="TOC2"/>
            <w:numPr>
              <w:ilvl w:val="1"/>
              <w:numId w:val="5"/>
            </w:numPr>
            <w:tabs>
              <w:tab w:pos="658" w:val="left" w:leader="none"/>
              <w:tab w:pos="8934" w:val="right" w:leader="dot"/>
            </w:tabs>
            <w:spacing w:line="240" w:lineRule="auto" w:before="140" w:after="0"/>
            <w:ind w:left="657" w:right="0" w:hanging="328"/>
            <w:jc w:val="left"/>
          </w:pPr>
          <w:hyperlink w:history="true" w:anchor="_bookmark44">
            <w:r>
              <w:rPr>
                <w:spacing w:val="-3"/>
              </w:rPr>
              <w:t>Estrategias </w:t>
            </w:r>
            <w:r>
              <w:rPr/>
              <w:t>de</w:t>
            </w:r>
            <w:r>
              <w:rPr>
                <w:spacing w:val="-9"/>
              </w:rPr>
              <w:t> </w:t>
            </w:r>
            <w:r>
              <w:rPr/>
              <w:t>gestión</w:t>
            </w:r>
            <w:r>
              <w:rPr>
                <w:spacing w:val="-8"/>
              </w:rPr>
              <w:t> </w:t>
            </w:r>
            <w:r>
              <w:rPr/>
              <w:t>ambiental</w:t>
              <w:tab/>
              <w:t>97</w:t>
            </w:r>
          </w:hyperlink>
        </w:p>
        <w:p>
          <w:pPr>
            <w:pStyle w:val="TOC2"/>
            <w:tabs>
              <w:tab w:pos="8934" w:val="right" w:leader="dot"/>
            </w:tabs>
            <w:spacing w:before="147"/>
            <w:ind w:left="329" w:firstLine="0"/>
          </w:pPr>
          <w:hyperlink w:history="true" w:anchor="_bookmark45">
            <w:r>
              <w:rPr/>
              <w:t>2.3.1 </w:t>
            </w:r>
            <w:r>
              <w:rPr>
                <w:spacing w:val="-3"/>
              </w:rPr>
              <w:t>Contingencia Ambiental </w:t>
            </w:r>
            <w:r>
              <w:rPr/>
              <w:t>y</w:t>
            </w:r>
            <w:r>
              <w:rPr>
                <w:spacing w:val="-7"/>
              </w:rPr>
              <w:t> </w:t>
            </w:r>
            <w:r>
              <w:rPr/>
              <w:t>Alerta</w:t>
            </w:r>
            <w:r>
              <w:rPr>
                <w:spacing w:val="2"/>
              </w:rPr>
              <w:t> </w:t>
            </w:r>
            <w:r>
              <w:rPr>
                <w:spacing w:val="-4"/>
              </w:rPr>
              <w:t>Temprana</w:t>
              <w:tab/>
            </w:r>
            <w:r>
              <w:rPr/>
              <w:t>99</w:t>
            </w:r>
          </w:hyperlink>
        </w:p>
        <w:p>
          <w:pPr>
            <w:pStyle w:val="TOC3"/>
            <w:numPr>
              <w:ilvl w:val="2"/>
              <w:numId w:val="5"/>
            </w:numPr>
            <w:tabs>
              <w:tab w:pos="770" w:val="left" w:leader="none"/>
              <w:tab w:pos="8934" w:val="right" w:leader="dot"/>
            </w:tabs>
            <w:spacing w:line="240" w:lineRule="auto" w:before="140" w:after="0"/>
            <w:ind w:left="769" w:right="0" w:hanging="224"/>
            <w:jc w:val="left"/>
          </w:pPr>
          <w:hyperlink w:history="true" w:anchor="_bookmark46">
            <w:r>
              <w:rPr>
                <w:spacing w:val="-3"/>
              </w:rPr>
              <w:t>Etapas </w:t>
            </w:r>
            <w:r>
              <w:rPr>
                <w:spacing w:val="-2"/>
              </w:rPr>
              <w:t>del </w:t>
            </w:r>
            <w:r>
              <w:rPr/>
              <w:t>Plan de</w:t>
            </w:r>
            <w:r>
              <w:rPr>
                <w:spacing w:val="-11"/>
              </w:rPr>
              <w:t> </w:t>
            </w:r>
            <w:r>
              <w:rPr/>
              <w:t>Alerta</w:t>
            </w:r>
            <w:r>
              <w:rPr>
                <w:spacing w:val="2"/>
              </w:rPr>
              <w:t> </w:t>
            </w:r>
            <w:r>
              <w:rPr>
                <w:spacing w:val="-4"/>
              </w:rPr>
              <w:t>Temprana</w:t>
              <w:tab/>
            </w:r>
            <w:r>
              <w:rPr>
                <w:spacing w:val="-2"/>
              </w:rPr>
              <w:t>100</w:t>
            </w:r>
          </w:hyperlink>
        </w:p>
        <w:p>
          <w:pPr>
            <w:pStyle w:val="TOC3"/>
            <w:numPr>
              <w:ilvl w:val="2"/>
              <w:numId w:val="5"/>
            </w:numPr>
            <w:tabs>
              <w:tab w:pos="770" w:val="left" w:leader="none"/>
              <w:tab w:pos="8934" w:val="right" w:leader="dot"/>
            </w:tabs>
            <w:spacing w:line="240" w:lineRule="auto" w:before="139" w:after="0"/>
            <w:ind w:left="769" w:right="0" w:hanging="224"/>
            <w:jc w:val="left"/>
          </w:pPr>
          <w:hyperlink w:history="true" w:anchor="_bookmark47">
            <w:r>
              <w:rPr>
                <w:spacing w:val="-3"/>
              </w:rPr>
              <w:t>Estrategias </w:t>
            </w:r>
            <w:r>
              <w:rPr/>
              <w:t>de </w:t>
            </w:r>
            <w:r>
              <w:rPr>
                <w:spacing w:val="-3"/>
              </w:rPr>
              <w:t>Control</w:t>
            </w:r>
            <w:r>
              <w:rPr>
                <w:spacing w:val="-6"/>
              </w:rPr>
              <w:t> </w:t>
            </w:r>
            <w:r>
              <w:rPr/>
              <w:t>y</w:t>
            </w:r>
            <w:r>
              <w:rPr>
                <w:spacing w:val="-8"/>
              </w:rPr>
              <w:t> </w:t>
            </w:r>
            <w:r>
              <w:rPr/>
              <w:t>Mitigación</w:t>
              <w:tab/>
            </w:r>
            <w:r>
              <w:rPr>
                <w:spacing w:val="-2"/>
              </w:rPr>
              <w:t>109</w:t>
            </w:r>
          </w:hyperlink>
        </w:p>
        <w:p>
          <w:pPr>
            <w:pStyle w:val="TOC1"/>
            <w:tabs>
              <w:tab w:pos="8934" w:val="right" w:leader="dot"/>
            </w:tabs>
          </w:pPr>
          <w:hyperlink w:history="true" w:anchor="_bookmark48">
            <w:r>
              <w:rPr>
                <w:spacing w:val="-3"/>
              </w:rPr>
              <w:t>Discusión</w:t>
            </w:r>
            <w:r>
              <w:rPr/>
              <w:t> General</w:t>
              <w:tab/>
            </w:r>
            <w:r>
              <w:rPr>
                <w:spacing w:val="-2"/>
              </w:rPr>
              <w:t>110</w:t>
            </w:r>
          </w:hyperlink>
        </w:p>
        <w:p>
          <w:pPr>
            <w:pStyle w:val="TOC1"/>
            <w:tabs>
              <w:tab w:pos="8934" w:val="right" w:leader="dot"/>
            </w:tabs>
            <w:spacing w:before="140"/>
          </w:pPr>
          <w:hyperlink w:history="true" w:anchor="_bookmark49">
            <w:r>
              <w:rPr>
                <w:spacing w:val="-3"/>
              </w:rPr>
              <w:t>Conclusiones</w:t>
              <w:tab/>
            </w:r>
            <w:r>
              <w:rPr>
                <w:spacing w:val="-2"/>
              </w:rPr>
              <w:t>112</w:t>
            </w:r>
          </w:hyperlink>
        </w:p>
        <w:p>
          <w:pPr>
            <w:pStyle w:val="TOC1"/>
            <w:tabs>
              <w:tab w:pos="8934" w:val="right" w:leader="dot"/>
            </w:tabs>
          </w:pPr>
          <w:hyperlink w:history="true" w:anchor="_bookmark50">
            <w:r>
              <w:rPr>
                <w:spacing w:val="-3"/>
              </w:rPr>
              <w:t>Referencias</w:t>
            </w:r>
            <w:r>
              <w:rPr>
                <w:spacing w:val="-2"/>
              </w:rPr>
              <w:t> </w:t>
            </w:r>
            <w:r>
              <w:rPr/>
              <w:t>Bibliográficas</w:t>
              <w:tab/>
            </w:r>
            <w:r>
              <w:rPr>
                <w:spacing w:val="-2"/>
              </w:rPr>
              <w:t>114</w:t>
            </w:r>
          </w:hyperlink>
        </w:p>
        <w:p>
          <w:pPr/>
          <w:r>
            <w:fldChar w:fldCharType="end"/>
          </w:r>
        </w:p>
      </w:sdtContent>
    </w:sdt>
    <w:p>
      <w:pPr>
        <w:spacing w:after="0"/>
        <w:sectPr>
          <w:type w:val="continuous"/>
          <w:pgSz w:w="12240" w:h="15840"/>
          <w:pgMar w:top="1380" w:bottom="1433" w:left="1600" w:right="1580"/>
        </w:sectPr>
      </w:pPr>
    </w:p>
    <w:p>
      <w:pPr>
        <w:pStyle w:val="BodyText"/>
        <w:spacing w:line="276" w:lineRule="auto" w:before="48"/>
        <w:ind w:left="105" w:right="123"/>
        <w:jc w:val="both"/>
      </w:pPr>
      <w:r>
        <w:rPr/>
        <w:t>El presente trabajo de investigación se realizó en la Universidad Autónoma del Estado de México, dentro del Posgrado de Maestría en Ciencias Ambientales con sede en la Facultad de Química.</w:t>
      </w:r>
    </w:p>
    <w:p>
      <w:pPr>
        <w:pStyle w:val="BodyText"/>
        <w:spacing w:line="446" w:lineRule="auto" w:before="724"/>
        <w:ind w:left="105" w:right="4853"/>
      </w:pPr>
      <w:r>
        <w:rPr/>
        <w:t>Número de Registro MACIAS-1114 En </w:t>
      </w:r>
      <w:r>
        <w:rPr>
          <w:spacing w:val="-3"/>
        </w:rPr>
        <w:t>el </w:t>
      </w:r>
      <w:r>
        <w:rPr/>
        <w:t>Área </w:t>
      </w:r>
      <w:r>
        <w:rPr>
          <w:spacing w:val="5"/>
        </w:rPr>
        <w:t>de </w:t>
      </w:r>
      <w:r>
        <w:rPr/>
        <w:t>“Desarrollo</w:t>
      </w:r>
      <w:r>
        <w:rPr>
          <w:spacing w:val="-28"/>
        </w:rPr>
        <w:t> </w:t>
      </w:r>
      <w:r>
        <w:rPr/>
        <w:t>Sustentable”</w:t>
      </w:r>
    </w:p>
    <w:p>
      <w:pPr>
        <w:spacing w:after="0" w:line="446" w:lineRule="auto"/>
        <w:sectPr>
          <w:pgSz w:w="12240" w:h="15840"/>
          <w:pgMar w:header="0" w:footer="1001" w:top="1360" w:bottom="1200" w:left="1600" w:right="1580"/>
        </w:sectPr>
      </w:pPr>
    </w:p>
    <w:p>
      <w:pPr>
        <w:spacing w:before="29"/>
        <w:ind w:left="99" w:right="122" w:firstLine="0"/>
        <w:jc w:val="center"/>
        <w:rPr>
          <w:rFonts w:ascii="Cambria"/>
          <w:b/>
          <w:sz w:val="32"/>
        </w:rPr>
      </w:pPr>
      <w:r>
        <w:rPr>
          <w:rFonts w:ascii="Cambria"/>
          <w:b/>
          <w:color w:val="365F91"/>
          <w:sz w:val="32"/>
        </w:rPr>
        <w:t>Agradecimientos</w:t>
      </w:r>
    </w:p>
    <w:p>
      <w:pPr>
        <w:pStyle w:val="BodyText"/>
        <w:rPr>
          <w:rFonts w:ascii="Cambria"/>
          <w:b/>
          <w:sz w:val="32"/>
        </w:rPr>
      </w:pPr>
    </w:p>
    <w:p>
      <w:pPr>
        <w:pStyle w:val="BodyText"/>
        <w:spacing w:line="273" w:lineRule="auto" w:before="201"/>
        <w:ind w:left="365" w:right="400" w:hanging="3"/>
        <w:jc w:val="center"/>
      </w:pPr>
      <w:r>
        <w:rPr/>
        <w:t>Al </w:t>
      </w:r>
      <w:r>
        <w:rPr>
          <w:b/>
        </w:rPr>
        <w:t>Consejo Nacional de Ciencia y Tecnología</w:t>
      </w:r>
      <w:r>
        <w:rPr/>
        <w:t>, por su apoyo mediante la asignación de la beca para estudios de Posgrado que me permitió realizar los estudios de maestría y llevar a cabo la presente investigación.</w:t>
      </w:r>
    </w:p>
    <w:p>
      <w:pPr>
        <w:pStyle w:val="BodyText"/>
      </w:pPr>
    </w:p>
    <w:p>
      <w:pPr>
        <w:pStyle w:val="BodyText"/>
      </w:pPr>
    </w:p>
    <w:p>
      <w:pPr>
        <w:pStyle w:val="BodyText"/>
      </w:pPr>
    </w:p>
    <w:p>
      <w:pPr>
        <w:pStyle w:val="BodyText"/>
        <w:spacing w:before="9"/>
        <w:rPr>
          <w:sz w:val="35"/>
        </w:rPr>
      </w:pPr>
    </w:p>
    <w:p>
      <w:pPr>
        <w:spacing w:line="278" w:lineRule="auto" w:before="0"/>
        <w:ind w:left="88" w:right="122" w:firstLine="0"/>
        <w:jc w:val="center"/>
        <w:rPr>
          <w:sz w:val="24"/>
        </w:rPr>
      </w:pPr>
      <w:r>
        <w:rPr>
          <w:sz w:val="24"/>
        </w:rPr>
        <w:t>A la </w:t>
      </w:r>
      <w:r>
        <w:rPr>
          <w:b/>
          <w:sz w:val="24"/>
        </w:rPr>
        <w:t>Universidad Autónoma del Estado de México </w:t>
      </w:r>
      <w:r>
        <w:rPr>
          <w:sz w:val="24"/>
        </w:rPr>
        <w:t>por brindarme la oportunidad de realizar los estudios de posgrado.</w:t>
      </w:r>
    </w:p>
    <w:p>
      <w:pPr>
        <w:pStyle w:val="BodyText"/>
      </w:pPr>
    </w:p>
    <w:p>
      <w:pPr>
        <w:pStyle w:val="BodyText"/>
      </w:pPr>
    </w:p>
    <w:p>
      <w:pPr>
        <w:pStyle w:val="BodyText"/>
      </w:pPr>
    </w:p>
    <w:p>
      <w:pPr>
        <w:pStyle w:val="BodyText"/>
        <w:spacing w:before="3"/>
        <w:rPr>
          <w:sz w:val="35"/>
        </w:rPr>
      </w:pPr>
    </w:p>
    <w:p>
      <w:pPr>
        <w:spacing w:line="271" w:lineRule="auto" w:before="0"/>
        <w:ind w:left="93" w:right="122" w:firstLine="0"/>
        <w:jc w:val="center"/>
        <w:rPr>
          <w:sz w:val="24"/>
        </w:rPr>
      </w:pPr>
      <w:r>
        <w:rPr>
          <w:sz w:val="24"/>
        </w:rPr>
        <w:t>A la </w:t>
      </w:r>
      <w:r>
        <w:rPr>
          <w:b/>
          <w:sz w:val="24"/>
        </w:rPr>
        <w:t>Facultad de Química</w:t>
      </w:r>
      <w:r>
        <w:rPr>
          <w:sz w:val="24"/>
        </w:rPr>
        <w:t>, sede del programa de Maestría en Ciencias Ambientales.</w:t>
      </w:r>
    </w:p>
    <w:p>
      <w:pPr>
        <w:pStyle w:val="BodyText"/>
      </w:pPr>
    </w:p>
    <w:p>
      <w:pPr>
        <w:pStyle w:val="BodyText"/>
      </w:pPr>
    </w:p>
    <w:p>
      <w:pPr>
        <w:pStyle w:val="BodyText"/>
      </w:pPr>
    </w:p>
    <w:p>
      <w:pPr>
        <w:pStyle w:val="BodyText"/>
        <w:spacing w:before="11"/>
        <w:rPr>
          <w:sz w:val="35"/>
        </w:rPr>
      </w:pPr>
    </w:p>
    <w:p>
      <w:pPr>
        <w:spacing w:line="278" w:lineRule="auto" w:before="0"/>
        <w:ind w:left="100" w:right="122" w:firstLine="0"/>
        <w:jc w:val="center"/>
        <w:rPr>
          <w:sz w:val="24"/>
        </w:rPr>
      </w:pPr>
      <w:r>
        <w:rPr>
          <w:sz w:val="24"/>
        </w:rPr>
        <w:t>A la </w:t>
      </w:r>
      <w:r>
        <w:rPr>
          <w:b/>
          <w:sz w:val="24"/>
        </w:rPr>
        <w:t>Dra. María Estela Orozco Hernández</w:t>
      </w:r>
      <w:r>
        <w:rPr>
          <w:sz w:val="24"/>
        </w:rPr>
        <w:t>, por su apoyo, guía y dirección durante la realización de la presente investigación, tanto en lo académico como en lo personal.</w:t>
      </w:r>
    </w:p>
    <w:p>
      <w:pPr>
        <w:pStyle w:val="BodyText"/>
      </w:pPr>
    </w:p>
    <w:p>
      <w:pPr>
        <w:pStyle w:val="BodyText"/>
      </w:pPr>
    </w:p>
    <w:p>
      <w:pPr>
        <w:pStyle w:val="BodyText"/>
      </w:pPr>
    </w:p>
    <w:p>
      <w:pPr>
        <w:pStyle w:val="BodyText"/>
        <w:spacing w:before="3"/>
        <w:rPr>
          <w:sz w:val="35"/>
        </w:rPr>
      </w:pPr>
    </w:p>
    <w:p>
      <w:pPr>
        <w:spacing w:before="1"/>
        <w:ind w:left="99" w:right="122" w:firstLine="0"/>
        <w:jc w:val="center"/>
        <w:rPr>
          <w:sz w:val="24"/>
        </w:rPr>
      </w:pPr>
      <w:r>
        <w:rPr>
          <w:sz w:val="24"/>
        </w:rPr>
        <w:t>A la </w:t>
      </w:r>
      <w:r>
        <w:rPr>
          <w:b/>
          <w:sz w:val="24"/>
        </w:rPr>
        <w:t>Dra. María Eugenia Valdez Pérez</w:t>
      </w:r>
      <w:r>
        <w:rPr>
          <w:sz w:val="24"/>
        </w:rPr>
        <w:t>, por su valiosa orientación.</w:t>
      </w:r>
    </w:p>
    <w:p>
      <w:pPr>
        <w:pStyle w:val="BodyText"/>
      </w:pPr>
    </w:p>
    <w:p>
      <w:pPr>
        <w:pStyle w:val="BodyText"/>
      </w:pPr>
    </w:p>
    <w:p>
      <w:pPr>
        <w:pStyle w:val="BodyText"/>
      </w:pPr>
    </w:p>
    <w:p>
      <w:pPr>
        <w:pStyle w:val="BodyText"/>
      </w:pPr>
    </w:p>
    <w:p>
      <w:pPr>
        <w:spacing w:before="172"/>
        <w:ind w:left="92" w:right="122" w:firstLine="0"/>
        <w:jc w:val="center"/>
        <w:rPr>
          <w:sz w:val="24"/>
        </w:rPr>
      </w:pPr>
      <w:r>
        <w:rPr>
          <w:sz w:val="24"/>
        </w:rPr>
        <w:t>Al </w:t>
      </w:r>
      <w:r>
        <w:rPr>
          <w:b/>
          <w:sz w:val="24"/>
        </w:rPr>
        <w:t>Mto. Victor Francisco Pacheco Salazar </w:t>
      </w:r>
      <w:r>
        <w:rPr>
          <w:sz w:val="24"/>
        </w:rPr>
        <w:t>por su apoyo y guía.</w:t>
      </w:r>
    </w:p>
    <w:p>
      <w:pPr>
        <w:spacing w:after="0"/>
        <w:jc w:val="center"/>
        <w:rPr>
          <w:sz w:val="24"/>
        </w:rPr>
        <w:sectPr>
          <w:pgSz w:w="12240" w:h="15840"/>
          <w:pgMar w:header="0" w:footer="1001" w:top="1380" w:bottom="1200" w:left="1620" w:right="1580"/>
        </w:sectPr>
      </w:pPr>
    </w:p>
    <w:p>
      <w:pPr>
        <w:spacing w:before="29"/>
        <w:ind w:left="293" w:right="302" w:firstLine="0"/>
        <w:jc w:val="center"/>
        <w:rPr>
          <w:rFonts w:ascii="Cambria"/>
          <w:b/>
          <w:sz w:val="32"/>
        </w:rPr>
      </w:pPr>
      <w:r>
        <w:rPr>
          <w:rFonts w:ascii="Cambria"/>
          <w:b/>
          <w:color w:val="365F91"/>
          <w:sz w:val="32"/>
        </w:rPr>
        <w:t>Dedicatorias</w:t>
      </w:r>
    </w:p>
    <w:p>
      <w:pPr>
        <w:pStyle w:val="BodyText"/>
        <w:rPr>
          <w:rFonts w:ascii="Cambria"/>
          <w:b/>
          <w:sz w:val="32"/>
        </w:rPr>
      </w:pPr>
    </w:p>
    <w:p>
      <w:pPr>
        <w:pStyle w:val="BodyText"/>
        <w:rPr>
          <w:rFonts w:ascii="Cambria"/>
          <w:b/>
          <w:sz w:val="32"/>
        </w:rPr>
      </w:pPr>
    </w:p>
    <w:p>
      <w:pPr>
        <w:pStyle w:val="BodyText"/>
        <w:spacing w:before="1"/>
        <w:rPr>
          <w:rFonts w:ascii="Cambria"/>
          <w:b/>
          <w:sz w:val="28"/>
        </w:rPr>
      </w:pPr>
    </w:p>
    <w:p>
      <w:pPr>
        <w:spacing w:before="0"/>
        <w:ind w:left="105" w:right="0" w:firstLine="0"/>
        <w:jc w:val="left"/>
        <w:rPr>
          <w:rFonts w:ascii="Calibri" w:hAnsi="Calibri"/>
          <w:sz w:val="22"/>
        </w:rPr>
      </w:pPr>
      <w:r>
        <w:rPr>
          <w:rFonts w:ascii="Calibri" w:hAnsi="Calibri"/>
          <w:sz w:val="22"/>
        </w:rPr>
        <w:t>A dios y  a la vida, por permitirme llegar al día de hoy</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8"/>
        <w:rPr>
          <w:rFonts w:ascii="Calibri"/>
          <w:sz w:val="23"/>
        </w:rPr>
      </w:pPr>
    </w:p>
    <w:p>
      <w:pPr>
        <w:spacing w:before="1"/>
        <w:ind w:left="290" w:right="302" w:firstLine="0"/>
        <w:jc w:val="center"/>
        <w:rPr>
          <w:rFonts w:ascii="Calibri" w:hAnsi="Calibri"/>
          <w:sz w:val="22"/>
        </w:rPr>
      </w:pPr>
      <w:r>
        <w:rPr>
          <w:rFonts w:ascii="Calibri" w:hAnsi="Calibri"/>
          <w:sz w:val="22"/>
        </w:rPr>
        <w:t>A mis padres y hermanos, por ser mis guías, mi apoyo y fuerza.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3"/>
        </w:rPr>
      </w:pPr>
    </w:p>
    <w:p>
      <w:pPr>
        <w:spacing w:before="0"/>
        <w:ind w:left="5492" w:right="0" w:firstLine="0"/>
        <w:jc w:val="left"/>
        <w:rPr>
          <w:rFonts w:ascii="Calibri" w:hAnsi="Calibri"/>
          <w:sz w:val="22"/>
        </w:rPr>
      </w:pPr>
      <w:r>
        <w:rPr>
          <w:rFonts w:ascii="Calibri" w:hAnsi="Calibri"/>
          <w:sz w:val="22"/>
        </w:rPr>
        <w:t>A Diana, por tu amor y apoyo cada día.</w:t>
      </w:r>
    </w:p>
    <w:p>
      <w:pPr>
        <w:spacing w:after="0"/>
        <w:jc w:val="left"/>
        <w:rPr>
          <w:rFonts w:ascii="Calibri" w:hAnsi="Calibri"/>
          <w:sz w:val="22"/>
        </w:rPr>
        <w:sectPr>
          <w:pgSz w:w="12240" w:h="15840"/>
          <w:pgMar w:header="0" w:footer="1001" w:top="1380" w:bottom="1200" w:left="1600" w:right="1580"/>
        </w:sectPr>
      </w:pPr>
    </w:p>
    <w:p>
      <w:pPr>
        <w:pStyle w:val="Heading1"/>
      </w:pPr>
      <w:bookmarkStart w:name="_bookmark0" w:id="1"/>
      <w:bookmarkEnd w:id="1"/>
      <w:r>
        <w:rPr>
          <w:b w:val="0"/>
        </w:rPr>
      </w:r>
      <w:r>
        <w:rPr>
          <w:color w:val="365F91"/>
        </w:rPr>
        <w:t>Abreviaturas</w:t>
      </w:r>
    </w:p>
    <w:p>
      <w:pPr>
        <w:pStyle w:val="BodyText"/>
        <w:rPr>
          <w:rFonts w:ascii="Cambria"/>
          <w:b/>
          <w:sz w:val="20"/>
        </w:rPr>
      </w:pPr>
    </w:p>
    <w:p>
      <w:pPr>
        <w:pStyle w:val="BodyText"/>
        <w:spacing w:before="1"/>
        <w:rPr>
          <w:rFonts w:ascii="Cambria"/>
          <w:b/>
        </w:rPr>
      </w:pPr>
    </w:p>
    <w:p>
      <w:pPr>
        <w:spacing w:line="451" w:lineRule="auto" w:before="59"/>
        <w:ind w:left="105" w:right="6572" w:firstLine="0"/>
        <w:jc w:val="left"/>
        <w:rPr>
          <w:rFonts w:ascii="Calibri" w:hAnsi="Calibri"/>
          <w:sz w:val="22"/>
        </w:rPr>
      </w:pPr>
      <w:r>
        <w:rPr>
          <w:rFonts w:ascii="Calibri" w:hAnsi="Calibri"/>
          <w:sz w:val="22"/>
        </w:rPr>
        <w:t>CO- Monóxido de Carbono CO</w:t>
      </w:r>
      <w:r>
        <w:rPr>
          <w:rFonts w:ascii="Calibri" w:hAnsi="Calibri"/>
          <w:position w:val="-2"/>
          <w:sz w:val="14"/>
        </w:rPr>
        <w:t>2</w:t>
      </w:r>
      <w:r>
        <w:rPr>
          <w:rFonts w:ascii="Calibri" w:hAnsi="Calibri"/>
          <w:sz w:val="22"/>
        </w:rPr>
        <w:t>-Dióxido de Carbono</w:t>
      </w:r>
    </w:p>
    <w:p>
      <w:pPr>
        <w:spacing w:line="260" w:lineRule="exact" w:before="0"/>
        <w:ind w:left="105" w:right="0" w:firstLine="0"/>
        <w:jc w:val="left"/>
        <w:rPr>
          <w:rFonts w:ascii="Calibri" w:hAnsi="Calibri"/>
          <w:sz w:val="22"/>
        </w:rPr>
      </w:pPr>
      <w:r>
        <w:rPr>
          <w:rFonts w:ascii="Calibri" w:hAnsi="Calibri"/>
          <w:sz w:val="22"/>
        </w:rPr>
        <w:t>COV’s- Compuestos Orgánicos Volátiles</w:t>
      </w:r>
    </w:p>
    <w:p>
      <w:pPr>
        <w:pStyle w:val="BodyText"/>
        <w:spacing w:before="3"/>
        <w:rPr>
          <w:rFonts w:ascii="Calibri"/>
          <w:sz w:val="19"/>
        </w:rPr>
      </w:pPr>
    </w:p>
    <w:p>
      <w:pPr>
        <w:spacing w:line="458" w:lineRule="auto" w:before="0"/>
        <w:ind w:left="105" w:right="3228" w:firstLine="0"/>
        <w:jc w:val="left"/>
        <w:rPr>
          <w:rFonts w:ascii="Calibri" w:hAnsi="Calibri"/>
          <w:sz w:val="22"/>
        </w:rPr>
      </w:pPr>
      <w:r>
        <w:rPr>
          <w:rFonts w:ascii="Calibri" w:hAnsi="Calibri"/>
          <w:sz w:val="22"/>
        </w:rPr>
        <w:t>DENUE-Directorio Estadístico Nacional de Unidades Económicas IMECA- Índice Metropolitano de Calidad del  Aire</w:t>
      </w:r>
    </w:p>
    <w:p>
      <w:pPr>
        <w:spacing w:line="268" w:lineRule="exact" w:before="0"/>
        <w:ind w:left="105" w:right="0" w:firstLine="0"/>
        <w:jc w:val="left"/>
        <w:rPr>
          <w:rFonts w:ascii="Calibri" w:hAnsi="Calibri"/>
          <w:sz w:val="22"/>
        </w:rPr>
      </w:pPr>
      <w:r>
        <w:rPr>
          <w:rFonts w:ascii="Calibri" w:hAnsi="Calibri"/>
          <w:sz w:val="22"/>
        </w:rPr>
        <w:t>INEGI- Instituto Nacional de Estadística y  Geografía</w:t>
      </w:r>
    </w:p>
    <w:p>
      <w:pPr>
        <w:pStyle w:val="BodyText"/>
        <w:spacing w:before="4"/>
        <w:rPr>
          <w:rFonts w:ascii="Calibri"/>
          <w:sz w:val="19"/>
        </w:rPr>
      </w:pPr>
    </w:p>
    <w:p>
      <w:pPr>
        <w:spacing w:line="458" w:lineRule="auto" w:before="0"/>
        <w:ind w:left="105" w:right="2212" w:firstLine="0"/>
        <w:jc w:val="left"/>
        <w:rPr>
          <w:rFonts w:ascii="Calibri" w:hAnsi="Calibri"/>
          <w:sz w:val="22"/>
        </w:rPr>
      </w:pPr>
      <w:r>
        <w:rPr>
          <w:rFonts w:ascii="Calibri" w:hAnsi="Calibri"/>
          <w:sz w:val="22"/>
        </w:rPr>
        <w:t>LGEEPA- Ley General de Equilibrio Ecológico y Protección al Ambiente NOM- Norma Oficial Mexicana</w:t>
      </w:r>
    </w:p>
    <w:p>
      <w:pPr>
        <w:spacing w:line="260" w:lineRule="exact" w:before="0"/>
        <w:ind w:left="105" w:right="0" w:firstLine="0"/>
        <w:jc w:val="left"/>
        <w:rPr>
          <w:rFonts w:ascii="Calibri" w:hAnsi="Calibri"/>
          <w:sz w:val="22"/>
        </w:rPr>
      </w:pPr>
      <w:r>
        <w:rPr>
          <w:rFonts w:ascii="Calibri" w:hAnsi="Calibri"/>
          <w:sz w:val="22"/>
        </w:rPr>
        <w:t>Mcg/m</w:t>
      </w:r>
      <w:r>
        <w:rPr>
          <w:rFonts w:ascii="Calibri" w:hAnsi="Calibri"/>
          <w:position w:val="10"/>
          <w:sz w:val="14"/>
        </w:rPr>
        <w:t>3</w:t>
      </w:r>
      <w:r>
        <w:rPr>
          <w:rFonts w:ascii="Calibri" w:hAnsi="Calibri"/>
          <w:sz w:val="22"/>
        </w:rPr>
        <w:t>- microgramos por metro cúbico</w:t>
      </w:r>
    </w:p>
    <w:p>
      <w:pPr>
        <w:pStyle w:val="BodyText"/>
        <w:spacing w:before="11"/>
        <w:rPr>
          <w:rFonts w:ascii="Calibri"/>
          <w:sz w:val="19"/>
        </w:rPr>
      </w:pPr>
    </w:p>
    <w:p>
      <w:pPr>
        <w:spacing w:line="458" w:lineRule="auto" w:before="0"/>
        <w:ind w:left="105" w:right="6785" w:firstLine="0"/>
        <w:jc w:val="left"/>
        <w:rPr>
          <w:rFonts w:ascii="Calibri" w:hAnsi="Calibri"/>
          <w:sz w:val="22"/>
        </w:rPr>
      </w:pPr>
      <w:r>
        <w:rPr>
          <w:rFonts w:ascii="Calibri" w:hAnsi="Calibri"/>
          <w:sz w:val="22"/>
        </w:rPr>
        <w:t>NOx- Óxidos Nitrosos O</w:t>
      </w:r>
      <w:r>
        <w:rPr>
          <w:rFonts w:ascii="Calibri" w:hAnsi="Calibri"/>
          <w:position w:val="-2"/>
          <w:sz w:val="14"/>
        </w:rPr>
        <w:t>3</w:t>
      </w:r>
      <w:r>
        <w:rPr>
          <w:rFonts w:ascii="Calibri" w:hAnsi="Calibri"/>
          <w:sz w:val="22"/>
        </w:rPr>
        <w:t>- Ozono</w:t>
      </w:r>
    </w:p>
    <w:p>
      <w:pPr>
        <w:spacing w:line="243" w:lineRule="exact" w:before="0"/>
        <w:ind w:left="105" w:right="0" w:firstLine="0"/>
        <w:jc w:val="left"/>
        <w:rPr>
          <w:rFonts w:ascii="Calibri"/>
          <w:sz w:val="22"/>
        </w:rPr>
      </w:pPr>
      <w:r>
        <w:rPr>
          <w:rFonts w:ascii="Calibri"/>
          <w:sz w:val="22"/>
        </w:rPr>
        <w:t>PM10- Material Particulado menor a 10 micras (Particular Matter)</w:t>
      </w:r>
    </w:p>
    <w:p>
      <w:pPr>
        <w:pStyle w:val="BodyText"/>
        <w:spacing w:before="12"/>
        <w:rPr>
          <w:rFonts w:ascii="Calibri"/>
          <w:sz w:val="19"/>
        </w:rPr>
      </w:pPr>
    </w:p>
    <w:p>
      <w:pPr>
        <w:spacing w:line="456" w:lineRule="auto" w:before="0"/>
        <w:ind w:left="105" w:right="2780" w:firstLine="0"/>
        <w:jc w:val="left"/>
        <w:rPr>
          <w:rFonts w:ascii="Calibri" w:hAnsi="Calibri"/>
          <w:sz w:val="22"/>
        </w:rPr>
      </w:pPr>
      <w:r>
        <w:rPr>
          <w:rFonts w:ascii="Calibri" w:hAnsi="Calibri"/>
          <w:sz w:val="22"/>
        </w:rPr>
        <w:t>PM2.5- Material Particulado menor a 5 micras (Particular Matter) RAMAT- Red Automática de Monitoreo Atmosférico de Toluca SEMARNAT- Secretaría de Medio Ambiente y Recursos Naturales SOx- Óxidos de Azufre</w:t>
      </w:r>
    </w:p>
    <w:p>
      <w:pPr>
        <w:spacing w:line="263" w:lineRule="exact" w:before="0"/>
        <w:ind w:left="105" w:right="0" w:firstLine="0"/>
        <w:jc w:val="left"/>
        <w:rPr>
          <w:rFonts w:ascii="Calibri" w:hAnsi="Calibri"/>
          <w:sz w:val="22"/>
        </w:rPr>
      </w:pPr>
      <w:r>
        <w:rPr>
          <w:rFonts w:ascii="Calibri" w:hAnsi="Calibri"/>
          <w:sz w:val="22"/>
        </w:rPr>
        <w:t>SS- Secretaría de Salud</w:t>
      </w:r>
    </w:p>
    <w:p>
      <w:pPr>
        <w:pStyle w:val="BodyText"/>
        <w:spacing w:before="11"/>
        <w:rPr>
          <w:rFonts w:ascii="Calibri"/>
          <w:sz w:val="19"/>
        </w:rPr>
      </w:pPr>
    </w:p>
    <w:p>
      <w:pPr>
        <w:spacing w:line="458" w:lineRule="auto" w:before="0"/>
        <w:ind w:left="105" w:right="3903" w:firstLine="0"/>
        <w:jc w:val="left"/>
        <w:rPr>
          <w:rFonts w:ascii="Calibri"/>
          <w:sz w:val="22"/>
        </w:rPr>
      </w:pPr>
      <w:r>
        <w:rPr>
          <w:rFonts w:ascii="Calibri"/>
          <w:sz w:val="22"/>
        </w:rPr>
        <w:t>ZMCT- Zona Metropolitana de la Ciudad de Toluca ZMVT- Zona Metropolitana del Valle de  Toluca</w:t>
      </w:r>
    </w:p>
    <w:p>
      <w:pPr>
        <w:spacing w:after="0" w:line="458" w:lineRule="auto"/>
        <w:jc w:val="left"/>
        <w:rPr>
          <w:rFonts w:ascii="Calibri"/>
          <w:sz w:val="22"/>
        </w:rPr>
        <w:sectPr>
          <w:pgSz w:w="12240" w:h="15840"/>
          <w:pgMar w:header="0" w:footer="1001" w:top="1380" w:bottom="1200" w:left="1600" w:right="1580"/>
        </w:sectPr>
      </w:pPr>
    </w:p>
    <w:p>
      <w:pPr>
        <w:pStyle w:val="Heading1"/>
        <w:ind w:left="3407" w:right="3334"/>
      </w:pPr>
      <w:bookmarkStart w:name="_bookmark1" w:id="2"/>
      <w:bookmarkEnd w:id="2"/>
      <w:r>
        <w:rPr>
          <w:b w:val="0"/>
        </w:rPr>
      </w:r>
      <w:r>
        <w:rPr>
          <w:color w:val="365F91"/>
        </w:rPr>
        <w:t>Índice de cuadros</w:t>
      </w:r>
    </w:p>
    <w:p>
      <w:pPr>
        <w:pStyle w:val="BodyText"/>
        <w:rPr>
          <w:rFonts w:ascii="Cambria"/>
          <w:b/>
          <w:sz w:val="20"/>
        </w:rPr>
      </w:pPr>
    </w:p>
    <w:p>
      <w:pPr>
        <w:pStyle w:val="BodyText"/>
        <w:rPr>
          <w:rFonts w:ascii="Cambria"/>
          <w:b/>
          <w:sz w:val="20"/>
        </w:rPr>
      </w:pPr>
    </w:p>
    <w:p>
      <w:pPr>
        <w:pStyle w:val="BodyText"/>
        <w:spacing w:before="7"/>
        <w:rPr>
          <w:rFonts w:ascii="Cambria"/>
          <w:b/>
          <w:sz w:val="12"/>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52"/>
        <w:gridCol w:w="707"/>
      </w:tblGrid>
      <w:tr>
        <w:trPr>
          <w:trHeight w:val="244" w:hRule="exact"/>
        </w:trPr>
        <w:tc>
          <w:tcPr>
            <w:tcW w:w="8452" w:type="dxa"/>
          </w:tcPr>
          <w:p>
            <w:pPr>
              <w:pStyle w:val="TableParagraph"/>
              <w:spacing w:line="227" w:lineRule="exact"/>
              <w:ind w:left="200"/>
              <w:rPr>
                <w:rFonts w:ascii="Calibri" w:hAnsi="Calibri"/>
                <w:sz w:val="22"/>
              </w:rPr>
            </w:pPr>
            <w:r>
              <w:rPr>
                <w:rFonts w:ascii="Calibri" w:hAnsi="Calibri"/>
                <w:sz w:val="22"/>
              </w:rPr>
              <w:t>Cuadro 1: Capas de la atmósfera</w:t>
            </w:r>
          </w:p>
        </w:tc>
        <w:tc>
          <w:tcPr>
            <w:tcW w:w="707" w:type="dxa"/>
          </w:tcPr>
          <w:p>
            <w:pPr>
              <w:pStyle w:val="TableParagraph"/>
              <w:spacing w:line="227" w:lineRule="exact"/>
              <w:ind w:left="169"/>
              <w:rPr>
                <w:rFonts w:ascii="Calibri"/>
                <w:sz w:val="22"/>
              </w:rPr>
            </w:pPr>
            <w:r>
              <w:rPr>
                <w:rFonts w:ascii="Calibri"/>
                <w:sz w:val="22"/>
              </w:rPr>
              <w:t>15</w:t>
            </w:r>
          </w:p>
        </w:tc>
      </w:tr>
      <w:tr>
        <w:trPr>
          <w:trHeight w:val="268" w:hRule="exact"/>
        </w:trPr>
        <w:tc>
          <w:tcPr>
            <w:tcW w:w="8452" w:type="dxa"/>
          </w:tcPr>
          <w:p>
            <w:pPr>
              <w:pStyle w:val="TableParagraph"/>
              <w:spacing w:line="247" w:lineRule="exact"/>
              <w:ind w:left="200"/>
              <w:rPr>
                <w:rFonts w:ascii="Calibri" w:hAnsi="Calibri"/>
                <w:sz w:val="22"/>
              </w:rPr>
            </w:pPr>
            <w:r>
              <w:rPr>
                <w:rFonts w:ascii="Calibri" w:hAnsi="Calibri"/>
                <w:sz w:val="22"/>
              </w:rPr>
              <w:t>Cuadro 2: Composición del aire troposférico</w:t>
            </w:r>
          </w:p>
        </w:tc>
        <w:tc>
          <w:tcPr>
            <w:tcW w:w="707" w:type="dxa"/>
          </w:tcPr>
          <w:p>
            <w:pPr>
              <w:pStyle w:val="TableParagraph"/>
              <w:spacing w:line="247" w:lineRule="exact"/>
              <w:ind w:left="169"/>
              <w:rPr>
                <w:rFonts w:ascii="Calibri"/>
                <w:sz w:val="22"/>
              </w:rPr>
            </w:pPr>
            <w:r>
              <w:rPr>
                <w:rFonts w:ascii="Calibri"/>
                <w:sz w:val="22"/>
              </w:rPr>
              <w:t>15</w:t>
            </w:r>
          </w:p>
        </w:tc>
      </w:tr>
      <w:tr>
        <w:trPr>
          <w:trHeight w:val="268" w:hRule="exact"/>
        </w:trPr>
        <w:tc>
          <w:tcPr>
            <w:tcW w:w="8452" w:type="dxa"/>
          </w:tcPr>
          <w:p>
            <w:pPr>
              <w:pStyle w:val="TableParagraph"/>
              <w:spacing w:line="251" w:lineRule="exact"/>
              <w:ind w:left="200"/>
              <w:rPr>
                <w:rFonts w:ascii="Calibri" w:hAnsi="Calibri"/>
                <w:sz w:val="22"/>
              </w:rPr>
            </w:pPr>
            <w:r>
              <w:rPr>
                <w:rFonts w:ascii="Calibri" w:hAnsi="Calibri"/>
                <w:sz w:val="22"/>
              </w:rPr>
              <w:t>Cuadro 3: Estructura básica de la base de  datos</w:t>
            </w:r>
          </w:p>
        </w:tc>
        <w:tc>
          <w:tcPr>
            <w:tcW w:w="707" w:type="dxa"/>
          </w:tcPr>
          <w:p>
            <w:pPr>
              <w:pStyle w:val="TableParagraph"/>
              <w:spacing w:line="251" w:lineRule="exact"/>
              <w:ind w:left="169"/>
              <w:rPr>
                <w:rFonts w:ascii="Calibri"/>
                <w:sz w:val="22"/>
              </w:rPr>
            </w:pPr>
            <w:r>
              <w:rPr>
                <w:rFonts w:ascii="Calibri"/>
                <w:sz w:val="22"/>
              </w:rPr>
              <w:t>49</w:t>
            </w:r>
          </w:p>
        </w:tc>
      </w:tr>
      <w:tr>
        <w:trPr>
          <w:trHeight w:val="268" w:hRule="exact"/>
        </w:trPr>
        <w:tc>
          <w:tcPr>
            <w:tcW w:w="8452" w:type="dxa"/>
          </w:tcPr>
          <w:p>
            <w:pPr>
              <w:pStyle w:val="TableParagraph"/>
              <w:spacing w:line="247" w:lineRule="exact"/>
              <w:ind w:left="200"/>
              <w:rPr>
                <w:rFonts w:ascii="Calibri" w:hAnsi="Calibri"/>
                <w:sz w:val="22"/>
              </w:rPr>
            </w:pPr>
            <w:r>
              <w:rPr>
                <w:rFonts w:ascii="Calibri" w:hAnsi="Calibri"/>
                <w:sz w:val="22"/>
              </w:rPr>
              <w:t>Cuadro 4. Contribución de partículas por municipio como resultado de la actividad  agrícola</w:t>
            </w:r>
          </w:p>
        </w:tc>
        <w:tc>
          <w:tcPr>
            <w:tcW w:w="707" w:type="dxa"/>
          </w:tcPr>
          <w:p>
            <w:pPr>
              <w:pStyle w:val="TableParagraph"/>
              <w:spacing w:line="247" w:lineRule="exact"/>
              <w:ind w:left="169"/>
              <w:rPr>
                <w:rFonts w:ascii="Calibri"/>
                <w:sz w:val="22"/>
              </w:rPr>
            </w:pPr>
            <w:r>
              <w:rPr>
                <w:rFonts w:ascii="Calibri"/>
                <w:sz w:val="22"/>
              </w:rPr>
              <w:t>53</w:t>
            </w:r>
          </w:p>
        </w:tc>
      </w:tr>
      <w:tr>
        <w:trPr>
          <w:trHeight w:val="404" w:hRule="exact"/>
        </w:trPr>
        <w:tc>
          <w:tcPr>
            <w:tcW w:w="8452" w:type="dxa"/>
          </w:tcPr>
          <w:p>
            <w:pPr>
              <w:pStyle w:val="TableParagraph"/>
              <w:spacing w:line="251" w:lineRule="exact"/>
              <w:ind w:left="200"/>
              <w:rPr>
                <w:rFonts w:ascii="Calibri" w:hAnsi="Calibri"/>
                <w:sz w:val="22"/>
              </w:rPr>
            </w:pPr>
            <w:r>
              <w:rPr>
                <w:rFonts w:ascii="Calibri" w:hAnsi="Calibri"/>
                <w:sz w:val="22"/>
              </w:rPr>
              <w:t>Cuadro 5. Minas activas de material pétreo. ZMVT,  2012</w:t>
            </w:r>
          </w:p>
        </w:tc>
        <w:tc>
          <w:tcPr>
            <w:tcW w:w="707" w:type="dxa"/>
          </w:tcPr>
          <w:p>
            <w:pPr>
              <w:pStyle w:val="TableParagraph"/>
              <w:spacing w:line="251" w:lineRule="exact"/>
              <w:ind w:left="169"/>
              <w:rPr>
                <w:rFonts w:ascii="Calibri"/>
                <w:sz w:val="22"/>
              </w:rPr>
            </w:pPr>
            <w:r>
              <w:rPr>
                <w:rFonts w:ascii="Calibri"/>
                <w:sz w:val="22"/>
              </w:rPr>
              <w:t>59</w:t>
            </w:r>
          </w:p>
        </w:tc>
      </w:tr>
      <w:tr>
        <w:trPr>
          <w:trHeight w:val="536" w:hRule="exact"/>
        </w:trPr>
        <w:tc>
          <w:tcPr>
            <w:tcW w:w="8452" w:type="dxa"/>
          </w:tcPr>
          <w:p>
            <w:pPr>
              <w:pStyle w:val="TableParagraph"/>
              <w:spacing w:before="114"/>
              <w:ind w:left="200"/>
              <w:rPr>
                <w:rFonts w:ascii="Calibri" w:hAnsi="Calibri"/>
                <w:sz w:val="22"/>
              </w:rPr>
            </w:pPr>
            <w:r>
              <w:rPr>
                <w:rFonts w:ascii="Calibri" w:hAnsi="Calibri"/>
                <w:sz w:val="22"/>
              </w:rPr>
              <w:t>Cuadro 6. Unidades  económicas  de la industria manufacturera</w:t>
            </w:r>
          </w:p>
        </w:tc>
        <w:tc>
          <w:tcPr>
            <w:tcW w:w="707" w:type="dxa"/>
          </w:tcPr>
          <w:p>
            <w:pPr>
              <w:pStyle w:val="TableParagraph"/>
              <w:spacing w:before="114"/>
              <w:ind w:left="169"/>
              <w:rPr>
                <w:rFonts w:ascii="Calibri"/>
                <w:sz w:val="22"/>
              </w:rPr>
            </w:pPr>
            <w:r>
              <w:rPr>
                <w:rFonts w:ascii="Calibri"/>
                <w:sz w:val="22"/>
              </w:rPr>
              <w:t>59</w:t>
            </w:r>
          </w:p>
        </w:tc>
      </w:tr>
      <w:tr>
        <w:trPr>
          <w:trHeight w:val="536" w:hRule="exact"/>
        </w:trPr>
        <w:tc>
          <w:tcPr>
            <w:tcW w:w="8452" w:type="dxa"/>
          </w:tcPr>
          <w:p>
            <w:pPr>
              <w:pStyle w:val="TableParagraph"/>
              <w:spacing w:before="114"/>
              <w:ind w:left="200"/>
              <w:rPr>
                <w:rFonts w:ascii="Calibri" w:hAnsi="Calibri"/>
                <w:sz w:val="22"/>
              </w:rPr>
            </w:pPr>
            <w:r>
              <w:rPr>
                <w:rFonts w:ascii="Calibri" w:hAnsi="Calibri"/>
                <w:sz w:val="22"/>
              </w:rPr>
              <w:t>Cuadro 7. Automóviles  y camiones de pasajeros  registrados  en circulación</w:t>
            </w:r>
          </w:p>
        </w:tc>
        <w:tc>
          <w:tcPr>
            <w:tcW w:w="707" w:type="dxa"/>
          </w:tcPr>
          <w:p>
            <w:pPr>
              <w:pStyle w:val="TableParagraph"/>
              <w:spacing w:before="114"/>
              <w:ind w:left="169"/>
              <w:rPr>
                <w:rFonts w:ascii="Calibri"/>
                <w:sz w:val="22"/>
              </w:rPr>
            </w:pPr>
            <w:r>
              <w:rPr>
                <w:rFonts w:ascii="Calibri"/>
                <w:sz w:val="22"/>
              </w:rPr>
              <w:t>62</w:t>
            </w:r>
          </w:p>
        </w:tc>
      </w:tr>
      <w:tr>
        <w:trPr>
          <w:trHeight w:val="536" w:hRule="exact"/>
        </w:trPr>
        <w:tc>
          <w:tcPr>
            <w:tcW w:w="8452" w:type="dxa"/>
          </w:tcPr>
          <w:p>
            <w:pPr>
              <w:pStyle w:val="TableParagraph"/>
              <w:spacing w:before="114"/>
              <w:ind w:left="200"/>
              <w:rPr>
                <w:rFonts w:ascii="Calibri" w:hAnsi="Calibri"/>
                <w:sz w:val="22"/>
              </w:rPr>
            </w:pPr>
            <w:r>
              <w:rPr>
                <w:rFonts w:ascii="Calibri" w:hAnsi="Calibri"/>
                <w:sz w:val="22"/>
              </w:rPr>
              <w:t>Cuadro 8. Efectos de la contaminación atmosférica en la  salud</w:t>
            </w:r>
          </w:p>
        </w:tc>
        <w:tc>
          <w:tcPr>
            <w:tcW w:w="707" w:type="dxa"/>
          </w:tcPr>
          <w:p>
            <w:pPr>
              <w:pStyle w:val="TableParagraph"/>
              <w:spacing w:before="114"/>
              <w:ind w:left="169"/>
              <w:rPr>
                <w:rFonts w:ascii="Calibri"/>
                <w:sz w:val="22"/>
              </w:rPr>
            </w:pPr>
            <w:r>
              <w:rPr>
                <w:rFonts w:ascii="Calibri"/>
                <w:sz w:val="22"/>
              </w:rPr>
              <w:t>98</w:t>
            </w:r>
          </w:p>
        </w:tc>
      </w:tr>
      <w:tr>
        <w:trPr>
          <w:trHeight w:val="540" w:hRule="exact"/>
        </w:trPr>
        <w:tc>
          <w:tcPr>
            <w:tcW w:w="8452" w:type="dxa"/>
          </w:tcPr>
          <w:p>
            <w:pPr>
              <w:pStyle w:val="TableParagraph"/>
              <w:spacing w:before="114"/>
              <w:ind w:left="200"/>
              <w:rPr>
                <w:rFonts w:ascii="Calibri" w:hAnsi="Calibri"/>
                <w:sz w:val="22"/>
              </w:rPr>
            </w:pPr>
            <w:r>
              <w:rPr>
                <w:rFonts w:ascii="Calibri" w:hAnsi="Calibri"/>
                <w:sz w:val="22"/>
              </w:rPr>
              <w:t>Cuadro 9. Relación de escuelas por zona</w:t>
            </w:r>
          </w:p>
        </w:tc>
        <w:tc>
          <w:tcPr>
            <w:tcW w:w="707" w:type="dxa"/>
          </w:tcPr>
          <w:p>
            <w:pPr>
              <w:pStyle w:val="TableParagraph"/>
              <w:spacing w:before="114"/>
              <w:ind w:left="169"/>
              <w:rPr>
                <w:rFonts w:ascii="Calibri"/>
                <w:sz w:val="22"/>
              </w:rPr>
            </w:pPr>
            <w:r>
              <w:rPr>
                <w:rFonts w:ascii="Calibri"/>
                <w:sz w:val="22"/>
              </w:rPr>
              <w:t>101</w:t>
            </w:r>
          </w:p>
        </w:tc>
      </w:tr>
      <w:tr>
        <w:trPr>
          <w:trHeight w:val="540" w:hRule="exact"/>
        </w:trPr>
        <w:tc>
          <w:tcPr>
            <w:tcW w:w="8452" w:type="dxa"/>
          </w:tcPr>
          <w:p>
            <w:pPr>
              <w:pStyle w:val="TableParagraph"/>
              <w:spacing w:before="118"/>
              <w:ind w:left="200"/>
              <w:rPr>
                <w:rFonts w:ascii="Calibri"/>
                <w:sz w:val="22"/>
              </w:rPr>
            </w:pPr>
            <w:r>
              <w:rPr>
                <w:rFonts w:ascii="Calibri"/>
                <w:sz w:val="22"/>
              </w:rPr>
              <w:t>Cuadro 10. Actividades y responsables durante la Fase 1</w:t>
            </w:r>
          </w:p>
        </w:tc>
        <w:tc>
          <w:tcPr>
            <w:tcW w:w="707" w:type="dxa"/>
          </w:tcPr>
          <w:p>
            <w:pPr>
              <w:pStyle w:val="TableParagraph"/>
              <w:spacing w:before="118"/>
              <w:ind w:left="169"/>
              <w:rPr>
                <w:rFonts w:ascii="Calibri"/>
                <w:sz w:val="22"/>
              </w:rPr>
            </w:pPr>
            <w:r>
              <w:rPr>
                <w:rFonts w:ascii="Calibri"/>
                <w:sz w:val="22"/>
              </w:rPr>
              <w:t>102</w:t>
            </w:r>
          </w:p>
        </w:tc>
      </w:tr>
      <w:tr>
        <w:trPr>
          <w:trHeight w:val="536" w:hRule="exact"/>
        </w:trPr>
        <w:tc>
          <w:tcPr>
            <w:tcW w:w="8452" w:type="dxa"/>
          </w:tcPr>
          <w:p>
            <w:pPr>
              <w:pStyle w:val="TableParagraph"/>
              <w:spacing w:before="114"/>
              <w:ind w:left="200"/>
              <w:rPr>
                <w:rFonts w:ascii="Calibri"/>
                <w:sz w:val="22"/>
              </w:rPr>
            </w:pPr>
            <w:r>
              <w:rPr>
                <w:rFonts w:ascii="Calibri"/>
                <w:sz w:val="22"/>
              </w:rPr>
              <w:t>Cuadro11. Medidas  en caso de Pre-contingencia Ambiental</w:t>
            </w:r>
          </w:p>
        </w:tc>
        <w:tc>
          <w:tcPr>
            <w:tcW w:w="707" w:type="dxa"/>
          </w:tcPr>
          <w:p>
            <w:pPr>
              <w:pStyle w:val="TableParagraph"/>
              <w:spacing w:before="114"/>
              <w:ind w:left="169"/>
              <w:rPr>
                <w:rFonts w:ascii="Calibri"/>
                <w:sz w:val="22"/>
              </w:rPr>
            </w:pPr>
            <w:r>
              <w:rPr>
                <w:rFonts w:ascii="Calibri"/>
                <w:sz w:val="22"/>
              </w:rPr>
              <w:t>103</w:t>
            </w:r>
          </w:p>
        </w:tc>
      </w:tr>
      <w:tr>
        <w:trPr>
          <w:trHeight w:val="536" w:hRule="exact"/>
        </w:trPr>
        <w:tc>
          <w:tcPr>
            <w:tcW w:w="8452" w:type="dxa"/>
          </w:tcPr>
          <w:p>
            <w:pPr>
              <w:pStyle w:val="TableParagraph"/>
              <w:spacing w:before="114"/>
              <w:ind w:left="200"/>
              <w:rPr>
                <w:rFonts w:ascii="Calibri"/>
                <w:sz w:val="22"/>
              </w:rPr>
            </w:pPr>
            <w:r>
              <w:rPr>
                <w:rFonts w:ascii="Calibri"/>
                <w:sz w:val="22"/>
              </w:rPr>
              <w:t>Cuadro12. Medidas  en caso de Contingencia Ambiental</w:t>
            </w:r>
          </w:p>
        </w:tc>
        <w:tc>
          <w:tcPr>
            <w:tcW w:w="707" w:type="dxa"/>
          </w:tcPr>
          <w:p>
            <w:pPr>
              <w:pStyle w:val="TableParagraph"/>
              <w:spacing w:before="114"/>
              <w:ind w:left="169"/>
              <w:rPr>
                <w:rFonts w:ascii="Calibri"/>
                <w:sz w:val="22"/>
              </w:rPr>
            </w:pPr>
            <w:r>
              <w:rPr>
                <w:rFonts w:ascii="Calibri"/>
                <w:sz w:val="22"/>
              </w:rPr>
              <w:t>104</w:t>
            </w:r>
          </w:p>
        </w:tc>
      </w:tr>
      <w:tr>
        <w:trPr>
          <w:trHeight w:val="536" w:hRule="exact"/>
        </w:trPr>
        <w:tc>
          <w:tcPr>
            <w:tcW w:w="8452" w:type="dxa"/>
          </w:tcPr>
          <w:p>
            <w:pPr>
              <w:pStyle w:val="TableParagraph"/>
              <w:spacing w:before="115"/>
              <w:ind w:left="200"/>
              <w:rPr>
                <w:rFonts w:ascii="Calibri" w:hAnsi="Calibri"/>
                <w:sz w:val="22"/>
              </w:rPr>
            </w:pPr>
            <w:r>
              <w:rPr>
                <w:rFonts w:ascii="Calibri" w:hAnsi="Calibri"/>
                <w:sz w:val="22"/>
              </w:rPr>
              <w:t>Cuadro 13. Municipios considerados para la ampliación de la  RAMAT</w:t>
            </w:r>
          </w:p>
        </w:tc>
        <w:tc>
          <w:tcPr>
            <w:tcW w:w="707" w:type="dxa"/>
          </w:tcPr>
          <w:p>
            <w:pPr>
              <w:pStyle w:val="TableParagraph"/>
              <w:spacing w:before="115"/>
              <w:ind w:left="169"/>
              <w:rPr>
                <w:rFonts w:ascii="Calibri"/>
                <w:sz w:val="22"/>
              </w:rPr>
            </w:pPr>
            <w:r>
              <w:rPr>
                <w:rFonts w:ascii="Calibri"/>
                <w:sz w:val="22"/>
              </w:rPr>
              <w:t>105</w:t>
            </w:r>
          </w:p>
        </w:tc>
      </w:tr>
      <w:tr>
        <w:trPr>
          <w:trHeight w:val="380" w:hRule="exact"/>
        </w:trPr>
        <w:tc>
          <w:tcPr>
            <w:tcW w:w="8452" w:type="dxa"/>
          </w:tcPr>
          <w:p>
            <w:pPr>
              <w:pStyle w:val="TableParagraph"/>
              <w:spacing w:before="114"/>
              <w:ind w:left="200"/>
              <w:rPr>
                <w:rFonts w:ascii="Calibri" w:hAnsi="Calibri"/>
                <w:sz w:val="22"/>
              </w:rPr>
            </w:pPr>
            <w:r>
              <w:rPr>
                <w:rFonts w:ascii="Calibri" w:hAnsi="Calibri"/>
                <w:sz w:val="22"/>
              </w:rPr>
              <w:t>Cuadro 14. Estrategias de Control y  Mitigación</w:t>
            </w:r>
          </w:p>
        </w:tc>
        <w:tc>
          <w:tcPr>
            <w:tcW w:w="707" w:type="dxa"/>
          </w:tcPr>
          <w:p>
            <w:pPr>
              <w:pStyle w:val="TableParagraph"/>
              <w:spacing w:before="114"/>
              <w:ind w:left="169"/>
              <w:rPr>
                <w:rFonts w:ascii="Calibri"/>
                <w:sz w:val="22"/>
              </w:rPr>
            </w:pPr>
            <w:r>
              <w:rPr>
                <w:rFonts w:ascii="Calibri"/>
                <w:sz w:val="22"/>
              </w:rPr>
              <w:t>107</w:t>
            </w:r>
          </w:p>
        </w:tc>
      </w:tr>
    </w:tbl>
    <w:p>
      <w:pPr>
        <w:spacing w:after="0"/>
        <w:rPr>
          <w:rFonts w:ascii="Calibri"/>
          <w:sz w:val="22"/>
        </w:rPr>
        <w:sectPr>
          <w:pgSz w:w="12240" w:h="15840"/>
          <w:pgMar w:header="0" w:footer="1001" w:top="1380" w:bottom="1200" w:left="1400" w:right="1460"/>
        </w:sectPr>
      </w:pPr>
    </w:p>
    <w:p>
      <w:pPr>
        <w:pStyle w:val="Heading1"/>
        <w:ind w:left="3399" w:right="3334"/>
      </w:pPr>
      <w:bookmarkStart w:name="_bookmark2" w:id="3"/>
      <w:bookmarkEnd w:id="3"/>
      <w:r>
        <w:rPr>
          <w:b w:val="0"/>
        </w:rPr>
      </w:r>
      <w:r>
        <w:rPr>
          <w:color w:val="365F91"/>
        </w:rPr>
        <w:t>Índice de figuras</w:t>
      </w:r>
    </w:p>
    <w:p>
      <w:pPr>
        <w:pStyle w:val="BodyText"/>
        <w:rPr>
          <w:rFonts w:ascii="Cambria"/>
          <w:b/>
          <w:sz w:val="20"/>
        </w:rPr>
      </w:pPr>
    </w:p>
    <w:p>
      <w:pPr>
        <w:pStyle w:val="BodyText"/>
        <w:rPr>
          <w:rFonts w:ascii="Cambria"/>
          <w:b/>
          <w:sz w:val="20"/>
        </w:rPr>
      </w:pPr>
    </w:p>
    <w:p>
      <w:pPr>
        <w:pStyle w:val="BodyText"/>
        <w:spacing w:before="7"/>
        <w:rPr>
          <w:rFonts w:ascii="Cambria"/>
          <w:b/>
          <w:sz w:val="12"/>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79"/>
        <w:gridCol w:w="1779"/>
      </w:tblGrid>
      <w:tr>
        <w:trPr>
          <w:trHeight w:val="244" w:hRule="exact"/>
        </w:trPr>
        <w:tc>
          <w:tcPr>
            <w:tcW w:w="7379" w:type="dxa"/>
          </w:tcPr>
          <w:p>
            <w:pPr/>
          </w:p>
        </w:tc>
        <w:tc>
          <w:tcPr>
            <w:tcW w:w="1779" w:type="dxa"/>
          </w:tcPr>
          <w:p>
            <w:pPr>
              <w:pStyle w:val="TableParagraph"/>
              <w:spacing w:line="227" w:lineRule="exact"/>
              <w:ind w:left="1242"/>
              <w:rPr>
                <w:rFonts w:ascii="Calibri"/>
                <w:sz w:val="22"/>
              </w:rPr>
            </w:pPr>
            <w:r>
              <w:rPr>
                <w:rFonts w:ascii="Calibri"/>
                <w:sz w:val="22"/>
              </w:rPr>
              <w:t>22</w:t>
            </w:r>
          </w:p>
        </w:tc>
      </w:tr>
      <w:tr>
        <w:trPr>
          <w:trHeight w:val="400" w:hRule="exact"/>
        </w:trPr>
        <w:tc>
          <w:tcPr>
            <w:tcW w:w="7379" w:type="dxa"/>
          </w:tcPr>
          <w:p>
            <w:pPr>
              <w:pStyle w:val="TableParagraph"/>
              <w:spacing w:line="247" w:lineRule="exact"/>
              <w:ind w:left="200"/>
              <w:rPr>
                <w:rFonts w:ascii="Calibri"/>
                <w:sz w:val="22"/>
              </w:rPr>
            </w:pPr>
            <w:r>
              <w:rPr>
                <w:rFonts w:ascii="Calibri"/>
                <w:sz w:val="22"/>
              </w:rPr>
              <w:t>Figura 1: Comparativo entre cabello humano y PM10 Y PM2.5</w:t>
            </w:r>
          </w:p>
        </w:tc>
        <w:tc>
          <w:tcPr>
            <w:tcW w:w="1779" w:type="dxa"/>
          </w:tcPr>
          <w:p>
            <w:pPr>
              <w:pStyle w:val="TableParagraph"/>
              <w:spacing w:line="247" w:lineRule="exact"/>
              <w:ind w:left="1242"/>
              <w:rPr>
                <w:rFonts w:ascii="Calibri"/>
                <w:sz w:val="22"/>
              </w:rPr>
            </w:pPr>
            <w:r>
              <w:rPr>
                <w:rFonts w:ascii="Calibri"/>
                <w:sz w:val="22"/>
              </w:rPr>
              <w:t>44</w:t>
            </w:r>
          </w:p>
        </w:tc>
      </w:tr>
      <w:tr>
        <w:trPr>
          <w:trHeight w:val="404" w:hRule="exact"/>
        </w:trPr>
        <w:tc>
          <w:tcPr>
            <w:tcW w:w="7379" w:type="dxa"/>
          </w:tcPr>
          <w:p>
            <w:pPr>
              <w:pStyle w:val="TableParagraph"/>
              <w:spacing w:before="114"/>
              <w:ind w:left="200"/>
              <w:rPr>
                <w:rFonts w:ascii="Calibri" w:hAnsi="Calibri"/>
                <w:sz w:val="22"/>
              </w:rPr>
            </w:pPr>
            <w:r>
              <w:rPr>
                <w:rFonts w:ascii="Calibri" w:hAnsi="Calibri"/>
                <w:sz w:val="22"/>
              </w:rPr>
              <w:t>Figura 2: Relación partículas clima</w:t>
            </w:r>
          </w:p>
        </w:tc>
        <w:tc>
          <w:tcPr>
            <w:tcW w:w="1779" w:type="dxa"/>
          </w:tcPr>
          <w:p>
            <w:pPr>
              <w:pStyle w:val="TableParagraph"/>
              <w:spacing w:before="114"/>
              <w:ind w:left="1242"/>
              <w:rPr>
                <w:rFonts w:ascii="Calibri"/>
                <w:sz w:val="22"/>
              </w:rPr>
            </w:pPr>
            <w:r>
              <w:rPr>
                <w:rFonts w:ascii="Calibri"/>
                <w:sz w:val="22"/>
              </w:rPr>
              <w:t>45</w:t>
            </w:r>
          </w:p>
        </w:tc>
      </w:tr>
      <w:tr>
        <w:trPr>
          <w:trHeight w:val="272" w:hRule="exact"/>
        </w:trPr>
        <w:tc>
          <w:tcPr>
            <w:tcW w:w="7379" w:type="dxa"/>
          </w:tcPr>
          <w:p>
            <w:pPr>
              <w:pStyle w:val="TableParagraph"/>
              <w:spacing w:line="251" w:lineRule="exact"/>
              <w:ind w:left="200"/>
              <w:rPr>
                <w:rFonts w:ascii="Calibri"/>
                <w:sz w:val="22"/>
              </w:rPr>
            </w:pPr>
            <w:r>
              <w:rPr>
                <w:rFonts w:ascii="Calibri"/>
                <w:sz w:val="22"/>
              </w:rPr>
              <w:t>Figura 3: Variables</w:t>
            </w:r>
          </w:p>
        </w:tc>
        <w:tc>
          <w:tcPr>
            <w:tcW w:w="1779" w:type="dxa"/>
          </w:tcPr>
          <w:p>
            <w:pPr>
              <w:pStyle w:val="TableParagraph"/>
              <w:spacing w:line="251" w:lineRule="exact"/>
              <w:ind w:left="1242"/>
              <w:rPr>
                <w:rFonts w:ascii="Calibri"/>
                <w:sz w:val="22"/>
              </w:rPr>
            </w:pPr>
            <w:r>
              <w:rPr>
                <w:rFonts w:ascii="Calibri"/>
                <w:sz w:val="22"/>
              </w:rPr>
              <w:t>45</w:t>
            </w:r>
          </w:p>
        </w:tc>
      </w:tr>
      <w:tr>
        <w:trPr>
          <w:trHeight w:val="268" w:hRule="exact"/>
        </w:trPr>
        <w:tc>
          <w:tcPr>
            <w:tcW w:w="7379" w:type="dxa"/>
          </w:tcPr>
          <w:p>
            <w:pPr>
              <w:pStyle w:val="TableParagraph"/>
              <w:spacing w:line="251" w:lineRule="exact"/>
              <w:ind w:left="200"/>
              <w:rPr>
                <w:rFonts w:ascii="Calibri" w:hAnsi="Calibri"/>
                <w:sz w:val="22"/>
              </w:rPr>
            </w:pPr>
            <w:r>
              <w:rPr>
                <w:rFonts w:ascii="Calibri" w:hAnsi="Calibri"/>
                <w:sz w:val="22"/>
              </w:rPr>
              <w:t>Figura 4: Procedimiento  metodológico</w:t>
            </w:r>
          </w:p>
        </w:tc>
        <w:tc>
          <w:tcPr>
            <w:tcW w:w="1779" w:type="dxa"/>
          </w:tcPr>
          <w:p>
            <w:pPr>
              <w:pStyle w:val="TableParagraph"/>
              <w:spacing w:line="251" w:lineRule="exact"/>
              <w:ind w:left="1242"/>
              <w:rPr>
                <w:rFonts w:ascii="Calibri"/>
                <w:sz w:val="22"/>
              </w:rPr>
            </w:pPr>
            <w:r>
              <w:rPr>
                <w:rFonts w:ascii="Calibri"/>
                <w:sz w:val="22"/>
              </w:rPr>
              <w:t>47</w:t>
            </w:r>
          </w:p>
        </w:tc>
      </w:tr>
      <w:tr>
        <w:trPr>
          <w:trHeight w:val="268" w:hRule="exact"/>
        </w:trPr>
        <w:tc>
          <w:tcPr>
            <w:tcW w:w="7379" w:type="dxa"/>
          </w:tcPr>
          <w:p>
            <w:pPr>
              <w:pStyle w:val="TableParagraph"/>
              <w:spacing w:line="247" w:lineRule="exact"/>
              <w:ind w:left="200"/>
              <w:rPr>
                <w:rFonts w:ascii="Calibri"/>
                <w:sz w:val="22"/>
              </w:rPr>
            </w:pPr>
            <w:r>
              <w:rPr>
                <w:rFonts w:ascii="Calibri"/>
                <w:sz w:val="22"/>
              </w:rPr>
              <w:t>Figura 5: Estaciones de monitoreo RAMAT</w:t>
            </w:r>
          </w:p>
        </w:tc>
        <w:tc>
          <w:tcPr>
            <w:tcW w:w="1779" w:type="dxa"/>
          </w:tcPr>
          <w:p>
            <w:pPr>
              <w:pStyle w:val="TableParagraph"/>
              <w:spacing w:line="247" w:lineRule="exact"/>
              <w:ind w:left="1242"/>
              <w:rPr>
                <w:rFonts w:ascii="Calibri"/>
                <w:sz w:val="22"/>
              </w:rPr>
            </w:pPr>
            <w:r>
              <w:rPr>
                <w:rFonts w:ascii="Calibri"/>
                <w:sz w:val="22"/>
              </w:rPr>
              <w:t>49</w:t>
            </w:r>
          </w:p>
        </w:tc>
      </w:tr>
      <w:tr>
        <w:trPr>
          <w:trHeight w:val="268" w:hRule="exact"/>
        </w:trPr>
        <w:tc>
          <w:tcPr>
            <w:tcW w:w="7379" w:type="dxa"/>
          </w:tcPr>
          <w:p>
            <w:pPr>
              <w:pStyle w:val="TableParagraph"/>
              <w:spacing w:line="251" w:lineRule="exact"/>
              <w:ind w:left="200"/>
              <w:rPr>
                <w:rFonts w:ascii="Calibri" w:hAnsi="Calibri"/>
                <w:sz w:val="22"/>
              </w:rPr>
            </w:pPr>
            <w:r>
              <w:rPr>
                <w:rFonts w:ascii="Calibri" w:hAnsi="Calibri"/>
                <w:sz w:val="22"/>
              </w:rPr>
              <w:t>Figura 6: Análisis geostadístico</w:t>
            </w:r>
          </w:p>
        </w:tc>
        <w:tc>
          <w:tcPr>
            <w:tcW w:w="1779" w:type="dxa"/>
          </w:tcPr>
          <w:p>
            <w:pPr>
              <w:pStyle w:val="TableParagraph"/>
              <w:spacing w:line="251" w:lineRule="exact"/>
              <w:ind w:left="1242"/>
              <w:rPr>
                <w:rFonts w:ascii="Calibri"/>
                <w:sz w:val="22"/>
              </w:rPr>
            </w:pPr>
            <w:r>
              <w:rPr>
                <w:rFonts w:ascii="Calibri"/>
                <w:sz w:val="22"/>
              </w:rPr>
              <w:t>55</w:t>
            </w:r>
          </w:p>
        </w:tc>
      </w:tr>
      <w:tr>
        <w:trPr>
          <w:trHeight w:val="400" w:hRule="exact"/>
        </w:trPr>
        <w:tc>
          <w:tcPr>
            <w:tcW w:w="7379" w:type="dxa"/>
          </w:tcPr>
          <w:p>
            <w:pPr>
              <w:pStyle w:val="TableParagraph"/>
              <w:spacing w:line="247" w:lineRule="exact"/>
              <w:ind w:left="200"/>
              <w:rPr>
                <w:rFonts w:ascii="Calibri"/>
                <w:sz w:val="22"/>
              </w:rPr>
            </w:pPr>
            <w:r>
              <w:rPr>
                <w:rFonts w:ascii="Calibri"/>
                <w:sz w:val="22"/>
              </w:rPr>
              <w:t>Figura 7: Usos de suelo 1990</w:t>
            </w:r>
          </w:p>
        </w:tc>
        <w:tc>
          <w:tcPr>
            <w:tcW w:w="1779" w:type="dxa"/>
          </w:tcPr>
          <w:p>
            <w:pPr>
              <w:pStyle w:val="TableParagraph"/>
              <w:spacing w:line="247" w:lineRule="exact"/>
              <w:ind w:left="1242"/>
              <w:rPr>
                <w:rFonts w:ascii="Calibri"/>
                <w:sz w:val="22"/>
              </w:rPr>
            </w:pPr>
            <w:r>
              <w:rPr>
                <w:rFonts w:ascii="Calibri"/>
                <w:sz w:val="22"/>
              </w:rPr>
              <w:t>55</w:t>
            </w:r>
          </w:p>
        </w:tc>
      </w:tr>
      <w:tr>
        <w:trPr>
          <w:trHeight w:val="536" w:hRule="exact"/>
        </w:trPr>
        <w:tc>
          <w:tcPr>
            <w:tcW w:w="7379" w:type="dxa"/>
          </w:tcPr>
          <w:p>
            <w:pPr>
              <w:pStyle w:val="TableParagraph"/>
              <w:spacing w:before="114"/>
              <w:ind w:left="200"/>
              <w:rPr>
                <w:rFonts w:ascii="Calibri"/>
                <w:sz w:val="22"/>
              </w:rPr>
            </w:pPr>
            <w:r>
              <w:rPr>
                <w:rFonts w:ascii="Calibri"/>
                <w:sz w:val="22"/>
              </w:rPr>
              <w:t>Figura 8: Usos de suelo 2013</w:t>
            </w:r>
          </w:p>
        </w:tc>
        <w:tc>
          <w:tcPr>
            <w:tcW w:w="1779" w:type="dxa"/>
          </w:tcPr>
          <w:p>
            <w:pPr>
              <w:pStyle w:val="TableParagraph"/>
              <w:spacing w:before="114"/>
              <w:ind w:left="1242"/>
              <w:rPr>
                <w:rFonts w:ascii="Calibri"/>
                <w:sz w:val="22"/>
              </w:rPr>
            </w:pPr>
            <w:r>
              <w:rPr>
                <w:rFonts w:ascii="Calibri"/>
                <w:sz w:val="22"/>
              </w:rPr>
              <w:t>56</w:t>
            </w:r>
          </w:p>
        </w:tc>
      </w:tr>
      <w:tr>
        <w:trPr>
          <w:trHeight w:val="540" w:hRule="exact"/>
        </w:trPr>
        <w:tc>
          <w:tcPr>
            <w:tcW w:w="7379" w:type="dxa"/>
          </w:tcPr>
          <w:p>
            <w:pPr>
              <w:pStyle w:val="TableParagraph"/>
              <w:spacing w:before="114"/>
              <w:ind w:left="200"/>
              <w:rPr>
                <w:rFonts w:ascii="Calibri"/>
                <w:sz w:val="22"/>
              </w:rPr>
            </w:pPr>
            <w:r>
              <w:rPr>
                <w:rFonts w:ascii="Calibri"/>
                <w:sz w:val="22"/>
              </w:rPr>
              <w:t>Figura 9: Comparativo de usos de suelo 1990-2013</w:t>
            </w:r>
          </w:p>
        </w:tc>
        <w:tc>
          <w:tcPr>
            <w:tcW w:w="1779" w:type="dxa"/>
          </w:tcPr>
          <w:p>
            <w:pPr>
              <w:pStyle w:val="TableParagraph"/>
              <w:spacing w:before="114"/>
              <w:ind w:left="1242"/>
              <w:rPr>
                <w:rFonts w:ascii="Calibri"/>
                <w:sz w:val="22"/>
              </w:rPr>
            </w:pPr>
            <w:r>
              <w:rPr>
                <w:rFonts w:ascii="Calibri"/>
                <w:sz w:val="22"/>
              </w:rPr>
              <w:t>57</w:t>
            </w:r>
          </w:p>
        </w:tc>
      </w:tr>
      <w:tr>
        <w:trPr>
          <w:trHeight w:val="540" w:hRule="exact"/>
        </w:trPr>
        <w:tc>
          <w:tcPr>
            <w:tcW w:w="7379" w:type="dxa"/>
          </w:tcPr>
          <w:p>
            <w:pPr>
              <w:pStyle w:val="TableParagraph"/>
              <w:spacing w:before="118"/>
              <w:ind w:left="200"/>
              <w:rPr>
                <w:rFonts w:ascii="Calibri" w:hAnsi="Calibri"/>
                <w:sz w:val="22"/>
              </w:rPr>
            </w:pPr>
            <w:r>
              <w:rPr>
                <w:rFonts w:ascii="Calibri" w:hAnsi="Calibri"/>
                <w:sz w:val="22"/>
              </w:rPr>
              <w:t>Figura 10: Comparativo cartográfico de usos de suelo 1990 y 2013.</w:t>
            </w:r>
          </w:p>
        </w:tc>
        <w:tc>
          <w:tcPr>
            <w:tcW w:w="1779" w:type="dxa"/>
          </w:tcPr>
          <w:p>
            <w:pPr>
              <w:pStyle w:val="TableParagraph"/>
              <w:spacing w:before="118"/>
              <w:ind w:left="1242"/>
              <w:rPr>
                <w:rFonts w:ascii="Calibri"/>
                <w:sz w:val="22"/>
              </w:rPr>
            </w:pPr>
            <w:r>
              <w:rPr>
                <w:rFonts w:ascii="Calibri"/>
                <w:sz w:val="22"/>
              </w:rPr>
              <w:t>57</w:t>
            </w:r>
          </w:p>
        </w:tc>
      </w:tr>
      <w:tr>
        <w:trPr>
          <w:trHeight w:val="536" w:hRule="exact"/>
        </w:trPr>
        <w:tc>
          <w:tcPr>
            <w:tcW w:w="7379" w:type="dxa"/>
          </w:tcPr>
          <w:p>
            <w:pPr>
              <w:pStyle w:val="TableParagraph"/>
              <w:spacing w:before="114"/>
              <w:ind w:left="200"/>
              <w:rPr>
                <w:rFonts w:ascii="Calibri" w:hAnsi="Calibri"/>
                <w:sz w:val="22"/>
              </w:rPr>
            </w:pPr>
            <w:r>
              <w:rPr>
                <w:rFonts w:ascii="Calibri" w:hAnsi="Calibri"/>
                <w:sz w:val="22"/>
              </w:rPr>
              <w:t>Figura 11: Carate de envío de artículo</w:t>
            </w:r>
          </w:p>
        </w:tc>
        <w:tc>
          <w:tcPr>
            <w:tcW w:w="1779" w:type="dxa"/>
          </w:tcPr>
          <w:p>
            <w:pPr>
              <w:pStyle w:val="TableParagraph"/>
              <w:spacing w:before="114"/>
              <w:ind w:left="1242"/>
              <w:rPr>
                <w:rFonts w:ascii="Calibri"/>
                <w:sz w:val="22"/>
              </w:rPr>
            </w:pPr>
            <w:r>
              <w:rPr>
                <w:rFonts w:ascii="Calibri"/>
                <w:sz w:val="22"/>
              </w:rPr>
              <w:t>65</w:t>
            </w:r>
          </w:p>
        </w:tc>
      </w:tr>
      <w:tr>
        <w:trPr>
          <w:trHeight w:val="380" w:hRule="exact"/>
        </w:trPr>
        <w:tc>
          <w:tcPr>
            <w:tcW w:w="7379" w:type="dxa"/>
          </w:tcPr>
          <w:p>
            <w:pPr>
              <w:pStyle w:val="TableParagraph"/>
              <w:spacing w:before="114"/>
              <w:ind w:left="200"/>
              <w:rPr>
                <w:rFonts w:ascii="Calibri" w:hAnsi="Calibri"/>
                <w:sz w:val="22"/>
              </w:rPr>
            </w:pPr>
            <w:r>
              <w:rPr>
                <w:rFonts w:ascii="Calibri" w:hAnsi="Calibri"/>
                <w:sz w:val="22"/>
              </w:rPr>
              <w:t>Figura 12.  Esquema de operación</w:t>
            </w:r>
          </w:p>
        </w:tc>
        <w:tc>
          <w:tcPr>
            <w:tcW w:w="1779" w:type="dxa"/>
          </w:tcPr>
          <w:p>
            <w:pPr>
              <w:pStyle w:val="TableParagraph"/>
              <w:spacing w:before="114"/>
              <w:ind w:left="1242"/>
              <w:rPr>
                <w:rFonts w:ascii="Calibri"/>
                <w:sz w:val="22"/>
              </w:rPr>
            </w:pPr>
            <w:r>
              <w:rPr>
                <w:rFonts w:ascii="Calibri"/>
                <w:sz w:val="22"/>
              </w:rPr>
              <w:t>107</w:t>
            </w:r>
          </w:p>
        </w:tc>
      </w:tr>
    </w:tbl>
    <w:p>
      <w:pPr>
        <w:spacing w:after="0"/>
        <w:rPr>
          <w:rFonts w:ascii="Calibri"/>
          <w:sz w:val="22"/>
        </w:rPr>
        <w:sectPr>
          <w:pgSz w:w="12240" w:h="15840"/>
          <w:pgMar w:header="0" w:footer="1001" w:top="1380" w:bottom="1200" w:left="1400" w:right="1460"/>
        </w:sectPr>
      </w:pPr>
    </w:p>
    <w:p>
      <w:pPr>
        <w:pStyle w:val="Heading1"/>
        <w:ind w:left="292"/>
      </w:pPr>
      <w:bookmarkStart w:name="_bookmark3" w:id="4"/>
      <w:bookmarkEnd w:id="4"/>
      <w:r>
        <w:rPr>
          <w:b w:val="0"/>
        </w:rPr>
      </w:r>
      <w:r>
        <w:rPr>
          <w:color w:val="365F91"/>
        </w:rPr>
        <w:t>Resumen</w:t>
      </w:r>
    </w:p>
    <w:p>
      <w:pPr>
        <w:pStyle w:val="BodyText"/>
        <w:spacing w:before="7"/>
        <w:rPr>
          <w:rFonts w:ascii="Cambria"/>
          <w:b/>
          <w:sz w:val="28"/>
        </w:rPr>
      </w:pPr>
    </w:p>
    <w:p>
      <w:pPr>
        <w:pStyle w:val="BodyText"/>
        <w:spacing w:line="360" w:lineRule="auto"/>
        <w:ind w:left="105" w:right="99"/>
        <w:jc w:val="both"/>
      </w:pPr>
      <w:r>
        <w:rPr/>
        <w:t>En esta investigación se identifican los patrones espaciales </w:t>
      </w:r>
      <w:r>
        <w:rPr>
          <w:spacing w:val="5"/>
        </w:rPr>
        <w:t>de </w:t>
      </w:r>
      <w:r>
        <w:rPr/>
        <w:t>las partículas suspendidas (PM10) </w:t>
      </w:r>
      <w:r>
        <w:rPr>
          <w:spacing w:val="-3"/>
        </w:rPr>
        <w:t>en </w:t>
      </w:r>
      <w:r>
        <w:rPr/>
        <w:t>la Zona Metropolitana de Toluca, </w:t>
      </w:r>
      <w:r>
        <w:rPr>
          <w:spacing w:val="-3"/>
        </w:rPr>
        <w:t>en el </w:t>
      </w:r>
      <w:r>
        <w:rPr/>
        <w:t>periodo </w:t>
      </w:r>
      <w:r>
        <w:rPr>
          <w:spacing w:val="2"/>
        </w:rPr>
        <w:t>2011-  </w:t>
      </w:r>
      <w:r>
        <w:rPr/>
        <w:t>2013, la información se obtuvo de </w:t>
      </w:r>
      <w:r>
        <w:rPr>
          <w:spacing w:val="5"/>
        </w:rPr>
        <w:t>la </w:t>
      </w:r>
      <w:r>
        <w:rPr/>
        <w:t>Red Automática de Monitoreo Atmosférico de Toluca (RAMAT), la modelación se realizó a través del módulo Geostatical Analyst integrado a </w:t>
      </w:r>
      <w:r>
        <w:rPr>
          <w:spacing w:val="5"/>
        </w:rPr>
        <w:t>la </w:t>
      </w:r>
      <w:r>
        <w:rPr/>
        <w:t>plataforma del software Arcgis 10.1. Los modelos espaciales indican que la calidad del aire </w:t>
      </w:r>
      <w:r>
        <w:rPr>
          <w:spacing w:val="3"/>
        </w:rPr>
        <w:t>se </w:t>
      </w:r>
      <w:r>
        <w:rPr/>
        <w:t>mantiene de mala a regular, por ello </w:t>
      </w:r>
      <w:r>
        <w:rPr>
          <w:spacing w:val="-3"/>
        </w:rPr>
        <w:t>es </w:t>
      </w:r>
      <w:r>
        <w:rPr/>
        <w:t>necesario avanzar </w:t>
      </w:r>
      <w:r>
        <w:rPr>
          <w:spacing w:val="-3"/>
        </w:rPr>
        <w:t>en </w:t>
      </w:r>
      <w:r>
        <w:rPr/>
        <w:t>la cultura </w:t>
      </w:r>
      <w:r>
        <w:rPr>
          <w:spacing w:val="5"/>
        </w:rPr>
        <w:t>de </w:t>
      </w:r>
      <w:r>
        <w:rPr/>
        <w:t>la prevención a través de un programa de alerta temprana, que informe a </w:t>
      </w:r>
      <w:r>
        <w:rPr>
          <w:spacing w:val="5"/>
        </w:rPr>
        <w:t>la </w:t>
      </w:r>
      <w:r>
        <w:rPr/>
        <w:t>población sobre los riesgos que se presentan </w:t>
      </w:r>
      <w:r>
        <w:rPr>
          <w:spacing w:val="-3"/>
        </w:rPr>
        <w:t>en </w:t>
      </w:r>
      <w:r>
        <w:rPr/>
        <w:t>las épocas seca y cálida del </w:t>
      </w:r>
      <w:r>
        <w:rPr>
          <w:spacing w:val="-3"/>
        </w:rPr>
        <w:t>año, </w:t>
      </w:r>
      <w:r>
        <w:rPr/>
        <w:t>y las medidas de atención </w:t>
      </w:r>
      <w:r>
        <w:rPr>
          <w:spacing w:val="-3"/>
        </w:rPr>
        <w:t>en </w:t>
      </w:r>
      <w:r>
        <w:rPr/>
        <w:t>condiciones </w:t>
      </w:r>
      <w:r>
        <w:rPr>
          <w:spacing w:val="5"/>
        </w:rPr>
        <w:t>de </w:t>
      </w:r>
      <w:r>
        <w:rPr/>
        <w:t>contingencia atmosférica. Finalmente se presenta la propuesta de un Plan </w:t>
      </w:r>
      <w:r>
        <w:rPr>
          <w:spacing w:val="5"/>
        </w:rPr>
        <w:t>de </w:t>
      </w:r>
      <w:r>
        <w:rPr/>
        <w:t>Alerta Temprana y elementos para </w:t>
      </w:r>
      <w:r>
        <w:rPr>
          <w:spacing w:val="-3"/>
        </w:rPr>
        <w:t>el </w:t>
      </w:r>
      <w:r>
        <w:rPr/>
        <w:t>establecimiento de un programa </w:t>
      </w:r>
      <w:r>
        <w:rPr>
          <w:spacing w:val="5"/>
        </w:rPr>
        <w:t>de </w:t>
      </w:r>
      <w:r>
        <w:rPr>
          <w:spacing w:val="3"/>
        </w:rPr>
        <w:t>pre- </w:t>
      </w:r>
      <w:r>
        <w:rPr/>
        <w:t>contingencia y contingencia ambiental, enfocado </w:t>
      </w:r>
      <w:r>
        <w:rPr>
          <w:spacing w:val="-3"/>
        </w:rPr>
        <w:t>en </w:t>
      </w:r>
      <w:r>
        <w:rPr/>
        <w:t>la protección de </w:t>
      </w:r>
      <w:r>
        <w:rPr>
          <w:spacing w:val="5"/>
        </w:rPr>
        <w:t>la</w:t>
      </w:r>
      <w:r>
        <w:rPr>
          <w:spacing w:val="-40"/>
        </w:rPr>
        <w:t> </w:t>
      </w:r>
      <w:r>
        <w:rPr>
          <w:spacing w:val="2"/>
        </w:rPr>
        <w:t>población.</w:t>
      </w:r>
    </w:p>
    <w:p>
      <w:pPr>
        <w:pStyle w:val="BodyText"/>
        <w:spacing w:before="9"/>
      </w:pPr>
    </w:p>
    <w:p>
      <w:pPr>
        <w:pStyle w:val="BodyText"/>
        <w:spacing w:line="362" w:lineRule="auto"/>
        <w:ind w:left="105" w:right="121"/>
        <w:jc w:val="both"/>
      </w:pPr>
      <w:r>
        <w:rPr>
          <w:b/>
        </w:rPr>
        <w:t>Palabras clave: </w:t>
      </w:r>
      <w:r>
        <w:rPr/>
        <w:t>modelación espacial, partículas suspendidas PM10, calidad del aire, contingencia atmosférica, sistema de alerta temprana.</w:t>
      </w:r>
    </w:p>
    <w:p>
      <w:pPr>
        <w:pStyle w:val="BodyText"/>
      </w:pPr>
    </w:p>
    <w:p>
      <w:pPr>
        <w:pStyle w:val="Heading1"/>
        <w:spacing w:before="0"/>
        <w:ind w:left="288"/>
      </w:pPr>
      <w:bookmarkStart w:name="_bookmark4" w:id="5"/>
      <w:bookmarkEnd w:id="5"/>
      <w:r>
        <w:rPr>
          <w:b w:val="0"/>
        </w:rPr>
      </w:r>
      <w:r>
        <w:rPr>
          <w:color w:val="365F91"/>
        </w:rPr>
        <w:t>Abstract</w:t>
      </w:r>
    </w:p>
    <w:p>
      <w:pPr>
        <w:pStyle w:val="BodyText"/>
        <w:spacing w:before="7"/>
        <w:rPr>
          <w:rFonts w:ascii="Cambria"/>
          <w:b/>
          <w:sz w:val="28"/>
        </w:rPr>
      </w:pPr>
    </w:p>
    <w:p>
      <w:pPr>
        <w:pStyle w:val="BodyText"/>
        <w:spacing w:line="360" w:lineRule="auto"/>
        <w:ind w:left="105" w:right="112"/>
        <w:jc w:val="both"/>
      </w:pPr>
      <w:r>
        <w:rPr>
          <w:spacing w:val="-6"/>
        </w:rPr>
        <w:t>In </w:t>
      </w:r>
      <w:r>
        <w:rPr/>
        <w:t>this research </w:t>
      </w:r>
      <w:r>
        <w:rPr>
          <w:spacing w:val="2"/>
        </w:rPr>
        <w:t>the </w:t>
      </w:r>
      <w:r>
        <w:rPr/>
        <w:t>spatial patterns of suspended particles (PM10) are identified in Toluca city since 2011 to 2013, information </w:t>
      </w:r>
      <w:r>
        <w:rPr>
          <w:spacing w:val="-4"/>
        </w:rPr>
        <w:t>was </w:t>
      </w:r>
      <w:r>
        <w:rPr/>
        <w:t>obtained </w:t>
      </w:r>
      <w:r>
        <w:rPr>
          <w:spacing w:val="-3"/>
        </w:rPr>
        <w:t>from </w:t>
      </w:r>
      <w:r>
        <w:rPr/>
        <w:t>automatic air quality monitoring network (RAMAT), modeling was performed using the module Geostatical Analyst integrated integrated software platform </w:t>
      </w:r>
      <w:r>
        <w:rPr>
          <w:spacing w:val="-3"/>
        </w:rPr>
        <w:t>Arc </w:t>
      </w:r>
      <w:r>
        <w:rPr/>
        <w:t>Gis 10.1. Spatial models indicate that air quality will remain </w:t>
      </w:r>
      <w:r>
        <w:rPr>
          <w:spacing w:val="-3"/>
        </w:rPr>
        <w:t>poor </w:t>
      </w:r>
      <w:r>
        <w:rPr/>
        <w:t>to regulate, </w:t>
      </w:r>
      <w:r>
        <w:rPr>
          <w:spacing w:val="3"/>
        </w:rPr>
        <w:t>so </w:t>
      </w:r>
      <w:r>
        <w:rPr/>
        <w:t>it is necessary </w:t>
      </w:r>
      <w:r>
        <w:rPr>
          <w:spacing w:val="2"/>
        </w:rPr>
        <w:t>to </w:t>
      </w:r>
      <w:r>
        <w:rPr/>
        <w:t>advance the culture of prevention through early warning program, </w:t>
      </w:r>
      <w:r>
        <w:rPr>
          <w:spacing w:val="2"/>
        </w:rPr>
        <w:t>to </w:t>
      </w:r>
      <w:r>
        <w:rPr/>
        <w:t>inform the public about </w:t>
      </w:r>
      <w:r>
        <w:rPr>
          <w:spacing w:val="2"/>
        </w:rPr>
        <w:t>the </w:t>
      </w:r>
      <w:r>
        <w:rPr/>
        <w:t>risks that arise in the dry and warm seasons, and care measures under atmospheric contingency. Finally a proposed Plan Early Warning and elements for the establishment </w:t>
      </w:r>
      <w:r>
        <w:rPr>
          <w:spacing w:val="-3"/>
        </w:rPr>
        <w:t>of </w:t>
      </w:r>
      <w:r>
        <w:rPr/>
        <w:t>a program of pre - contingency and environmental contingency, focused </w:t>
      </w:r>
      <w:r>
        <w:rPr>
          <w:spacing w:val="-3"/>
        </w:rPr>
        <w:t>on </w:t>
      </w:r>
      <w:r>
        <w:rPr/>
        <w:t>protecting the population</w:t>
      </w:r>
      <w:r>
        <w:rPr>
          <w:spacing w:val="-17"/>
        </w:rPr>
        <w:t> </w:t>
      </w:r>
      <w:r>
        <w:rPr/>
        <w:t>presents.</w:t>
      </w:r>
    </w:p>
    <w:p>
      <w:pPr>
        <w:pStyle w:val="BodyText"/>
        <w:spacing w:before="10"/>
      </w:pPr>
    </w:p>
    <w:p>
      <w:pPr>
        <w:pStyle w:val="BodyText"/>
        <w:spacing w:line="362" w:lineRule="auto"/>
        <w:ind w:left="105" w:right="110"/>
        <w:jc w:val="both"/>
      </w:pPr>
      <w:r>
        <w:rPr>
          <w:b/>
        </w:rPr>
        <w:t>Key words: </w:t>
      </w:r>
      <w:r>
        <w:rPr/>
        <w:t>Sapatial models, suspended particles (PM10), air quality, atmospheric contingency, Plan Early Warning, environmental contingency.</w:t>
      </w:r>
    </w:p>
    <w:p>
      <w:pPr>
        <w:spacing w:after="0" w:line="362" w:lineRule="auto"/>
        <w:jc w:val="both"/>
        <w:sectPr>
          <w:footerReference w:type="default" r:id="rId11"/>
          <w:pgSz w:w="12240" w:h="15840"/>
          <w:pgMar w:footer="1001" w:header="0" w:top="1380" w:bottom="1200" w:left="1600" w:right="1580"/>
        </w:sectPr>
      </w:pPr>
    </w:p>
    <w:p>
      <w:pPr>
        <w:pStyle w:val="Heading1"/>
        <w:ind w:left="303"/>
      </w:pPr>
      <w:bookmarkStart w:name="_bookmark5" w:id="6"/>
      <w:bookmarkEnd w:id="6"/>
      <w:r>
        <w:rPr>
          <w:b w:val="0"/>
        </w:rPr>
      </w:r>
      <w:r>
        <w:rPr>
          <w:color w:val="365F91"/>
        </w:rPr>
        <w:t>Introducción</w:t>
      </w:r>
    </w:p>
    <w:p>
      <w:pPr>
        <w:pStyle w:val="BodyText"/>
        <w:spacing w:before="7"/>
        <w:rPr>
          <w:rFonts w:ascii="Cambria"/>
          <w:b/>
          <w:sz w:val="28"/>
        </w:rPr>
      </w:pPr>
    </w:p>
    <w:p>
      <w:pPr>
        <w:pStyle w:val="BodyText"/>
        <w:ind w:left="105" w:right="117"/>
        <w:jc w:val="both"/>
      </w:pPr>
      <w:r>
        <w:rPr/>
        <w:t>La Organización Mundial de la Salud (OMS) advierte que la exposición a la contaminación atmosférica es un factor de riesgo que aumenta la morbilidad de la población y la probabilidad para desarrollar enfermedades cardiacas y respiratorias, estas han ocasionado la muerte a 1.5 millones de personas en un año (Martuzzi, Francesco, Ivano, &amp; Maria, 2006). En México, 38,000 fallecimientos atribuidos a la contaminación atmosférica, representan 0.5% de los casos reportados por la OMS, las causas de las pérdidas humanas se identifican en la concentración de partículas suspendidas totales (PM10 Y PM2.5) en la fracción respirable y la exposición de la población en las principales zonas metropolitanas de las ciudades de México, Guadalajara, Monterrey, Puebla y Toluca (INE, 2011).</w:t>
      </w:r>
    </w:p>
    <w:p>
      <w:pPr>
        <w:pStyle w:val="BodyText"/>
      </w:pPr>
    </w:p>
    <w:p>
      <w:pPr>
        <w:pStyle w:val="BodyText"/>
        <w:ind w:left="105" w:right="105"/>
        <w:jc w:val="both"/>
      </w:pPr>
      <w:r>
        <w:rPr/>
        <w:t>En </w:t>
      </w:r>
      <w:r>
        <w:rPr>
          <w:spacing w:val="-3"/>
        </w:rPr>
        <w:t>este </w:t>
      </w:r>
      <w:r>
        <w:rPr/>
        <w:t>conjunto la zona metropolitana de la ciudad de Toluca (ZMCT) presenta </w:t>
      </w:r>
      <w:r>
        <w:rPr>
          <w:spacing w:val="-3"/>
        </w:rPr>
        <w:t>altos </w:t>
      </w:r>
      <w:r>
        <w:rPr/>
        <w:t>niveles de contaminación atmosférica y </w:t>
      </w:r>
      <w:r>
        <w:rPr>
          <w:spacing w:val="-3"/>
        </w:rPr>
        <w:t>en </w:t>
      </w:r>
      <w:r>
        <w:rPr/>
        <w:t>las últimas décad as  este problema se ha agudizado por </w:t>
      </w:r>
      <w:r>
        <w:rPr>
          <w:spacing w:val="-3"/>
        </w:rPr>
        <w:t>el </w:t>
      </w:r>
      <w:r>
        <w:rPr/>
        <w:t>incremento del parque vehicular, la intensificación de las actividades agrícolas y las actividades extractivas que se desarrollan </w:t>
      </w:r>
      <w:r>
        <w:rPr>
          <w:spacing w:val="-3"/>
        </w:rPr>
        <w:t>en </w:t>
      </w:r>
      <w:r>
        <w:rPr/>
        <w:t>los bordes de la zona urbana. La problemática Identifica las concentraciones de Ozono (O3), partículas menores a 10 micras (PM10). En </w:t>
      </w:r>
      <w:r>
        <w:rPr>
          <w:spacing w:val="-3"/>
        </w:rPr>
        <w:t>el  </w:t>
      </w:r>
      <w:r>
        <w:rPr/>
        <w:t>año 2009 las concentraciones de PM10, </w:t>
      </w:r>
      <w:r>
        <w:rPr>
          <w:spacing w:val="-3"/>
        </w:rPr>
        <w:t>en </w:t>
      </w:r>
      <w:r>
        <w:rPr/>
        <w:t>154 días rebasaron </w:t>
      </w:r>
      <w:r>
        <w:rPr>
          <w:spacing w:val="-3"/>
        </w:rPr>
        <w:t>el </w:t>
      </w:r>
      <w:r>
        <w:rPr/>
        <w:t>límite permitido de 75 (mcg/m3) establecido </w:t>
      </w:r>
      <w:r>
        <w:rPr>
          <w:spacing w:val="-3"/>
        </w:rPr>
        <w:t>en </w:t>
      </w:r>
      <w:r>
        <w:rPr/>
        <w:t>la Norma Oficial Mexicana-025-SSA1-2014(Salud, 2014), </w:t>
      </w:r>
      <w:r>
        <w:rPr>
          <w:spacing w:val="-3"/>
        </w:rPr>
        <w:t>en </w:t>
      </w:r>
      <w:r>
        <w:rPr/>
        <w:t>febrero del año 2013, aumentaron las emisiones de PM10 y </w:t>
      </w:r>
      <w:r>
        <w:rPr>
          <w:spacing w:val="4"/>
        </w:rPr>
        <w:t>el </w:t>
      </w:r>
      <w:r>
        <w:rPr/>
        <w:t>índice metropolitano </w:t>
      </w:r>
      <w:r>
        <w:rPr>
          <w:spacing w:val="5"/>
        </w:rPr>
        <w:t>de </w:t>
      </w:r>
      <w:r>
        <w:rPr/>
        <w:t>calidad del aire (IMECA), pasó de 100 a 144 puntos (Contrerás, 2013).</w:t>
      </w:r>
    </w:p>
    <w:p>
      <w:pPr>
        <w:pStyle w:val="BodyText"/>
      </w:pPr>
    </w:p>
    <w:p>
      <w:pPr>
        <w:pStyle w:val="BodyText"/>
        <w:ind w:left="105" w:right="104"/>
        <w:jc w:val="both"/>
      </w:pPr>
      <w:r>
        <w:rPr/>
        <w:t>En un estudio que analizó una serie temporal de ocho </w:t>
      </w:r>
      <w:r>
        <w:rPr>
          <w:spacing w:val="-3"/>
        </w:rPr>
        <w:t>años </w:t>
      </w:r>
      <w:r>
        <w:rPr/>
        <w:t>(1998-2005) y </w:t>
      </w:r>
      <w:r>
        <w:rPr>
          <w:spacing w:val="3"/>
        </w:rPr>
        <w:t>se  </w:t>
      </w:r>
      <w:r>
        <w:rPr/>
        <w:t>aplicó </w:t>
      </w:r>
      <w:r>
        <w:rPr>
          <w:spacing w:val="-3"/>
        </w:rPr>
        <w:t>el </w:t>
      </w:r>
      <w:r>
        <w:rPr/>
        <w:t>método estadístico </w:t>
      </w:r>
      <w:r>
        <w:rPr>
          <w:spacing w:val="5"/>
        </w:rPr>
        <w:t>de </w:t>
      </w:r>
      <w:r>
        <w:rPr/>
        <w:t>valores extremos, los valores </w:t>
      </w:r>
      <w:r>
        <w:rPr>
          <w:spacing w:val="5"/>
        </w:rPr>
        <w:t>de </w:t>
      </w:r>
      <w:r>
        <w:rPr/>
        <w:t>predicción estimados, identificaron que </w:t>
      </w:r>
      <w:r>
        <w:rPr>
          <w:spacing w:val="-3"/>
        </w:rPr>
        <w:t>en el </w:t>
      </w:r>
      <w:r>
        <w:rPr/>
        <w:t>año 2000, la concentración de contaminantes  fue superior a </w:t>
      </w:r>
      <w:r>
        <w:rPr>
          <w:spacing w:val="5"/>
        </w:rPr>
        <w:t>la </w:t>
      </w:r>
      <w:r>
        <w:rPr/>
        <w:t>permitida por la Norma Oficial Mexicana-SSA1-1993 (2005), la que </w:t>
      </w:r>
      <w:r>
        <w:rPr>
          <w:spacing w:val="-3"/>
        </w:rPr>
        <w:t>en </w:t>
      </w:r>
      <w:r>
        <w:rPr/>
        <w:t>contraste con </w:t>
      </w:r>
      <w:r>
        <w:rPr>
          <w:spacing w:val="5"/>
        </w:rPr>
        <w:t>la </w:t>
      </w:r>
      <w:r>
        <w:rPr/>
        <w:t>modificación publicada </w:t>
      </w:r>
      <w:r>
        <w:rPr>
          <w:spacing w:val="-3"/>
        </w:rPr>
        <w:t>en </w:t>
      </w:r>
      <w:r>
        <w:rPr/>
        <w:t>2014, establecía </w:t>
      </w:r>
      <w:r>
        <w:rPr>
          <w:spacing w:val="5"/>
        </w:rPr>
        <w:t>la </w:t>
      </w:r>
      <w:r>
        <w:rPr/>
        <w:t>concentración máxima permisible de 120(mcg/m3) por un periodo de 24 horas. </w:t>
      </w:r>
      <w:r>
        <w:rPr>
          <w:spacing w:val="8"/>
        </w:rPr>
        <w:t>La </w:t>
      </w:r>
      <w:r>
        <w:rPr/>
        <w:t>predicción del estudio, indicó que de continuar con </w:t>
      </w:r>
      <w:r>
        <w:rPr>
          <w:spacing w:val="-3"/>
        </w:rPr>
        <w:t>esta </w:t>
      </w:r>
      <w:r>
        <w:rPr/>
        <w:t>tendencia, las concentraciones serían altas y frecuentes </w:t>
      </w:r>
      <w:r>
        <w:rPr>
          <w:spacing w:val="-3"/>
        </w:rPr>
        <w:t>en </w:t>
      </w:r>
      <w:r>
        <w:rPr/>
        <w:t>los años posteriores, particularmente </w:t>
      </w:r>
      <w:r>
        <w:rPr>
          <w:spacing w:val="-3"/>
        </w:rPr>
        <w:t>en </w:t>
      </w:r>
      <w:r>
        <w:rPr/>
        <w:t>dirección suroeste-noreste y sur-noreste de </w:t>
      </w:r>
      <w:r>
        <w:rPr>
          <w:spacing w:val="5"/>
        </w:rPr>
        <w:t>la </w:t>
      </w:r>
      <w:r>
        <w:rPr/>
        <w:t>ZMCT (R. Flores, Jesús Hernán </w:t>
      </w:r>
      <w:r>
        <w:rPr>
          <w:spacing w:val="-3"/>
        </w:rPr>
        <w:t>et </w:t>
      </w:r>
      <w:r>
        <w:rPr/>
        <w:t>al.,</w:t>
      </w:r>
      <w:r>
        <w:rPr>
          <w:spacing w:val="9"/>
        </w:rPr>
        <w:t> </w:t>
      </w:r>
      <w:r>
        <w:rPr/>
        <w:t>2010).</w:t>
      </w:r>
    </w:p>
    <w:p>
      <w:pPr>
        <w:pStyle w:val="BodyText"/>
      </w:pPr>
    </w:p>
    <w:p>
      <w:pPr>
        <w:pStyle w:val="BodyText"/>
        <w:ind w:left="105" w:right="114"/>
        <w:jc w:val="both"/>
      </w:pPr>
      <w:r>
        <w:rPr/>
        <w:t>En </w:t>
      </w:r>
      <w:r>
        <w:rPr>
          <w:spacing w:val="-3"/>
        </w:rPr>
        <w:t>el </w:t>
      </w:r>
      <w:r>
        <w:rPr/>
        <w:t>mismo período </w:t>
      </w:r>
      <w:r>
        <w:rPr>
          <w:spacing w:val="3"/>
        </w:rPr>
        <w:t>se </w:t>
      </w:r>
      <w:r>
        <w:rPr/>
        <w:t>aplicó </w:t>
      </w:r>
      <w:r>
        <w:rPr>
          <w:spacing w:val="-3"/>
        </w:rPr>
        <w:t>el </w:t>
      </w:r>
      <w:r>
        <w:rPr/>
        <w:t>análisis univariante, los resultados indican que la </w:t>
      </w:r>
      <w:r>
        <w:rPr>
          <w:spacing w:val="-3"/>
        </w:rPr>
        <w:t>mayor </w:t>
      </w:r>
      <w:r>
        <w:rPr/>
        <w:t>concentración de partículas suspendidas ocurre </w:t>
      </w:r>
      <w:r>
        <w:rPr>
          <w:spacing w:val="-3"/>
        </w:rPr>
        <w:t>en </w:t>
      </w:r>
      <w:r>
        <w:rPr/>
        <w:t>los meses </w:t>
      </w:r>
      <w:r>
        <w:rPr>
          <w:spacing w:val="5"/>
        </w:rPr>
        <w:t>de </w:t>
      </w:r>
      <w:r>
        <w:rPr/>
        <w:t>febrero a abril y la máxima concentración </w:t>
      </w:r>
      <w:r>
        <w:rPr>
          <w:spacing w:val="3"/>
        </w:rPr>
        <w:t>se </w:t>
      </w:r>
      <w:r>
        <w:rPr/>
        <w:t>presenta </w:t>
      </w:r>
      <w:r>
        <w:rPr>
          <w:spacing w:val="-3"/>
        </w:rPr>
        <w:t>en el </w:t>
      </w:r>
      <w:r>
        <w:rPr/>
        <w:t>norte </w:t>
      </w:r>
      <w:r>
        <w:rPr>
          <w:spacing w:val="5"/>
        </w:rPr>
        <w:t>de la </w:t>
      </w:r>
      <w:r>
        <w:rPr/>
        <w:t>ZMCT, está condición se atribuye a la dirección del viento (Morelos Martínez, 2009). Romero &amp; Reyes (2013) analizaron los factores meteorológicos y </w:t>
      </w:r>
      <w:r>
        <w:rPr>
          <w:spacing w:val="5"/>
        </w:rPr>
        <w:t>la </w:t>
      </w:r>
      <w:r>
        <w:rPr/>
        <w:t>dinámica de los vientos, los resultados identifican partículas de origen industrial, carbón, azufre, vanadio y níquel, partículas compuestas por aluminio, oxígeno y sílice provenientes de la erosión de las tierras y entre otros componentes de origen orgánico, polen, esporas, fragmentos </w:t>
      </w:r>
      <w:r>
        <w:rPr>
          <w:spacing w:val="5"/>
        </w:rPr>
        <w:t>de </w:t>
      </w:r>
      <w:r>
        <w:rPr/>
        <w:t>insectos y ameba, concluyeron que la </w:t>
      </w:r>
      <w:r>
        <w:rPr>
          <w:spacing w:val="-3"/>
        </w:rPr>
        <w:t>mayor </w:t>
      </w:r>
      <w:r>
        <w:rPr/>
        <w:t>concentración  de partículas  suspendidas  se presenta </w:t>
      </w:r>
      <w:r>
        <w:rPr>
          <w:spacing w:val="-3"/>
        </w:rPr>
        <w:t>al  </w:t>
      </w:r>
      <w:r>
        <w:rPr/>
        <w:t>norte de la ZMCT.  </w:t>
      </w:r>
      <w:r>
        <w:rPr>
          <w:spacing w:val="46"/>
        </w:rPr>
        <w:t> </w:t>
      </w:r>
      <w:r>
        <w:rPr/>
        <w:t>Los</w:t>
      </w:r>
    </w:p>
    <w:p>
      <w:pPr>
        <w:spacing w:after="0"/>
        <w:jc w:val="both"/>
        <w:sectPr>
          <w:footerReference w:type="default" r:id="rId12"/>
          <w:pgSz w:w="12240" w:h="15840"/>
          <w:pgMar w:footer="1001" w:header="0" w:top="1380" w:bottom="1200" w:left="1600" w:right="1580"/>
          <w:pgNumType w:start="11"/>
        </w:sectPr>
      </w:pPr>
    </w:p>
    <w:p>
      <w:pPr>
        <w:pStyle w:val="BodyText"/>
        <w:spacing w:before="48"/>
        <w:ind w:left="105" w:right="114"/>
        <w:jc w:val="both"/>
      </w:pPr>
      <w:r>
        <w:rPr/>
        <w:t>referentes evidencian el enfoque reactivo de las enfermedades que se producen por la exposición de la población a la contaminación y el consecuente deceso de los afectados, sin embargo las causas y consecuencias de la contaminación en el largo plazo, aún en están en ciernes. Por otro lado, los estudios específicos advierten la magnitud del problema en la zona en estudio, destacan la importancia de contar con series de datos continuas y completas, así como la selección de los métodos, las herramientas y las variables de análisis para el tratamiento de la información. Esta investigación identifica los patrones espaciales de las partículas suspendidas (PM10) en la ciudad de Toluca, en el periodo 2011-2013 y propone algunas estrategias básicas que pretenden coadyuvar en el mejoramiento de la habitabilidad urbana.</w:t>
      </w:r>
    </w:p>
    <w:p>
      <w:pPr>
        <w:spacing w:after="0"/>
        <w:jc w:val="both"/>
        <w:sectPr>
          <w:pgSz w:w="12240" w:h="15840"/>
          <w:pgMar w:header="0" w:footer="1001" w:top="1360" w:bottom="1200" w:left="1600" w:right="1580"/>
        </w:sectPr>
      </w:pPr>
    </w:p>
    <w:p>
      <w:pPr>
        <w:pStyle w:val="Heading1"/>
        <w:ind w:left="1786" w:right="0"/>
        <w:jc w:val="left"/>
      </w:pPr>
      <w:bookmarkStart w:name="_bookmark6" w:id="7"/>
      <w:bookmarkEnd w:id="7"/>
      <w:r>
        <w:rPr>
          <w:b w:val="0"/>
        </w:rPr>
      </w:r>
      <w:r>
        <w:rPr>
          <w:color w:val="365F91"/>
        </w:rPr>
        <w:t>Capítulo 1 Protocolo de Investigación</w:t>
      </w:r>
    </w:p>
    <w:p>
      <w:pPr>
        <w:pStyle w:val="BodyText"/>
        <w:rPr>
          <w:rFonts w:ascii="Cambria"/>
          <w:b/>
          <w:sz w:val="32"/>
        </w:rPr>
      </w:pPr>
    </w:p>
    <w:p>
      <w:pPr>
        <w:pStyle w:val="Heading2"/>
        <w:spacing w:before="195"/>
      </w:pPr>
      <w:bookmarkStart w:name="_bookmark7" w:id="8"/>
      <w:bookmarkEnd w:id="8"/>
      <w:r>
        <w:rPr>
          <w:b w:val="0"/>
        </w:rPr>
      </w:r>
      <w:r>
        <w:rPr>
          <w:color w:val="4F81BC"/>
        </w:rPr>
        <w:t>1.1  Contaminación Atmosférica</w:t>
      </w:r>
    </w:p>
    <w:p>
      <w:pPr>
        <w:pStyle w:val="BodyText"/>
        <w:rPr>
          <w:rFonts w:ascii="Cambria"/>
          <w:b/>
          <w:sz w:val="27"/>
        </w:rPr>
      </w:pPr>
    </w:p>
    <w:p>
      <w:pPr>
        <w:pStyle w:val="BodyText"/>
        <w:spacing w:line="360" w:lineRule="auto"/>
        <w:ind w:left="105" w:right="115"/>
        <w:jc w:val="both"/>
      </w:pPr>
      <w:r>
        <w:rPr/>
        <w:t>Uno de los principales problemas </w:t>
      </w:r>
      <w:r>
        <w:rPr>
          <w:spacing w:val="-3"/>
        </w:rPr>
        <w:t>en </w:t>
      </w:r>
      <w:r>
        <w:rPr/>
        <w:t>las zonas urbanas </w:t>
      </w:r>
      <w:r>
        <w:rPr>
          <w:spacing w:val="-3"/>
        </w:rPr>
        <w:t>es </w:t>
      </w:r>
      <w:r>
        <w:rPr/>
        <w:t>la contaminación atmosférica, considerada como una condición primordial, la cual se define como  las alteraciones </w:t>
      </w:r>
      <w:r>
        <w:rPr>
          <w:spacing w:val="-3"/>
        </w:rPr>
        <w:t>en </w:t>
      </w:r>
      <w:r>
        <w:rPr/>
        <w:t>la constitución física o química de la atmósfera por la presencia de materia o energía </w:t>
      </w:r>
      <w:r>
        <w:rPr>
          <w:spacing w:val="-3"/>
        </w:rPr>
        <w:t>en </w:t>
      </w:r>
      <w:r>
        <w:rPr/>
        <w:t>cualquiera de los estados físicos y formas que </w:t>
      </w:r>
      <w:r>
        <w:rPr>
          <w:spacing w:val="-3"/>
        </w:rPr>
        <w:t>al </w:t>
      </w:r>
      <w:r>
        <w:rPr/>
        <w:t>incorporarse </w:t>
      </w:r>
      <w:r>
        <w:rPr>
          <w:spacing w:val="-3"/>
        </w:rPr>
        <w:t>al </w:t>
      </w:r>
      <w:r>
        <w:rPr/>
        <w:t>aire altera o modifica su composición y condición </w:t>
      </w:r>
      <w:r>
        <w:rPr>
          <w:spacing w:val="-3"/>
        </w:rPr>
        <w:t>natural, </w:t>
      </w:r>
      <w:r>
        <w:rPr/>
        <w:t>provocando un desequilibrio ecológico, </w:t>
      </w:r>
      <w:r>
        <w:rPr>
          <w:spacing w:val="-3"/>
        </w:rPr>
        <w:t>en </w:t>
      </w:r>
      <w:r>
        <w:rPr/>
        <w:t>cantidades y con duración que pueda afectar la vida humana, de animales y plantas (González Guerrero &amp; Villafaña Esquivel,</w:t>
      </w:r>
      <w:r>
        <w:rPr>
          <w:spacing w:val="5"/>
        </w:rPr>
        <w:t> </w:t>
      </w:r>
      <w:r>
        <w:rPr/>
        <w:t>2003).</w:t>
      </w:r>
    </w:p>
    <w:p>
      <w:pPr>
        <w:pStyle w:val="BodyText"/>
        <w:spacing w:before="2"/>
      </w:pPr>
    </w:p>
    <w:p>
      <w:pPr>
        <w:pStyle w:val="BodyText"/>
        <w:spacing w:line="360" w:lineRule="auto"/>
        <w:ind w:left="105" w:right="110"/>
        <w:jc w:val="both"/>
      </w:pPr>
      <w:r>
        <w:rPr/>
        <w:t>Es importante señalar que la composición de la atmósfera se ha modificado desde su origen primitivo que permitió su formación a partir de la actividad volcánica, (momento en el cual presentaba bajas concentraciones  de  oxígeno) evolucionando hasta sus características actuales. Por lo anterior es importante considerar que la contaminación de la atmósfera corresponde a un proceso que atiende a las características temporales de un momento dado, sin embargo en términos prácticos se considera a la contaminación atmosférica a partir de la existencia del ser humano, en particular a partir de que éste realizó uso del fuego, iniciándose así la modificación de la composición atmosférica. La atmósfera se encuentra formada por diferentes gases y su composición varía en función de la altura formando diferentes capas, las cuales cuentan con características particulares y se estratifican de forma sucesiva, como se presenta en el cuadro 1:</w:t>
      </w:r>
    </w:p>
    <w:p>
      <w:pPr>
        <w:spacing w:after="0" w:line="360" w:lineRule="auto"/>
        <w:jc w:val="both"/>
        <w:sectPr>
          <w:pgSz w:w="12240" w:h="15840"/>
          <w:pgMar w:header="0" w:footer="1001" w:top="1380" w:bottom="1200" w:left="1600" w:right="1580"/>
        </w:sectPr>
      </w:pPr>
    </w:p>
    <w:p>
      <w:pPr>
        <w:pStyle w:val="BodyText"/>
        <w:spacing w:before="48"/>
        <w:ind w:left="2907"/>
      </w:pPr>
      <w:r>
        <w:rPr/>
        <w:t>Cuadro 1 Capas de la atmosfera</w:t>
      </w:r>
    </w:p>
    <w:p>
      <w:pPr>
        <w:pStyle w:val="BodyText"/>
        <w:spacing w:before="6"/>
        <w:rPr>
          <w:sz w:val="18"/>
        </w:rPr>
      </w:pPr>
    </w:p>
    <w:tbl>
      <w:tblPr>
        <w:tblW w:w="0" w:type="auto"/>
        <w:jc w:val="left"/>
        <w:tblInd w:w="105" w:type="dxa"/>
        <w:tblBorders>
          <w:top w:val="single" w:sz="6" w:space="0" w:color="7A9FCD"/>
          <w:left w:val="single" w:sz="6" w:space="0" w:color="7A9FCD"/>
          <w:bottom w:val="single" w:sz="6" w:space="0" w:color="7A9FCD"/>
          <w:right w:val="single" w:sz="6" w:space="0" w:color="7A9FCD"/>
          <w:insideH w:val="single" w:sz="6" w:space="0" w:color="7A9FCD"/>
          <w:insideV w:val="single" w:sz="6" w:space="0" w:color="7A9FCD"/>
        </w:tblBorders>
        <w:tblLayout w:type="fixed"/>
        <w:tblCellMar>
          <w:top w:w="0" w:type="dxa"/>
          <w:left w:w="0" w:type="dxa"/>
          <w:bottom w:w="0" w:type="dxa"/>
          <w:right w:w="0" w:type="dxa"/>
        </w:tblCellMar>
        <w:tblLook w:val="01E0"/>
      </w:tblPr>
      <w:tblGrid>
        <w:gridCol w:w="1225"/>
        <w:gridCol w:w="1585"/>
        <w:gridCol w:w="3634"/>
        <w:gridCol w:w="2618"/>
      </w:tblGrid>
      <w:tr>
        <w:trPr>
          <w:trHeight w:val="264" w:hRule="exact"/>
        </w:trPr>
        <w:tc>
          <w:tcPr>
            <w:tcW w:w="1225" w:type="dxa"/>
            <w:shd w:val="clear" w:color="auto" w:fill="D2DFED"/>
          </w:tcPr>
          <w:p>
            <w:pPr>
              <w:pStyle w:val="TableParagraph"/>
              <w:spacing w:line="238" w:lineRule="exact"/>
              <w:ind w:left="400"/>
              <w:rPr>
                <w:rFonts w:ascii="Calibri"/>
                <w:b/>
                <w:sz w:val="20"/>
              </w:rPr>
            </w:pPr>
            <w:r>
              <w:rPr>
                <w:rFonts w:ascii="Calibri"/>
                <w:b/>
                <w:sz w:val="20"/>
              </w:rPr>
              <w:t>Capa</w:t>
            </w:r>
          </w:p>
        </w:tc>
        <w:tc>
          <w:tcPr>
            <w:tcW w:w="1585" w:type="dxa"/>
            <w:shd w:val="clear" w:color="auto" w:fill="D2DFED"/>
          </w:tcPr>
          <w:p>
            <w:pPr>
              <w:pStyle w:val="TableParagraph"/>
              <w:spacing w:line="238" w:lineRule="exact"/>
              <w:ind w:left="512" w:right="105"/>
              <w:rPr>
                <w:rFonts w:ascii="Calibri"/>
                <w:b/>
                <w:sz w:val="20"/>
              </w:rPr>
            </w:pPr>
            <w:r>
              <w:rPr>
                <w:rFonts w:ascii="Calibri"/>
                <w:b/>
                <w:sz w:val="20"/>
              </w:rPr>
              <w:t>Altura</w:t>
            </w:r>
          </w:p>
        </w:tc>
        <w:tc>
          <w:tcPr>
            <w:tcW w:w="3634" w:type="dxa"/>
            <w:shd w:val="clear" w:color="auto" w:fill="D2DFED"/>
          </w:tcPr>
          <w:p>
            <w:pPr>
              <w:pStyle w:val="TableParagraph"/>
              <w:spacing w:line="238" w:lineRule="exact"/>
              <w:ind w:left="1200" w:right="17"/>
              <w:rPr>
                <w:rFonts w:ascii="Calibri" w:hAnsi="Calibri"/>
                <w:b/>
                <w:sz w:val="20"/>
              </w:rPr>
            </w:pPr>
            <w:r>
              <w:rPr>
                <w:rFonts w:ascii="Calibri" w:hAnsi="Calibri"/>
                <w:b/>
                <w:sz w:val="20"/>
              </w:rPr>
              <w:t>Características</w:t>
            </w:r>
          </w:p>
        </w:tc>
        <w:tc>
          <w:tcPr>
            <w:tcW w:w="2618" w:type="dxa"/>
            <w:shd w:val="clear" w:color="auto" w:fill="D2DFED"/>
          </w:tcPr>
          <w:p>
            <w:pPr>
              <w:pStyle w:val="TableParagraph"/>
              <w:spacing w:line="238" w:lineRule="exact"/>
              <w:ind w:left="760"/>
              <w:rPr>
                <w:rFonts w:ascii="Calibri"/>
                <w:b/>
                <w:sz w:val="20"/>
              </w:rPr>
            </w:pPr>
            <w:r>
              <w:rPr>
                <w:rFonts w:ascii="Calibri"/>
                <w:b/>
                <w:sz w:val="20"/>
              </w:rPr>
              <w:t>Temperatura</w:t>
            </w:r>
          </w:p>
        </w:tc>
      </w:tr>
      <w:tr>
        <w:trPr>
          <w:trHeight w:val="996" w:hRule="exact"/>
        </w:trPr>
        <w:tc>
          <w:tcPr>
            <w:tcW w:w="1225" w:type="dxa"/>
            <w:shd w:val="clear" w:color="auto" w:fill="A7BEDE"/>
          </w:tcPr>
          <w:p>
            <w:pPr>
              <w:pStyle w:val="TableParagraph"/>
              <w:spacing w:line="238" w:lineRule="exact"/>
              <w:ind w:left="103"/>
              <w:rPr>
                <w:rFonts w:ascii="Calibri" w:hAnsi="Calibri"/>
                <w:b/>
                <w:sz w:val="20"/>
              </w:rPr>
            </w:pPr>
            <w:r>
              <w:rPr>
                <w:rFonts w:ascii="Calibri" w:hAnsi="Calibri"/>
                <w:b/>
                <w:sz w:val="20"/>
              </w:rPr>
              <w:t>Tropósfera</w:t>
            </w:r>
          </w:p>
        </w:tc>
        <w:tc>
          <w:tcPr>
            <w:tcW w:w="1585" w:type="dxa"/>
            <w:shd w:val="clear" w:color="auto" w:fill="A7BEDE"/>
          </w:tcPr>
          <w:p>
            <w:pPr>
              <w:pStyle w:val="TableParagraph"/>
              <w:spacing w:line="238" w:lineRule="exact"/>
              <w:ind w:left="96" w:right="105"/>
              <w:rPr>
                <w:rFonts w:ascii="Calibri"/>
                <w:sz w:val="20"/>
              </w:rPr>
            </w:pPr>
            <w:r>
              <w:rPr>
                <w:rFonts w:ascii="Calibri"/>
                <w:sz w:val="20"/>
              </w:rPr>
              <w:t>10-16 kmsnm</w:t>
            </w:r>
          </w:p>
        </w:tc>
        <w:tc>
          <w:tcPr>
            <w:tcW w:w="3634" w:type="dxa"/>
            <w:shd w:val="clear" w:color="auto" w:fill="A7BEDE"/>
          </w:tcPr>
          <w:p>
            <w:pPr>
              <w:pStyle w:val="TableParagraph"/>
              <w:spacing w:line="232" w:lineRule="auto"/>
              <w:ind w:left="95" w:right="89"/>
              <w:jc w:val="both"/>
              <w:rPr>
                <w:rFonts w:ascii="Calibri"/>
                <w:sz w:val="20"/>
              </w:rPr>
            </w:pPr>
            <w:r>
              <w:rPr>
                <w:rFonts w:ascii="Calibri"/>
                <w:sz w:val="20"/>
              </w:rPr>
              <w:t>Formada por el 95% del aire del planeta, formada por N (78%), 0</w:t>
            </w:r>
            <w:r>
              <w:rPr>
                <w:rFonts w:ascii="Calibri"/>
                <w:position w:val="-2"/>
                <w:sz w:val="13"/>
              </w:rPr>
              <w:t>2 </w:t>
            </w:r>
            <w:r>
              <w:rPr>
                <w:rFonts w:ascii="Calibri"/>
                <w:sz w:val="20"/>
              </w:rPr>
              <w:t>(20%) y otros gases como Ar, He, Kr, Xe, CO</w:t>
            </w:r>
            <w:r>
              <w:rPr>
                <w:rFonts w:ascii="Calibri"/>
                <w:position w:val="-2"/>
                <w:sz w:val="13"/>
              </w:rPr>
              <w:t>2</w:t>
            </w:r>
            <w:r>
              <w:rPr>
                <w:rFonts w:ascii="Calibri"/>
                <w:sz w:val="20"/>
              </w:rPr>
              <w:t>, y vapor de agua</w:t>
            </w:r>
          </w:p>
        </w:tc>
        <w:tc>
          <w:tcPr>
            <w:tcW w:w="2618" w:type="dxa"/>
            <w:shd w:val="clear" w:color="auto" w:fill="A7BEDE"/>
          </w:tcPr>
          <w:p>
            <w:pPr>
              <w:pStyle w:val="TableParagraph"/>
              <w:spacing w:line="238" w:lineRule="exact"/>
              <w:ind w:left="104"/>
              <w:jc w:val="both"/>
              <w:rPr>
                <w:rFonts w:ascii="Calibri"/>
                <w:sz w:val="20"/>
              </w:rPr>
            </w:pPr>
            <w:r>
              <w:rPr>
                <w:rFonts w:ascii="Calibri"/>
                <w:sz w:val="20"/>
              </w:rPr>
              <w:t>De 15 a -56</w:t>
            </w:r>
            <w:r>
              <w:rPr>
                <w:rFonts w:ascii="Calibri"/>
                <w:position w:val="10"/>
                <w:sz w:val="12"/>
              </w:rPr>
              <w:t>o</w:t>
            </w:r>
            <w:r>
              <w:rPr>
                <w:rFonts w:ascii="Calibri"/>
                <w:sz w:val="20"/>
              </w:rPr>
              <w:t>C</w:t>
            </w:r>
          </w:p>
          <w:p>
            <w:pPr>
              <w:pStyle w:val="TableParagraph"/>
              <w:spacing w:line="223" w:lineRule="auto" w:before="17"/>
              <w:ind w:left="104" w:right="93"/>
              <w:jc w:val="both"/>
              <w:rPr>
                <w:rFonts w:ascii="Calibri"/>
                <w:sz w:val="20"/>
              </w:rPr>
            </w:pPr>
            <w:r>
              <w:rPr>
                <w:rFonts w:ascii="Calibri"/>
                <w:sz w:val="20"/>
              </w:rPr>
              <w:t>La temperatura disminuye 1</w:t>
            </w:r>
            <w:r>
              <w:rPr>
                <w:rFonts w:ascii="Calibri"/>
                <w:position w:val="10"/>
                <w:sz w:val="13"/>
              </w:rPr>
              <w:t>o</w:t>
            </w:r>
            <w:r>
              <w:rPr>
                <w:rFonts w:ascii="Calibri"/>
                <w:sz w:val="20"/>
              </w:rPr>
              <w:t>C por cada 200 m de  altitud</w:t>
            </w:r>
          </w:p>
        </w:tc>
      </w:tr>
      <w:tr>
        <w:trPr>
          <w:trHeight w:val="997" w:hRule="exact"/>
        </w:trPr>
        <w:tc>
          <w:tcPr>
            <w:tcW w:w="1225" w:type="dxa"/>
            <w:tcBorders>
              <w:bottom w:val="single" w:sz="10" w:space="0" w:color="7A9FCD"/>
            </w:tcBorders>
            <w:shd w:val="clear" w:color="auto" w:fill="D2DFED"/>
          </w:tcPr>
          <w:p>
            <w:pPr>
              <w:pStyle w:val="TableParagraph"/>
              <w:spacing w:line="242" w:lineRule="exact"/>
              <w:ind w:left="103"/>
              <w:rPr>
                <w:rFonts w:ascii="Calibri" w:hAnsi="Calibri"/>
                <w:b/>
                <w:sz w:val="20"/>
              </w:rPr>
            </w:pPr>
            <w:r>
              <w:rPr>
                <w:rFonts w:ascii="Calibri" w:hAnsi="Calibri"/>
                <w:b/>
                <w:sz w:val="20"/>
              </w:rPr>
              <w:t>Estratósfera</w:t>
            </w:r>
          </w:p>
        </w:tc>
        <w:tc>
          <w:tcPr>
            <w:tcW w:w="1585" w:type="dxa"/>
            <w:tcBorders>
              <w:bottom w:val="single" w:sz="10" w:space="0" w:color="7A9FCD"/>
            </w:tcBorders>
            <w:shd w:val="clear" w:color="auto" w:fill="D2DFED"/>
          </w:tcPr>
          <w:p>
            <w:pPr>
              <w:pStyle w:val="TableParagraph"/>
              <w:spacing w:line="242" w:lineRule="exact"/>
              <w:ind w:left="96" w:right="105"/>
              <w:rPr>
                <w:rFonts w:ascii="Calibri"/>
                <w:sz w:val="20"/>
              </w:rPr>
            </w:pPr>
            <w:r>
              <w:rPr>
                <w:rFonts w:ascii="Calibri"/>
                <w:sz w:val="20"/>
              </w:rPr>
              <w:t>16-50 kmsnm</w:t>
            </w:r>
          </w:p>
        </w:tc>
        <w:tc>
          <w:tcPr>
            <w:tcW w:w="3634" w:type="dxa"/>
            <w:tcBorders>
              <w:bottom w:val="single" w:sz="10" w:space="0" w:color="7A9FCD"/>
            </w:tcBorders>
            <w:shd w:val="clear" w:color="auto" w:fill="D2DFED"/>
          </w:tcPr>
          <w:p>
            <w:pPr>
              <w:pStyle w:val="TableParagraph"/>
              <w:spacing w:line="244" w:lineRule="exact"/>
              <w:ind w:left="95"/>
              <w:jc w:val="both"/>
              <w:rPr>
                <w:rFonts w:ascii="Calibri"/>
                <w:sz w:val="20"/>
              </w:rPr>
            </w:pPr>
            <w:r>
              <w:rPr>
                <w:rFonts w:ascii="Calibri"/>
                <w:sz w:val="20"/>
              </w:rPr>
              <w:t>El N y el 0</w:t>
            </w:r>
            <w:r>
              <w:rPr>
                <w:rFonts w:ascii="Calibri"/>
                <w:position w:val="-2"/>
                <w:sz w:val="12"/>
              </w:rPr>
              <w:t>2 </w:t>
            </w:r>
            <w:r>
              <w:rPr>
                <w:rFonts w:ascii="Calibri"/>
                <w:sz w:val="20"/>
              </w:rPr>
              <w:t>disminuyen</w:t>
            </w:r>
          </w:p>
          <w:p>
            <w:pPr>
              <w:pStyle w:val="TableParagraph"/>
              <w:spacing w:line="235" w:lineRule="auto"/>
              <w:ind w:left="95" w:right="98"/>
              <w:jc w:val="both"/>
              <w:rPr>
                <w:rFonts w:ascii="Calibri" w:hAnsi="Calibri"/>
                <w:sz w:val="20"/>
              </w:rPr>
            </w:pPr>
            <w:r>
              <w:rPr>
                <w:rFonts w:ascii="Calibri" w:hAnsi="Calibri"/>
                <w:sz w:val="20"/>
              </w:rPr>
              <w:t>Constituida principalmente por 0</w:t>
            </w:r>
            <w:r>
              <w:rPr>
                <w:rFonts w:ascii="Calibri" w:hAnsi="Calibri"/>
                <w:position w:val="-2"/>
                <w:sz w:val="13"/>
              </w:rPr>
              <w:t>3 </w:t>
            </w:r>
            <w:r>
              <w:rPr>
                <w:rFonts w:ascii="Calibri" w:hAnsi="Calibri"/>
                <w:sz w:val="20"/>
              </w:rPr>
              <w:t>que absorbe la energía ultravioleta, aumentando la temperatura</w:t>
            </w:r>
          </w:p>
        </w:tc>
        <w:tc>
          <w:tcPr>
            <w:tcW w:w="2618" w:type="dxa"/>
            <w:tcBorders>
              <w:bottom w:val="single" w:sz="10" w:space="0" w:color="7A9FCD"/>
            </w:tcBorders>
            <w:shd w:val="clear" w:color="auto" w:fill="D2DFED"/>
          </w:tcPr>
          <w:p>
            <w:pPr>
              <w:pStyle w:val="TableParagraph"/>
              <w:spacing w:line="242" w:lineRule="exact"/>
              <w:ind w:left="104"/>
              <w:rPr>
                <w:rFonts w:ascii="Calibri"/>
                <w:sz w:val="20"/>
              </w:rPr>
            </w:pPr>
            <w:r>
              <w:rPr>
                <w:rFonts w:ascii="Calibri"/>
                <w:sz w:val="20"/>
              </w:rPr>
              <w:t>-56 a -2</w:t>
            </w:r>
            <w:r>
              <w:rPr>
                <w:rFonts w:ascii="Calibri"/>
                <w:position w:val="10"/>
                <w:sz w:val="12"/>
              </w:rPr>
              <w:t>o</w:t>
            </w:r>
            <w:r>
              <w:rPr>
                <w:rFonts w:ascii="Calibri"/>
                <w:sz w:val="20"/>
              </w:rPr>
              <w:t>C</w:t>
            </w:r>
          </w:p>
        </w:tc>
      </w:tr>
      <w:tr>
        <w:trPr>
          <w:trHeight w:val="752" w:hRule="exact"/>
        </w:trPr>
        <w:tc>
          <w:tcPr>
            <w:tcW w:w="1225" w:type="dxa"/>
            <w:tcBorders>
              <w:bottom w:val="single" w:sz="10" w:space="0" w:color="7A9FCD"/>
            </w:tcBorders>
            <w:shd w:val="clear" w:color="auto" w:fill="A7BEDE"/>
          </w:tcPr>
          <w:p>
            <w:pPr>
              <w:pStyle w:val="TableParagraph"/>
              <w:spacing w:line="238" w:lineRule="exact"/>
              <w:ind w:left="103"/>
              <w:rPr>
                <w:rFonts w:ascii="Calibri" w:hAnsi="Calibri"/>
                <w:b/>
                <w:sz w:val="20"/>
              </w:rPr>
            </w:pPr>
            <w:r>
              <w:rPr>
                <w:rFonts w:ascii="Calibri" w:hAnsi="Calibri"/>
                <w:b/>
                <w:sz w:val="20"/>
              </w:rPr>
              <w:t>Mesósfera</w:t>
            </w:r>
          </w:p>
        </w:tc>
        <w:tc>
          <w:tcPr>
            <w:tcW w:w="1585" w:type="dxa"/>
            <w:tcBorders>
              <w:bottom w:val="single" w:sz="10" w:space="0" w:color="7A9FCD"/>
            </w:tcBorders>
            <w:shd w:val="clear" w:color="auto" w:fill="A7BEDE"/>
          </w:tcPr>
          <w:p>
            <w:pPr>
              <w:pStyle w:val="TableParagraph"/>
              <w:spacing w:line="238" w:lineRule="exact"/>
              <w:ind w:left="96" w:right="105"/>
              <w:rPr>
                <w:rFonts w:ascii="Calibri"/>
                <w:sz w:val="20"/>
              </w:rPr>
            </w:pPr>
            <w:r>
              <w:rPr>
                <w:rFonts w:ascii="Calibri"/>
                <w:sz w:val="20"/>
              </w:rPr>
              <w:t>50-85 kmsnm</w:t>
            </w:r>
          </w:p>
        </w:tc>
        <w:tc>
          <w:tcPr>
            <w:tcW w:w="3634" w:type="dxa"/>
            <w:tcBorders>
              <w:bottom w:val="single" w:sz="10" w:space="0" w:color="7A9FCD"/>
            </w:tcBorders>
            <w:shd w:val="clear" w:color="auto" w:fill="A7BEDE"/>
          </w:tcPr>
          <w:p>
            <w:pPr>
              <w:pStyle w:val="TableParagraph"/>
              <w:ind w:left="95" w:right="96"/>
              <w:jc w:val="both"/>
              <w:rPr>
                <w:rFonts w:ascii="Calibri"/>
                <w:sz w:val="20"/>
              </w:rPr>
            </w:pPr>
            <w:r>
              <w:rPr>
                <w:rFonts w:ascii="Calibri"/>
                <w:sz w:val="20"/>
              </w:rPr>
              <w:t>Capa inestable en la cual se producen nubes luminiscentes formadas por polvo envuelto en hielo</w:t>
            </w:r>
          </w:p>
        </w:tc>
        <w:tc>
          <w:tcPr>
            <w:tcW w:w="2618" w:type="dxa"/>
            <w:tcBorders>
              <w:bottom w:val="single" w:sz="10" w:space="0" w:color="7A9FCD"/>
            </w:tcBorders>
            <w:shd w:val="clear" w:color="auto" w:fill="A7BEDE"/>
          </w:tcPr>
          <w:p>
            <w:pPr>
              <w:pStyle w:val="TableParagraph"/>
              <w:spacing w:line="238" w:lineRule="exact"/>
              <w:ind w:left="104"/>
              <w:rPr>
                <w:rFonts w:ascii="Calibri"/>
                <w:sz w:val="20"/>
              </w:rPr>
            </w:pPr>
            <w:r>
              <w:rPr>
                <w:rFonts w:ascii="Calibri"/>
                <w:sz w:val="20"/>
              </w:rPr>
              <w:t>-2 a -96 </w:t>
            </w:r>
            <w:r>
              <w:rPr>
                <w:rFonts w:ascii="Calibri"/>
                <w:position w:val="10"/>
                <w:sz w:val="13"/>
              </w:rPr>
              <w:t>o</w:t>
            </w:r>
            <w:r>
              <w:rPr>
                <w:rFonts w:ascii="Calibri"/>
                <w:sz w:val="20"/>
              </w:rPr>
              <w:t>C</w:t>
            </w:r>
          </w:p>
        </w:tc>
      </w:tr>
      <w:tr>
        <w:trPr>
          <w:trHeight w:val="508" w:hRule="exact"/>
        </w:trPr>
        <w:tc>
          <w:tcPr>
            <w:tcW w:w="1225" w:type="dxa"/>
            <w:shd w:val="clear" w:color="auto" w:fill="D2DFED"/>
          </w:tcPr>
          <w:p>
            <w:pPr>
              <w:pStyle w:val="TableParagraph"/>
              <w:spacing w:line="238" w:lineRule="exact"/>
              <w:ind w:left="103"/>
              <w:rPr>
                <w:rFonts w:ascii="Calibri" w:hAnsi="Calibri"/>
                <w:b/>
                <w:sz w:val="20"/>
              </w:rPr>
            </w:pPr>
            <w:r>
              <w:rPr>
                <w:rFonts w:ascii="Calibri" w:hAnsi="Calibri"/>
                <w:b/>
                <w:sz w:val="20"/>
              </w:rPr>
              <w:t>Exósfera</w:t>
            </w:r>
          </w:p>
        </w:tc>
        <w:tc>
          <w:tcPr>
            <w:tcW w:w="1585" w:type="dxa"/>
            <w:shd w:val="clear" w:color="auto" w:fill="D2DFED"/>
          </w:tcPr>
          <w:p>
            <w:pPr>
              <w:pStyle w:val="TableParagraph"/>
              <w:spacing w:line="242" w:lineRule="auto"/>
              <w:ind w:left="96" w:right="105"/>
              <w:rPr>
                <w:rFonts w:ascii="Calibri"/>
                <w:sz w:val="20"/>
              </w:rPr>
            </w:pPr>
            <w:r>
              <w:rPr>
                <w:rFonts w:ascii="Calibri"/>
                <w:sz w:val="20"/>
              </w:rPr>
              <w:t>A partir de los 500 kmsnm</w:t>
            </w:r>
          </w:p>
        </w:tc>
        <w:tc>
          <w:tcPr>
            <w:tcW w:w="3634" w:type="dxa"/>
            <w:shd w:val="clear" w:color="auto" w:fill="D2DFED"/>
          </w:tcPr>
          <w:p>
            <w:pPr>
              <w:pStyle w:val="TableParagraph"/>
              <w:spacing w:line="242" w:lineRule="auto"/>
              <w:ind w:left="95" w:right="17"/>
              <w:rPr>
                <w:rFonts w:ascii="Calibri" w:hAnsi="Calibri"/>
                <w:sz w:val="20"/>
              </w:rPr>
            </w:pPr>
            <w:r>
              <w:rPr>
                <w:rFonts w:ascii="Calibri" w:hAnsi="Calibri"/>
                <w:sz w:val="20"/>
              </w:rPr>
              <w:t>Formada por una capa de hielo rodeada por otra capa de hidrógeno</w:t>
            </w:r>
          </w:p>
        </w:tc>
        <w:tc>
          <w:tcPr>
            <w:tcW w:w="2618" w:type="dxa"/>
            <w:shd w:val="clear" w:color="auto" w:fill="D2DFED"/>
          </w:tcPr>
          <w:p>
            <w:pPr/>
          </w:p>
        </w:tc>
      </w:tr>
    </w:tbl>
    <w:p>
      <w:pPr>
        <w:spacing w:line="251" w:lineRule="exact" w:before="0"/>
        <w:ind w:left="387" w:right="410" w:firstLine="0"/>
        <w:jc w:val="center"/>
        <w:rPr>
          <w:sz w:val="22"/>
        </w:rPr>
      </w:pPr>
      <w:r>
        <w:rPr>
          <w:sz w:val="22"/>
        </w:rPr>
        <w:t>Fuente: elaboración propia basado en  (González Guerrero &amp; Villafaña Esquivel, 2003)</w:t>
      </w:r>
    </w:p>
    <w:p>
      <w:pPr>
        <w:pStyle w:val="BodyText"/>
        <w:spacing w:before="7"/>
        <w:rPr>
          <w:sz w:val="23"/>
        </w:rPr>
      </w:pPr>
    </w:p>
    <w:p>
      <w:pPr>
        <w:pStyle w:val="BodyText"/>
        <w:spacing w:line="362" w:lineRule="auto"/>
        <w:ind w:left="225" w:right="230"/>
        <w:jc w:val="both"/>
      </w:pPr>
      <w:r>
        <w:rPr/>
        <w:t>Para efectos de la presente investigación se considera la troposfera como la capa de principal interés por ser esta donde se presentan el contaminante objetivo. Además de ser ésta donde se concentra el aire respirable, la composición del aire se presenta en el cuadro 2:</w:t>
      </w:r>
    </w:p>
    <w:p>
      <w:pPr>
        <w:pStyle w:val="BodyText"/>
        <w:spacing w:before="11"/>
        <w:rPr>
          <w:sz w:val="23"/>
        </w:rPr>
      </w:pPr>
    </w:p>
    <w:p>
      <w:pPr>
        <w:pStyle w:val="BodyText"/>
        <w:spacing w:after="13"/>
        <w:ind w:left="387" w:right="396"/>
        <w:jc w:val="center"/>
      </w:pPr>
      <w:r>
        <w:rPr/>
        <w:t>Cuadro 2  Composición del aire troposférico</w:t>
      </w:r>
    </w:p>
    <w:tbl>
      <w:tblPr>
        <w:tblW w:w="0" w:type="auto"/>
        <w:jc w:val="left"/>
        <w:tblInd w:w="2482" w:type="dxa"/>
        <w:tblBorders>
          <w:top w:val="single" w:sz="6" w:space="0" w:color="78C0D3"/>
          <w:left w:val="single" w:sz="6" w:space="0" w:color="78C0D3"/>
          <w:bottom w:val="single" w:sz="6" w:space="0" w:color="78C0D3"/>
          <w:right w:val="single" w:sz="6" w:space="0" w:color="78C0D3"/>
          <w:insideH w:val="single" w:sz="6" w:space="0" w:color="78C0D3"/>
          <w:insideV w:val="single" w:sz="6" w:space="0" w:color="78C0D3"/>
        </w:tblBorders>
        <w:tblLayout w:type="fixed"/>
        <w:tblCellMar>
          <w:top w:w="0" w:type="dxa"/>
          <w:left w:w="0" w:type="dxa"/>
          <w:bottom w:w="0" w:type="dxa"/>
          <w:right w:w="0" w:type="dxa"/>
        </w:tblCellMar>
        <w:tblLook w:val="01E0"/>
      </w:tblPr>
      <w:tblGrid>
        <w:gridCol w:w="2457"/>
        <w:gridCol w:w="1858"/>
      </w:tblGrid>
      <w:tr>
        <w:trPr>
          <w:trHeight w:val="252" w:hRule="exact"/>
        </w:trPr>
        <w:tc>
          <w:tcPr>
            <w:tcW w:w="2457" w:type="dxa"/>
            <w:shd w:val="clear" w:color="auto" w:fill="D2EAF0"/>
          </w:tcPr>
          <w:p>
            <w:pPr>
              <w:pStyle w:val="TableParagraph"/>
              <w:spacing w:line="218" w:lineRule="exact"/>
              <w:ind w:left="600"/>
              <w:rPr>
                <w:b/>
                <w:sz w:val="20"/>
              </w:rPr>
            </w:pPr>
            <w:r>
              <w:rPr>
                <w:b/>
                <w:sz w:val="20"/>
              </w:rPr>
              <w:t>Componente</w:t>
            </w:r>
          </w:p>
        </w:tc>
        <w:tc>
          <w:tcPr>
            <w:tcW w:w="1858" w:type="dxa"/>
            <w:shd w:val="clear" w:color="auto" w:fill="D2EAF0"/>
          </w:tcPr>
          <w:p>
            <w:pPr>
              <w:pStyle w:val="TableParagraph"/>
              <w:spacing w:line="218" w:lineRule="exact"/>
              <w:ind w:left="81" w:right="86"/>
              <w:jc w:val="center"/>
              <w:rPr>
                <w:b/>
                <w:sz w:val="20"/>
              </w:rPr>
            </w:pPr>
            <w:r>
              <w:rPr>
                <w:b/>
                <w:sz w:val="20"/>
              </w:rPr>
              <w:t>Concentración %</w:t>
            </w:r>
          </w:p>
        </w:tc>
      </w:tr>
      <w:tr>
        <w:trPr>
          <w:trHeight w:val="248" w:hRule="exact"/>
        </w:trPr>
        <w:tc>
          <w:tcPr>
            <w:tcW w:w="2457" w:type="dxa"/>
            <w:tcBorders>
              <w:bottom w:val="single" w:sz="10" w:space="0" w:color="78C0D3"/>
            </w:tcBorders>
            <w:shd w:val="clear" w:color="auto" w:fill="A4D4E1"/>
          </w:tcPr>
          <w:p>
            <w:pPr>
              <w:pStyle w:val="TableParagraph"/>
              <w:spacing w:before="1"/>
              <w:ind w:left="96"/>
              <w:rPr>
                <w:sz w:val="20"/>
              </w:rPr>
            </w:pPr>
            <w:r>
              <w:rPr>
                <w:sz w:val="20"/>
              </w:rPr>
              <w:t>Nitrógeno (N)</w:t>
            </w:r>
          </w:p>
        </w:tc>
        <w:tc>
          <w:tcPr>
            <w:tcW w:w="1858" w:type="dxa"/>
            <w:tcBorders>
              <w:bottom w:val="single" w:sz="10" w:space="0" w:color="78C0D3"/>
            </w:tcBorders>
            <w:shd w:val="clear" w:color="auto" w:fill="A4D4E1"/>
          </w:tcPr>
          <w:p>
            <w:pPr>
              <w:pStyle w:val="TableParagraph"/>
              <w:spacing w:before="1"/>
              <w:ind w:left="63" w:right="86"/>
              <w:jc w:val="center"/>
              <w:rPr>
                <w:sz w:val="20"/>
              </w:rPr>
            </w:pPr>
            <w:r>
              <w:rPr>
                <w:sz w:val="20"/>
              </w:rPr>
              <w:t>78.03</w:t>
            </w:r>
          </w:p>
        </w:tc>
      </w:tr>
      <w:tr>
        <w:trPr>
          <w:trHeight w:val="252" w:hRule="exact"/>
        </w:trPr>
        <w:tc>
          <w:tcPr>
            <w:tcW w:w="2457" w:type="dxa"/>
            <w:tcBorders>
              <w:bottom w:val="single" w:sz="10" w:space="0" w:color="78C0D3"/>
            </w:tcBorders>
            <w:shd w:val="clear" w:color="auto" w:fill="D2EAF0"/>
          </w:tcPr>
          <w:p>
            <w:pPr>
              <w:pStyle w:val="TableParagraph"/>
              <w:ind w:left="96"/>
              <w:rPr>
                <w:sz w:val="20"/>
              </w:rPr>
            </w:pPr>
            <w:r>
              <w:rPr>
                <w:sz w:val="20"/>
              </w:rPr>
              <w:t>Oxígeno (O</w:t>
            </w:r>
            <w:r>
              <w:rPr>
                <w:position w:val="-2"/>
                <w:sz w:val="12"/>
              </w:rPr>
              <w:t>2</w:t>
            </w:r>
            <w:r>
              <w:rPr>
                <w:sz w:val="20"/>
              </w:rPr>
              <w:t>)</w:t>
            </w:r>
          </w:p>
        </w:tc>
        <w:tc>
          <w:tcPr>
            <w:tcW w:w="1858" w:type="dxa"/>
            <w:tcBorders>
              <w:bottom w:val="single" w:sz="10" w:space="0" w:color="78C0D3"/>
            </w:tcBorders>
            <w:shd w:val="clear" w:color="auto" w:fill="D2EAF0"/>
          </w:tcPr>
          <w:p>
            <w:pPr>
              <w:pStyle w:val="TableParagraph"/>
              <w:ind w:left="63" w:right="86"/>
              <w:jc w:val="center"/>
              <w:rPr>
                <w:sz w:val="20"/>
              </w:rPr>
            </w:pPr>
            <w:r>
              <w:rPr>
                <w:sz w:val="20"/>
              </w:rPr>
              <w:t>20.99</w:t>
            </w:r>
          </w:p>
        </w:tc>
      </w:tr>
      <w:tr>
        <w:trPr>
          <w:trHeight w:val="248" w:hRule="exact"/>
        </w:trPr>
        <w:tc>
          <w:tcPr>
            <w:tcW w:w="2457" w:type="dxa"/>
            <w:tcBorders>
              <w:bottom w:val="single" w:sz="10" w:space="0" w:color="78C0D3"/>
            </w:tcBorders>
            <w:shd w:val="clear" w:color="auto" w:fill="A4D4E1"/>
          </w:tcPr>
          <w:p>
            <w:pPr>
              <w:pStyle w:val="TableParagraph"/>
              <w:spacing w:line="242" w:lineRule="exact"/>
              <w:ind w:left="96"/>
              <w:rPr>
                <w:sz w:val="20"/>
              </w:rPr>
            </w:pPr>
            <w:r>
              <w:rPr>
                <w:sz w:val="20"/>
              </w:rPr>
              <w:t>Dióxido de carbono (Co</w:t>
            </w:r>
            <w:r>
              <w:rPr>
                <w:position w:val="-2"/>
                <w:sz w:val="13"/>
              </w:rPr>
              <w:t>2</w:t>
            </w:r>
            <w:r>
              <w:rPr>
                <w:sz w:val="20"/>
              </w:rPr>
              <w:t>)</w:t>
            </w:r>
          </w:p>
        </w:tc>
        <w:tc>
          <w:tcPr>
            <w:tcW w:w="1858" w:type="dxa"/>
            <w:tcBorders>
              <w:bottom w:val="single" w:sz="10" w:space="0" w:color="78C0D3"/>
            </w:tcBorders>
            <w:shd w:val="clear" w:color="auto" w:fill="A4D4E1"/>
          </w:tcPr>
          <w:p>
            <w:pPr>
              <w:pStyle w:val="TableParagraph"/>
              <w:spacing w:line="226" w:lineRule="exact"/>
              <w:ind w:left="61" w:right="86"/>
              <w:jc w:val="center"/>
              <w:rPr>
                <w:sz w:val="20"/>
              </w:rPr>
            </w:pPr>
            <w:r>
              <w:rPr>
                <w:sz w:val="20"/>
              </w:rPr>
              <w:t>0.03</w:t>
            </w:r>
          </w:p>
        </w:tc>
      </w:tr>
      <w:tr>
        <w:trPr>
          <w:trHeight w:val="252" w:hRule="exact"/>
        </w:trPr>
        <w:tc>
          <w:tcPr>
            <w:tcW w:w="2457" w:type="dxa"/>
            <w:shd w:val="clear" w:color="auto" w:fill="D2EAF0"/>
          </w:tcPr>
          <w:p>
            <w:pPr>
              <w:pStyle w:val="TableParagraph"/>
              <w:spacing w:line="226" w:lineRule="exact"/>
              <w:ind w:left="96"/>
              <w:rPr>
                <w:sz w:val="20"/>
              </w:rPr>
            </w:pPr>
            <w:r>
              <w:rPr>
                <w:sz w:val="20"/>
              </w:rPr>
              <w:t>Argón</w:t>
            </w:r>
            <w:r>
              <w:rPr>
                <w:spacing w:val="51"/>
                <w:sz w:val="20"/>
              </w:rPr>
              <w:t> </w:t>
            </w:r>
            <w:r>
              <w:rPr>
                <w:sz w:val="20"/>
              </w:rPr>
              <w:t>(Ar)</w:t>
            </w:r>
          </w:p>
        </w:tc>
        <w:tc>
          <w:tcPr>
            <w:tcW w:w="1858" w:type="dxa"/>
            <w:shd w:val="clear" w:color="auto" w:fill="D2EAF0"/>
          </w:tcPr>
          <w:p>
            <w:pPr>
              <w:pStyle w:val="TableParagraph"/>
              <w:spacing w:line="226" w:lineRule="exact"/>
              <w:ind w:left="61" w:right="86"/>
              <w:jc w:val="center"/>
              <w:rPr>
                <w:sz w:val="20"/>
              </w:rPr>
            </w:pPr>
            <w:r>
              <w:rPr>
                <w:sz w:val="20"/>
              </w:rPr>
              <w:t>0.94</w:t>
            </w:r>
          </w:p>
        </w:tc>
      </w:tr>
      <w:tr>
        <w:trPr>
          <w:trHeight w:val="249" w:hRule="exact"/>
        </w:trPr>
        <w:tc>
          <w:tcPr>
            <w:tcW w:w="2457" w:type="dxa"/>
            <w:tcBorders>
              <w:bottom w:val="single" w:sz="10" w:space="0" w:color="78C0D3"/>
            </w:tcBorders>
            <w:shd w:val="clear" w:color="auto" w:fill="A4D4E1"/>
          </w:tcPr>
          <w:p>
            <w:pPr>
              <w:pStyle w:val="TableParagraph"/>
              <w:spacing w:before="1"/>
              <w:ind w:left="96"/>
              <w:rPr>
                <w:sz w:val="20"/>
              </w:rPr>
            </w:pPr>
            <w:r>
              <w:rPr>
                <w:sz w:val="20"/>
              </w:rPr>
              <w:t>Neón (Ne)</w:t>
            </w:r>
          </w:p>
        </w:tc>
        <w:tc>
          <w:tcPr>
            <w:tcW w:w="1858" w:type="dxa"/>
            <w:tcBorders>
              <w:bottom w:val="single" w:sz="10" w:space="0" w:color="78C0D3"/>
            </w:tcBorders>
            <w:shd w:val="clear" w:color="auto" w:fill="A4D4E1"/>
          </w:tcPr>
          <w:p>
            <w:pPr>
              <w:pStyle w:val="TableParagraph"/>
              <w:spacing w:before="1"/>
              <w:ind w:left="78" w:right="86"/>
              <w:jc w:val="center"/>
              <w:rPr>
                <w:sz w:val="20"/>
              </w:rPr>
            </w:pPr>
            <w:r>
              <w:rPr>
                <w:sz w:val="20"/>
              </w:rPr>
              <w:t>0.00123</w:t>
            </w:r>
          </w:p>
        </w:tc>
      </w:tr>
      <w:tr>
        <w:trPr>
          <w:trHeight w:val="252" w:hRule="exact"/>
        </w:trPr>
        <w:tc>
          <w:tcPr>
            <w:tcW w:w="2457" w:type="dxa"/>
            <w:shd w:val="clear" w:color="auto" w:fill="D2EAF0"/>
          </w:tcPr>
          <w:p>
            <w:pPr>
              <w:pStyle w:val="TableParagraph"/>
              <w:ind w:left="96"/>
              <w:rPr>
                <w:sz w:val="20"/>
              </w:rPr>
            </w:pPr>
            <w:r>
              <w:rPr>
                <w:sz w:val="20"/>
              </w:rPr>
              <w:t>Helio (He)</w:t>
            </w:r>
          </w:p>
        </w:tc>
        <w:tc>
          <w:tcPr>
            <w:tcW w:w="1858" w:type="dxa"/>
            <w:shd w:val="clear" w:color="auto" w:fill="D2EAF0"/>
          </w:tcPr>
          <w:p>
            <w:pPr>
              <w:pStyle w:val="TableParagraph"/>
              <w:ind w:left="77" w:right="86"/>
              <w:jc w:val="center"/>
              <w:rPr>
                <w:sz w:val="20"/>
              </w:rPr>
            </w:pPr>
            <w:r>
              <w:rPr>
                <w:sz w:val="20"/>
              </w:rPr>
              <w:t>0.0004</w:t>
            </w:r>
          </w:p>
        </w:tc>
      </w:tr>
      <w:tr>
        <w:trPr>
          <w:trHeight w:val="248" w:hRule="exact"/>
        </w:trPr>
        <w:tc>
          <w:tcPr>
            <w:tcW w:w="2457" w:type="dxa"/>
            <w:tcBorders>
              <w:bottom w:val="single" w:sz="10" w:space="0" w:color="78C0D3"/>
            </w:tcBorders>
            <w:shd w:val="clear" w:color="auto" w:fill="A4D4E1"/>
          </w:tcPr>
          <w:p>
            <w:pPr>
              <w:pStyle w:val="TableParagraph"/>
              <w:spacing w:line="226" w:lineRule="exact"/>
              <w:ind w:left="96"/>
              <w:rPr>
                <w:sz w:val="20"/>
              </w:rPr>
            </w:pPr>
            <w:r>
              <w:rPr>
                <w:sz w:val="20"/>
              </w:rPr>
              <w:t>Criptón (Kr)</w:t>
            </w:r>
          </w:p>
        </w:tc>
        <w:tc>
          <w:tcPr>
            <w:tcW w:w="1858" w:type="dxa"/>
            <w:tcBorders>
              <w:bottom w:val="single" w:sz="10" w:space="0" w:color="78C0D3"/>
            </w:tcBorders>
            <w:shd w:val="clear" w:color="auto" w:fill="A4D4E1"/>
          </w:tcPr>
          <w:p>
            <w:pPr>
              <w:pStyle w:val="TableParagraph"/>
              <w:spacing w:line="226" w:lineRule="exact"/>
              <w:ind w:left="78" w:right="86"/>
              <w:jc w:val="center"/>
              <w:rPr>
                <w:sz w:val="20"/>
              </w:rPr>
            </w:pPr>
            <w:r>
              <w:rPr>
                <w:sz w:val="20"/>
              </w:rPr>
              <w:t>0.00005</w:t>
            </w:r>
          </w:p>
        </w:tc>
      </w:tr>
      <w:tr>
        <w:trPr>
          <w:trHeight w:val="252" w:hRule="exact"/>
        </w:trPr>
        <w:tc>
          <w:tcPr>
            <w:tcW w:w="2457" w:type="dxa"/>
            <w:tcBorders>
              <w:bottom w:val="single" w:sz="10" w:space="0" w:color="78C0D3"/>
            </w:tcBorders>
            <w:shd w:val="clear" w:color="auto" w:fill="D2EAF0"/>
          </w:tcPr>
          <w:p>
            <w:pPr>
              <w:pStyle w:val="TableParagraph"/>
              <w:spacing w:line="226" w:lineRule="exact"/>
              <w:ind w:left="96"/>
              <w:rPr>
                <w:sz w:val="20"/>
              </w:rPr>
            </w:pPr>
            <w:r>
              <w:rPr>
                <w:sz w:val="20"/>
              </w:rPr>
              <w:t>Xenón (Xe)</w:t>
            </w:r>
          </w:p>
        </w:tc>
        <w:tc>
          <w:tcPr>
            <w:tcW w:w="1858" w:type="dxa"/>
            <w:tcBorders>
              <w:bottom w:val="single" w:sz="10" w:space="0" w:color="78C0D3"/>
            </w:tcBorders>
            <w:shd w:val="clear" w:color="auto" w:fill="D2EAF0"/>
          </w:tcPr>
          <w:p>
            <w:pPr>
              <w:pStyle w:val="TableParagraph"/>
              <w:spacing w:line="226" w:lineRule="exact"/>
              <w:ind w:left="78" w:right="86"/>
              <w:jc w:val="center"/>
              <w:rPr>
                <w:sz w:val="20"/>
              </w:rPr>
            </w:pPr>
            <w:r>
              <w:rPr>
                <w:sz w:val="20"/>
              </w:rPr>
              <w:t>0.000006</w:t>
            </w:r>
          </w:p>
        </w:tc>
      </w:tr>
      <w:tr>
        <w:trPr>
          <w:trHeight w:val="248" w:hRule="exact"/>
        </w:trPr>
        <w:tc>
          <w:tcPr>
            <w:tcW w:w="2457" w:type="dxa"/>
            <w:tcBorders>
              <w:bottom w:val="single" w:sz="10" w:space="0" w:color="78C0D3"/>
            </w:tcBorders>
            <w:shd w:val="clear" w:color="auto" w:fill="A4D4E1"/>
          </w:tcPr>
          <w:p>
            <w:pPr>
              <w:pStyle w:val="TableParagraph"/>
              <w:ind w:left="96"/>
              <w:rPr>
                <w:sz w:val="20"/>
              </w:rPr>
            </w:pPr>
            <w:r>
              <w:rPr>
                <w:sz w:val="20"/>
              </w:rPr>
              <w:t>Hidrógeno (H)</w:t>
            </w:r>
          </w:p>
        </w:tc>
        <w:tc>
          <w:tcPr>
            <w:tcW w:w="1858" w:type="dxa"/>
            <w:tcBorders>
              <w:bottom w:val="single" w:sz="10" w:space="0" w:color="78C0D3"/>
            </w:tcBorders>
            <w:shd w:val="clear" w:color="auto" w:fill="A4D4E1"/>
          </w:tcPr>
          <w:p>
            <w:pPr>
              <w:pStyle w:val="TableParagraph"/>
              <w:ind w:left="61" w:right="86"/>
              <w:jc w:val="center"/>
              <w:rPr>
                <w:sz w:val="20"/>
              </w:rPr>
            </w:pPr>
            <w:r>
              <w:rPr>
                <w:sz w:val="20"/>
              </w:rPr>
              <w:t>0.01</w:t>
            </w:r>
          </w:p>
        </w:tc>
      </w:tr>
      <w:tr>
        <w:trPr>
          <w:trHeight w:val="252" w:hRule="exact"/>
        </w:trPr>
        <w:tc>
          <w:tcPr>
            <w:tcW w:w="2457" w:type="dxa"/>
            <w:shd w:val="clear" w:color="auto" w:fill="D2EAF0"/>
          </w:tcPr>
          <w:p>
            <w:pPr>
              <w:pStyle w:val="TableParagraph"/>
              <w:ind w:left="96"/>
              <w:rPr>
                <w:sz w:val="20"/>
              </w:rPr>
            </w:pPr>
            <w:r>
              <w:rPr>
                <w:sz w:val="20"/>
              </w:rPr>
              <w:t>Metano (CH</w:t>
            </w:r>
            <w:r>
              <w:rPr>
                <w:position w:val="-2"/>
                <w:sz w:val="12"/>
              </w:rPr>
              <w:t>4</w:t>
            </w:r>
            <w:r>
              <w:rPr>
                <w:sz w:val="20"/>
              </w:rPr>
              <w:t>)</w:t>
            </w:r>
          </w:p>
        </w:tc>
        <w:tc>
          <w:tcPr>
            <w:tcW w:w="1858" w:type="dxa"/>
            <w:shd w:val="clear" w:color="auto" w:fill="D2EAF0"/>
          </w:tcPr>
          <w:p>
            <w:pPr>
              <w:pStyle w:val="TableParagraph"/>
              <w:ind w:left="77" w:right="86"/>
              <w:jc w:val="center"/>
              <w:rPr>
                <w:sz w:val="20"/>
              </w:rPr>
            </w:pPr>
            <w:r>
              <w:rPr>
                <w:sz w:val="20"/>
              </w:rPr>
              <w:t>0.0002</w:t>
            </w:r>
          </w:p>
        </w:tc>
      </w:tr>
      <w:tr>
        <w:trPr>
          <w:trHeight w:val="248" w:hRule="exact"/>
        </w:trPr>
        <w:tc>
          <w:tcPr>
            <w:tcW w:w="2457" w:type="dxa"/>
            <w:tcBorders>
              <w:bottom w:val="single" w:sz="10" w:space="0" w:color="78C0D3"/>
            </w:tcBorders>
            <w:shd w:val="clear" w:color="auto" w:fill="A4D4E1"/>
          </w:tcPr>
          <w:p>
            <w:pPr>
              <w:pStyle w:val="TableParagraph"/>
              <w:spacing w:line="239" w:lineRule="exact"/>
              <w:ind w:left="96"/>
              <w:rPr>
                <w:sz w:val="20"/>
              </w:rPr>
            </w:pPr>
            <w:r>
              <w:rPr>
                <w:sz w:val="20"/>
              </w:rPr>
              <w:t>Óxido Nitroso (NO</w:t>
            </w:r>
            <w:r>
              <w:rPr>
                <w:position w:val="-2"/>
                <w:sz w:val="12"/>
              </w:rPr>
              <w:t>2</w:t>
            </w:r>
            <w:r>
              <w:rPr>
                <w:sz w:val="20"/>
              </w:rPr>
              <w:t>)</w:t>
            </w:r>
          </w:p>
        </w:tc>
        <w:tc>
          <w:tcPr>
            <w:tcW w:w="1858" w:type="dxa"/>
            <w:tcBorders>
              <w:bottom w:val="single" w:sz="10" w:space="0" w:color="78C0D3"/>
            </w:tcBorders>
            <w:shd w:val="clear" w:color="auto" w:fill="A4D4E1"/>
          </w:tcPr>
          <w:p>
            <w:pPr>
              <w:pStyle w:val="TableParagraph"/>
              <w:spacing w:line="226" w:lineRule="exact"/>
              <w:ind w:left="78" w:right="86"/>
              <w:jc w:val="center"/>
              <w:rPr>
                <w:sz w:val="20"/>
              </w:rPr>
            </w:pPr>
            <w:r>
              <w:rPr>
                <w:sz w:val="20"/>
              </w:rPr>
              <w:t>0.00005</w:t>
            </w:r>
          </w:p>
        </w:tc>
      </w:tr>
      <w:tr>
        <w:trPr>
          <w:trHeight w:val="252" w:hRule="exact"/>
        </w:trPr>
        <w:tc>
          <w:tcPr>
            <w:tcW w:w="2457" w:type="dxa"/>
            <w:shd w:val="clear" w:color="auto" w:fill="D2EAF0"/>
          </w:tcPr>
          <w:p>
            <w:pPr>
              <w:pStyle w:val="TableParagraph"/>
              <w:spacing w:line="240" w:lineRule="exact"/>
              <w:ind w:left="96"/>
              <w:rPr>
                <w:sz w:val="20"/>
              </w:rPr>
            </w:pPr>
            <w:r>
              <w:rPr>
                <w:sz w:val="20"/>
              </w:rPr>
              <w:t>Vapor de agua (H</w:t>
            </w:r>
            <w:r>
              <w:rPr>
                <w:position w:val="-2"/>
                <w:sz w:val="12"/>
              </w:rPr>
              <w:t>2</w:t>
            </w:r>
            <w:r>
              <w:rPr>
                <w:sz w:val="20"/>
              </w:rPr>
              <w:t>O)</w:t>
            </w:r>
          </w:p>
        </w:tc>
        <w:tc>
          <w:tcPr>
            <w:tcW w:w="1858" w:type="dxa"/>
            <w:shd w:val="clear" w:color="auto" w:fill="D2EAF0"/>
          </w:tcPr>
          <w:p>
            <w:pPr>
              <w:pStyle w:val="TableParagraph"/>
              <w:spacing w:line="227" w:lineRule="exact"/>
              <w:ind w:left="78" w:right="86"/>
              <w:jc w:val="center"/>
              <w:rPr>
                <w:sz w:val="20"/>
              </w:rPr>
            </w:pPr>
            <w:r>
              <w:rPr>
                <w:sz w:val="20"/>
              </w:rPr>
              <w:t>Variable</w:t>
            </w:r>
          </w:p>
        </w:tc>
      </w:tr>
      <w:tr>
        <w:trPr>
          <w:trHeight w:val="249" w:hRule="exact"/>
        </w:trPr>
        <w:tc>
          <w:tcPr>
            <w:tcW w:w="2457" w:type="dxa"/>
            <w:shd w:val="clear" w:color="auto" w:fill="A4D4E1"/>
          </w:tcPr>
          <w:p>
            <w:pPr>
              <w:pStyle w:val="TableParagraph"/>
              <w:ind w:left="96"/>
              <w:rPr>
                <w:sz w:val="13"/>
              </w:rPr>
            </w:pPr>
            <w:r>
              <w:rPr>
                <w:sz w:val="20"/>
              </w:rPr>
              <w:t>Ozono O</w:t>
            </w:r>
            <w:r>
              <w:rPr>
                <w:position w:val="-2"/>
                <w:sz w:val="13"/>
              </w:rPr>
              <w:t>3</w:t>
            </w:r>
          </w:p>
        </w:tc>
        <w:tc>
          <w:tcPr>
            <w:tcW w:w="1858" w:type="dxa"/>
            <w:shd w:val="clear" w:color="auto" w:fill="A4D4E1"/>
          </w:tcPr>
          <w:p>
            <w:pPr>
              <w:pStyle w:val="TableParagraph"/>
              <w:ind w:left="78" w:right="86"/>
              <w:jc w:val="center"/>
              <w:rPr>
                <w:sz w:val="20"/>
              </w:rPr>
            </w:pPr>
            <w:r>
              <w:rPr>
                <w:sz w:val="20"/>
              </w:rPr>
              <w:t>Variable</w:t>
            </w:r>
          </w:p>
        </w:tc>
      </w:tr>
      <w:tr>
        <w:trPr>
          <w:trHeight w:val="252" w:hRule="exact"/>
        </w:trPr>
        <w:tc>
          <w:tcPr>
            <w:tcW w:w="2457" w:type="dxa"/>
            <w:shd w:val="clear" w:color="auto" w:fill="D2EAF0"/>
          </w:tcPr>
          <w:p>
            <w:pPr>
              <w:pStyle w:val="TableParagraph"/>
              <w:ind w:left="96"/>
              <w:rPr>
                <w:sz w:val="20"/>
              </w:rPr>
            </w:pPr>
            <w:r>
              <w:rPr>
                <w:sz w:val="20"/>
              </w:rPr>
              <w:t>Partículas Suspendidas</w:t>
            </w:r>
          </w:p>
        </w:tc>
        <w:tc>
          <w:tcPr>
            <w:tcW w:w="1858" w:type="dxa"/>
            <w:shd w:val="clear" w:color="auto" w:fill="D2EAF0"/>
          </w:tcPr>
          <w:p>
            <w:pPr>
              <w:pStyle w:val="TableParagraph"/>
              <w:ind w:left="78" w:right="86"/>
              <w:jc w:val="center"/>
              <w:rPr>
                <w:sz w:val="20"/>
              </w:rPr>
            </w:pPr>
            <w:r>
              <w:rPr>
                <w:sz w:val="20"/>
              </w:rPr>
              <w:t>Variable</w:t>
            </w:r>
          </w:p>
        </w:tc>
      </w:tr>
    </w:tbl>
    <w:p>
      <w:pPr>
        <w:spacing w:line="247" w:lineRule="exact" w:before="0"/>
        <w:ind w:left="1978" w:right="0" w:firstLine="0"/>
        <w:jc w:val="left"/>
        <w:rPr>
          <w:sz w:val="22"/>
        </w:rPr>
      </w:pPr>
      <w:r>
        <w:rPr>
          <w:sz w:val="22"/>
        </w:rPr>
        <w:t>Fuente: Elaboración propia basado en (Dickson, 2003)</w:t>
      </w:r>
    </w:p>
    <w:p>
      <w:pPr>
        <w:pStyle w:val="BodyText"/>
        <w:spacing w:before="4"/>
      </w:pPr>
    </w:p>
    <w:p>
      <w:pPr>
        <w:pStyle w:val="BodyText"/>
        <w:spacing w:line="360" w:lineRule="auto"/>
        <w:ind w:left="225" w:right="242"/>
        <w:jc w:val="both"/>
      </w:pPr>
      <w:r>
        <w:rPr/>
        <w:t>Como puede observarse </w:t>
      </w:r>
      <w:r>
        <w:rPr>
          <w:spacing w:val="-3"/>
        </w:rPr>
        <w:t>en el </w:t>
      </w:r>
      <w:r>
        <w:rPr/>
        <w:t>cuadro anterior los componentes principales  del aire, a nivel troposférico son </w:t>
      </w:r>
      <w:r>
        <w:rPr>
          <w:spacing w:val="-3"/>
        </w:rPr>
        <w:t>el </w:t>
      </w:r>
      <w:r>
        <w:rPr/>
        <w:t>Nitrógeno y </w:t>
      </w:r>
      <w:r>
        <w:rPr>
          <w:spacing w:val="-3"/>
        </w:rPr>
        <w:t>el </w:t>
      </w:r>
      <w:r>
        <w:rPr/>
        <w:t>Oxígeno, mientras que otros gases se presentan </w:t>
      </w:r>
      <w:r>
        <w:rPr>
          <w:spacing w:val="-3"/>
        </w:rPr>
        <w:t>en </w:t>
      </w:r>
      <w:r>
        <w:rPr/>
        <w:t>concentraciones relativamente mínimas, sin embargo la alteración </w:t>
      </w:r>
      <w:r>
        <w:rPr>
          <w:spacing w:val="-3"/>
        </w:rPr>
        <w:t>en </w:t>
      </w:r>
      <w:r>
        <w:rPr/>
        <w:t>estas concentraciones tiene como consecuencia efectos que pueden incidir </w:t>
      </w:r>
      <w:r>
        <w:rPr>
          <w:spacing w:val="51"/>
        </w:rPr>
        <w:t> </w:t>
      </w:r>
      <w:r>
        <w:rPr>
          <w:spacing w:val="-3"/>
        </w:rPr>
        <w:t>en</w:t>
      </w:r>
    </w:p>
    <w:p>
      <w:pPr>
        <w:spacing w:after="0" w:line="360" w:lineRule="auto"/>
        <w:jc w:val="both"/>
        <w:sectPr>
          <w:pgSz w:w="12240" w:h="15840"/>
          <w:pgMar w:header="0" w:footer="1001" w:top="1360" w:bottom="1200" w:left="1480" w:right="1460"/>
        </w:sectPr>
      </w:pPr>
    </w:p>
    <w:p>
      <w:pPr>
        <w:pStyle w:val="BodyText"/>
        <w:spacing w:line="362" w:lineRule="auto" w:before="48"/>
        <w:ind w:left="105" w:right="120"/>
        <w:jc w:val="both"/>
      </w:pPr>
      <w:r>
        <w:rPr/>
        <w:t>la salud de los seres vivos, afectar las actividades humanas o generar daños y afectaciones en los ecosistemas y en las áreas urbanas.</w:t>
      </w:r>
    </w:p>
    <w:p>
      <w:pPr>
        <w:pStyle w:val="BodyText"/>
        <w:spacing w:before="9"/>
      </w:pPr>
    </w:p>
    <w:p>
      <w:pPr>
        <w:pStyle w:val="Heading2"/>
        <w:numPr>
          <w:ilvl w:val="2"/>
          <w:numId w:val="6"/>
        </w:numPr>
        <w:tabs>
          <w:tab w:pos="753" w:val="left" w:leader="none"/>
        </w:tabs>
        <w:spacing w:line="240" w:lineRule="auto" w:before="0" w:after="0"/>
        <w:ind w:left="752" w:right="0" w:hanging="647"/>
        <w:jc w:val="both"/>
        <w:rPr>
          <w:color w:val="4F81BC"/>
        </w:rPr>
      </w:pPr>
      <w:bookmarkStart w:name="_bookmark8" w:id="9"/>
      <w:bookmarkEnd w:id="9"/>
      <w:r>
        <w:rPr>
          <w:b w:val="0"/>
        </w:rPr>
      </w:r>
      <w:bookmarkStart w:name="_bookmark8" w:id="10"/>
      <w:bookmarkEnd w:id="10"/>
      <w:r>
        <w:rPr>
          <w:color w:val="4F81BC"/>
          <w:spacing w:val="-3"/>
        </w:rPr>
        <w:t>C</w:t>
      </w:r>
      <w:r>
        <w:rPr>
          <w:color w:val="4F81BC"/>
          <w:spacing w:val="-3"/>
        </w:rPr>
        <w:t>ontaminantes</w:t>
      </w:r>
    </w:p>
    <w:p>
      <w:pPr>
        <w:pStyle w:val="BodyText"/>
        <w:rPr>
          <w:rFonts w:ascii="Cambria"/>
          <w:b/>
          <w:sz w:val="27"/>
        </w:rPr>
      </w:pPr>
    </w:p>
    <w:p>
      <w:pPr>
        <w:pStyle w:val="BodyText"/>
        <w:spacing w:line="360" w:lineRule="auto"/>
        <w:ind w:left="105" w:right="111"/>
        <w:jc w:val="both"/>
      </w:pPr>
      <w:r>
        <w:rPr/>
        <w:t>La contaminación atmosférica como resultado de la actividad humana, tiene su origen a partir del descubrimiento del fuego con el cual se generan gases y polvo que afectan la calidad del aire. Sin embargo fue a partir del siglo XIX con la industrialización y el uso del carbón como combustible, que este problema comenzó a tomar importancia. El ser humano requiere de aproximadamente de 14000 litros de aire al día, por lo cual las perturbaciones en la calidad del mismo repercuten directamente en daños a la salud.</w:t>
      </w:r>
    </w:p>
    <w:p>
      <w:pPr>
        <w:pStyle w:val="BodyText"/>
        <w:spacing w:before="10"/>
      </w:pPr>
    </w:p>
    <w:p>
      <w:pPr>
        <w:pStyle w:val="BodyText"/>
        <w:spacing w:line="360" w:lineRule="auto"/>
        <w:ind w:left="105" w:right="112"/>
        <w:jc w:val="both"/>
      </w:pPr>
      <w:r>
        <w:rPr/>
        <w:t>La contaminación del aire </w:t>
      </w:r>
      <w:r>
        <w:rPr>
          <w:spacing w:val="-3"/>
        </w:rPr>
        <w:t>es </w:t>
      </w:r>
      <w:r>
        <w:rPr/>
        <w:t>una condición </w:t>
      </w:r>
      <w:r>
        <w:rPr>
          <w:spacing w:val="-3"/>
        </w:rPr>
        <w:t>en </w:t>
      </w:r>
      <w:r>
        <w:rPr/>
        <w:t>la cual una sustancia se encuentra </w:t>
      </w:r>
      <w:r>
        <w:rPr>
          <w:spacing w:val="-3"/>
        </w:rPr>
        <w:t>en </w:t>
      </w:r>
      <w:r>
        <w:rPr/>
        <w:t>exceso respecto a su concentración ambiental normal que </w:t>
      </w:r>
      <w:r>
        <w:rPr>
          <w:spacing w:val="2"/>
        </w:rPr>
        <w:t>degrada </w:t>
      </w:r>
      <w:r>
        <w:rPr/>
        <w:t>la calidad de la atmósfera y tiene un impacto medible </w:t>
      </w:r>
      <w:r>
        <w:rPr>
          <w:spacing w:val="-3"/>
        </w:rPr>
        <w:t>en </w:t>
      </w:r>
      <w:r>
        <w:rPr/>
        <w:t>la calidad del aire, </w:t>
      </w:r>
      <w:r>
        <w:rPr>
          <w:spacing w:val="-3"/>
        </w:rPr>
        <w:t>en el </w:t>
      </w:r>
      <w:r>
        <w:rPr/>
        <w:t>ecosistema o </w:t>
      </w:r>
      <w:r>
        <w:rPr>
          <w:spacing w:val="-3"/>
        </w:rPr>
        <w:t>en </w:t>
      </w:r>
      <w:r>
        <w:rPr/>
        <w:t>la salud humana (NOM-AAA-23,</w:t>
      </w:r>
      <w:r>
        <w:rPr>
          <w:spacing w:val="-4"/>
        </w:rPr>
        <w:t> </w:t>
      </w:r>
      <w:r>
        <w:rPr/>
        <w:t>1986).</w:t>
      </w:r>
    </w:p>
    <w:p>
      <w:pPr>
        <w:pStyle w:val="BodyText"/>
        <w:spacing w:before="10"/>
      </w:pPr>
    </w:p>
    <w:p>
      <w:pPr>
        <w:pStyle w:val="BodyText"/>
        <w:spacing w:line="357" w:lineRule="auto"/>
        <w:ind w:left="105" w:right="113"/>
        <w:jc w:val="both"/>
      </w:pPr>
      <w:r>
        <w:rPr/>
        <w:t>Los contaminantes atmosféricos incluyen gases, como pueden ser el dióxido de carbono (CO</w:t>
      </w:r>
      <w:r>
        <w:rPr>
          <w:position w:val="-2"/>
          <w:sz w:val="16"/>
        </w:rPr>
        <w:t>2</w:t>
      </w:r>
      <w:r>
        <w:rPr/>
        <w:t>), óxidos de nitrógeno (NOx), monóxido de carbono (CO), dióxido de azufre (SO</w:t>
      </w:r>
      <w:r>
        <w:rPr>
          <w:position w:val="-2"/>
          <w:sz w:val="16"/>
        </w:rPr>
        <w:t>2</w:t>
      </w:r>
      <w:r>
        <w:rPr/>
        <w:t>), Ozono (0</w:t>
      </w:r>
      <w:r>
        <w:rPr>
          <w:position w:val="-2"/>
          <w:sz w:val="16"/>
        </w:rPr>
        <w:t>3</w:t>
      </w:r>
      <w:r>
        <w:rPr/>
        <w:t>), Metano (CH4), Compuestos clorados (CFC’s. HCFC’s), entre otros. Del mismo se consideran contaminantes sólidos como son polen, polvos, y otros contaminantes como microrganismos (hongos, bacterias) vapores, humos. La concentración de estos contaminantes, su dispersión y persistencia en la atmosfera dependerá principalmente de su composición física y química, así como de las variables meteorológicas y topográficas existentes en el lugar donde se encuentre la fuente de emisión.</w:t>
      </w:r>
    </w:p>
    <w:p>
      <w:pPr>
        <w:pStyle w:val="BodyText"/>
        <w:spacing w:before="4"/>
      </w:pPr>
    </w:p>
    <w:p>
      <w:pPr>
        <w:pStyle w:val="BodyText"/>
        <w:spacing w:line="362" w:lineRule="auto"/>
        <w:ind w:left="105" w:right="123"/>
        <w:jc w:val="both"/>
      </w:pPr>
      <w:r>
        <w:rPr/>
        <w:t>Pueden clasificarse de acuerdo a su origen, por su estado físico y por su composición química (González Guerrero &amp; Villafaña Esquivel, 2003).</w:t>
      </w:r>
    </w:p>
    <w:p>
      <w:pPr>
        <w:spacing w:after="0" w:line="362" w:lineRule="auto"/>
        <w:jc w:val="both"/>
        <w:sectPr>
          <w:pgSz w:w="12240" w:h="15840"/>
          <w:pgMar w:header="0" w:footer="1001" w:top="1360" w:bottom="1200" w:left="1600" w:right="1580"/>
        </w:sectPr>
      </w:pPr>
    </w:p>
    <w:p>
      <w:pPr>
        <w:pStyle w:val="Heading3"/>
        <w:numPr>
          <w:ilvl w:val="0"/>
          <w:numId w:val="7"/>
        </w:numPr>
        <w:tabs>
          <w:tab w:pos="401" w:val="left" w:leader="none"/>
        </w:tabs>
        <w:spacing w:line="240" w:lineRule="auto" w:before="53" w:after="0"/>
        <w:ind w:left="400" w:right="0" w:hanging="295"/>
        <w:jc w:val="both"/>
      </w:pPr>
      <w:bookmarkStart w:name="_bookmark9" w:id="11"/>
      <w:bookmarkEnd w:id="11"/>
      <w:r>
        <w:rPr>
          <w:b w:val="0"/>
        </w:rPr>
      </w:r>
      <w:bookmarkStart w:name="_bookmark9" w:id="12"/>
      <w:bookmarkEnd w:id="12"/>
      <w:r>
        <w:rPr>
          <w:color w:val="4F81BC"/>
        </w:rPr>
        <w:t>P</w:t>
      </w:r>
      <w:r>
        <w:rPr>
          <w:color w:val="4F81BC"/>
        </w:rPr>
        <w:t>or su</w:t>
      </w:r>
      <w:r>
        <w:rPr>
          <w:color w:val="4F81BC"/>
          <w:spacing w:val="-1"/>
        </w:rPr>
        <w:t> </w:t>
      </w:r>
      <w:r>
        <w:rPr>
          <w:color w:val="4F81BC"/>
        </w:rPr>
        <w:t>origen</w:t>
      </w:r>
    </w:p>
    <w:p>
      <w:pPr>
        <w:pStyle w:val="BodyText"/>
        <w:spacing w:before="3"/>
        <w:rPr>
          <w:rFonts w:ascii="Cambria"/>
          <w:b/>
          <w:sz w:val="21"/>
        </w:rPr>
      </w:pPr>
    </w:p>
    <w:p>
      <w:pPr>
        <w:pStyle w:val="ListParagraph"/>
        <w:numPr>
          <w:ilvl w:val="1"/>
          <w:numId w:val="7"/>
        </w:numPr>
        <w:tabs>
          <w:tab w:pos="370" w:val="left" w:leader="none"/>
        </w:tabs>
        <w:spacing w:line="240" w:lineRule="auto" w:before="0" w:after="0"/>
        <w:ind w:left="369" w:right="0" w:hanging="264"/>
        <w:jc w:val="both"/>
        <w:rPr>
          <w:rFonts w:ascii="Cambria"/>
          <w:b/>
          <w:i/>
          <w:sz w:val="22"/>
        </w:rPr>
      </w:pPr>
      <w:r>
        <w:rPr>
          <w:rFonts w:ascii="Cambria"/>
          <w:b/>
          <w:i/>
          <w:color w:val="4F81BC"/>
          <w:sz w:val="22"/>
        </w:rPr>
        <w:t>Contaminantes</w:t>
      </w:r>
      <w:r>
        <w:rPr>
          <w:rFonts w:ascii="Cambria"/>
          <w:b/>
          <w:i/>
          <w:color w:val="4F81BC"/>
          <w:spacing w:val="15"/>
          <w:sz w:val="22"/>
        </w:rPr>
        <w:t> </w:t>
      </w:r>
      <w:r>
        <w:rPr>
          <w:rFonts w:ascii="Cambria"/>
          <w:b/>
          <w:i/>
          <w:color w:val="4F81BC"/>
          <w:spacing w:val="-2"/>
          <w:sz w:val="22"/>
        </w:rPr>
        <w:t>primarios</w:t>
      </w:r>
    </w:p>
    <w:p>
      <w:pPr>
        <w:pStyle w:val="BodyText"/>
        <w:spacing w:before="5"/>
        <w:rPr>
          <w:rFonts w:ascii="Cambria"/>
          <w:b/>
          <w:i/>
          <w:sz w:val="26"/>
        </w:rPr>
      </w:pPr>
    </w:p>
    <w:p>
      <w:pPr>
        <w:pStyle w:val="BodyText"/>
        <w:spacing w:line="355" w:lineRule="auto"/>
        <w:ind w:left="105" w:right="108"/>
        <w:jc w:val="both"/>
      </w:pPr>
      <w:r>
        <w:rPr/>
        <w:t>Se consideran aquellos que son emitidos de manera directa a la atmósfera como resultado </w:t>
      </w:r>
      <w:r>
        <w:rPr>
          <w:spacing w:val="5"/>
        </w:rPr>
        <w:t>de </w:t>
      </w:r>
      <w:r>
        <w:rPr/>
        <w:t>un proceso natural o antrópico, estos contaminantes </w:t>
      </w:r>
      <w:r>
        <w:rPr>
          <w:spacing w:val="3"/>
        </w:rPr>
        <w:t>se </w:t>
      </w:r>
      <w:r>
        <w:rPr/>
        <w:t>encuentran </w:t>
      </w:r>
      <w:r>
        <w:rPr>
          <w:spacing w:val="-3"/>
        </w:rPr>
        <w:t>en </w:t>
      </w:r>
      <w:r>
        <w:rPr/>
        <w:t>la atmósfera </w:t>
      </w:r>
      <w:r>
        <w:rPr>
          <w:spacing w:val="-3"/>
        </w:rPr>
        <w:t>en </w:t>
      </w:r>
      <w:r>
        <w:rPr/>
        <w:t>la misma forma </w:t>
      </w:r>
      <w:r>
        <w:rPr>
          <w:spacing w:val="-3"/>
        </w:rPr>
        <w:t>en </w:t>
      </w:r>
      <w:r>
        <w:rPr/>
        <w:t>que fueron emitidos como son </w:t>
      </w:r>
      <w:r>
        <w:rPr>
          <w:spacing w:val="2"/>
        </w:rPr>
        <w:t>CO</w:t>
      </w:r>
      <w:r>
        <w:rPr>
          <w:spacing w:val="2"/>
          <w:position w:val="-2"/>
          <w:sz w:val="16"/>
        </w:rPr>
        <w:t>2</w:t>
      </w:r>
      <w:r>
        <w:rPr>
          <w:spacing w:val="2"/>
        </w:rPr>
        <w:t>, </w:t>
      </w:r>
      <w:r>
        <w:rPr/>
        <w:t>CO y SO</w:t>
      </w:r>
      <w:r>
        <w:rPr>
          <w:position w:val="-2"/>
          <w:sz w:val="16"/>
        </w:rPr>
        <w:t>2</w:t>
      </w:r>
      <w:r>
        <w:rPr/>
        <w:t>, partículas de</w:t>
      </w:r>
      <w:r>
        <w:rPr>
          <w:spacing w:val="-18"/>
        </w:rPr>
        <w:t> </w:t>
      </w:r>
      <w:r>
        <w:rPr/>
        <w:t>polvo.</w:t>
      </w:r>
    </w:p>
    <w:p>
      <w:pPr>
        <w:pStyle w:val="BodyText"/>
        <w:spacing w:before="4"/>
      </w:pPr>
    </w:p>
    <w:p>
      <w:pPr>
        <w:pStyle w:val="ListParagraph"/>
        <w:numPr>
          <w:ilvl w:val="1"/>
          <w:numId w:val="7"/>
        </w:numPr>
        <w:tabs>
          <w:tab w:pos="369" w:val="left" w:leader="none"/>
        </w:tabs>
        <w:spacing w:line="240" w:lineRule="auto" w:before="0" w:after="0"/>
        <w:ind w:left="368" w:right="0" w:hanging="263"/>
        <w:jc w:val="both"/>
        <w:rPr>
          <w:rFonts w:ascii="Cambria"/>
          <w:b/>
          <w:i/>
          <w:sz w:val="22"/>
        </w:rPr>
      </w:pPr>
      <w:r>
        <w:rPr>
          <w:rFonts w:ascii="Cambria"/>
          <w:b/>
          <w:i/>
          <w:color w:val="4F81BC"/>
          <w:spacing w:val="-1"/>
          <w:sz w:val="22"/>
        </w:rPr>
        <w:t>Contaminantes</w:t>
      </w:r>
      <w:r>
        <w:rPr>
          <w:rFonts w:ascii="Cambria"/>
          <w:b/>
          <w:i/>
          <w:color w:val="4F81BC"/>
          <w:spacing w:val="24"/>
          <w:sz w:val="22"/>
        </w:rPr>
        <w:t> </w:t>
      </w:r>
      <w:r>
        <w:rPr>
          <w:rFonts w:ascii="Cambria"/>
          <w:b/>
          <w:i/>
          <w:color w:val="4F81BC"/>
          <w:spacing w:val="-1"/>
          <w:sz w:val="22"/>
        </w:rPr>
        <w:t>secundarios</w:t>
      </w:r>
    </w:p>
    <w:p>
      <w:pPr>
        <w:pStyle w:val="BodyText"/>
        <w:spacing w:before="5"/>
        <w:rPr>
          <w:rFonts w:ascii="Cambria"/>
          <w:b/>
          <w:i/>
          <w:sz w:val="26"/>
        </w:rPr>
      </w:pPr>
    </w:p>
    <w:p>
      <w:pPr>
        <w:pStyle w:val="BodyText"/>
        <w:spacing w:line="360" w:lineRule="auto"/>
        <w:ind w:left="105" w:right="124"/>
        <w:jc w:val="both"/>
      </w:pPr>
      <w:r>
        <w:rPr/>
        <w:t>Este tipo de contaminantes se forman en la atmósfera como resultado de reacciones entre contaminantes primario o de contaminantes primarios con los compuestos que de forma natural se encuentran en la atmósfera como pude ser el O</w:t>
      </w:r>
      <w:r>
        <w:rPr>
          <w:position w:val="-2"/>
          <w:sz w:val="16"/>
        </w:rPr>
        <w:t>3 </w:t>
      </w:r>
      <w:r>
        <w:rPr/>
        <w:t>y los sulfatos.</w:t>
      </w:r>
    </w:p>
    <w:p>
      <w:pPr>
        <w:pStyle w:val="BodyText"/>
        <w:spacing w:before="7"/>
        <w:rPr>
          <w:sz w:val="23"/>
        </w:rPr>
      </w:pPr>
    </w:p>
    <w:p>
      <w:pPr>
        <w:pStyle w:val="Heading3"/>
        <w:numPr>
          <w:ilvl w:val="0"/>
          <w:numId w:val="7"/>
        </w:numPr>
        <w:tabs>
          <w:tab w:pos="401" w:val="left" w:leader="none"/>
        </w:tabs>
        <w:spacing w:line="240" w:lineRule="auto" w:before="0" w:after="0"/>
        <w:ind w:left="400" w:right="0" w:hanging="295"/>
        <w:jc w:val="both"/>
      </w:pPr>
      <w:bookmarkStart w:name="_bookmark10" w:id="13"/>
      <w:bookmarkEnd w:id="13"/>
      <w:r>
        <w:rPr>
          <w:b w:val="0"/>
        </w:rPr>
      </w:r>
      <w:bookmarkStart w:name="_bookmark10" w:id="14"/>
      <w:bookmarkEnd w:id="14"/>
      <w:r>
        <w:rPr>
          <w:color w:val="4F81BC"/>
        </w:rPr>
        <w:t>P</w:t>
      </w:r>
      <w:r>
        <w:rPr>
          <w:color w:val="4F81BC"/>
        </w:rPr>
        <w:t>or su estado</w:t>
      </w:r>
      <w:r>
        <w:rPr>
          <w:color w:val="4F81BC"/>
          <w:spacing w:val="-9"/>
        </w:rPr>
        <w:t> </w:t>
      </w:r>
      <w:r>
        <w:rPr>
          <w:color w:val="4F81BC"/>
        </w:rPr>
        <w:t>físico</w:t>
      </w:r>
    </w:p>
    <w:p>
      <w:pPr>
        <w:pStyle w:val="BodyText"/>
        <w:spacing w:before="7"/>
        <w:rPr>
          <w:rFonts w:ascii="Cambria"/>
          <w:b/>
          <w:sz w:val="20"/>
        </w:rPr>
      </w:pPr>
    </w:p>
    <w:p>
      <w:pPr>
        <w:pStyle w:val="ListParagraph"/>
        <w:numPr>
          <w:ilvl w:val="1"/>
          <w:numId w:val="7"/>
        </w:numPr>
        <w:tabs>
          <w:tab w:pos="370" w:val="left" w:leader="none"/>
        </w:tabs>
        <w:spacing w:line="240" w:lineRule="auto" w:before="0" w:after="0"/>
        <w:ind w:left="369" w:right="0" w:hanging="264"/>
        <w:jc w:val="both"/>
        <w:rPr>
          <w:rFonts w:ascii="Cambria"/>
          <w:b/>
          <w:i/>
          <w:sz w:val="22"/>
        </w:rPr>
      </w:pPr>
      <w:r>
        <w:rPr>
          <w:rFonts w:ascii="Cambria"/>
          <w:b/>
          <w:i/>
          <w:color w:val="4F81BC"/>
          <w:sz w:val="22"/>
        </w:rPr>
        <w:t>Gases</w:t>
      </w:r>
    </w:p>
    <w:p>
      <w:pPr>
        <w:pStyle w:val="BodyText"/>
        <w:spacing w:before="5"/>
        <w:rPr>
          <w:rFonts w:ascii="Cambria"/>
          <w:b/>
          <w:i/>
          <w:sz w:val="26"/>
        </w:rPr>
      </w:pPr>
    </w:p>
    <w:p>
      <w:pPr>
        <w:pStyle w:val="BodyText"/>
        <w:spacing w:line="362" w:lineRule="auto"/>
        <w:ind w:left="105" w:right="115"/>
        <w:jc w:val="both"/>
      </w:pPr>
      <w:r>
        <w:rPr/>
        <w:t>Incluyen humos y </w:t>
      </w:r>
      <w:r>
        <w:rPr>
          <w:spacing w:val="-3"/>
        </w:rPr>
        <w:t>vapores </w:t>
      </w:r>
      <w:r>
        <w:rPr/>
        <w:t>que no se depositan y que permanecen </w:t>
      </w:r>
      <w:r>
        <w:rPr>
          <w:spacing w:val="-3"/>
        </w:rPr>
        <w:t>en  </w:t>
      </w:r>
      <w:r>
        <w:rPr/>
        <w:t>la  atmósfera, pueden transformarse progresivamente </w:t>
      </w:r>
      <w:r>
        <w:rPr>
          <w:spacing w:val="-3"/>
        </w:rPr>
        <w:t>en </w:t>
      </w:r>
      <w:r>
        <w:rPr/>
        <w:t>formas más simples o más complejas.</w:t>
      </w:r>
    </w:p>
    <w:p>
      <w:pPr>
        <w:pStyle w:val="BodyText"/>
        <w:spacing w:before="7"/>
      </w:pPr>
    </w:p>
    <w:p>
      <w:pPr>
        <w:pStyle w:val="ListParagraph"/>
        <w:numPr>
          <w:ilvl w:val="1"/>
          <w:numId w:val="7"/>
        </w:numPr>
        <w:tabs>
          <w:tab w:pos="369" w:val="left" w:leader="none"/>
        </w:tabs>
        <w:spacing w:line="240" w:lineRule="auto" w:before="0" w:after="0"/>
        <w:ind w:left="368" w:right="0" w:hanging="263"/>
        <w:jc w:val="both"/>
        <w:rPr>
          <w:rFonts w:ascii="Cambria" w:hAnsi="Cambria"/>
          <w:b/>
          <w:i/>
          <w:sz w:val="22"/>
        </w:rPr>
      </w:pPr>
      <w:r>
        <w:rPr>
          <w:rFonts w:ascii="Cambria" w:hAnsi="Cambria"/>
          <w:b/>
          <w:i/>
          <w:color w:val="4F81BC"/>
          <w:sz w:val="22"/>
        </w:rPr>
        <w:t>Partículas</w:t>
      </w:r>
    </w:p>
    <w:p>
      <w:pPr>
        <w:pStyle w:val="BodyText"/>
        <w:spacing w:before="1"/>
        <w:rPr>
          <w:rFonts w:ascii="Cambria"/>
          <w:b/>
          <w:i/>
          <w:sz w:val="27"/>
        </w:rPr>
      </w:pPr>
    </w:p>
    <w:p>
      <w:pPr>
        <w:pStyle w:val="BodyText"/>
        <w:spacing w:line="360" w:lineRule="auto"/>
        <w:ind w:left="105"/>
      </w:pPr>
      <w:r>
        <w:rPr/>
        <w:t>Se consideran partículas sólidas y líquidas como son polvo, humo y cenizas que pueden variar en tamaño del 500 hasta las 0.002 micras, las de mayor tamaño se depositan al poco tiempo y distancia de ser emitidas, mientras que las partículas más pequeñas pueden mantenerse por periodos largos y ser transportadas por el viento distancias mayores.</w:t>
      </w:r>
    </w:p>
    <w:p>
      <w:pPr>
        <w:pStyle w:val="BodyText"/>
        <w:spacing w:before="7"/>
      </w:pPr>
    </w:p>
    <w:p>
      <w:pPr>
        <w:pStyle w:val="Heading3"/>
        <w:numPr>
          <w:ilvl w:val="0"/>
          <w:numId w:val="7"/>
        </w:numPr>
        <w:tabs>
          <w:tab w:pos="401" w:val="left" w:leader="none"/>
        </w:tabs>
        <w:spacing w:line="240" w:lineRule="auto" w:before="0" w:after="0"/>
        <w:ind w:left="400" w:right="0" w:hanging="295"/>
        <w:jc w:val="both"/>
      </w:pPr>
      <w:bookmarkStart w:name="_bookmark11" w:id="15"/>
      <w:bookmarkEnd w:id="15"/>
      <w:r>
        <w:rPr>
          <w:b w:val="0"/>
        </w:rPr>
      </w:r>
      <w:bookmarkStart w:name="_bookmark11" w:id="16"/>
      <w:bookmarkEnd w:id="16"/>
      <w:r>
        <w:rPr>
          <w:color w:val="4F81BC"/>
        </w:rPr>
        <w:t>P</w:t>
      </w:r>
      <w:r>
        <w:rPr>
          <w:color w:val="4F81BC"/>
        </w:rPr>
        <w:t>or su composición</w:t>
      </w:r>
      <w:r>
        <w:rPr>
          <w:color w:val="4F81BC"/>
          <w:spacing w:val="-19"/>
        </w:rPr>
        <w:t> </w:t>
      </w:r>
      <w:r>
        <w:rPr>
          <w:color w:val="4F81BC"/>
        </w:rPr>
        <w:t>química</w:t>
      </w:r>
    </w:p>
    <w:p>
      <w:pPr>
        <w:pStyle w:val="BodyText"/>
        <w:spacing w:before="3"/>
        <w:rPr>
          <w:rFonts w:ascii="Cambria"/>
          <w:b/>
          <w:sz w:val="21"/>
        </w:rPr>
      </w:pPr>
    </w:p>
    <w:p>
      <w:pPr>
        <w:spacing w:before="0"/>
        <w:ind w:left="105" w:right="0" w:firstLine="0"/>
        <w:jc w:val="both"/>
        <w:rPr>
          <w:rFonts w:ascii="Cambria" w:hAnsi="Cambria"/>
          <w:b/>
          <w:i/>
          <w:sz w:val="22"/>
        </w:rPr>
      </w:pPr>
      <w:r>
        <w:rPr>
          <w:rFonts w:ascii="Cambria" w:hAnsi="Cambria"/>
          <w:b/>
          <w:i/>
          <w:color w:val="4F81BC"/>
          <w:sz w:val="22"/>
        </w:rPr>
        <w:t>Orgánicos</w:t>
      </w:r>
    </w:p>
    <w:p>
      <w:pPr>
        <w:pStyle w:val="BodyText"/>
        <w:spacing w:before="5"/>
        <w:rPr>
          <w:rFonts w:ascii="Cambria"/>
          <w:b/>
          <w:i/>
          <w:sz w:val="26"/>
        </w:rPr>
      </w:pPr>
    </w:p>
    <w:p>
      <w:pPr>
        <w:pStyle w:val="BodyText"/>
        <w:spacing w:line="362" w:lineRule="auto"/>
        <w:ind w:left="105" w:right="476"/>
      </w:pPr>
      <w:r>
        <w:rPr/>
        <w:t>Aquellos que contienen hidrógeno y carbono, como son los hidrocarburos y sus derivados</w:t>
      </w:r>
    </w:p>
    <w:p>
      <w:pPr>
        <w:spacing w:after="0" w:line="362" w:lineRule="auto"/>
        <w:sectPr>
          <w:pgSz w:w="12240" w:h="15840"/>
          <w:pgMar w:header="0" w:footer="1001" w:top="1360" w:bottom="1200" w:left="1600" w:right="1580"/>
        </w:sectPr>
      </w:pPr>
    </w:p>
    <w:p>
      <w:pPr>
        <w:spacing w:before="56"/>
        <w:ind w:left="105" w:right="0" w:firstLine="0"/>
        <w:jc w:val="both"/>
        <w:rPr>
          <w:rFonts w:ascii="Cambria" w:hAnsi="Cambria"/>
          <w:b/>
          <w:i/>
          <w:sz w:val="22"/>
        </w:rPr>
      </w:pPr>
      <w:r>
        <w:rPr>
          <w:rFonts w:ascii="Cambria" w:hAnsi="Cambria"/>
          <w:b/>
          <w:i/>
          <w:color w:val="4F81BC"/>
          <w:sz w:val="22"/>
        </w:rPr>
        <w:t>Inorgánicos</w:t>
      </w:r>
    </w:p>
    <w:p>
      <w:pPr>
        <w:pStyle w:val="BodyText"/>
        <w:spacing w:before="5"/>
        <w:rPr>
          <w:rFonts w:ascii="Cambria"/>
          <w:b/>
          <w:i/>
          <w:sz w:val="26"/>
        </w:rPr>
      </w:pPr>
    </w:p>
    <w:p>
      <w:pPr>
        <w:pStyle w:val="BodyText"/>
        <w:spacing w:line="362" w:lineRule="auto"/>
        <w:ind w:left="105" w:right="168"/>
        <w:jc w:val="both"/>
      </w:pPr>
      <w:r>
        <w:rPr/>
        <w:t>Aquellos</w:t>
      </w:r>
      <w:r>
        <w:rPr>
          <w:spacing w:val="-6"/>
        </w:rPr>
        <w:t> </w:t>
      </w:r>
      <w:r>
        <w:rPr>
          <w:spacing w:val="2"/>
        </w:rPr>
        <w:t>que</w:t>
      </w:r>
      <w:r>
        <w:rPr>
          <w:spacing w:val="-4"/>
        </w:rPr>
        <w:t> </w:t>
      </w:r>
      <w:r>
        <w:rPr/>
        <w:t>no</w:t>
      </w:r>
      <w:r>
        <w:rPr>
          <w:spacing w:val="-4"/>
        </w:rPr>
        <w:t> </w:t>
      </w:r>
      <w:r>
        <w:rPr/>
        <w:t>contienen</w:t>
      </w:r>
      <w:r>
        <w:rPr>
          <w:spacing w:val="-4"/>
        </w:rPr>
        <w:t> </w:t>
      </w:r>
      <w:r>
        <w:rPr/>
        <w:t>compuestos</w:t>
      </w:r>
      <w:r>
        <w:rPr>
          <w:spacing w:val="-6"/>
        </w:rPr>
        <w:t> </w:t>
      </w:r>
      <w:r>
        <w:rPr/>
        <w:t>de</w:t>
      </w:r>
      <w:r>
        <w:rPr>
          <w:spacing w:val="-4"/>
        </w:rPr>
        <w:t> </w:t>
      </w:r>
      <w:r>
        <w:rPr/>
        <w:t>carbono,</w:t>
      </w:r>
      <w:r>
        <w:rPr>
          <w:spacing w:val="7"/>
        </w:rPr>
        <w:t> </w:t>
      </w:r>
      <w:r>
        <w:rPr/>
        <w:t>excepto</w:t>
      </w:r>
      <w:r>
        <w:rPr>
          <w:spacing w:val="-11"/>
        </w:rPr>
        <w:t> </w:t>
      </w:r>
      <w:r>
        <w:rPr/>
        <w:t>los</w:t>
      </w:r>
      <w:r>
        <w:rPr>
          <w:spacing w:val="-6"/>
        </w:rPr>
        <w:t> </w:t>
      </w:r>
      <w:r>
        <w:rPr/>
        <w:t>simples</w:t>
      </w:r>
      <w:r>
        <w:rPr>
          <w:spacing w:val="-6"/>
        </w:rPr>
        <w:t> </w:t>
      </w:r>
      <w:r>
        <w:rPr>
          <w:spacing w:val="2"/>
        </w:rPr>
        <w:t>como</w:t>
      </w:r>
      <w:r>
        <w:rPr>
          <w:spacing w:val="-10"/>
        </w:rPr>
        <w:t> </w:t>
      </w:r>
      <w:r>
        <w:rPr/>
        <w:t>son CO y CO</w:t>
      </w:r>
      <w:r>
        <w:rPr>
          <w:position w:val="-2"/>
          <w:sz w:val="16"/>
        </w:rPr>
        <w:t>2</w:t>
      </w:r>
      <w:r>
        <w:rPr/>
        <w:t>, así como partículas metálicas y</w:t>
      </w:r>
      <w:r>
        <w:rPr>
          <w:spacing w:val="-19"/>
        </w:rPr>
        <w:t> </w:t>
      </w:r>
      <w:r>
        <w:rPr/>
        <w:t>NOx.</w:t>
      </w:r>
    </w:p>
    <w:p>
      <w:pPr>
        <w:pStyle w:val="BodyText"/>
        <w:spacing w:before="3"/>
        <w:rPr>
          <w:sz w:val="23"/>
        </w:rPr>
      </w:pPr>
    </w:p>
    <w:p>
      <w:pPr>
        <w:pStyle w:val="Heading3"/>
        <w:numPr>
          <w:ilvl w:val="0"/>
          <w:numId w:val="7"/>
        </w:numPr>
        <w:tabs>
          <w:tab w:pos="402" w:val="left" w:leader="none"/>
        </w:tabs>
        <w:spacing w:line="240" w:lineRule="auto" w:before="1" w:after="0"/>
        <w:ind w:left="401" w:right="0" w:hanging="296"/>
        <w:jc w:val="both"/>
      </w:pPr>
      <w:bookmarkStart w:name="_bookmark12" w:id="17"/>
      <w:bookmarkEnd w:id="17"/>
      <w:r>
        <w:rPr>
          <w:b w:val="0"/>
        </w:rPr>
      </w:r>
      <w:bookmarkStart w:name="_bookmark12" w:id="18"/>
      <w:bookmarkEnd w:id="18"/>
      <w:r>
        <w:rPr>
          <w:color w:val="4F81BC"/>
        </w:rPr>
        <w:t>F</w:t>
      </w:r>
      <w:r>
        <w:rPr>
          <w:color w:val="4F81BC"/>
        </w:rPr>
        <w:t>uentes emisoras de contaminantes</w:t>
      </w:r>
      <w:r>
        <w:rPr>
          <w:color w:val="4F81BC"/>
          <w:spacing w:val="-28"/>
        </w:rPr>
        <w:t> </w:t>
      </w:r>
      <w:r>
        <w:rPr>
          <w:color w:val="4F81BC"/>
        </w:rPr>
        <w:t>atmosféricos</w:t>
      </w:r>
    </w:p>
    <w:p>
      <w:pPr>
        <w:pStyle w:val="BodyText"/>
        <w:spacing w:before="9"/>
        <w:rPr>
          <w:rFonts w:ascii="Cambria"/>
          <w:b/>
          <w:sz w:val="26"/>
        </w:rPr>
      </w:pPr>
    </w:p>
    <w:p>
      <w:pPr>
        <w:pStyle w:val="BodyText"/>
        <w:spacing w:line="360" w:lineRule="auto"/>
        <w:ind w:left="105" w:right="124"/>
        <w:jc w:val="both"/>
      </w:pPr>
      <w:r>
        <w:rPr/>
        <w:t>Al hablar de contaminación atmosférica es fundamental señalar que el comportamiento de los contaminantes está estrechamente ligado a factores climáticos y topográficos, así como a la fuente emisora de la cual provienen. El control de los contaminantes atmosféricos debe realizarse desde su origen, por ello es importante identificar las fuentes las cuales se presentan a continuación:</w:t>
      </w:r>
    </w:p>
    <w:p>
      <w:pPr>
        <w:pStyle w:val="BodyText"/>
        <w:spacing w:before="6"/>
        <w:rPr>
          <w:sz w:val="25"/>
        </w:rPr>
      </w:pPr>
    </w:p>
    <w:p>
      <w:pPr>
        <w:pStyle w:val="ListParagraph"/>
        <w:numPr>
          <w:ilvl w:val="1"/>
          <w:numId w:val="7"/>
        </w:numPr>
        <w:tabs>
          <w:tab w:pos="370" w:val="left" w:leader="none"/>
        </w:tabs>
        <w:spacing w:line="240" w:lineRule="auto" w:before="0" w:after="0"/>
        <w:ind w:left="369" w:right="0" w:hanging="264"/>
        <w:jc w:val="both"/>
        <w:rPr>
          <w:rFonts w:ascii="Cambria"/>
          <w:b/>
          <w:i/>
          <w:sz w:val="22"/>
        </w:rPr>
      </w:pPr>
      <w:r>
        <w:rPr>
          <w:rFonts w:ascii="Cambria"/>
          <w:b/>
          <w:i/>
          <w:color w:val="4F81BC"/>
          <w:sz w:val="22"/>
        </w:rPr>
        <w:t>De </w:t>
      </w:r>
      <w:r>
        <w:rPr>
          <w:rFonts w:ascii="Cambria"/>
          <w:b/>
          <w:i/>
          <w:color w:val="4F81BC"/>
          <w:spacing w:val="-3"/>
          <w:sz w:val="22"/>
        </w:rPr>
        <w:t>acuerdo </w:t>
      </w:r>
      <w:r>
        <w:rPr>
          <w:rFonts w:ascii="Cambria"/>
          <w:b/>
          <w:i/>
          <w:color w:val="4F81BC"/>
          <w:sz w:val="22"/>
        </w:rPr>
        <w:t>a su</w:t>
      </w:r>
      <w:r>
        <w:rPr>
          <w:rFonts w:ascii="Cambria"/>
          <w:b/>
          <w:i/>
          <w:color w:val="4F81BC"/>
          <w:spacing w:val="23"/>
          <w:sz w:val="22"/>
        </w:rPr>
        <w:t> </w:t>
      </w:r>
      <w:r>
        <w:rPr>
          <w:rFonts w:ascii="Cambria"/>
          <w:b/>
          <w:i/>
          <w:color w:val="4F81BC"/>
          <w:sz w:val="22"/>
        </w:rPr>
        <w:t>origen</w:t>
      </w:r>
    </w:p>
    <w:p>
      <w:pPr>
        <w:pStyle w:val="BodyText"/>
        <w:spacing w:before="5"/>
        <w:rPr>
          <w:rFonts w:ascii="Cambria"/>
          <w:b/>
          <w:i/>
          <w:sz w:val="26"/>
        </w:rPr>
      </w:pPr>
    </w:p>
    <w:p>
      <w:pPr>
        <w:pStyle w:val="BodyText"/>
        <w:spacing w:line="360" w:lineRule="auto"/>
        <w:ind w:left="105" w:right="114"/>
        <w:jc w:val="both"/>
      </w:pPr>
      <w:r>
        <w:rPr>
          <w:b/>
        </w:rPr>
        <w:t>Naturales: </w:t>
      </w:r>
      <w:r>
        <w:rPr/>
        <w:t>se consideran todos aquellos procesos o fenómenos de emisión que  se presentan </w:t>
      </w:r>
      <w:r>
        <w:rPr>
          <w:spacing w:val="-3"/>
        </w:rPr>
        <w:t>en </w:t>
      </w:r>
      <w:r>
        <w:rPr/>
        <w:t>los ecosistemas sin la intervención del hombre y son resultado de la acción de eventos geológicos, meteorológicos y metabólicos. Entre estos </w:t>
      </w:r>
      <w:r>
        <w:rPr>
          <w:spacing w:val="3"/>
        </w:rPr>
        <w:t>se </w:t>
      </w:r>
      <w:r>
        <w:rPr/>
        <w:t>encuentran las erupciones volcánicas, tolvaneras, incendios forestales naturales, procesos erosivos, la vegetación que contribuye con polen e hidrocarburos, lagos alcalinos y pantanos(Rojas Bracho &amp; Verónica, 2003a,</w:t>
      </w:r>
      <w:r>
        <w:rPr>
          <w:spacing w:val="-26"/>
        </w:rPr>
        <w:t> </w:t>
      </w:r>
      <w:r>
        <w:rPr>
          <w:spacing w:val="2"/>
        </w:rPr>
        <w:t>2003b).</w:t>
      </w:r>
    </w:p>
    <w:p>
      <w:pPr>
        <w:pStyle w:val="BodyText"/>
        <w:spacing w:before="1"/>
      </w:pPr>
    </w:p>
    <w:p>
      <w:pPr>
        <w:pStyle w:val="BodyText"/>
        <w:spacing w:line="360" w:lineRule="auto"/>
        <w:ind w:left="105" w:right="122"/>
        <w:jc w:val="both"/>
      </w:pPr>
      <w:r>
        <w:rPr>
          <w:b/>
        </w:rPr>
        <w:t>Antropogénicas: </w:t>
      </w:r>
      <w:r>
        <w:rPr/>
        <w:t>como el nombre lo indica, este tipo de fuentes son todas aquellas que generan emisiones como resultado de las actividades humanas, como son las actividades industriales, actividades agrícolas, quema de combustibles (carbón vegetal o mineral, hidrocarburos, biomasa), vehículos, cría de ganado entre otras.</w:t>
      </w:r>
    </w:p>
    <w:p>
      <w:pPr>
        <w:pStyle w:val="BodyText"/>
        <w:spacing w:before="7"/>
        <w:rPr>
          <w:sz w:val="25"/>
        </w:rPr>
      </w:pPr>
    </w:p>
    <w:p>
      <w:pPr>
        <w:pStyle w:val="ListParagraph"/>
        <w:numPr>
          <w:ilvl w:val="1"/>
          <w:numId w:val="7"/>
        </w:numPr>
        <w:tabs>
          <w:tab w:pos="370" w:val="left" w:leader="none"/>
        </w:tabs>
        <w:spacing w:line="240" w:lineRule="auto" w:before="0" w:after="0"/>
        <w:ind w:left="369" w:right="0" w:hanging="264"/>
        <w:jc w:val="both"/>
        <w:rPr>
          <w:rFonts w:ascii="Cambria"/>
          <w:b/>
          <w:i/>
          <w:sz w:val="22"/>
        </w:rPr>
      </w:pPr>
      <w:r>
        <w:rPr>
          <w:rFonts w:ascii="Cambria"/>
          <w:b/>
          <w:i/>
          <w:color w:val="4F81BC"/>
          <w:spacing w:val="-3"/>
          <w:sz w:val="22"/>
        </w:rPr>
        <w:t>Por </w:t>
      </w:r>
      <w:r>
        <w:rPr>
          <w:rFonts w:ascii="Cambria"/>
          <w:b/>
          <w:i/>
          <w:color w:val="4F81BC"/>
          <w:sz w:val="22"/>
        </w:rPr>
        <w:t>su</w:t>
      </w:r>
      <w:r>
        <w:rPr>
          <w:rFonts w:ascii="Cambria"/>
          <w:b/>
          <w:i/>
          <w:color w:val="4F81BC"/>
          <w:spacing w:val="12"/>
          <w:sz w:val="22"/>
        </w:rPr>
        <w:t> </w:t>
      </w:r>
      <w:r>
        <w:rPr>
          <w:rFonts w:ascii="Cambria"/>
          <w:b/>
          <w:i/>
          <w:color w:val="4F81BC"/>
          <w:sz w:val="22"/>
        </w:rPr>
        <w:t>movilidad</w:t>
      </w:r>
    </w:p>
    <w:p>
      <w:pPr>
        <w:pStyle w:val="BodyText"/>
        <w:spacing w:before="5"/>
        <w:rPr>
          <w:rFonts w:ascii="Cambria"/>
          <w:b/>
          <w:i/>
          <w:sz w:val="23"/>
        </w:rPr>
      </w:pPr>
    </w:p>
    <w:p>
      <w:pPr>
        <w:pStyle w:val="BodyText"/>
        <w:spacing w:line="360" w:lineRule="auto"/>
        <w:ind w:left="105" w:right="116"/>
        <w:jc w:val="both"/>
      </w:pPr>
      <w:r>
        <w:rPr>
          <w:b/>
        </w:rPr>
        <w:t>Fuentes fijas: </w:t>
      </w:r>
      <w:r>
        <w:rPr/>
        <w:t>de acuerdo con </w:t>
      </w:r>
      <w:r>
        <w:rPr>
          <w:spacing w:val="-3"/>
        </w:rPr>
        <w:t>el </w:t>
      </w:r>
      <w:r>
        <w:rPr/>
        <w:t>artículo </w:t>
      </w:r>
      <w:r>
        <w:rPr>
          <w:spacing w:val="4"/>
        </w:rPr>
        <w:t>6</w:t>
      </w:r>
      <w:r>
        <w:rPr>
          <w:spacing w:val="4"/>
          <w:position w:val="11"/>
          <w:sz w:val="16"/>
        </w:rPr>
        <w:t>o </w:t>
      </w:r>
      <w:r>
        <w:rPr/>
        <w:t>del Reglamento de </w:t>
      </w:r>
      <w:r>
        <w:rPr>
          <w:spacing w:val="5"/>
        </w:rPr>
        <w:t>la </w:t>
      </w:r>
      <w:r>
        <w:rPr/>
        <w:t>Ley General del Equilibrio Ecológico y Protección </w:t>
      </w:r>
      <w:r>
        <w:rPr>
          <w:spacing w:val="-3"/>
        </w:rPr>
        <w:t>al </w:t>
      </w:r>
      <w:r>
        <w:rPr/>
        <w:t>ambiente </w:t>
      </w:r>
      <w:r>
        <w:rPr>
          <w:spacing w:val="-3"/>
        </w:rPr>
        <w:t>en </w:t>
      </w:r>
      <w:r>
        <w:rPr/>
        <w:t>Materia de Prevención y Control de la Contaminación Atmosférica, </w:t>
      </w:r>
      <w:r>
        <w:rPr>
          <w:spacing w:val="3"/>
        </w:rPr>
        <w:t>se </w:t>
      </w:r>
      <w:r>
        <w:rPr/>
        <w:t>definen como “toda instalación establecida  </w:t>
      </w:r>
      <w:r>
        <w:rPr>
          <w:spacing w:val="-3"/>
        </w:rPr>
        <w:t>en </w:t>
      </w:r>
      <w:r>
        <w:rPr/>
        <w:t>un solo lugar que tenga como finalidad desarrollar operaciones o procesos industriales,  comerciales  de servicios  o de actividades  que generan  o   </w:t>
      </w:r>
      <w:r>
        <w:rPr>
          <w:spacing w:val="14"/>
        </w:rPr>
        <w:t> </w:t>
      </w:r>
      <w:r>
        <w:rPr/>
        <w:t>puedan</w:t>
      </w:r>
    </w:p>
    <w:p>
      <w:pPr>
        <w:spacing w:after="0" w:line="360" w:lineRule="auto"/>
        <w:jc w:val="both"/>
        <w:sectPr>
          <w:pgSz w:w="12240" w:h="15840"/>
          <w:pgMar w:header="0" w:footer="1001" w:top="1360" w:bottom="1200" w:left="1600" w:right="1580"/>
        </w:sectPr>
      </w:pPr>
    </w:p>
    <w:p>
      <w:pPr>
        <w:pStyle w:val="BodyText"/>
        <w:spacing w:line="362" w:lineRule="auto" w:before="48"/>
        <w:ind w:left="105" w:right="111"/>
        <w:jc w:val="both"/>
      </w:pPr>
      <w:r>
        <w:rPr/>
        <w:t>generar emisiones contaminantes a la atmósfera”(DOF, 1998). Como ejemplos de estas fuentes podemos mencionar las minas, industrias, cementeras.</w:t>
      </w:r>
    </w:p>
    <w:p>
      <w:pPr>
        <w:pStyle w:val="BodyText"/>
        <w:spacing w:before="7"/>
      </w:pPr>
    </w:p>
    <w:p>
      <w:pPr>
        <w:pStyle w:val="BodyText"/>
        <w:spacing w:line="360" w:lineRule="auto" w:before="1"/>
        <w:ind w:left="105" w:right="121"/>
        <w:jc w:val="both"/>
      </w:pPr>
      <w:r>
        <w:rPr>
          <w:b/>
        </w:rPr>
        <w:t>Fuentes móviles: </w:t>
      </w:r>
      <w:r>
        <w:rPr>
          <w:spacing w:val="-3"/>
        </w:rPr>
        <w:t>el </w:t>
      </w:r>
      <w:r>
        <w:rPr/>
        <w:t>mismo reglamento define a las fuentes móviles como todo equipo y maquinaria no fijos, con motores de combustión y similares, </w:t>
      </w:r>
      <w:r>
        <w:rPr>
          <w:spacing w:val="4"/>
        </w:rPr>
        <w:t>que </w:t>
      </w:r>
      <w:r>
        <w:rPr/>
        <w:t>con motivo </w:t>
      </w:r>
      <w:r>
        <w:rPr>
          <w:spacing w:val="5"/>
        </w:rPr>
        <w:t>de </w:t>
      </w:r>
      <w:r>
        <w:rPr/>
        <w:t>su operación generen o puedan generar emisiones contaminantes a la atmósfera, las cuales incluyen a los automóviles, camionetas, camiones de carga  y </w:t>
      </w:r>
      <w:r>
        <w:rPr>
          <w:spacing w:val="-3"/>
        </w:rPr>
        <w:t>el </w:t>
      </w:r>
      <w:r>
        <w:rPr/>
        <w:t>transporte público </w:t>
      </w:r>
      <w:r>
        <w:rPr>
          <w:spacing w:val="-3"/>
        </w:rPr>
        <w:t>en</w:t>
      </w:r>
      <w:r>
        <w:rPr>
          <w:spacing w:val="-7"/>
        </w:rPr>
        <w:t> </w:t>
      </w:r>
      <w:r>
        <w:rPr/>
        <w:t>general.</w:t>
      </w:r>
    </w:p>
    <w:p>
      <w:pPr>
        <w:pStyle w:val="BodyText"/>
        <w:spacing w:before="10"/>
      </w:pPr>
    </w:p>
    <w:p>
      <w:pPr>
        <w:pStyle w:val="ListParagraph"/>
        <w:numPr>
          <w:ilvl w:val="1"/>
          <w:numId w:val="7"/>
        </w:numPr>
        <w:tabs>
          <w:tab w:pos="299" w:val="left" w:leader="none"/>
        </w:tabs>
        <w:spacing w:line="240" w:lineRule="auto" w:before="0" w:after="0"/>
        <w:ind w:left="298" w:right="0" w:hanging="193"/>
        <w:jc w:val="both"/>
        <w:rPr>
          <w:rFonts w:ascii="Cambria" w:hAnsi="Cambria"/>
          <w:b/>
          <w:i/>
          <w:sz w:val="22"/>
        </w:rPr>
      </w:pPr>
      <w:r>
        <w:rPr>
          <w:rFonts w:ascii="Cambria" w:hAnsi="Cambria"/>
          <w:b/>
          <w:i/>
          <w:color w:val="4F81BC"/>
          <w:spacing w:val="-3"/>
          <w:sz w:val="22"/>
        </w:rPr>
        <w:t>Por </w:t>
      </w:r>
      <w:r>
        <w:rPr>
          <w:rFonts w:ascii="Cambria" w:hAnsi="Cambria"/>
          <w:b/>
          <w:i/>
          <w:color w:val="4F81BC"/>
          <w:sz w:val="22"/>
        </w:rPr>
        <w:t>su distribución</w:t>
      </w:r>
      <w:r>
        <w:rPr>
          <w:rFonts w:ascii="Cambria" w:hAnsi="Cambria"/>
          <w:b/>
          <w:i/>
          <w:color w:val="4F81BC"/>
          <w:spacing w:val="10"/>
          <w:sz w:val="22"/>
        </w:rPr>
        <w:t> </w:t>
      </w:r>
      <w:r>
        <w:rPr>
          <w:rFonts w:ascii="Cambria" w:hAnsi="Cambria"/>
          <w:b/>
          <w:i/>
          <w:color w:val="4F81BC"/>
          <w:sz w:val="22"/>
        </w:rPr>
        <w:t>espacial</w:t>
      </w:r>
    </w:p>
    <w:p>
      <w:pPr>
        <w:pStyle w:val="BodyText"/>
        <w:spacing w:before="5"/>
        <w:rPr>
          <w:rFonts w:ascii="Cambria"/>
          <w:b/>
          <w:i/>
          <w:sz w:val="26"/>
        </w:rPr>
      </w:pPr>
    </w:p>
    <w:p>
      <w:pPr>
        <w:pStyle w:val="BodyText"/>
        <w:spacing w:line="360" w:lineRule="auto"/>
        <w:ind w:left="105" w:right="116"/>
        <w:jc w:val="both"/>
      </w:pPr>
      <w:r>
        <w:rPr>
          <w:b/>
        </w:rPr>
        <w:t>Fuentes puntuales: </w:t>
      </w:r>
      <w:r>
        <w:rPr/>
        <w:t>son todas aquellas fuentes cuya totalidad </w:t>
      </w:r>
      <w:r>
        <w:rPr>
          <w:spacing w:val="6"/>
        </w:rPr>
        <w:t>de </w:t>
      </w:r>
      <w:r>
        <w:rPr/>
        <w:t>emisiones contaminantes a la atmósfera, son reportadas a nivel de cada establecimiento, de forma que </w:t>
      </w:r>
      <w:r>
        <w:rPr>
          <w:spacing w:val="-3"/>
        </w:rPr>
        <w:t>es </w:t>
      </w:r>
      <w:r>
        <w:rPr/>
        <w:t>posible monitorear </w:t>
      </w:r>
      <w:r>
        <w:rPr>
          <w:spacing w:val="-3"/>
        </w:rPr>
        <w:t>en </w:t>
      </w:r>
      <w:r>
        <w:rPr/>
        <w:t>ellas </w:t>
      </w:r>
      <w:r>
        <w:rPr>
          <w:spacing w:val="-3"/>
        </w:rPr>
        <w:t>el </w:t>
      </w:r>
      <w:r>
        <w:rPr/>
        <w:t>cumplimiento de los límites máximos permisibles establecidos </w:t>
      </w:r>
      <w:r>
        <w:rPr>
          <w:spacing w:val="-3"/>
        </w:rPr>
        <w:t>en </w:t>
      </w:r>
      <w:r>
        <w:rPr/>
        <w:t>la normatividad correspondiente, permitiendo  mantener actualizado </w:t>
      </w:r>
      <w:r>
        <w:rPr>
          <w:spacing w:val="-3"/>
        </w:rPr>
        <w:t>el </w:t>
      </w:r>
      <w:r>
        <w:rPr/>
        <w:t>inventario de fuentes. En este tipo de fuentes pueden considerarse, industrias de la metalurgia, automotriz, avicultura, producción ganadera.</w:t>
      </w:r>
    </w:p>
    <w:p>
      <w:pPr>
        <w:pStyle w:val="BodyText"/>
        <w:spacing w:before="10"/>
      </w:pPr>
    </w:p>
    <w:p>
      <w:pPr>
        <w:pStyle w:val="BodyText"/>
        <w:spacing w:line="360" w:lineRule="auto"/>
        <w:ind w:left="105" w:right="110"/>
        <w:jc w:val="both"/>
      </w:pPr>
      <w:r>
        <w:rPr>
          <w:b/>
        </w:rPr>
        <w:t>Fuentes de área: </w:t>
      </w:r>
      <w:r>
        <w:rPr/>
        <w:t>aquellas que incluyen actividades distribuidas en un área determinada, cuyas contribuciones particulares no pueden evaluarse y cuantificarse de forma precisa. En forma individual emiten cantidades relativamente, sin embargo en conjunto adquieren una gran  importancia.  Dentro de este tipo de fuentes encontramos establecimientos comerciales, de servicio y hogares, rellenos sanitarios, distribución y almacenamiento de gasolina, limpieza y desagüe, plantas de tratamiento de aguas residuales, plantas de energía móviles(González Guerrero &amp; Villafaña Esquivel, 2003).</w:t>
      </w:r>
    </w:p>
    <w:p>
      <w:pPr>
        <w:pStyle w:val="BodyText"/>
        <w:rPr>
          <w:sz w:val="25"/>
        </w:rPr>
      </w:pPr>
    </w:p>
    <w:p>
      <w:pPr>
        <w:pStyle w:val="Heading2"/>
        <w:numPr>
          <w:ilvl w:val="2"/>
          <w:numId w:val="6"/>
        </w:numPr>
        <w:tabs>
          <w:tab w:pos="753" w:val="left" w:leader="none"/>
        </w:tabs>
        <w:spacing w:line="240" w:lineRule="auto" w:before="0" w:after="0"/>
        <w:ind w:left="752" w:right="0" w:hanging="647"/>
        <w:jc w:val="both"/>
        <w:rPr>
          <w:color w:val="4F81BC"/>
        </w:rPr>
      </w:pPr>
      <w:bookmarkStart w:name="_bookmark13" w:id="19"/>
      <w:bookmarkEnd w:id="19"/>
      <w:r>
        <w:rPr>
          <w:b w:val="0"/>
        </w:rPr>
      </w:r>
      <w:bookmarkStart w:name="_bookmark13" w:id="20"/>
      <w:bookmarkEnd w:id="20"/>
      <w:r>
        <w:rPr>
          <w:color w:val="4F81BC"/>
          <w:spacing w:val="-3"/>
        </w:rPr>
        <w:t>P</w:t>
      </w:r>
      <w:r>
        <w:rPr>
          <w:color w:val="4F81BC"/>
          <w:spacing w:val="-3"/>
        </w:rPr>
        <w:t>artículas  suspendidas</w:t>
      </w:r>
      <w:r>
        <w:rPr>
          <w:color w:val="4F81BC"/>
          <w:spacing w:val="13"/>
        </w:rPr>
        <w:t> </w:t>
      </w:r>
      <w:r>
        <w:rPr>
          <w:color w:val="4F81BC"/>
          <w:spacing w:val="-3"/>
        </w:rPr>
        <w:t>totales</w:t>
      </w:r>
    </w:p>
    <w:p>
      <w:pPr>
        <w:pStyle w:val="BodyText"/>
        <w:spacing w:before="1"/>
        <w:rPr>
          <w:rFonts w:ascii="Cambria"/>
          <w:b/>
          <w:sz w:val="27"/>
        </w:rPr>
      </w:pPr>
    </w:p>
    <w:p>
      <w:pPr>
        <w:pStyle w:val="BodyText"/>
        <w:spacing w:line="362" w:lineRule="auto"/>
        <w:ind w:left="105" w:right="121"/>
        <w:jc w:val="both"/>
      </w:pPr>
      <w:r>
        <w:rPr/>
        <w:t>Al hablar de partículas suspendidas es necesario considerar conceptos previos a partir de los cuales se deriva este concepto, como tal se considera que los principales contaminantes primarios son los aerosoles y los gases. Los aerosoles son dispersiones o derramamientos de sustancias sólidas y líquidas en el aire,</w:t>
      </w:r>
    </w:p>
    <w:p>
      <w:pPr>
        <w:spacing w:after="0" w:line="362" w:lineRule="auto"/>
        <w:jc w:val="both"/>
        <w:sectPr>
          <w:pgSz w:w="12240" w:h="15840"/>
          <w:pgMar w:header="0" w:footer="1001" w:top="1360" w:bottom="1200" w:left="1600" w:right="1580"/>
        </w:sectPr>
      </w:pPr>
    </w:p>
    <w:p>
      <w:pPr>
        <w:pStyle w:val="BodyText"/>
        <w:spacing w:line="360" w:lineRule="auto" w:before="48"/>
        <w:ind w:left="105" w:right="113"/>
        <w:jc w:val="both"/>
      </w:pPr>
      <w:r>
        <w:rPr/>
        <w:t>cumplen un papel fundamental en el sistema climático, reflejan y absorben la radiación, en determinadas longitudes de onda, proveniente del sol; a su vez actúan como núcleos de condensación del vapor de agua presente en la troposfera. A los aerosoles se les denomina partículas y su composición química varía en función de su procendencia.se presentan aerosoles naturales que provienen principalmente de la erosión de suelos básicamente contienen calcio, aluminio y silicio (Gutiérrez, 2006).</w:t>
      </w:r>
    </w:p>
    <w:p>
      <w:pPr>
        <w:pStyle w:val="BodyText"/>
        <w:spacing w:before="2"/>
      </w:pPr>
    </w:p>
    <w:p>
      <w:pPr>
        <w:pStyle w:val="BodyText"/>
        <w:spacing w:line="360" w:lineRule="auto"/>
        <w:ind w:left="105" w:right="115"/>
        <w:jc w:val="both"/>
      </w:pPr>
      <w:r>
        <w:rPr/>
        <w:t>Los aerosoles como </w:t>
      </w:r>
      <w:r>
        <w:rPr>
          <w:spacing w:val="3"/>
        </w:rPr>
        <w:t>se </w:t>
      </w:r>
      <w:r>
        <w:rPr/>
        <w:t>menciona anteriormente también pueden ser identificados como partículas suspendidas totales, las cuales </w:t>
      </w:r>
      <w:r>
        <w:rPr>
          <w:spacing w:val="3"/>
        </w:rPr>
        <w:t>se </w:t>
      </w:r>
      <w:r>
        <w:rPr/>
        <w:t>constituyen como en una mezcla </w:t>
      </w:r>
      <w:r>
        <w:rPr>
          <w:spacing w:val="5"/>
        </w:rPr>
        <w:t>de </w:t>
      </w:r>
      <w:r>
        <w:rPr/>
        <w:t>partículas sólidas y líquidas presentes </w:t>
      </w:r>
      <w:r>
        <w:rPr>
          <w:spacing w:val="-3"/>
        </w:rPr>
        <w:t>en el </w:t>
      </w:r>
      <w:r>
        <w:rPr/>
        <w:t>aire, </w:t>
      </w:r>
      <w:r>
        <w:rPr>
          <w:spacing w:val="2"/>
        </w:rPr>
        <w:t>cuya </w:t>
      </w:r>
      <w:r>
        <w:rPr/>
        <w:t>composición física y química se encuentra determinada principalmente por su fuente de origen y cuyo comportamiento </w:t>
      </w:r>
      <w:r>
        <w:rPr>
          <w:spacing w:val="3"/>
        </w:rPr>
        <w:t>se ve </w:t>
      </w:r>
      <w:r>
        <w:rPr/>
        <w:t>afectado por factores como, localización, estado del tiempo, clima  y periodo del año (M. Flores &amp; Shukula,</w:t>
      </w:r>
      <w:r>
        <w:rPr>
          <w:spacing w:val="-21"/>
        </w:rPr>
        <w:t> </w:t>
      </w:r>
      <w:r>
        <w:rPr>
          <w:spacing w:val="2"/>
        </w:rPr>
        <w:t>2011).</w:t>
      </w:r>
    </w:p>
    <w:p>
      <w:pPr>
        <w:pStyle w:val="BodyText"/>
        <w:spacing w:before="10"/>
      </w:pPr>
    </w:p>
    <w:p>
      <w:pPr>
        <w:pStyle w:val="BodyText"/>
        <w:spacing w:line="360" w:lineRule="auto"/>
        <w:ind w:left="105" w:right="119"/>
        <w:jc w:val="both"/>
      </w:pPr>
      <w:r>
        <w:rPr/>
        <w:t>El término de partículas suspendidas y aerosoles es usado de manera indistinta, pero ambos hacen referencia a partículas sólidas y líquidas presentes en el aire. Los efectos ambientales generados por las partículas se manifiestan en la disminución de la visibilidad, la interferencia en el funcionamiento de los ciclos químicos y los nutrientes en los suelos y aguas superficial es, y con ello su capacidad de amortiguamiento, por otro lado afectan el metabolismo y la superficie foliar de las plantas (Martuzzi et al., 2006).</w:t>
      </w:r>
    </w:p>
    <w:p>
      <w:pPr>
        <w:pStyle w:val="BodyText"/>
        <w:spacing w:before="10"/>
      </w:pPr>
    </w:p>
    <w:p>
      <w:pPr>
        <w:pStyle w:val="BodyText"/>
        <w:spacing w:line="360" w:lineRule="auto"/>
        <w:ind w:left="105" w:right="108"/>
        <w:jc w:val="both"/>
      </w:pPr>
      <w:r>
        <w:rPr/>
        <w:t>Las partículas derivadas de metales pesados contienen componentes tóxicos los cuales se depositan en los cuerpos de agua afectando las condiciones hídricas de las cuencas y generando daños adversos a la fauna(Allende et al., 2012). Además de lo anterior las partículas dispersan la luz visible disminuyendo así la visibilidad, pues modifican el balance de energía que genera el sol, a través de la dispersión y absorción, por lo que se reduce la radiación solar, generando cambios concomitantes en la temperatura ambiental y afectando la velocidad biológica de crecimiento de las plantas (Janssen, Fischer, Marra, Ameling, &amp; Cassee, 2013)</w:t>
      </w:r>
    </w:p>
    <w:p>
      <w:pPr>
        <w:spacing w:after="0" w:line="360" w:lineRule="auto"/>
        <w:jc w:val="both"/>
        <w:sectPr>
          <w:pgSz w:w="12240" w:h="15840"/>
          <w:pgMar w:header="0" w:footer="1001" w:top="1360" w:bottom="1200" w:left="1600" w:right="1580"/>
        </w:sectPr>
      </w:pPr>
    </w:p>
    <w:p>
      <w:pPr>
        <w:pStyle w:val="BodyText"/>
        <w:spacing w:line="360" w:lineRule="auto" w:before="48"/>
        <w:ind w:left="105" w:right="106"/>
        <w:jc w:val="both"/>
      </w:pPr>
      <w:r>
        <w:rPr/>
        <w:t>El tema de las partículas suspendidas como contaminante atmosférico adquiere además gran relevancia por los efectos nocivos que pueden producir a la salud, causando el deterioro de la función respiratoria a corto plazo, en el largo plazo contribuyen a enfermedades crónicas, cáncer y la muerte prematura dado que pueden penetrar en las cavidades pulmonares sin ser captadas por la acción de limpieza natural del sistema, las partículas pueden adherirse a los alveolos permitiendo la introducción de diferentes toxinas en la sangre (Rodríguez- Germade et al., 2014). Es importante señalar que las partículas que representan riesgo para la salud son aquellas cuyo tamaño es inferior a las diez micras, dado que estas se encuentran dentro de la fracción respirable pudiendo llegar a los pulmones e incluso a los alveolos.</w:t>
      </w:r>
    </w:p>
    <w:p>
      <w:pPr>
        <w:pStyle w:val="BodyText"/>
        <w:spacing w:before="2"/>
      </w:pPr>
    </w:p>
    <w:p>
      <w:pPr>
        <w:pStyle w:val="BodyText"/>
        <w:spacing w:line="360" w:lineRule="auto"/>
        <w:ind w:left="105" w:right="114"/>
        <w:jc w:val="both"/>
      </w:pPr>
      <w:r>
        <w:rPr/>
        <w:t>Las partículas suspendidas para su estudio y monitoreo se dividen en partículas gruesas (PM &lt; 10 μm) que pueden estar compuestas por metales, polvo, carbón orgánico, sal marina, nitratos, polen y esporas, y partículas finas (PM &lt; 2.5 μm), compuestas por sulfatos, nitratos, amonio, carbón mineral, carbón orgánico y metales. Dependiendo de su tamaño, las partículas se comportan de manera distinta en la atmósfera: las más pequeñas se pueden mantener suspendidas durante largos periodos y viajar cientos de kilómetros; las partículas más grandes no se sostienen en el aire mucho tiempo porque tienden a depositarse cerca de su lugar de origen. En general, la parte gruesa de las PM10 se componen en buena medida de partículas primarias emitidas directamente a la atmósfera tanto por fenómenos naturales (incendios forestales o emisiones volcánicas) como por las actividades humanas (labores agrícolas o de construcción, polvo de caminos de terracería, quema residencial de leña o actividades industriales(CCA, 2008).</w:t>
      </w:r>
    </w:p>
    <w:p>
      <w:pPr>
        <w:pStyle w:val="BodyText"/>
        <w:spacing w:before="10"/>
      </w:pPr>
    </w:p>
    <w:p>
      <w:pPr>
        <w:pStyle w:val="BodyText"/>
        <w:spacing w:line="362" w:lineRule="auto"/>
        <w:ind w:left="105" w:right="122"/>
        <w:jc w:val="both"/>
      </w:pPr>
      <w:r>
        <w:rPr/>
        <w:t>Las PM se clasifican de acuerdo a su diámetro aerodinámico en tres grupos (Martuzzi et al., 2006).</w:t>
      </w:r>
    </w:p>
    <w:p>
      <w:pPr>
        <w:pStyle w:val="BodyText"/>
        <w:spacing w:before="7"/>
      </w:pPr>
    </w:p>
    <w:p>
      <w:pPr>
        <w:pStyle w:val="ListParagraph"/>
        <w:numPr>
          <w:ilvl w:val="3"/>
          <w:numId w:val="6"/>
        </w:numPr>
        <w:tabs>
          <w:tab w:pos="825" w:val="left" w:leader="none"/>
          <w:tab w:pos="826" w:val="left" w:leader="none"/>
          <w:tab w:pos="4605" w:val="left" w:leader="none"/>
        </w:tabs>
        <w:spacing w:line="345" w:lineRule="auto" w:before="0" w:after="0"/>
        <w:ind w:left="825" w:right="132" w:hanging="360"/>
        <w:jc w:val="left"/>
        <w:rPr>
          <w:rFonts w:ascii="Symbol" w:hAnsi="Symbol"/>
          <w:sz w:val="24"/>
        </w:rPr>
      </w:pPr>
      <w:r>
        <w:rPr>
          <w:sz w:val="24"/>
        </w:rPr>
        <w:t>Partículas  </w:t>
      </w:r>
      <w:r>
        <w:rPr>
          <w:spacing w:val="5"/>
          <w:sz w:val="24"/>
        </w:rPr>
        <w:t>de </w:t>
      </w:r>
      <w:r>
        <w:rPr>
          <w:sz w:val="24"/>
        </w:rPr>
        <w:t>10</w:t>
      </w:r>
      <w:r>
        <w:rPr>
          <w:spacing w:val="27"/>
          <w:sz w:val="24"/>
        </w:rPr>
        <w:t> </w:t>
      </w:r>
      <w:r>
        <w:rPr>
          <w:sz w:val="24"/>
        </w:rPr>
        <w:t>micras</w:t>
      </w:r>
      <w:r>
        <w:rPr>
          <w:spacing w:val="34"/>
          <w:sz w:val="24"/>
        </w:rPr>
        <w:t> </w:t>
      </w:r>
      <w:r>
        <w:rPr>
          <w:sz w:val="24"/>
        </w:rPr>
        <w:t>(PM10),</w:t>
        <w:tab/>
        <w:t>las  cuales  debido a su</w:t>
      </w:r>
      <w:r>
        <w:rPr>
          <w:spacing w:val="35"/>
          <w:sz w:val="24"/>
        </w:rPr>
        <w:t> </w:t>
      </w:r>
      <w:r>
        <w:rPr>
          <w:sz w:val="24"/>
        </w:rPr>
        <w:t>tamaño</w:t>
      </w:r>
      <w:r>
        <w:rPr>
          <w:spacing w:val="30"/>
          <w:sz w:val="24"/>
        </w:rPr>
        <w:t> </w:t>
      </w:r>
      <w:r>
        <w:rPr>
          <w:sz w:val="24"/>
        </w:rPr>
        <w:t>pueden</w:t>
      </w:r>
      <w:r>
        <w:rPr>
          <w:w w:val="99"/>
          <w:sz w:val="24"/>
        </w:rPr>
        <w:t> </w:t>
      </w:r>
      <w:r>
        <w:rPr>
          <w:sz w:val="24"/>
        </w:rPr>
        <w:t>llegar a la parte superior de las vías respiratorias y los</w:t>
      </w:r>
      <w:r>
        <w:rPr>
          <w:spacing w:val="-33"/>
          <w:sz w:val="24"/>
        </w:rPr>
        <w:t> </w:t>
      </w:r>
      <w:r>
        <w:rPr>
          <w:sz w:val="24"/>
        </w:rPr>
        <w:t>pulmones.</w:t>
      </w:r>
    </w:p>
    <w:p>
      <w:pPr>
        <w:pStyle w:val="ListParagraph"/>
        <w:numPr>
          <w:ilvl w:val="3"/>
          <w:numId w:val="6"/>
        </w:numPr>
        <w:tabs>
          <w:tab w:pos="825" w:val="left" w:leader="none"/>
          <w:tab w:pos="826" w:val="left" w:leader="none"/>
        </w:tabs>
        <w:spacing w:line="240" w:lineRule="auto" w:before="22" w:after="0"/>
        <w:ind w:left="825" w:right="0" w:hanging="360"/>
        <w:jc w:val="left"/>
        <w:rPr>
          <w:rFonts w:ascii="Symbol" w:hAnsi="Symbol"/>
          <w:sz w:val="24"/>
        </w:rPr>
      </w:pPr>
      <w:r>
        <w:rPr>
          <w:sz w:val="24"/>
        </w:rPr>
        <w:t>Partículas menores a 10 micras y mayores a 2.5 micras</w:t>
      </w:r>
      <w:r>
        <w:rPr>
          <w:spacing w:val="-11"/>
          <w:sz w:val="24"/>
        </w:rPr>
        <w:t> </w:t>
      </w:r>
      <w:r>
        <w:rPr>
          <w:sz w:val="24"/>
        </w:rPr>
        <w:t>(PM2.5-10),</w:t>
      </w:r>
    </w:p>
    <w:p>
      <w:pPr>
        <w:spacing w:after="0" w:line="240" w:lineRule="auto"/>
        <w:jc w:val="left"/>
        <w:rPr>
          <w:rFonts w:ascii="Symbol" w:hAnsi="Symbol"/>
          <w:sz w:val="24"/>
        </w:rPr>
        <w:sectPr>
          <w:footerReference w:type="default" r:id="rId13"/>
          <w:pgSz w:w="12240" w:h="15840"/>
          <w:pgMar w:footer="1001" w:header="0" w:top="1360" w:bottom="1200" w:left="1600" w:right="1580"/>
          <w:pgNumType w:start="20"/>
        </w:sectPr>
      </w:pPr>
    </w:p>
    <w:p>
      <w:pPr>
        <w:pStyle w:val="ListParagraph"/>
        <w:numPr>
          <w:ilvl w:val="3"/>
          <w:numId w:val="6"/>
        </w:numPr>
        <w:tabs>
          <w:tab w:pos="825" w:val="left" w:leader="none"/>
          <w:tab w:pos="826" w:val="left" w:leader="none"/>
        </w:tabs>
        <w:spacing w:line="352" w:lineRule="auto" w:before="27" w:after="0"/>
        <w:ind w:left="825" w:right="128" w:hanging="360"/>
        <w:jc w:val="left"/>
        <w:rPr>
          <w:rFonts w:ascii="Symbol" w:hAnsi="Symbol"/>
          <w:sz w:val="24"/>
        </w:rPr>
      </w:pPr>
      <w:r>
        <w:rPr>
          <w:sz w:val="24"/>
        </w:rPr>
        <w:t>Partículas Menores a 2.5 micras (PM2.5), las cuales pueden </w:t>
      </w:r>
      <w:r>
        <w:rPr>
          <w:spacing w:val="-3"/>
          <w:sz w:val="24"/>
        </w:rPr>
        <w:t>penetrar en </w:t>
      </w:r>
      <w:r>
        <w:rPr>
          <w:sz w:val="24"/>
        </w:rPr>
        <w:t>los pulmones y llegar a los</w:t>
      </w:r>
      <w:r>
        <w:rPr>
          <w:spacing w:val="-17"/>
          <w:sz w:val="24"/>
        </w:rPr>
        <w:t> </w:t>
      </w:r>
      <w:r>
        <w:rPr>
          <w:sz w:val="24"/>
        </w:rPr>
        <w:t>alveolos.</w:t>
      </w:r>
    </w:p>
    <w:p>
      <w:pPr>
        <w:pStyle w:val="BodyText"/>
        <w:rPr>
          <w:sz w:val="26"/>
        </w:rPr>
      </w:pPr>
    </w:p>
    <w:p>
      <w:pPr>
        <w:pStyle w:val="Heading3"/>
        <w:numPr>
          <w:ilvl w:val="0"/>
          <w:numId w:val="8"/>
        </w:numPr>
        <w:tabs>
          <w:tab w:pos="348" w:val="left" w:leader="none"/>
        </w:tabs>
        <w:spacing w:line="240" w:lineRule="auto" w:before="0" w:after="0"/>
        <w:ind w:left="347" w:right="0" w:hanging="242"/>
        <w:jc w:val="both"/>
      </w:pPr>
      <w:bookmarkStart w:name="_bookmark14" w:id="21"/>
      <w:bookmarkEnd w:id="21"/>
      <w:r>
        <w:rPr>
          <w:b w:val="0"/>
        </w:rPr>
      </w:r>
      <w:bookmarkStart w:name="_bookmark14" w:id="22"/>
      <w:bookmarkEnd w:id="22"/>
      <w:r>
        <w:rPr>
          <w:color w:val="4F81BC"/>
        </w:rPr>
        <w:t>P</w:t>
      </w:r>
      <w:r>
        <w:rPr>
          <w:color w:val="4F81BC"/>
        </w:rPr>
        <w:t>artículas menores a 10 micras</w:t>
      </w:r>
      <w:r>
        <w:rPr>
          <w:color w:val="4F81BC"/>
          <w:spacing w:val="-8"/>
        </w:rPr>
        <w:t> </w:t>
      </w:r>
      <w:r>
        <w:rPr>
          <w:color w:val="4F81BC"/>
        </w:rPr>
        <w:t>PM10</w:t>
      </w:r>
    </w:p>
    <w:p>
      <w:pPr>
        <w:pStyle w:val="BodyText"/>
        <w:spacing w:before="8"/>
        <w:rPr>
          <w:rFonts w:ascii="Cambria"/>
          <w:b/>
          <w:sz w:val="26"/>
        </w:rPr>
      </w:pPr>
    </w:p>
    <w:p>
      <w:pPr>
        <w:pStyle w:val="BodyText"/>
        <w:spacing w:line="360" w:lineRule="auto" w:before="1"/>
        <w:ind w:left="105" w:right="114"/>
        <w:jc w:val="both"/>
      </w:pPr>
      <w:r>
        <w:rPr/>
        <w:t>Dentro de las partículas suspendidas totales </w:t>
      </w:r>
      <w:r>
        <w:rPr>
          <w:spacing w:val="-3"/>
        </w:rPr>
        <w:t>el </w:t>
      </w:r>
      <w:r>
        <w:rPr/>
        <w:t>monitoreo de las partículas menores a 10 micras (PM</w:t>
      </w:r>
      <w:r>
        <w:rPr>
          <w:position w:val="-2"/>
          <w:sz w:val="16"/>
        </w:rPr>
        <w:t>10</w:t>
      </w:r>
      <w:r>
        <w:rPr/>
        <w:t>) </w:t>
      </w:r>
      <w:r>
        <w:rPr>
          <w:spacing w:val="-3"/>
        </w:rPr>
        <w:t>es </w:t>
      </w:r>
      <w:r>
        <w:rPr/>
        <w:t>considerado de forma prioritario, </w:t>
      </w:r>
      <w:r>
        <w:rPr>
          <w:spacing w:val="-3"/>
        </w:rPr>
        <w:t>al </w:t>
      </w:r>
      <w:r>
        <w:rPr/>
        <w:t>encontrarse dentro de la fracción respirable. Este tipo de partículas así como aquellas más pequeñas, tienden a formar suspensiones estables </w:t>
      </w:r>
      <w:r>
        <w:rPr>
          <w:spacing w:val="-3"/>
        </w:rPr>
        <w:t>en el </w:t>
      </w:r>
      <w:r>
        <w:rPr/>
        <w:t>aire, pudiendo ser trasladadas a grandes distancias por la acción del viento, la composición </w:t>
      </w:r>
      <w:r>
        <w:rPr>
          <w:spacing w:val="-3"/>
        </w:rPr>
        <w:t>de </w:t>
      </w:r>
      <w:r>
        <w:rPr/>
        <w:t>estas partículas </w:t>
      </w:r>
      <w:r>
        <w:rPr>
          <w:spacing w:val="-3"/>
        </w:rPr>
        <w:t>es </w:t>
      </w:r>
      <w:r>
        <w:rPr/>
        <w:t>muy variable, </w:t>
      </w:r>
      <w:r>
        <w:rPr>
          <w:spacing w:val="3"/>
        </w:rPr>
        <w:t>ya </w:t>
      </w:r>
      <w:r>
        <w:rPr/>
        <w:t>que pueden derivarse de la erosión de suelos, descomposición de materia orgánica, quema </w:t>
      </w:r>
      <w:r>
        <w:rPr>
          <w:spacing w:val="9"/>
        </w:rPr>
        <w:t>de </w:t>
      </w:r>
      <w:r>
        <w:rPr/>
        <w:t>combustibles, entre otras fuentes. Es importante señalar que además del viento la precipitación </w:t>
      </w:r>
      <w:r>
        <w:rPr>
          <w:spacing w:val="-3"/>
        </w:rPr>
        <w:t>es </w:t>
      </w:r>
      <w:r>
        <w:rPr/>
        <w:t>una variable que influye directamente </w:t>
      </w:r>
      <w:r>
        <w:rPr>
          <w:spacing w:val="-3"/>
        </w:rPr>
        <w:t>en el </w:t>
      </w:r>
      <w:r>
        <w:rPr/>
        <w:t>comportamiento </w:t>
      </w:r>
      <w:r>
        <w:rPr>
          <w:spacing w:val="5"/>
        </w:rPr>
        <w:t>de </w:t>
      </w:r>
      <w:r>
        <w:rPr/>
        <w:t>las partículas, estas son arrastradas y depositadas, además de ello </w:t>
      </w:r>
      <w:r>
        <w:rPr>
          <w:spacing w:val="-3"/>
        </w:rPr>
        <w:t>el </w:t>
      </w:r>
      <w:r>
        <w:rPr/>
        <w:t>comportamiento de las partículas </w:t>
      </w:r>
      <w:r>
        <w:rPr>
          <w:spacing w:val="-3"/>
        </w:rPr>
        <w:t>es </w:t>
      </w:r>
      <w:r>
        <w:rPr/>
        <w:t>similar </w:t>
      </w:r>
      <w:r>
        <w:rPr>
          <w:spacing w:val="-3"/>
        </w:rPr>
        <w:t>al </w:t>
      </w:r>
      <w:r>
        <w:rPr/>
        <w:t>de los gases, por lo que estas también se ven influenciadas por la temperatura, lo cual puede observarse </w:t>
      </w:r>
      <w:r>
        <w:rPr>
          <w:spacing w:val="-3"/>
        </w:rPr>
        <w:t>en </w:t>
      </w:r>
      <w:r>
        <w:rPr/>
        <w:t>las ciudades a lo largo del día(Benas </w:t>
      </w:r>
      <w:r>
        <w:rPr>
          <w:spacing w:val="-3"/>
        </w:rPr>
        <w:t>et </w:t>
      </w:r>
      <w:r>
        <w:rPr/>
        <w:t>al.,</w:t>
      </w:r>
      <w:r>
        <w:rPr>
          <w:spacing w:val="-10"/>
        </w:rPr>
        <w:t> </w:t>
      </w:r>
      <w:r>
        <w:rPr>
          <w:spacing w:val="2"/>
        </w:rPr>
        <w:t>2013).</w:t>
      </w:r>
    </w:p>
    <w:p>
      <w:pPr>
        <w:pStyle w:val="BodyText"/>
        <w:spacing w:before="10"/>
      </w:pPr>
    </w:p>
    <w:p>
      <w:pPr>
        <w:pStyle w:val="BodyText"/>
        <w:spacing w:line="357" w:lineRule="auto"/>
        <w:ind w:left="105" w:right="115"/>
        <w:jc w:val="both"/>
      </w:pPr>
      <w:r>
        <w:rPr/>
        <w:t>En general las PM</w:t>
      </w:r>
      <w:r>
        <w:rPr>
          <w:position w:val="-2"/>
          <w:sz w:val="16"/>
        </w:rPr>
        <w:t>10</w:t>
      </w:r>
      <w:r>
        <w:rPr/>
        <w:t>, se componen principalmente de partículas emitidas directamente a la atmósfera por fenómenos naturales (Incendios forestales, procesos erosivos causados por el viento, o emisiones volcánicas), así como por las actividades humanas (polvo erosionado de terracerías, actividades agrícolas, actividades de construcción, quemas de leña y carbón o actividades industriales, actividades mineras). Dentro de las partículas que adquieren una gran relevancia se encuentran aquellas derivadas de carbón negro, considerado dentro de los Contaminantes Climáticos de Vida Corta al ser compuestos forzadores del clima y cuyos periodos de vida puede comprender dese días hasta décadas, estos se encuentran considerados dentro de la Estrategia Nacional de Cambio Climático 10-20-40(ENCC, 2013).</w:t>
      </w:r>
    </w:p>
    <w:p>
      <w:pPr>
        <w:spacing w:after="0" w:line="357" w:lineRule="auto"/>
        <w:jc w:val="both"/>
        <w:sectPr>
          <w:pgSz w:w="12240" w:h="15840"/>
          <w:pgMar w:header="0" w:footer="1001" w:top="1380" w:bottom="1200" w:left="1600" w:right="1580"/>
        </w:sectPr>
      </w:pPr>
    </w:p>
    <w:p>
      <w:pPr>
        <w:pStyle w:val="Heading3"/>
        <w:numPr>
          <w:ilvl w:val="0"/>
          <w:numId w:val="8"/>
        </w:numPr>
        <w:tabs>
          <w:tab w:pos="348" w:val="left" w:leader="none"/>
        </w:tabs>
        <w:spacing w:line="240" w:lineRule="auto" w:before="53" w:after="0"/>
        <w:ind w:left="347" w:right="0" w:hanging="242"/>
        <w:jc w:val="both"/>
      </w:pPr>
      <w:bookmarkStart w:name="_bookmark15" w:id="23"/>
      <w:bookmarkEnd w:id="23"/>
      <w:r>
        <w:rPr>
          <w:b w:val="0"/>
        </w:rPr>
      </w:r>
      <w:bookmarkStart w:name="_bookmark15" w:id="24"/>
      <w:bookmarkEnd w:id="24"/>
      <w:r>
        <w:rPr>
          <w:color w:val="4F81BC"/>
        </w:rPr>
        <w:t>P</w:t>
      </w:r>
      <w:r>
        <w:rPr>
          <w:color w:val="4F81BC"/>
        </w:rPr>
        <w:t>artículas menores a </w:t>
      </w:r>
      <w:r>
        <w:rPr>
          <w:color w:val="4F81BC"/>
          <w:spacing w:val="-3"/>
        </w:rPr>
        <w:t>2.5 </w:t>
      </w:r>
      <w:r>
        <w:rPr>
          <w:color w:val="4F81BC"/>
        </w:rPr>
        <w:t>micras</w:t>
      </w:r>
      <w:r>
        <w:rPr>
          <w:color w:val="4F81BC"/>
          <w:spacing w:val="4"/>
        </w:rPr>
        <w:t> </w:t>
      </w:r>
      <w:r>
        <w:rPr>
          <w:color w:val="4F81BC"/>
        </w:rPr>
        <w:t>PM2.5</w:t>
      </w:r>
    </w:p>
    <w:p>
      <w:pPr>
        <w:pStyle w:val="BodyText"/>
        <w:spacing w:before="5"/>
        <w:rPr>
          <w:rFonts w:ascii="Cambria"/>
          <w:b/>
          <w:sz w:val="27"/>
        </w:rPr>
      </w:pPr>
    </w:p>
    <w:p>
      <w:pPr>
        <w:pStyle w:val="BodyText"/>
        <w:spacing w:line="355" w:lineRule="auto"/>
        <w:ind w:left="105" w:right="114"/>
        <w:jc w:val="both"/>
      </w:pPr>
      <w:r>
        <w:rPr/>
        <w:t>Este tipo de partículas reciben </w:t>
      </w:r>
      <w:r>
        <w:rPr>
          <w:spacing w:val="-3"/>
        </w:rPr>
        <w:t>el </w:t>
      </w:r>
      <w:r>
        <w:rPr/>
        <w:t>nombre de </w:t>
      </w:r>
      <w:r>
        <w:rPr>
          <w:spacing w:val="3"/>
        </w:rPr>
        <w:t>PM</w:t>
      </w:r>
      <w:r>
        <w:rPr>
          <w:spacing w:val="3"/>
          <w:position w:val="-2"/>
          <w:sz w:val="16"/>
        </w:rPr>
        <w:t>2.5 </w:t>
      </w:r>
      <w:r>
        <w:rPr/>
        <w:t>como resultado </w:t>
      </w:r>
      <w:r>
        <w:rPr>
          <w:spacing w:val="5"/>
        </w:rPr>
        <w:t>de </w:t>
      </w:r>
      <w:r>
        <w:rPr/>
        <w:t>su tamaño que </w:t>
      </w:r>
      <w:r>
        <w:rPr>
          <w:spacing w:val="-3"/>
        </w:rPr>
        <w:t>es </w:t>
      </w:r>
      <w:r>
        <w:rPr/>
        <w:t>de 2.5 micras, a diferencia </w:t>
      </w:r>
      <w:r>
        <w:rPr>
          <w:spacing w:val="5"/>
        </w:rPr>
        <w:t>de </w:t>
      </w:r>
      <w:r>
        <w:rPr/>
        <w:t>las PM</w:t>
      </w:r>
      <w:r>
        <w:rPr>
          <w:position w:val="-2"/>
          <w:sz w:val="16"/>
        </w:rPr>
        <w:t>10 </w:t>
      </w:r>
      <w:r>
        <w:rPr/>
        <w:t>que </w:t>
      </w:r>
      <w:r>
        <w:rPr>
          <w:spacing w:val="3"/>
        </w:rPr>
        <w:t>se </w:t>
      </w:r>
      <w:r>
        <w:rPr/>
        <w:t>emiten directamente a la atmósfera, las PM</w:t>
      </w:r>
      <w:r>
        <w:rPr>
          <w:position w:val="-2"/>
          <w:sz w:val="16"/>
        </w:rPr>
        <w:t>2.5 </w:t>
      </w:r>
      <w:r>
        <w:rPr/>
        <w:t>tienden a formarse a partir de reacciones secundarias,  a partir de emisiones precursoras como Óxidos de Nitrógeno (NOx), Dióxido de azúfre (SOx), Compuestos orgánicos volátiles (COV) y amoniaco (NH3). Estas partículas las partículas finas tienen periodos de vida media </w:t>
      </w:r>
      <w:r>
        <w:rPr>
          <w:spacing w:val="-3"/>
        </w:rPr>
        <w:t>en </w:t>
      </w:r>
      <w:r>
        <w:rPr/>
        <w:t>la atmósfera de días a semanas, viajan distancias de 100 km o más, y tienden a ser espacialmente homogéneas </w:t>
      </w:r>
      <w:r>
        <w:rPr>
          <w:spacing w:val="-3"/>
        </w:rPr>
        <w:t>en </w:t>
      </w:r>
      <w:r>
        <w:rPr/>
        <w:t>áreas urbanas, por </w:t>
      </w:r>
      <w:r>
        <w:rPr>
          <w:spacing w:val="5"/>
        </w:rPr>
        <w:t>lo </w:t>
      </w:r>
      <w:r>
        <w:rPr/>
        <w:t>que sufren transformaciones, las cuales ocurren normalmente durante periodos de estancamiento atmosférico o durante </w:t>
      </w:r>
      <w:r>
        <w:rPr>
          <w:spacing w:val="-3"/>
        </w:rPr>
        <w:t>el </w:t>
      </w:r>
      <w:r>
        <w:rPr/>
        <w:t>transporte a largas distancias (Rojas Bracho &amp; Verónica,</w:t>
      </w:r>
      <w:r>
        <w:rPr>
          <w:spacing w:val="-19"/>
        </w:rPr>
        <w:t> </w:t>
      </w:r>
      <w:r>
        <w:rPr/>
        <w:t>2003a)).</w:t>
      </w:r>
    </w:p>
    <w:p>
      <w:pPr>
        <w:pStyle w:val="BodyText"/>
        <w:spacing w:before="4"/>
        <w:rPr>
          <w:sz w:val="25"/>
        </w:rPr>
      </w:pPr>
    </w:p>
    <w:p>
      <w:pPr>
        <w:pStyle w:val="BodyText"/>
        <w:spacing w:line="360" w:lineRule="auto"/>
        <w:ind w:left="105" w:right="112"/>
        <w:jc w:val="both"/>
      </w:pPr>
      <w:r>
        <w:rPr/>
        <w:t>Las partículas suspendidas totales </w:t>
      </w:r>
      <w:r>
        <w:rPr>
          <w:spacing w:val="-3"/>
        </w:rPr>
        <w:t>en </w:t>
      </w:r>
      <w:r>
        <w:rPr/>
        <w:t>fracción respirable PM10 y PM2.5, se constituyen como contaminantes criterio para </w:t>
      </w:r>
      <w:r>
        <w:rPr>
          <w:spacing w:val="-3"/>
        </w:rPr>
        <w:t>el </w:t>
      </w:r>
      <w:r>
        <w:rPr/>
        <w:t>monitoreo de la calidad del aire </w:t>
      </w:r>
      <w:r>
        <w:rPr>
          <w:spacing w:val="-3"/>
        </w:rPr>
        <w:t>en </w:t>
      </w:r>
      <w:r>
        <w:rPr/>
        <w:t>zonas urbanas. Los efectos ambientales generados por las PM se manifiestan </w:t>
      </w:r>
      <w:r>
        <w:rPr>
          <w:spacing w:val="-3"/>
        </w:rPr>
        <w:t>en </w:t>
      </w:r>
      <w:r>
        <w:rPr/>
        <w:t>la disminución de la visibilidad, la interferencia </w:t>
      </w:r>
      <w:r>
        <w:rPr>
          <w:spacing w:val="-3"/>
        </w:rPr>
        <w:t>en el </w:t>
      </w:r>
      <w:r>
        <w:rPr/>
        <w:t>funcionamiento de los ciclos químicos y los nutrientes </w:t>
      </w:r>
      <w:r>
        <w:rPr>
          <w:spacing w:val="-3"/>
        </w:rPr>
        <w:t>en </w:t>
      </w:r>
      <w:r>
        <w:rPr/>
        <w:t>los suelos y aguas superficiales, y con ello su capacidad </w:t>
      </w:r>
      <w:r>
        <w:rPr>
          <w:spacing w:val="5"/>
        </w:rPr>
        <w:t>de </w:t>
      </w:r>
      <w:r>
        <w:rPr/>
        <w:t>amortiguamiento, por otro lado afectan </w:t>
      </w:r>
      <w:r>
        <w:rPr>
          <w:spacing w:val="-3"/>
        </w:rPr>
        <w:t>el </w:t>
      </w:r>
      <w:r>
        <w:rPr/>
        <w:t>metabolismo y la superficie foliar de las plantas (Martuzzi </w:t>
      </w:r>
      <w:r>
        <w:rPr>
          <w:spacing w:val="-3"/>
        </w:rPr>
        <w:t>et </w:t>
      </w:r>
      <w:r>
        <w:rPr/>
        <w:t>al., </w:t>
      </w:r>
      <w:r>
        <w:rPr>
          <w:spacing w:val="2"/>
        </w:rPr>
        <w:t>2006). </w:t>
      </w:r>
      <w:r>
        <w:rPr/>
        <w:t>En la figura 1 se presenta un comparativo de entre </w:t>
      </w:r>
      <w:r>
        <w:rPr>
          <w:spacing w:val="-3"/>
        </w:rPr>
        <w:t>el </w:t>
      </w:r>
      <w:r>
        <w:rPr/>
        <w:t>tamaño </w:t>
      </w:r>
      <w:r>
        <w:rPr>
          <w:spacing w:val="5"/>
        </w:rPr>
        <w:t>de </w:t>
      </w:r>
      <w:r>
        <w:rPr/>
        <w:t>un cabello humano y las PM</w:t>
      </w:r>
      <w:r>
        <w:rPr>
          <w:position w:val="-2"/>
          <w:sz w:val="16"/>
        </w:rPr>
        <w:t>10 </w:t>
      </w:r>
      <w:r>
        <w:rPr/>
        <w:t>y</w:t>
      </w:r>
      <w:r>
        <w:rPr>
          <w:spacing w:val="-8"/>
        </w:rPr>
        <w:t> </w:t>
      </w:r>
      <w:r>
        <w:rPr/>
        <w:t>PM</w:t>
      </w:r>
      <w:r>
        <w:rPr>
          <w:position w:val="-2"/>
          <w:sz w:val="16"/>
        </w:rPr>
        <w:t>2.5</w:t>
      </w:r>
      <w:r>
        <w:rPr/>
        <w:t>.</w:t>
      </w:r>
    </w:p>
    <w:p>
      <w:pPr>
        <w:pStyle w:val="BodyText"/>
        <w:spacing w:before="2"/>
        <w:rPr>
          <w:sz w:val="23"/>
        </w:rPr>
      </w:pPr>
    </w:p>
    <w:p>
      <w:pPr>
        <w:pStyle w:val="BodyText"/>
        <w:spacing w:after="4"/>
        <w:ind w:left="283" w:right="302"/>
        <w:jc w:val="center"/>
      </w:pPr>
      <w:r>
        <w:rPr/>
        <w:t>Figura 1 comparativo entre cabello humano y PM10 y PM2.5</w:t>
      </w:r>
    </w:p>
    <w:p>
      <w:pPr>
        <w:pStyle w:val="BodyText"/>
        <w:ind w:left="2030"/>
        <w:rPr>
          <w:sz w:val="20"/>
        </w:rPr>
      </w:pPr>
      <w:r>
        <w:rPr>
          <w:sz w:val="20"/>
        </w:rPr>
        <w:drawing>
          <wp:inline distT="0" distB="0" distL="0" distR="0">
            <wp:extent cx="3136788" cy="2193131"/>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4" cstate="print"/>
                    <a:stretch>
                      <a:fillRect/>
                    </a:stretch>
                  </pic:blipFill>
                  <pic:spPr>
                    <a:xfrm>
                      <a:off x="0" y="0"/>
                      <a:ext cx="3136788" cy="2193131"/>
                    </a:xfrm>
                    <a:prstGeom prst="rect">
                      <a:avLst/>
                    </a:prstGeom>
                  </pic:spPr>
                </pic:pic>
              </a:graphicData>
            </a:graphic>
          </wp:inline>
        </w:drawing>
      </w:r>
      <w:r>
        <w:rPr>
          <w:sz w:val="20"/>
        </w:rPr>
      </w:r>
    </w:p>
    <w:p>
      <w:pPr>
        <w:pStyle w:val="BodyText"/>
        <w:spacing w:before="28"/>
        <w:ind w:left="288" w:right="302"/>
        <w:jc w:val="center"/>
      </w:pPr>
      <w:r>
        <w:rPr/>
        <w:t>Fuente: (M. Flores &amp; Shukula, 2011)</w:t>
      </w:r>
    </w:p>
    <w:p>
      <w:pPr>
        <w:spacing w:after="0"/>
        <w:jc w:val="center"/>
        <w:sectPr>
          <w:pgSz w:w="12240" w:h="15840"/>
          <w:pgMar w:header="0" w:footer="1001" w:top="1360" w:bottom="1200" w:left="1600" w:right="1580"/>
        </w:sectPr>
      </w:pPr>
    </w:p>
    <w:p>
      <w:pPr>
        <w:pStyle w:val="BodyText"/>
        <w:spacing w:line="360" w:lineRule="auto" w:before="48"/>
        <w:ind w:left="105" w:right="116"/>
        <w:jc w:val="both"/>
      </w:pPr>
      <w:r>
        <w:rPr/>
        <w:t>Del mismo modo, las PM derivadas de metales pesados contienen componentes tóxicos los cuales se depositan en los cuerpos de agua afectando las condiciones hídricas de las cuencas y generando daños adversos a la fauna. Las partículas dispersan la luz visible disminuyendo así la visibilidad, pues modifican el balance de energía que genera el sol, a través de la dispersión y absorción, por lo que se reduce la radiación solar, generando cambios concomitantes en la temperatura ambiental y afectando la velocidad biológica de crecimiento de las plantas (Janssen et al., 2013).</w:t>
      </w:r>
    </w:p>
    <w:p>
      <w:pPr>
        <w:pStyle w:val="BodyText"/>
        <w:spacing w:before="10"/>
      </w:pPr>
    </w:p>
    <w:p>
      <w:pPr>
        <w:pStyle w:val="BodyText"/>
        <w:spacing w:line="360" w:lineRule="auto"/>
        <w:ind w:left="105" w:right="110"/>
        <w:jc w:val="both"/>
      </w:pPr>
      <w:r>
        <w:rPr/>
        <w:t>La contaminación por partículas PM10 puede causar el deterioro de la función respiratoria a corto plazo, en el largo plazo contribuyen a enfermedades crónicas, cáncer y la muerte prematura dado que pueden penetrar en las cavidades pulmonares sin ser captadas por la acción de limpieza natural del sistema (Quadri, 1992). En la salud se ha observado que la exposición continúa partículas se encuentra ligada con el aumento en la mortalidad y morbilidad en las zonas urbanas, e incluso en ciudades con concentraciones por debajo de los límites permisibles.</w:t>
      </w:r>
    </w:p>
    <w:p>
      <w:pPr>
        <w:pStyle w:val="BodyText"/>
        <w:spacing w:before="1"/>
        <w:rPr>
          <w:sz w:val="25"/>
        </w:rPr>
      </w:pPr>
    </w:p>
    <w:p>
      <w:pPr>
        <w:pStyle w:val="Heading2"/>
        <w:numPr>
          <w:ilvl w:val="1"/>
          <w:numId w:val="6"/>
        </w:numPr>
        <w:tabs>
          <w:tab w:pos="538" w:val="left" w:leader="none"/>
        </w:tabs>
        <w:spacing w:line="240" w:lineRule="auto" w:before="0" w:after="0"/>
        <w:ind w:left="537" w:right="0" w:hanging="432"/>
        <w:jc w:val="both"/>
        <w:rPr>
          <w:color w:val="4F81BC"/>
        </w:rPr>
      </w:pPr>
      <w:bookmarkStart w:name="_bookmark16" w:id="25"/>
      <w:bookmarkEnd w:id="25"/>
      <w:r>
        <w:rPr>
          <w:b w:val="0"/>
        </w:rPr>
      </w:r>
      <w:bookmarkStart w:name="_bookmark16" w:id="26"/>
      <w:bookmarkEnd w:id="26"/>
      <w:r>
        <w:rPr>
          <w:color w:val="4F81BC"/>
          <w:spacing w:val="-3"/>
        </w:rPr>
        <w:t>M</w:t>
      </w:r>
      <w:r>
        <w:rPr>
          <w:color w:val="4F81BC"/>
          <w:spacing w:val="-3"/>
        </w:rPr>
        <w:t>arco</w:t>
      </w:r>
      <w:r>
        <w:rPr>
          <w:color w:val="4F81BC"/>
          <w:spacing w:val="33"/>
        </w:rPr>
        <w:t> </w:t>
      </w:r>
      <w:r>
        <w:rPr>
          <w:color w:val="4F81BC"/>
          <w:spacing w:val="-3"/>
        </w:rPr>
        <w:t>Jurídico</w:t>
      </w:r>
    </w:p>
    <w:p>
      <w:pPr>
        <w:pStyle w:val="BodyText"/>
        <w:spacing w:before="8"/>
        <w:rPr>
          <w:rFonts w:ascii="Cambria"/>
          <w:b/>
          <w:sz w:val="27"/>
        </w:rPr>
      </w:pPr>
    </w:p>
    <w:p>
      <w:pPr>
        <w:pStyle w:val="BodyText"/>
        <w:spacing w:line="362" w:lineRule="auto"/>
        <w:ind w:left="105" w:right="111"/>
        <w:jc w:val="both"/>
      </w:pPr>
      <w:r>
        <w:rPr/>
        <w:t>La política ambiental en México tiene como fundamento la constitución política de los Estados Unidos Mexicanos, los elementos de mayor relevancia son:</w:t>
      </w:r>
    </w:p>
    <w:p>
      <w:pPr>
        <w:pStyle w:val="BodyText"/>
        <w:spacing w:before="3"/>
      </w:pPr>
    </w:p>
    <w:p>
      <w:pPr>
        <w:pStyle w:val="ListParagraph"/>
        <w:numPr>
          <w:ilvl w:val="0"/>
          <w:numId w:val="9"/>
        </w:numPr>
        <w:tabs>
          <w:tab w:pos="826" w:val="left" w:leader="none"/>
        </w:tabs>
        <w:spacing w:line="355" w:lineRule="auto" w:before="0" w:after="0"/>
        <w:ind w:left="825" w:right="124" w:hanging="360"/>
        <w:jc w:val="both"/>
        <w:rPr>
          <w:rFonts w:ascii="Symbol" w:hAnsi="Symbol"/>
          <w:sz w:val="22"/>
        </w:rPr>
      </w:pPr>
      <w:r>
        <w:rPr>
          <w:sz w:val="22"/>
        </w:rPr>
        <w:t>Artículo </w:t>
      </w:r>
      <w:r>
        <w:rPr>
          <w:spacing w:val="-3"/>
          <w:sz w:val="22"/>
        </w:rPr>
        <w:t>4. </w:t>
      </w:r>
      <w:r>
        <w:rPr>
          <w:sz w:val="22"/>
        </w:rPr>
        <w:t>Reconoce </w:t>
      </w:r>
      <w:r>
        <w:rPr>
          <w:spacing w:val="-3"/>
          <w:sz w:val="22"/>
        </w:rPr>
        <w:t>el </w:t>
      </w:r>
      <w:r>
        <w:rPr>
          <w:sz w:val="22"/>
        </w:rPr>
        <w:t>derecho de toda persona a </w:t>
      </w:r>
      <w:r>
        <w:rPr>
          <w:spacing w:val="-3"/>
          <w:sz w:val="22"/>
        </w:rPr>
        <w:t>un </w:t>
      </w:r>
      <w:r>
        <w:rPr>
          <w:sz w:val="22"/>
        </w:rPr>
        <w:t>ambiente digno y la protección de la</w:t>
      </w:r>
      <w:r>
        <w:rPr>
          <w:spacing w:val="16"/>
          <w:sz w:val="22"/>
        </w:rPr>
        <w:t> </w:t>
      </w:r>
      <w:r>
        <w:rPr>
          <w:spacing w:val="-3"/>
          <w:sz w:val="22"/>
        </w:rPr>
        <w:t>salud.</w:t>
      </w:r>
    </w:p>
    <w:p>
      <w:pPr>
        <w:pStyle w:val="ListParagraph"/>
        <w:numPr>
          <w:ilvl w:val="0"/>
          <w:numId w:val="9"/>
        </w:numPr>
        <w:tabs>
          <w:tab w:pos="826" w:val="left" w:leader="none"/>
        </w:tabs>
        <w:spacing w:line="348" w:lineRule="auto" w:before="6" w:after="0"/>
        <w:ind w:left="825" w:right="118" w:hanging="360"/>
        <w:jc w:val="both"/>
        <w:rPr>
          <w:rFonts w:ascii="Symbol" w:hAnsi="Symbol"/>
          <w:sz w:val="22"/>
        </w:rPr>
      </w:pPr>
      <w:r>
        <w:rPr>
          <w:sz w:val="22"/>
        </w:rPr>
        <w:t>Artículo 25. </w:t>
      </w:r>
      <w:r>
        <w:rPr>
          <w:spacing w:val="-4"/>
          <w:sz w:val="22"/>
        </w:rPr>
        <w:t>Promueve </w:t>
      </w:r>
      <w:r>
        <w:rPr>
          <w:spacing w:val="-3"/>
          <w:sz w:val="22"/>
        </w:rPr>
        <w:t>el </w:t>
      </w:r>
      <w:r>
        <w:rPr>
          <w:sz w:val="22"/>
        </w:rPr>
        <w:t>desarrollo sustentable de la economía y la protección </w:t>
      </w:r>
      <w:r>
        <w:rPr>
          <w:spacing w:val="-3"/>
          <w:sz w:val="22"/>
        </w:rPr>
        <w:t>al </w:t>
      </w:r>
      <w:r>
        <w:rPr>
          <w:sz w:val="22"/>
        </w:rPr>
        <w:t>ambiente.</w:t>
      </w:r>
    </w:p>
    <w:p>
      <w:pPr>
        <w:pStyle w:val="ListParagraph"/>
        <w:numPr>
          <w:ilvl w:val="0"/>
          <w:numId w:val="9"/>
        </w:numPr>
        <w:tabs>
          <w:tab w:pos="826" w:val="left" w:leader="none"/>
        </w:tabs>
        <w:spacing w:line="355" w:lineRule="auto" w:before="21" w:after="0"/>
        <w:ind w:left="825" w:right="112" w:hanging="360"/>
        <w:jc w:val="both"/>
        <w:rPr>
          <w:rFonts w:ascii="Symbol" w:hAnsi="Symbol"/>
          <w:sz w:val="22"/>
        </w:rPr>
      </w:pPr>
      <w:r>
        <w:rPr>
          <w:sz w:val="22"/>
        </w:rPr>
        <w:t>Artículo 26. Asigna </w:t>
      </w:r>
      <w:r>
        <w:rPr>
          <w:spacing w:val="-3"/>
          <w:sz w:val="22"/>
        </w:rPr>
        <w:t>las </w:t>
      </w:r>
      <w:r>
        <w:rPr>
          <w:sz w:val="22"/>
        </w:rPr>
        <w:t>competencias a </w:t>
      </w:r>
      <w:r>
        <w:rPr>
          <w:spacing w:val="-3"/>
          <w:sz w:val="22"/>
        </w:rPr>
        <w:t>los niveles Federal, </w:t>
      </w:r>
      <w:r>
        <w:rPr>
          <w:sz w:val="22"/>
        </w:rPr>
        <w:t>Estatal y Municipal,  para </w:t>
      </w:r>
      <w:r>
        <w:rPr>
          <w:spacing w:val="-3"/>
          <w:sz w:val="22"/>
        </w:rPr>
        <w:t>el </w:t>
      </w:r>
      <w:r>
        <w:rPr>
          <w:sz w:val="22"/>
        </w:rPr>
        <w:t>desarrollo y conservación </w:t>
      </w:r>
      <w:r>
        <w:rPr>
          <w:spacing w:val="3"/>
          <w:sz w:val="22"/>
        </w:rPr>
        <w:t>de </w:t>
      </w:r>
      <w:r>
        <w:rPr>
          <w:spacing w:val="-3"/>
          <w:sz w:val="22"/>
        </w:rPr>
        <w:t>los </w:t>
      </w:r>
      <w:r>
        <w:rPr>
          <w:sz w:val="22"/>
        </w:rPr>
        <w:t>recursos naturales y para lograr </w:t>
      </w:r>
      <w:r>
        <w:rPr>
          <w:spacing w:val="-3"/>
          <w:sz w:val="22"/>
        </w:rPr>
        <w:t>el desarrollo </w:t>
      </w:r>
      <w:r>
        <w:rPr>
          <w:sz w:val="22"/>
        </w:rPr>
        <w:t>sustentable del</w:t>
      </w:r>
      <w:r>
        <w:rPr>
          <w:spacing w:val="35"/>
          <w:sz w:val="22"/>
        </w:rPr>
        <w:t> </w:t>
      </w:r>
      <w:r>
        <w:rPr>
          <w:sz w:val="22"/>
        </w:rPr>
        <w:t>país.</w:t>
      </w:r>
    </w:p>
    <w:p>
      <w:pPr>
        <w:pStyle w:val="ListParagraph"/>
        <w:numPr>
          <w:ilvl w:val="0"/>
          <w:numId w:val="9"/>
        </w:numPr>
        <w:tabs>
          <w:tab w:pos="826" w:val="left" w:leader="none"/>
        </w:tabs>
        <w:spacing w:line="355" w:lineRule="auto" w:before="6" w:after="0"/>
        <w:ind w:left="825" w:right="110" w:hanging="360"/>
        <w:jc w:val="both"/>
        <w:rPr>
          <w:rFonts w:ascii="Symbol" w:hAnsi="Symbol"/>
          <w:sz w:val="22"/>
        </w:rPr>
      </w:pPr>
      <w:r>
        <w:rPr>
          <w:sz w:val="22"/>
        </w:rPr>
        <w:t>Artículo 73. Faculta a </w:t>
      </w:r>
      <w:r>
        <w:rPr>
          <w:spacing w:val="-3"/>
          <w:sz w:val="22"/>
        </w:rPr>
        <w:t>los niveles Federal, Estatal </w:t>
      </w:r>
      <w:r>
        <w:rPr>
          <w:sz w:val="22"/>
        </w:rPr>
        <w:t>y </w:t>
      </w:r>
      <w:r>
        <w:rPr>
          <w:spacing w:val="-3"/>
          <w:sz w:val="22"/>
        </w:rPr>
        <w:t>Municipal, </w:t>
      </w:r>
      <w:r>
        <w:rPr>
          <w:sz w:val="22"/>
        </w:rPr>
        <w:t>para </w:t>
      </w:r>
      <w:r>
        <w:rPr>
          <w:spacing w:val="-3"/>
          <w:sz w:val="22"/>
        </w:rPr>
        <w:t>expedir </w:t>
      </w:r>
      <w:r>
        <w:rPr>
          <w:spacing w:val="-5"/>
          <w:sz w:val="22"/>
        </w:rPr>
        <w:t>leyes </w:t>
      </w:r>
      <w:r>
        <w:rPr>
          <w:sz w:val="22"/>
        </w:rPr>
        <w:t>y reglamentos para la protección, preservación y </w:t>
      </w:r>
      <w:r>
        <w:rPr>
          <w:spacing w:val="-2"/>
          <w:sz w:val="22"/>
        </w:rPr>
        <w:t>restauración </w:t>
      </w:r>
      <w:r>
        <w:rPr>
          <w:spacing w:val="-3"/>
          <w:sz w:val="22"/>
        </w:rPr>
        <w:t>ambiental </w:t>
      </w:r>
      <w:r>
        <w:rPr>
          <w:sz w:val="22"/>
        </w:rPr>
        <w:t>del  equilibrio</w:t>
      </w:r>
      <w:r>
        <w:rPr>
          <w:spacing w:val="6"/>
          <w:sz w:val="22"/>
        </w:rPr>
        <w:t> </w:t>
      </w:r>
      <w:r>
        <w:rPr>
          <w:sz w:val="22"/>
        </w:rPr>
        <w:t>ecológico.</w:t>
      </w:r>
    </w:p>
    <w:p>
      <w:pPr>
        <w:spacing w:after="0" w:line="355" w:lineRule="auto"/>
        <w:jc w:val="both"/>
        <w:rPr>
          <w:rFonts w:ascii="Symbol" w:hAnsi="Symbol"/>
          <w:sz w:val="22"/>
        </w:rPr>
        <w:sectPr>
          <w:pgSz w:w="12240" w:h="15840"/>
          <w:pgMar w:header="0" w:footer="1001" w:top="1360" w:bottom="1200" w:left="1600" w:right="1580"/>
        </w:sectPr>
      </w:pPr>
    </w:p>
    <w:p>
      <w:pPr>
        <w:spacing w:line="360" w:lineRule="auto" w:before="50"/>
        <w:ind w:left="105" w:right="107" w:firstLine="0"/>
        <w:jc w:val="both"/>
        <w:rPr>
          <w:sz w:val="22"/>
        </w:rPr>
      </w:pPr>
      <w:r>
        <w:rPr>
          <w:sz w:val="22"/>
        </w:rPr>
        <w:t>De estos fundamentos constitucionales </w:t>
      </w:r>
      <w:r>
        <w:rPr>
          <w:spacing w:val="-3"/>
          <w:sz w:val="22"/>
        </w:rPr>
        <w:t>derivan las </w:t>
      </w:r>
      <w:r>
        <w:rPr>
          <w:spacing w:val="-4"/>
          <w:sz w:val="22"/>
        </w:rPr>
        <w:t>leyes, </w:t>
      </w:r>
      <w:r>
        <w:rPr>
          <w:sz w:val="22"/>
        </w:rPr>
        <w:t>reglamentos y </w:t>
      </w:r>
      <w:r>
        <w:rPr>
          <w:spacing w:val="-4"/>
          <w:sz w:val="22"/>
        </w:rPr>
        <w:t>normas </w:t>
      </w:r>
      <w:r>
        <w:rPr>
          <w:sz w:val="22"/>
        </w:rPr>
        <w:t>que regulan la </w:t>
      </w:r>
      <w:r>
        <w:rPr>
          <w:spacing w:val="-3"/>
          <w:sz w:val="22"/>
        </w:rPr>
        <w:t>gestión </w:t>
      </w:r>
      <w:r>
        <w:rPr>
          <w:sz w:val="22"/>
        </w:rPr>
        <w:t>de la calidad de </w:t>
      </w:r>
      <w:r>
        <w:rPr>
          <w:spacing w:val="-3"/>
          <w:sz w:val="22"/>
        </w:rPr>
        <w:t>aire en </w:t>
      </w:r>
      <w:r>
        <w:rPr>
          <w:sz w:val="22"/>
        </w:rPr>
        <w:t>cada uno de </w:t>
      </w:r>
      <w:r>
        <w:rPr>
          <w:spacing w:val="-3"/>
          <w:sz w:val="22"/>
        </w:rPr>
        <w:t>los </w:t>
      </w:r>
      <w:r>
        <w:rPr>
          <w:sz w:val="22"/>
        </w:rPr>
        <w:t>tres </w:t>
      </w:r>
      <w:r>
        <w:rPr>
          <w:spacing w:val="-3"/>
          <w:sz w:val="22"/>
        </w:rPr>
        <w:t>niveles  </w:t>
      </w:r>
      <w:r>
        <w:rPr>
          <w:sz w:val="22"/>
        </w:rPr>
        <w:t>de gobierno.  Dichos </w:t>
      </w:r>
      <w:r>
        <w:rPr>
          <w:spacing w:val="-3"/>
          <w:sz w:val="22"/>
        </w:rPr>
        <w:t>instrumentos </w:t>
      </w:r>
      <w:r>
        <w:rPr>
          <w:sz w:val="22"/>
        </w:rPr>
        <w:t>se describen a </w:t>
      </w:r>
      <w:r>
        <w:rPr>
          <w:spacing w:val="3"/>
          <w:sz w:val="22"/>
        </w:rPr>
        <w:t> </w:t>
      </w:r>
      <w:r>
        <w:rPr>
          <w:spacing w:val="-3"/>
          <w:sz w:val="22"/>
        </w:rPr>
        <w:t>continuación.</w:t>
      </w:r>
    </w:p>
    <w:p>
      <w:pPr>
        <w:pStyle w:val="BodyText"/>
        <w:spacing w:before="8"/>
        <w:rPr>
          <w:sz w:val="23"/>
        </w:rPr>
      </w:pPr>
    </w:p>
    <w:p>
      <w:pPr>
        <w:spacing w:before="0"/>
        <w:ind w:left="105" w:right="0" w:firstLine="0"/>
        <w:jc w:val="both"/>
        <w:rPr>
          <w:b/>
          <w:sz w:val="22"/>
        </w:rPr>
      </w:pPr>
      <w:r>
        <w:rPr>
          <w:b/>
          <w:sz w:val="22"/>
        </w:rPr>
        <w:t>Ley General del Equilibrio Ecológico y Protección al  Ambiente</w:t>
      </w:r>
    </w:p>
    <w:p>
      <w:pPr>
        <w:pStyle w:val="BodyText"/>
        <w:rPr>
          <w:b/>
          <w:sz w:val="22"/>
        </w:rPr>
      </w:pPr>
    </w:p>
    <w:p>
      <w:pPr>
        <w:spacing w:line="357" w:lineRule="auto" w:before="166"/>
        <w:ind w:left="105" w:right="109" w:firstLine="0"/>
        <w:jc w:val="both"/>
        <w:rPr>
          <w:sz w:val="22"/>
        </w:rPr>
      </w:pPr>
      <w:r>
        <w:rPr>
          <w:sz w:val="22"/>
        </w:rPr>
        <w:t>La LGEEPA se encuentra dividida en 7 títulos, de los cuatro son de relevancia para ésta investigación:</w:t>
      </w:r>
    </w:p>
    <w:p>
      <w:pPr>
        <w:pStyle w:val="BodyText"/>
        <w:spacing w:before="4"/>
        <w:rPr>
          <w:sz w:val="25"/>
        </w:rPr>
      </w:pPr>
    </w:p>
    <w:p>
      <w:pPr>
        <w:pStyle w:val="ListParagraph"/>
        <w:numPr>
          <w:ilvl w:val="0"/>
          <w:numId w:val="9"/>
        </w:numPr>
        <w:tabs>
          <w:tab w:pos="826" w:val="left" w:leader="none"/>
        </w:tabs>
        <w:spacing w:line="355" w:lineRule="auto" w:before="0" w:after="0"/>
        <w:ind w:left="825" w:right="110" w:hanging="360"/>
        <w:jc w:val="both"/>
        <w:rPr>
          <w:rFonts w:ascii="Symbol" w:hAnsi="Symbol"/>
          <w:sz w:val="22"/>
        </w:rPr>
      </w:pPr>
      <w:r>
        <w:rPr>
          <w:sz w:val="22"/>
        </w:rPr>
        <w:t>Título I </w:t>
      </w:r>
      <w:r>
        <w:rPr>
          <w:spacing w:val="-3"/>
          <w:sz w:val="22"/>
        </w:rPr>
        <w:t>(Disposiciones Generales): </w:t>
      </w:r>
      <w:r>
        <w:rPr>
          <w:sz w:val="22"/>
        </w:rPr>
        <w:t>Concede </w:t>
      </w:r>
      <w:r>
        <w:rPr>
          <w:spacing w:val="-3"/>
          <w:sz w:val="22"/>
        </w:rPr>
        <w:t>autoridad  </w:t>
      </w:r>
      <w:r>
        <w:rPr>
          <w:sz w:val="22"/>
        </w:rPr>
        <w:t>y </w:t>
      </w:r>
      <w:r>
        <w:rPr>
          <w:spacing w:val="-3"/>
          <w:sz w:val="22"/>
        </w:rPr>
        <w:t>establece  </w:t>
      </w:r>
      <w:r>
        <w:rPr>
          <w:sz w:val="22"/>
        </w:rPr>
        <w:t>jurisdicciones  de </w:t>
      </w:r>
      <w:r>
        <w:rPr>
          <w:spacing w:val="-3"/>
          <w:sz w:val="22"/>
        </w:rPr>
        <w:t>los gobiernos </w:t>
      </w:r>
      <w:r>
        <w:rPr>
          <w:spacing w:val="-4"/>
          <w:sz w:val="22"/>
        </w:rPr>
        <w:t>federales </w:t>
      </w:r>
      <w:r>
        <w:rPr>
          <w:sz w:val="22"/>
        </w:rPr>
        <w:t>y estatales, </w:t>
      </w:r>
      <w:r>
        <w:rPr>
          <w:spacing w:val="-3"/>
          <w:sz w:val="22"/>
        </w:rPr>
        <w:t>el </w:t>
      </w:r>
      <w:r>
        <w:rPr>
          <w:sz w:val="22"/>
        </w:rPr>
        <w:t>proceso de evaluación de </w:t>
      </w:r>
      <w:r>
        <w:rPr>
          <w:spacing w:val="-3"/>
          <w:sz w:val="22"/>
        </w:rPr>
        <w:t>impacto </w:t>
      </w:r>
      <w:r>
        <w:rPr>
          <w:sz w:val="22"/>
        </w:rPr>
        <w:t>ambiental (EIA), </w:t>
      </w:r>
      <w:r>
        <w:rPr>
          <w:spacing w:val="-3"/>
          <w:sz w:val="22"/>
        </w:rPr>
        <w:t>el ordenamiento </w:t>
      </w:r>
      <w:r>
        <w:rPr>
          <w:sz w:val="22"/>
        </w:rPr>
        <w:t>ecológico del </w:t>
      </w:r>
      <w:r>
        <w:rPr>
          <w:spacing w:val="-3"/>
          <w:sz w:val="22"/>
        </w:rPr>
        <w:t>territorio </w:t>
      </w:r>
      <w:r>
        <w:rPr>
          <w:sz w:val="22"/>
        </w:rPr>
        <w:t>y </w:t>
      </w:r>
      <w:r>
        <w:rPr>
          <w:spacing w:val="-3"/>
          <w:sz w:val="22"/>
        </w:rPr>
        <w:t>el </w:t>
      </w:r>
      <w:r>
        <w:rPr>
          <w:sz w:val="22"/>
        </w:rPr>
        <w:t>marco de trabajo jurídico para </w:t>
      </w:r>
      <w:r>
        <w:rPr>
          <w:spacing w:val="-3"/>
          <w:sz w:val="22"/>
        </w:rPr>
        <w:t>las Normas Oficiales Mexicanas </w:t>
      </w:r>
      <w:r>
        <w:rPr>
          <w:spacing w:val="23"/>
          <w:sz w:val="22"/>
        </w:rPr>
        <w:t> </w:t>
      </w:r>
      <w:r>
        <w:rPr>
          <w:sz w:val="22"/>
        </w:rPr>
        <w:t>(NOMs);</w:t>
      </w:r>
    </w:p>
    <w:p>
      <w:pPr>
        <w:pStyle w:val="ListParagraph"/>
        <w:numPr>
          <w:ilvl w:val="0"/>
          <w:numId w:val="9"/>
        </w:numPr>
        <w:tabs>
          <w:tab w:pos="826" w:val="left" w:leader="none"/>
        </w:tabs>
        <w:spacing w:line="355" w:lineRule="auto" w:before="6" w:after="0"/>
        <w:ind w:left="825" w:right="102" w:hanging="360"/>
        <w:jc w:val="both"/>
        <w:rPr>
          <w:rFonts w:ascii="Symbol" w:hAnsi="Symbol"/>
          <w:sz w:val="22"/>
        </w:rPr>
      </w:pPr>
      <w:r>
        <w:rPr>
          <w:sz w:val="22"/>
        </w:rPr>
        <w:t>Título IV </w:t>
      </w:r>
      <w:r>
        <w:rPr>
          <w:spacing w:val="-3"/>
          <w:sz w:val="22"/>
        </w:rPr>
        <w:t>(Protección al Ambiente): </w:t>
      </w:r>
      <w:r>
        <w:rPr>
          <w:sz w:val="22"/>
        </w:rPr>
        <w:t>Establece medidas de protección a medios específicos </w:t>
      </w:r>
      <w:r>
        <w:rPr>
          <w:spacing w:val="-3"/>
          <w:sz w:val="22"/>
        </w:rPr>
        <w:t>tales </w:t>
      </w:r>
      <w:r>
        <w:rPr>
          <w:sz w:val="22"/>
        </w:rPr>
        <w:t>como </w:t>
      </w:r>
      <w:r>
        <w:rPr>
          <w:spacing w:val="-3"/>
          <w:sz w:val="22"/>
        </w:rPr>
        <w:t>aire, </w:t>
      </w:r>
      <w:r>
        <w:rPr>
          <w:sz w:val="22"/>
        </w:rPr>
        <w:t>agua y </w:t>
      </w:r>
      <w:r>
        <w:rPr>
          <w:spacing w:val="-3"/>
          <w:sz w:val="22"/>
        </w:rPr>
        <w:t>ecosistemas acuáticos, </w:t>
      </w:r>
      <w:r>
        <w:rPr>
          <w:sz w:val="22"/>
        </w:rPr>
        <w:t>suelos, actividades altamente riesgosas, residuos y </w:t>
      </w:r>
      <w:r>
        <w:rPr>
          <w:spacing w:val="-3"/>
          <w:sz w:val="22"/>
        </w:rPr>
        <w:t>materiales </w:t>
      </w:r>
      <w:r>
        <w:rPr>
          <w:sz w:val="22"/>
        </w:rPr>
        <w:t>peligrosos, energía nuclear, ruido, vibración, energía térmica y </w:t>
      </w:r>
      <w:r>
        <w:rPr>
          <w:spacing w:val="-3"/>
          <w:sz w:val="22"/>
        </w:rPr>
        <w:t>luminosa, </w:t>
      </w:r>
      <w:r>
        <w:rPr>
          <w:spacing w:val="-4"/>
          <w:sz w:val="22"/>
        </w:rPr>
        <w:t>olores </w:t>
      </w:r>
      <w:r>
        <w:rPr>
          <w:sz w:val="22"/>
        </w:rPr>
        <w:t>y </w:t>
      </w:r>
      <w:r>
        <w:rPr>
          <w:spacing w:val="-3"/>
          <w:sz w:val="22"/>
        </w:rPr>
        <w:t>contaminación </w:t>
      </w:r>
      <w:r>
        <w:rPr>
          <w:spacing w:val="42"/>
          <w:sz w:val="22"/>
        </w:rPr>
        <w:t> </w:t>
      </w:r>
      <w:r>
        <w:rPr>
          <w:spacing w:val="-3"/>
          <w:sz w:val="22"/>
        </w:rPr>
        <w:t>visual;</w:t>
      </w:r>
    </w:p>
    <w:p>
      <w:pPr>
        <w:pStyle w:val="ListParagraph"/>
        <w:numPr>
          <w:ilvl w:val="0"/>
          <w:numId w:val="9"/>
        </w:numPr>
        <w:tabs>
          <w:tab w:pos="826" w:val="left" w:leader="none"/>
        </w:tabs>
        <w:spacing w:line="357" w:lineRule="auto" w:before="14" w:after="0"/>
        <w:ind w:left="825" w:right="112" w:hanging="360"/>
        <w:jc w:val="both"/>
        <w:rPr>
          <w:rFonts w:ascii="Symbol" w:hAnsi="Symbol"/>
          <w:sz w:val="22"/>
        </w:rPr>
      </w:pPr>
      <w:r>
        <w:rPr>
          <w:sz w:val="22"/>
        </w:rPr>
        <w:t>Título V </w:t>
      </w:r>
      <w:r>
        <w:rPr>
          <w:spacing w:val="-3"/>
          <w:sz w:val="22"/>
        </w:rPr>
        <w:t>(Participación </w:t>
      </w:r>
      <w:r>
        <w:rPr>
          <w:sz w:val="22"/>
        </w:rPr>
        <w:t>Social): </w:t>
      </w:r>
      <w:r>
        <w:rPr>
          <w:spacing w:val="-3"/>
          <w:sz w:val="22"/>
        </w:rPr>
        <w:t>Describe </w:t>
      </w:r>
      <w:r>
        <w:rPr>
          <w:sz w:val="22"/>
        </w:rPr>
        <w:t>políticas que </w:t>
      </w:r>
      <w:r>
        <w:rPr>
          <w:spacing w:val="-3"/>
          <w:sz w:val="22"/>
        </w:rPr>
        <w:t>promueven </w:t>
      </w:r>
      <w:r>
        <w:rPr>
          <w:sz w:val="22"/>
        </w:rPr>
        <w:t>la participación pública </w:t>
      </w:r>
      <w:r>
        <w:rPr>
          <w:spacing w:val="-7"/>
          <w:sz w:val="22"/>
        </w:rPr>
        <w:t>en </w:t>
      </w:r>
      <w:r>
        <w:rPr>
          <w:sz w:val="22"/>
        </w:rPr>
        <w:t>la toma de </w:t>
      </w:r>
      <w:r>
        <w:rPr>
          <w:spacing w:val="-3"/>
          <w:sz w:val="22"/>
        </w:rPr>
        <w:t>decisiones </w:t>
      </w:r>
      <w:r>
        <w:rPr>
          <w:sz w:val="22"/>
        </w:rPr>
        <w:t>y </w:t>
      </w:r>
      <w:r>
        <w:rPr>
          <w:spacing w:val="-3"/>
          <w:sz w:val="22"/>
        </w:rPr>
        <w:t>garantizan el </w:t>
      </w:r>
      <w:r>
        <w:rPr>
          <w:sz w:val="22"/>
        </w:rPr>
        <w:t>derecho a la  </w:t>
      </w:r>
      <w:r>
        <w:rPr>
          <w:spacing w:val="-3"/>
          <w:sz w:val="22"/>
        </w:rPr>
        <w:t>información  </w:t>
      </w:r>
      <w:r>
        <w:rPr>
          <w:sz w:val="22"/>
        </w:rPr>
        <w:t>ambiental; y z Título VI (Inspección, Vigilancia y Sanciones): Establece procedimientos para la inspección </w:t>
      </w:r>
      <w:r>
        <w:rPr>
          <w:spacing w:val="-3"/>
          <w:sz w:val="22"/>
        </w:rPr>
        <w:t>administrativa, </w:t>
      </w:r>
      <w:r>
        <w:rPr>
          <w:sz w:val="22"/>
        </w:rPr>
        <w:t>medidas de </w:t>
      </w:r>
      <w:r>
        <w:rPr>
          <w:spacing w:val="-3"/>
          <w:sz w:val="22"/>
        </w:rPr>
        <w:t>control, </w:t>
      </w:r>
      <w:r>
        <w:rPr>
          <w:sz w:val="22"/>
        </w:rPr>
        <w:t>acciones de aplicación de la </w:t>
      </w:r>
      <w:r>
        <w:rPr>
          <w:spacing w:val="-3"/>
          <w:sz w:val="22"/>
        </w:rPr>
        <w:t>ley </w:t>
      </w:r>
      <w:r>
        <w:rPr>
          <w:sz w:val="22"/>
        </w:rPr>
        <w:t>y la aplicación de </w:t>
      </w:r>
      <w:r>
        <w:rPr>
          <w:spacing w:val="-3"/>
          <w:sz w:val="22"/>
        </w:rPr>
        <w:t>sanciones </w:t>
      </w:r>
      <w:r>
        <w:rPr>
          <w:sz w:val="22"/>
        </w:rPr>
        <w:t>y apelaciones, crímenes </w:t>
      </w:r>
      <w:r>
        <w:rPr>
          <w:spacing w:val="-4"/>
          <w:sz w:val="22"/>
        </w:rPr>
        <w:t>federales </w:t>
      </w:r>
      <w:r>
        <w:rPr>
          <w:sz w:val="22"/>
        </w:rPr>
        <w:t>y un sistema para denuncias de la</w:t>
      </w:r>
      <w:r>
        <w:rPr>
          <w:spacing w:val="27"/>
          <w:sz w:val="22"/>
        </w:rPr>
        <w:t> </w:t>
      </w:r>
      <w:r>
        <w:rPr>
          <w:spacing w:val="-3"/>
          <w:sz w:val="22"/>
        </w:rPr>
        <w:t>sociedad.</w:t>
      </w:r>
    </w:p>
    <w:p>
      <w:pPr>
        <w:pStyle w:val="BodyText"/>
        <w:spacing w:before="6"/>
      </w:pPr>
    </w:p>
    <w:p>
      <w:pPr>
        <w:spacing w:line="360" w:lineRule="auto" w:before="0"/>
        <w:ind w:left="105" w:right="103" w:firstLine="0"/>
        <w:jc w:val="both"/>
        <w:rPr>
          <w:sz w:val="22"/>
        </w:rPr>
      </w:pPr>
      <w:r>
        <w:rPr>
          <w:sz w:val="22"/>
        </w:rPr>
        <w:t>En el título IV, capítulo II, se establece el marco jurídico para la prevención y control de la contaminación atmosférica, a partir del cual en complemento con lo estipulado en la LGEEPA, se deriva el Reglamento de la Ley General del Equilibrio Ecológico y Protección al ambiente en materia de Prevención y Control de la Contaminación Atmosférica. El cual define las fuentes y las, así como las competencias del nivel, Federal, Estatal y Municipal, en función de fuentes de emisiones, así como las medidas de control, seguridad y sanciones.</w:t>
      </w:r>
    </w:p>
    <w:p>
      <w:pPr>
        <w:spacing w:after="0" w:line="360" w:lineRule="auto"/>
        <w:jc w:val="both"/>
        <w:rPr>
          <w:sz w:val="22"/>
        </w:rPr>
        <w:sectPr>
          <w:pgSz w:w="12240" w:h="15840"/>
          <w:pgMar w:header="0" w:footer="1001" w:top="1360" w:bottom="1200" w:left="1600" w:right="1580"/>
        </w:sectPr>
      </w:pPr>
    </w:p>
    <w:p>
      <w:pPr>
        <w:spacing w:before="62"/>
        <w:ind w:left="105" w:right="0" w:firstLine="0"/>
        <w:jc w:val="both"/>
        <w:rPr>
          <w:b/>
          <w:sz w:val="22"/>
        </w:rPr>
      </w:pPr>
      <w:r>
        <w:rPr>
          <w:b/>
          <w:sz w:val="22"/>
        </w:rPr>
        <w:t>Normas Oficiales Mexicanas</w:t>
      </w:r>
    </w:p>
    <w:p>
      <w:pPr>
        <w:pStyle w:val="BodyText"/>
        <w:rPr>
          <w:b/>
          <w:sz w:val="22"/>
        </w:rPr>
      </w:pPr>
    </w:p>
    <w:p>
      <w:pPr>
        <w:spacing w:line="360" w:lineRule="auto" w:before="166"/>
        <w:ind w:left="105" w:right="117" w:firstLine="0"/>
        <w:jc w:val="both"/>
        <w:rPr>
          <w:sz w:val="22"/>
        </w:rPr>
      </w:pPr>
      <w:r>
        <w:rPr>
          <w:sz w:val="22"/>
        </w:rPr>
        <w:t>La </w:t>
      </w:r>
      <w:r>
        <w:rPr>
          <w:spacing w:val="-3"/>
          <w:sz w:val="22"/>
        </w:rPr>
        <w:t>entidad reguladora </w:t>
      </w:r>
      <w:r>
        <w:rPr>
          <w:sz w:val="22"/>
        </w:rPr>
        <w:t>de la política </w:t>
      </w:r>
      <w:r>
        <w:rPr>
          <w:spacing w:val="-3"/>
          <w:sz w:val="22"/>
        </w:rPr>
        <w:t>ambiental </w:t>
      </w:r>
      <w:r>
        <w:rPr>
          <w:spacing w:val="-7"/>
          <w:sz w:val="22"/>
        </w:rPr>
        <w:t>en </w:t>
      </w:r>
      <w:r>
        <w:rPr>
          <w:sz w:val="22"/>
        </w:rPr>
        <w:t>nuestro país, </w:t>
      </w:r>
      <w:r>
        <w:rPr>
          <w:spacing w:val="-3"/>
          <w:sz w:val="22"/>
        </w:rPr>
        <w:t>recae en </w:t>
      </w:r>
      <w:r>
        <w:rPr>
          <w:sz w:val="22"/>
        </w:rPr>
        <w:t>la </w:t>
      </w:r>
      <w:r>
        <w:rPr>
          <w:spacing w:val="-3"/>
          <w:sz w:val="22"/>
        </w:rPr>
        <w:t>Secretaría </w:t>
      </w:r>
      <w:r>
        <w:rPr>
          <w:sz w:val="22"/>
        </w:rPr>
        <w:t>de Medio Ambiente y Recursos Naturales </w:t>
      </w:r>
      <w:r>
        <w:rPr>
          <w:spacing w:val="-3"/>
          <w:sz w:val="22"/>
        </w:rPr>
        <w:t>(SEMARNAT), </w:t>
      </w:r>
      <w:r>
        <w:rPr>
          <w:sz w:val="22"/>
        </w:rPr>
        <w:t>Las </w:t>
      </w:r>
      <w:r>
        <w:rPr>
          <w:spacing w:val="-3"/>
          <w:sz w:val="22"/>
        </w:rPr>
        <w:t>Normas Oficiales </w:t>
      </w:r>
      <w:r>
        <w:rPr>
          <w:sz w:val="22"/>
        </w:rPr>
        <w:t>Mexicanas </w:t>
      </w:r>
      <w:r>
        <w:rPr>
          <w:b/>
          <w:sz w:val="22"/>
        </w:rPr>
        <w:t>(NOM)</w:t>
      </w:r>
      <w:r>
        <w:rPr>
          <w:sz w:val="22"/>
        </w:rPr>
        <w:t>, </w:t>
      </w:r>
      <w:r>
        <w:rPr>
          <w:spacing w:val="-4"/>
          <w:sz w:val="22"/>
        </w:rPr>
        <w:t>sin </w:t>
      </w:r>
      <w:r>
        <w:rPr>
          <w:spacing w:val="-3"/>
          <w:sz w:val="22"/>
        </w:rPr>
        <w:t>embargo </w:t>
      </w:r>
      <w:r>
        <w:rPr>
          <w:sz w:val="22"/>
        </w:rPr>
        <w:t>la calidad del </w:t>
      </w:r>
      <w:r>
        <w:rPr>
          <w:spacing w:val="-3"/>
          <w:sz w:val="22"/>
        </w:rPr>
        <w:t>aire también es jurisdicción </w:t>
      </w:r>
      <w:r>
        <w:rPr>
          <w:sz w:val="22"/>
        </w:rPr>
        <w:t>de la Secretaría </w:t>
      </w:r>
      <w:r>
        <w:rPr>
          <w:spacing w:val="-3"/>
          <w:sz w:val="22"/>
        </w:rPr>
        <w:t>de </w:t>
      </w:r>
      <w:r>
        <w:rPr>
          <w:sz w:val="22"/>
        </w:rPr>
        <w:t>Salud (SS) </w:t>
      </w:r>
      <w:r>
        <w:rPr>
          <w:spacing w:val="-4"/>
          <w:sz w:val="22"/>
        </w:rPr>
        <w:t>ambas </w:t>
      </w:r>
      <w:r>
        <w:rPr>
          <w:spacing w:val="-3"/>
          <w:sz w:val="22"/>
        </w:rPr>
        <w:t>entidades, establecen normas enfocadas </w:t>
      </w:r>
      <w:r>
        <w:rPr>
          <w:sz w:val="22"/>
        </w:rPr>
        <w:t>a la </w:t>
      </w:r>
      <w:r>
        <w:rPr>
          <w:spacing w:val="-3"/>
          <w:sz w:val="22"/>
        </w:rPr>
        <w:t>regulación </w:t>
      </w:r>
      <w:r>
        <w:rPr>
          <w:sz w:val="22"/>
        </w:rPr>
        <w:t>de la </w:t>
      </w:r>
      <w:r>
        <w:rPr>
          <w:spacing w:val="-3"/>
          <w:sz w:val="22"/>
        </w:rPr>
        <w:t>calidad </w:t>
      </w:r>
      <w:r>
        <w:rPr>
          <w:sz w:val="22"/>
        </w:rPr>
        <w:t>del </w:t>
      </w:r>
      <w:r>
        <w:rPr>
          <w:spacing w:val="-3"/>
          <w:sz w:val="22"/>
        </w:rPr>
        <w:t>aire   </w:t>
      </w:r>
      <w:r>
        <w:rPr>
          <w:sz w:val="22"/>
        </w:rPr>
        <w:t>y la protección de la</w:t>
      </w:r>
      <w:r>
        <w:rPr>
          <w:spacing w:val="-1"/>
          <w:sz w:val="22"/>
        </w:rPr>
        <w:t> </w:t>
      </w:r>
      <w:r>
        <w:rPr>
          <w:sz w:val="22"/>
        </w:rPr>
        <w:t>población.</w:t>
      </w:r>
    </w:p>
    <w:p>
      <w:pPr>
        <w:pStyle w:val="BodyText"/>
        <w:rPr>
          <w:sz w:val="25"/>
        </w:rPr>
      </w:pPr>
    </w:p>
    <w:p>
      <w:pPr>
        <w:spacing w:before="0"/>
        <w:ind w:left="105" w:right="0" w:firstLine="0"/>
        <w:jc w:val="both"/>
        <w:rPr>
          <w:sz w:val="22"/>
        </w:rPr>
      </w:pPr>
      <w:r>
        <w:rPr>
          <w:sz w:val="22"/>
        </w:rPr>
        <w:t>En el caso de la SEMARNAT, las normas vigentes en materia de PM10   son:</w:t>
      </w:r>
    </w:p>
    <w:p>
      <w:pPr>
        <w:pStyle w:val="BodyText"/>
        <w:rPr>
          <w:sz w:val="22"/>
        </w:rPr>
      </w:pPr>
    </w:p>
    <w:p>
      <w:pPr>
        <w:pStyle w:val="ListParagraph"/>
        <w:numPr>
          <w:ilvl w:val="0"/>
          <w:numId w:val="9"/>
        </w:numPr>
        <w:tabs>
          <w:tab w:pos="825" w:val="left" w:leader="none"/>
          <w:tab w:pos="826" w:val="left" w:leader="none"/>
        </w:tabs>
        <w:spacing w:line="240" w:lineRule="auto" w:before="147" w:after="0"/>
        <w:ind w:left="825" w:right="0" w:hanging="360"/>
        <w:jc w:val="left"/>
        <w:rPr>
          <w:rFonts w:ascii="Symbol"/>
          <w:sz w:val="24"/>
        </w:rPr>
      </w:pPr>
      <w:r>
        <w:rPr>
          <w:sz w:val="24"/>
          <w:u w:val="single"/>
        </w:rPr>
        <w:t>NOM-041-SEMARNAT-2014</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NOM-042-SEMARNAT-2003</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NOM-044-SEMARNAT-2006</w:t>
      </w:r>
    </w:p>
    <w:p>
      <w:pPr>
        <w:pStyle w:val="ListParagraph"/>
        <w:numPr>
          <w:ilvl w:val="0"/>
          <w:numId w:val="9"/>
        </w:numPr>
        <w:tabs>
          <w:tab w:pos="825" w:val="left" w:leader="none"/>
          <w:tab w:pos="826" w:val="left" w:leader="none"/>
        </w:tabs>
        <w:spacing w:line="240" w:lineRule="auto" w:before="130" w:after="0"/>
        <w:ind w:left="825" w:right="0" w:hanging="360"/>
        <w:jc w:val="left"/>
        <w:rPr>
          <w:rFonts w:ascii="Symbol"/>
          <w:sz w:val="24"/>
        </w:rPr>
      </w:pPr>
      <w:r>
        <w:rPr>
          <w:sz w:val="24"/>
          <w:u w:val="single"/>
        </w:rPr>
        <w:t>NOM-045-SEMARNAT-2006</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NOM-047-SEMARNAT-2014</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NOM-048-SEMARNAT-1993</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NOM-049-SEMARNAT-1993</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NOM-050-SEMARNAT-1993</w:t>
      </w:r>
    </w:p>
    <w:p>
      <w:pPr>
        <w:pStyle w:val="ListParagraph"/>
        <w:numPr>
          <w:ilvl w:val="0"/>
          <w:numId w:val="9"/>
        </w:numPr>
        <w:tabs>
          <w:tab w:pos="825" w:val="left" w:leader="none"/>
          <w:tab w:pos="826" w:val="left" w:leader="none"/>
        </w:tabs>
        <w:spacing w:line="240" w:lineRule="auto" w:before="130" w:after="0"/>
        <w:ind w:left="825" w:right="0" w:hanging="360"/>
        <w:jc w:val="left"/>
        <w:rPr>
          <w:rFonts w:ascii="Symbol"/>
          <w:sz w:val="24"/>
        </w:rPr>
      </w:pPr>
      <w:r>
        <w:rPr>
          <w:sz w:val="24"/>
          <w:u w:val="single"/>
        </w:rPr>
        <w:t>NOM-076-SEMARNAT-2012</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NOM-097-SEMARNAT-1995</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NOM-105-SEMARNAT-1996</w:t>
      </w:r>
    </w:p>
    <w:p>
      <w:pPr>
        <w:pStyle w:val="ListParagraph"/>
        <w:numPr>
          <w:ilvl w:val="0"/>
          <w:numId w:val="9"/>
        </w:numPr>
        <w:tabs>
          <w:tab w:pos="825" w:val="left" w:leader="none"/>
          <w:tab w:pos="826" w:val="left" w:leader="none"/>
        </w:tabs>
        <w:spacing w:line="240" w:lineRule="auto" w:before="138" w:after="0"/>
        <w:ind w:left="825" w:right="0" w:hanging="360"/>
        <w:jc w:val="left"/>
        <w:rPr>
          <w:rFonts w:ascii="Symbol"/>
          <w:sz w:val="24"/>
        </w:rPr>
      </w:pPr>
      <w:r>
        <w:rPr>
          <w:sz w:val="24"/>
          <w:u w:val="single"/>
        </w:rPr>
        <w:t>NOM-121-SEMARNAT-1997</w:t>
      </w:r>
    </w:p>
    <w:p>
      <w:pPr>
        <w:pStyle w:val="ListParagraph"/>
        <w:numPr>
          <w:ilvl w:val="0"/>
          <w:numId w:val="9"/>
        </w:numPr>
        <w:tabs>
          <w:tab w:pos="825" w:val="left" w:leader="none"/>
          <w:tab w:pos="826" w:val="left" w:leader="none"/>
        </w:tabs>
        <w:spacing w:line="240" w:lineRule="auto" w:before="130" w:after="0"/>
        <w:ind w:left="825" w:right="0" w:hanging="360"/>
        <w:jc w:val="left"/>
        <w:rPr>
          <w:rFonts w:ascii="Symbol"/>
          <w:sz w:val="24"/>
        </w:rPr>
      </w:pPr>
      <w:r>
        <w:rPr>
          <w:sz w:val="24"/>
          <w:u w:val="single"/>
        </w:rPr>
        <w:t>NOM-123-SEMARNAT-1998</w:t>
      </w:r>
    </w:p>
    <w:p>
      <w:pPr>
        <w:pStyle w:val="BodyText"/>
        <w:rPr>
          <w:sz w:val="20"/>
        </w:rPr>
      </w:pPr>
    </w:p>
    <w:p>
      <w:pPr>
        <w:pStyle w:val="BodyText"/>
        <w:spacing w:line="362" w:lineRule="auto" w:before="188"/>
        <w:ind w:left="105" w:right="124"/>
        <w:jc w:val="both"/>
      </w:pPr>
      <w:r>
        <w:rPr/>
        <w:t>Las normas enlistadas anteriormente se retoman en el último capítulo de la presente investigación, en función de las fuentes de emisiones.</w:t>
      </w:r>
    </w:p>
    <w:p>
      <w:pPr>
        <w:pStyle w:val="BodyText"/>
        <w:spacing w:before="7"/>
      </w:pPr>
    </w:p>
    <w:p>
      <w:pPr>
        <w:pStyle w:val="BodyText"/>
        <w:spacing w:line="360" w:lineRule="auto"/>
        <w:ind w:left="105" w:right="118"/>
        <w:jc w:val="both"/>
      </w:pPr>
      <w:r>
        <w:rPr/>
        <w:t>Por otro lado la SS, establece a través de la NOM-SS-025-2012, establece los niveles y la metodología para </w:t>
      </w:r>
      <w:r>
        <w:rPr>
          <w:spacing w:val="5"/>
        </w:rPr>
        <w:t>la </w:t>
      </w:r>
      <w:r>
        <w:rPr/>
        <w:t>medición de Partículas suspendidas </w:t>
      </w:r>
      <w:r>
        <w:rPr>
          <w:spacing w:val="-3"/>
        </w:rPr>
        <w:t>en el </w:t>
      </w:r>
      <w:r>
        <w:rPr/>
        <w:t>rango de PM10 y PM2.5. Estableciendo los límites máximos permisibles de exposición para </w:t>
      </w:r>
      <w:r>
        <w:rPr>
          <w:spacing w:val="5"/>
        </w:rPr>
        <w:t>la</w:t>
      </w:r>
      <w:r>
        <w:rPr>
          <w:spacing w:val="-22"/>
        </w:rPr>
        <w:t> </w:t>
      </w:r>
      <w:r>
        <w:rPr/>
        <w:t>población.</w:t>
      </w:r>
    </w:p>
    <w:p>
      <w:pPr>
        <w:spacing w:after="0" w:line="360" w:lineRule="auto"/>
        <w:jc w:val="both"/>
        <w:sectPr>
          <w:pgSz w:w="12240" w:h="15840"/>
          <w:pgMar w:header="0" w:footer="1001" w:top="1340" w:bottom="1200" w:left="1600" w:right="1580"/>
        </w:sectPr>
      </w:pPr>
    </w:p>
    <w:p>
      <w:pPr>
        <w:spacing w:before="48"/>
        <w:ind w:left="105" w:right="0" w:firstLine="0"/>
        <w:jc w:val="both"/>
        <w:rPr>
          <w:b/>
          <w:sz w:val="24"/>
        </w:rPr>
      </w:pPr>
      <w:r>
        <w:rPr>
          <w:b/>
          <w:sz w:val="24"/>
        </w:rPr>
        <w:t>Código para la Biodiversidad del Estado de México</w:t>
      </w:r>
    </w:p>
    <w:p>
      <w:pPr>
        <w:pStyle w:val="BodyText"/>
        <w:rPr>
          <w:b/>
        </w:rPr>
      </w:pPr>
    </w:p>
    <w:p>
      <w:pPr>
        <w:pStyle w:val="BodyText"/>
        <w:spacing w:line="360" w:lineRule="auto" w:before="144"/>
        <w:ind w:left="105" w:right="115"/>
        <w:jc w:val="both"/>
      </w:pPr>
      <w:r>
        <w:rPr/>
        <w:t>Es </w:t>
      </w:r>
      <w:r>
        <w:rPr>
          <w:spacing w:val="-3"/>
        </w:rPr>
        <w:t>el </w:t>
      </w:r>
      <w:r>
        <w:rPr/>
        <w:t>instrumento jurídico a partir del cual se establecen los lineamientos de gestión ambiental </w:t>
      </w:r>
      <w:r>
        <w:rPr>
          <w:spacing w:val="-3"/>
        </w:rPr>
        <w:t>en el </w:t>
      </w:r>
      <w:r>
        <w:rPr/>
        <w:t>Estado </w:t>
      </w:r>
      <w:r>
        <w:rPr>
          <w:spacing w:val="5"/>
        </w:rPr>
        <w:t>de </w:t>
      </w:r>
      <w:r>
        <w:rPr/>
        <w:t>México, a partir del cual se establecen los acuerdos y programas </w:t>
      </w:r>
      <w:r>
        <w:rPr>
          <w:spacing w:val="-3"/>
        </w:rPr>
        <w:t>en </w:t>
      </w:r>
      <w:r>
        <w:rPr/>
        <w:t>materia </w:t>
      </w:r>
      <w:r>
        <w:rPr>
          <w:spacing w:val="5"/>
        </w:rPr>
        <w:t>de </w:t>
      </w:r>
      <w:r>
        <w:rPr/>
        <w:t>calidad de aire. En este sentido </w:t>
      </w:r>
      <w:r>
        <w:rPr>
          <w:spacing w:val="-3"/>
        </w:rPr>
        <w:t>el </w:t>
      </w:r>
      <w:r>
        <w:rPr/>
        <w:t>programa principal para </w:t>
      </w:r>
      <w:r>
        <w:rPr>
          <w:spacing w:val="-3"/>
        </w:rPr>
        <w:t>el </w:t>
      </w:r>
      <w:r>
        <w:rPr/>
        <w:t>control </w:t>
      </w:r>
      <w:r>
        <w:rPr>
          <w:spacing w:val="5"/>
        </w:rPr>
        <w:t>de la </w:t>
      </w:r>
      <w:r>
        <w:rPr/>
        <w:t>contaminación del aire </w:t>
      </w:r>
      <w:r>
        <w:rPr>
          <w:spacing w:val="-3"/>
        </w:rPr>
        <w:t>es el </w:t>
      </w:r>
      <w:r>
        <w:rPr/>
        <w:t>“Programa </w:t>
      </w:r>
      <w:r>
        <w:rPr>
          <w:spacing w:val="5"/>
        </w:rPr>
        <w:t>de </w:t>
      </w:r>
      <w:r>
        <w:rPr/>
        <w:t>aire Limpio del </w:t>
      </w:r>
      <w:r>
        <w:rPr>
          <w:spacing w:val="-3"/>
        </w:rPr>
        <w:t>Valle </w:t>
      </w:r>
      <w:r>
        <w:rPr>
          <w:spacing w:val="5"/>
        </w:rPr>
        <w:t>de </w:t>
      </w:r>
      <w:r>
        <w:rPr/>
        <w:t>Toluca”. Dicho programa establece la obligatoriedad </w:t>
      </w:r>
      <w:r>
        <w:rPr>
          <w:spacing w:val="-3"/>
        </w:rPr>
        <w:t>en el </w:t>
      </w:r>
      <w:r>
        <w:rPr/>
        <w:t>cumplimiento </w:t>
      </w:r>
      <w:r>
        <w:rPr>
          <w:spacing w:val="5"/>
        </w:rPr>
        <w:t>de </w:t>
      </w:r>
      <w:r>
        <w:rPr/>
        <w:t>las Normas Oficiales Mexicanas, por parte </w:t>
      </w:r>
      <w:r>
        <w:rPr>
          <w:spacing w:val="5"/>
        </w:rPr>
        <w:t>de </w:t>
      </w:r>
      <w:r>
        <w:rPr/>
        <w:t>los vehículos automotores, a fin de disminuir las emisiones de contaminantes a la</w:t>
      </w:r>
      <w:r>
        <w:rPr>
          <w:spacing w:val="-29"/>
        </w:rPr>
        <w:t> </w:t>
      </w:r>
      <w:r>
        <w:rPr/>
        <w:t>atmósfera.</w:t>
      </w:r>
    </w:p>
    <w:p>
      <w:pPr>
        <w:pStyle w:val="BodyText"/>
        <w:rPr>
          <w:sz w:val="25"/>
        </w:rPr>
      </w:pPr>
    </w:p>
    <w:p>
      <w:pPr>
        <w:pStyle w:val="Heading2"/>
        <w:numPr>
          <w:ilvl w:val="1"/>
          <w:numId w:val="6"/>
        </w:numPr>
        <w:tabs>
          <w:tab w:pos="530" w:val="left" w:leader="none"/>
        </w:tabs>
        <w:spacing w:line="240" w:lineRule="auto" w:before="0" w:after="0"/>
        <w:ind w:left="529" w:right="0" w:hanging="424"/>
        <w:jc w:val="both"/>
        <w:rPr>
          <w:color w:val="4F81BC"/>
        </w:rPr>
      </w:pPr>
      <w:bookmarkStart w:name="_bookmark17" w:id="27"/>
      <w:bookmarkEnd w:id="27"/>
      <w:r>
        <w:rPr>
          <w:b w:val="0"/>
        </w:rPr>
      </w:r>
      <w:bookmarkStart w:name="_bookmark17" w:id="28"/>
      <w:bookmarkEnd w:id="28"/>
      <w:r>
        <w:rPr>
          <w:color w:val="4F81BC"/>
        </w:rPr>
        <w:t>A</w:t>
      </w:r>
      <w:r>
        <w:rPr>
          <w:color w:val="4F81BC"/>
        </w:rPr>
        <w:t>ntecedentes</w:t>
      </w:r>
    </w:p>
    <w:p>
      <w:pPr>
        <w:pStyle w:val="BodyText"/>
        <w:spacing w:before="9"/>
        <w:rPr>
          <w:rFonts w:ascii="Cambria"/>
          <w:b/>
          <w:sz w:val="27"/>
        </w:rPr>
      </w:pPr>
    </w:p>
    <w:p>
      <w:pPr>
        <w:pStyle w:val="BodyText"/>
        <w:spacing w:line="360" w:lineRule="auto"/>
        <w:ind w:left="105" w:right="124"/>
        <w:jc w:val="both"/>
      </w:pPr>
      <w:r>
        <w:rPr/>
        <w:t>La contaminación atmosférica representa uno de los principales problemas a los cuáles nos enfrentamos en la actualidad, la dificultad para atender esta problemática radica no sólo en la necesidad de mitigar los efectos que las alteraciones causadas por el hombre generan en el este sistema, sino atender los cambios que dichas variaciones pueden causar en otros sistemas, como en la hidrósfera, los ecosistemas, las ciudades, hasta llegar a efectos globales como el cambio climático.</w:t>
      </w:r>
    </w:p>
    <w:p>
      <w:pPr>
        <w:pStyle w:val="BodyText"/>
        <w:spacing w:before="10"/>
      </w:pPr>
    </w:p>
    <w:p>
      <w:pPr>
        <w:pStyle w:val="BodyText"/>
        <w:spacing w:line="360" w:lineRule="auto"/>
        <w:ind w:left="105" w:right="124"/>
        <w:jc w:val="both"/>
      </w:pPr>
      <w:r>
        <w:rPr/>
        <w:t>Los esfuerzos para disminuir la contaminación atmosférica deben centrarse </w:t>
      </w:r>
      <w:r>
        <w:rPr>
          <w:spacing w:val="-3"/>
        </w:rPr>
        <w:t>en </w:t>
      </w:r>
      <w:r>
        <w:rPr/>
        <w:t>atender la problemática desde la fuente, sin embargo </w:t>
      </w:r>
      <w:r>
        <w:rPr>
          <w:spacing w:val="-3"/>
        </w:rPr>
        <w:t>es </w:t>
      </w:r>
      <w:r>
        <w:rPr/>
        <w:t>importante considerar </w:t>
      </w:r>
      <w:r>
        <w:rPr>
          <w:spacing w:val="-3"/>
        </w:rPr>
        <w:t>el </w:t>
      </w:r>
      <w:r>
        <w:rPr/>
        <w:t>comportamiento que los contaminantes presentan una vez que han sido emitidos, </w:t>
      </w:r>
      <w:r>
        <w:rPr>
          <w:spacing w:val="-3"/>
        </w:rPr>
        <w:t>el </w:t>
      </w:r>
      <w:r>
        <w:rPr/>
        <w:t>cual se encuentra determinado por su fuente, composición física y química, así como por las variables meteorológicas y geográficas que inciden de manera directa </w:t>
      </w:r>
      <w:r>
        <w:rPr>
          <w:spacing w:val="-3"/>
        </w:rPr>
        <w:t>en </w:t>
      </w:r>
      <w:r>
        <w:rPr/>
        <w:t>su dispersión, concentración y</w:t>
      </w:r>
      <w:r>
        <w:rPr>
          <w:spacing w:val="-21"/>
        </w:rPr>
        <w:t> </w:t>
      </w:r>
      <w:r>
        <w:rPr/>
        <w:t>persistencia.</w:t>
      </w:r>
    </w:p>
    <w:p>
      <w:pPr>
        <w:pStyle w:val="BodyText"/>
        <w:spacing w:before="10"/>
      </w:pPr>
    </w:p>
    <w:p>
      <w:pPr>
        <w:pStyle w:val="BodyText"/>
        <w:spacing w:line="360" w:lineRule="auto"/>
        <w:ind w:left="105" w:right="123"/>
        <w:jc w:val="both"/>
      </w:pPr>
      <w:r>
        <w:rPr/>
        <w:t>Los estudios relacionados con de comportamiento de los contaminantes atmosféricos, se han enfocado en monitorear las emisiones y modelar su comportamiento a través de herramientas como modelos matemáticos, uso de imágenes satelitales, monitoreo a través de estaciones automatizadas y modelos geoestadísticos  aplicados  a  través  de  sistemas  de  información  geográfica. En</w:t>
      </w:r>
    </w:p>
    <w:p>
      <w:pPr>
        <w:spacing w:after="0" w:line="360" w:lineRule="auto"/>
        <w:jc w:val="both"/>
        <w:sectPr>
          <w:pgSz w:w="12240" w:h="15840"/>
          <w:pgMar w:header="0" w:footer="1001" w:top="1360" w:bottom="1200" w:left="1600" w:right="1580"/>
        </w:sectPr>
      </w:pPr>
    </w:p>
    <w:p>
      <w:pPr>
        <w:pStyle w:val="BodyText"/>
        <w:spacing w:line="362" w:lineRule="auto" w:before="48"/>
        <w:ind w:left="105" w:right="115"/>
        <w:jc w:val="both"/>
      </w:pPr>
      <w:r>
        <w:rPr/>
        <w:t>todos los casos es necesario considerar las diferentes variables que pueden incidir en dicho comportamiento.</w:t>
      </w:r>
    </w:p>
    <w:p>
      <w:pPr>
        <w:pStyle w:val="BodyText"/>
        <w:spacing w:before="7"/>
      </w:pPr>
    </w:p>
    <w:p>
      <w:pPr>
        <w:pStyle w:val="BodyText"/>
        <w:spacing w:line="360" w:lineRule="auto" w:before="1"/>
        <w:ind w:left="105" w:right="104"/>
        <w:jc w:val="both"/>
      </w:pPr>
      <w:r>
        <w:rPr/>
        <w:t>Los modelos proporcionan una herramienta </w:t>
      </w:r>
      <w:r>
        <w:rPr>
          <w:spacing w:val="-3"/>
        </w:rPr>
        <w:t>en </w:t>
      </w:r>
      <w:r>
        <w:rPr/>
        <w:t>la toma de decisión, siempre y cuando se tengan los suficientes datos. La evaluación estadística puede ser insatisfactoria, si </w:t>
      </w:r>
      <w:r>
        <w:rPr>
          <w:spacing w:val="3"/>
        </w:rPr>
        <w:t>se </w:t>
      </w:r>
      <w:r>
        <w:rPr/>
        <w:t>tienen periodos sin datos o si </w:t>
      </w:r>
      <w:r>
        <w:rPr>
          <w:spacing w:val="-3"/>
        </w:rPr>
        <w:t>el </w:t>
      </w:r>
      <w:r>
        <w:rPr/>
        <w:t>estudio </w:t>
      </w:r>
      <w:r>
        <w:rPr>
          <w:spacing w:val="-3"/>
        </w:rPr>
        <w:t>es </w:t>
      </w:r>
      <w:r>
        <w:rPr/>
        <w:t>rudimentario, además </w:t>
      </w:r>
      <w:r>
        <w:rPr>
          <w:spacing w:val="5"/>
        </w:rPr>
        <w:t>de </w:t>
      </w:r>
      <w:r>
        <w:rPr/>
        <w:t>la incertidumbre asociada a los parámetros estadísticos que describen los fenómenos </w:t>
      </w:r>
      <w:r>
        <w:rPr>
          <w:spacing w:val="-3"/>
        </w:rPr>
        <w:t>en </w:t>
      </w:r>
      <w:r>
        <w:rPr/>
        <w:t>la atmósfera(R. Flores, Jesús Hernán </w:t>
      </w:r>
      <w:r>
        <w:rPr>
          <w:spacing w:val="-3"/>
        </w:rPr>
        <w:t>et </w:t>
      </w:r>
      <w:r>
        <w:rPr/>
        <w:t>al., </w:t>
      </w:r>
      <w:r>
        <w:rPr>
          <w:spacing w:val="2"/>
        </w:rPr>
        <w:t>2010). </w:t>
      </w:r>
      <w:r>
        <w:rPr/>
        <w:t>En </w:t>
      </w:r>
      <w:r>
        <w:rPr>
          <w:spacing w:val="-3"/>
        </w:rPr>
        <w:t>el </w:t>
      </w:r>
      <w:r>
        <w:rPr/>
        <w:t>uso de información climática, existen diferentes modelos que relacionan las diferentes variables climatológicas para determinar la emisión, concentración y deposición de contaminantes, estas variables juegan un papel determinante </w:t>
      </w:r>
      <w:r>
        <w:rPr>
          <w:spacing w:val="-3"/>
        </w:rPr>
        <w:t>en el </w:t>
      </w:r>
      <w:r>
        <w:rPr/>
        <w:t>comportamiento espacial de los</w:t>
      </w:r>
      <w:r>
        <w:rPr>
          <w:spacing w:val="-23"/>
        </w:rPr>
        <w:t> </w:t>
      </w:r>
      <w:r>
        <w:rPr/>
        <w:t>contaminantes.</w:t>
      </w:r>
    </w:p>
    <w:p>
      <w:pPr>
        <w:pStyle w:val="BodyText"/>
        <w:spacing w:before="2"/>
      </w:pPr>
    </w:p>
    <w:p>
      <w:pPr>
        <w:pStyle w:val="BodyText"/>
        <w:spacing w:line="360" w:lineRule="auto"/>
        <w:ind w:left="105" w:right="108"/>
        <w:jc w:val="both"/>
      </w:pPr>
      <w:r>
        <w:rPr/>
        <w:t>En </w:t>
      </w:r>
      <w:r>
        <w:rPr>
          <w:spacing w:val="-3"/>
        </w:rPr>
        <w:t>el </w:t>
      </w:r>
      <w:r>
        <w:rPr/>
        <w:t>caso de las partículas suspendidas </w:t>
      </w:r>
      <w:r>
        <w:rPr>
          <w:spacing w:val="-4"/>
        </w:rPr>
        <w:t>total </w:t>
      </w:r>
      <w:r>
        <w:rPr/>
        <w:t>(PST), </w:t>
      </w:r>
      <w:r>
        <w:rPr>
          <w:spacing w:val="-3"/>
        </w:rPr>
        <w:t>es </w:t>
      </w:r>
      <w:r>
        <w:rPr/>
        <w:t>importante considerar que </w:t>
      </w:r>
      <w:r>
        <w:rPr>
          <w:spacing w:val="-3"/>
        </w:rPr>
        <w:t>el </w:t>
      </w:r>
      <w:r>
        <w:rPr/>
        <w:t>comportamiento de las mismas dependerá </w:t>
      </w:r>
      <w:r>
        <w:rPr>
          <w:spacing w:val="-3"/>
        </w:rPr>
        <w:t>en </w:t>
      </w:r>
      <w:r>
        <w:rPr/>
        <w:t>gran medida de sus propiedades físicas y químicas, donde </w:t>
      </w:r>
      <w:r>
        <w:rPr>
          <w:spacing w:val="-3"/>
        </w:rPr>
        <w:t>el </w:t>
      </w:r>
      <w:r>
        <w:rPr/>
        <w:t>tamaño </w:t>
      </w:r>
      <w:r>
        <w:rPr>
          <w:spacing w:val="5"/>
        </w:rPr>
        <w:t>de </w:t>
      </w:r>
      <w:r>
        <w:rPr/>
        <w:t>las mismas juega un papel prioritario. Las partículas de mayor tamaño permanecen por periodos cortos </w:t>
      </w:r>
      <w:r>
        <w:rPr>
          <w:spacing w:val="-3"/>
        </w:rPr>
        <w:t>en el </w:t>
      </w:r>
      <w:r>
        <w:rPr/>
        <w:t>aire y sedimentan </w:t>
      </w:r>
      <w:r>
        <w:rPr>
          <w:spacing w:val="-3"/>
        </w:rPr>
        <w:t>en </w:t>
      </w:r>
      <w:r>
        <w:rPr/>
        <w:t>sitios cercanos a la fuente, sin embargo las partículas de menor tamaño consideradas dentro </w:t>
      </w:r>
      <w:r>
        <w:rPr>
          <w:spacing w:val="5"/>
        </w:rPr>
        <w:t>de </w:t>
      </w:r>
      <w:r>
        <w:rPr/>
        <w:t>la fracción respirable (PM10 y PM 2.5) pueden desplazarse grandes distancias y permanecer durante semanas o meses </w:t>
      </w:r>
      <w:r>
        <w:rPr>
          <w:spacing w:val="-3"/>
        </w:rPr>
        <w:t>en el </w:t>
      </w:r>
      <w:r>
        <w:rPr/>
        <w:t>aire, como han mostrado los estudios sobre intrusiones de polvo Sahariano </w:t>
      </w:r>
      <w:r>
        <w:rPr>
          <w:spacing w:val="-3"/>
        </w:rPr>
        <w:t>en </w:t>
      </w:r>
      <w:r>
        <w:rPr/>
        <w:t>ciudades de España como reporta(Rodríguez-Germade, Mohamed, Rey, </w:t>
      </w:r>
      <w:r>
        <w:rPr>
          <w:spacing w:val="2"/>
        </w:rPr>
        <w:t>Rubio, </w:t>
      </w:r>
      <w:r>
        <w:rPr/>
        <w:t>&amp; García, 2014)</w:t>
      </w:r>
      <w:r>
        <w:rPr>
          <w:b/>
        </w:rPr>
        <w:t>,</w:t>
      </w:r>
      <w:r>
        <w:rPr/>
        <w:t>donde se han detectado partículas de polvo </w:t>
      </w:r>
      <w:r>
        <w:rPr>
          <w:spacing w:val="-3"/>
        </w:rPr>
        <w:t>en </w:t>
      </w:r>
      <w:r>
        <w:rPr/>
        <w:t>las ciudades de Madrid y</w:t>
      </w:r>
      <w:r>
        <w:rPr>
          <w:spacing w:val="-13"/>
        </w:rPr>
        <w:t> </w:t>
      </w:r>
      <w:r>
        <w:rPr/>
        <w:t>Pazuelo.</w:t>
      </w:r>
    </w:p>
    <w:p>
      <w:pPr>
        <w:pStyle w:val="BodyText"/>
        <w:spacing w:before="10"/>
      </w:pPr>
    </w:p>
    <w:p>
      <w:pPr>
        <w:pStyle w:val="BodyText"/>
        <w:spacing w:line="360" w:lineRule="auto"/>
        <w:ind w:left="105" w:right="122"/>
        <w:jc w:val="both"/>
      </w:pPr>
      <w:r>
        <w:rPr/>
        <w:t>Las masas frías de aire, permiten la acumulación de contaminantes durante mayor tiempo en la atmósfera, en tanto que el aumento de temperatura, permite la dispersión de los gases asociados a la contaminación del aire permitiendo la depuración y limpieza de la atmósfera, lo cual incide directamente en la calidad del aire, lo cual en muchos estudios se encuentra relacionado al hecho que es durante las  temporadas  invernales  cuando  suelen  presentarse  los  mayores  índices de</w:t>
      </w:r>
    </w:p>
    <w:p>
      <w:pPr>
        <w:spacing w:after="0" w:line="360" w:lineRule="auto"/>
        <w:jc w:val="both"/>
        <w:sectPr>
          <w:pgSz w:w="12240" w:h="15840"/>
          <w:pgMar w:header="0" w:footer="1001" w:top="1360" w:bottom="1200" w:left="1600" w:right="1580"/>
        </w:sectPr>
      </w:pPr>
    </w:p>
    <w:p>
      <w:pPr>
        <w:pStyle w:val="BodyText"/>
        <w:spacing w:line="362" w:lineRule="auto" w:before="48"/>
        <w:ind w:left="105" w:right="109"/>
        <w:jc w:val="both"/>
      </w:pPr>
      <w:r>
        <w:rPr/>
        <w:t>contaminación(Allende, Mulena, &amp; Puliafito, 2012; Ul-Saufie, Yahaya, Ramli, Rosaida, &amp; Hamid, 2013).</w:t>
      </w:r>
    </w:p>
    <w:p>
      <w:pPr>
        <w:pStyle w:val="BodyText"/>
        <w:spacing w:before="7"/>
      </w:pPr>
    </w:p>
    <w:p>
      <w:pPr>
        <w:pStyle w:val="BodyText"/>
        <w:spacing w:line="360" w:lineRule="auto" w:before="1"/>
        <w:ind w:left="105" w:right="108"/>
        <w:jc w:val="both"/>
      </w:pPr>
      <w:r>
        <w:rPr/>
        <w:t>Para el caso del estudio anterior se realizó a través de uso del bioindicadores, y se modeló el comportamiento de las partículas a través de sistemas de información geográfica mediante el método de kriging, definiendo hotspots, los cuales mostraron concentraciones más altas en zonas rodeadas de puntos de tráfico o áreas industriales. Además de ello se observó el efecto de las variables meteorológicas en el comportamiento de las partículas donde se observó que existe una fuerte correlación entre la dirección de los vientos y la  humedad relativa, donde el cambio en las direcciones del viento afecta la distribución y las concentraciones, mientras que una disminución en la humedad relativa aumenta las concentraciones de las partículas.</w:t>
      </w:r>
    </w:p>
    <w:p>
      <w:pPr>
        <w:pStyle w:val="BodyText"/>
        <w:spacing w:before="10"/>
      </w:pPr>
    </w:p>
    <w:p>
      <w:pPr>
        <w:pStyle w:val="BodyText"/>
        <w:spacing w:line="360" w:lineRule="auto"/>
        <w:ind w:left="105" w:right="101"/>
        <w:jc w:val="both"/>
      </w:pPr>
      <w:r>
        <w:rPr/>
        <w:t>Por otro lado (Zabalza, Santamarina, Alastuey, &amp; Qerol, 2010) menciona que la temperatura juega tiene una importante relación en la dispersión de las partículas, pues al cambiar la temperatura, cambia la dirección del viento, como lo reporta en de intrusiones de polvo africano en la costa de Venezuela para lo cual utiliza el índice de Aerosoles del satélite de la NASA TOMS a partir de los datos de serie de tiempo utilizando regresión lineal simple. Por otro lado en la ciudad de Brisvane (Chan, Simpson, Mctainsh, Vowles, &amp; Cohen, 1999; Y. C. Chan et al., 1999) a través del uso de regresión lineal múltiple, menciona que al presentarse una humedad relativa inferior al 70% se da un aumento en las concentraciones de partículas provenientes de Australia.</w:t>
      </w:r>
    </w:p>
    <w:p>
      <w:pPr>
        <w:pStyle w:val="BodyText"/>
        <w:spacing w:before="10"/>
      </w:pPr>
    </w:p>
    <w:p>
      <w:pPr>
        <w:pStyle w:val="BodyText"/>
        <w:spacing w:line="360" w:lineRule="auto"/>
        <w:ind w:left="105" w:right="106"/>
        <w:jc w:val="both"/>
      </w:pPr>
      <w:r>
        <w:rPr/>
        <w:t>El descenso de la temperatura mantiene los contaminantes </w:t>
      </w:r>
      <w:r>
        <w:rPr>
          <w:spacing w:val="-3"/>
        </w:rPr>
        <w:t>en </w:t>
      </w:r>
      <w:r>
        <w:rPr/>
        <w:t>los niveles más bajos de la troposfera y propicia una </w:t>
      </w:r>
      <w:r>
        <w:rPr>
          <w:spacing w:val="-3"/>
        </w:rPr>
        <w:t>mayor </w:t>
      </w:r>
      <w:r>
        <w:rPr/>
        <w:t>exposición por parte la población, </w:t>
      </w:r>
      <w:r>
        <w:rPr>
          <w:spacing w:val="-3"/>
        </w:rPr>
        <w:t>el </w:t>
      </w:r>
      <w:r>
        <w:rPr/>
        <w:t>viento por otra parte juega un papel clave </w:t>
      </w:r>
      <w:r>
        <w:rPr>
          <w:spacing w:val="-3"/>
        </w:rPr>
        <w:t>en </w:t>
      </w:r>
      <w:r>
        <w:rPr/>
        <w:t>la dispersión de los contaminantes, ya que </w:t>
      </w:r>
      <w:r>
        <w:rPr>
          <w:spacing w:val="-3"/>
        </w:rPr>
        <w:t>en </w:t>
      </w:r>
      <w:r>
        <w:rPr/>
        <w:t>función de la dirección que </w:t>
      </w:r>
      <w:r>
        <w:rPr>
          <w:spacing w:val="-3"/>
        </w:rPr>
        <w:t>estos </w:t>
      </w:r>
      <w:r>
        <w:rPr/>
        <w:t>asuman, será </w:t>
      </w:r>
      <w:r>
        <w:rPr>
          <w:spacing w:val="-3"/>
        </w:rPr>
        <w:t>el </w:t>
      </w:r>
      <w:r>
        <w:rPr/>
        <w:t>arrastre, por otro lado la velocidad de los vientos, tendrá un efecto sensible sobre la velocidad con que  los contaminantes son dispersados desde su fuente de emisión (Hernánez, Madrigal, &amp; Morales,</w:t>
      </w:r>
      <w:r>
        <w:rPr>
          <w:spacing w:val="-13"/>
        </w:rPr>
        <w:t> </w:t>
      </w:r>
      <w:r>
        <w:rPr/>
        <w:t>2004)</w:t>
      </w:r>
    </w:p>
    <w:p>
      <w:pPr>
        <w:spacing w:after="0" w:line="360" w:lineRule="auto"/>
        <w:jc w:val="both"/>
        <w:sectPr>
          <w:pgSz w:w="12240" w:h="15840"/>
          <w:pgMar w:header="0" w:footer="1001" w:top="1360" w:bottom="1200" w:left="1600" w:right="1580"/>
        </w:sectPr>
      </w:pPr>
    </w:p>
    <w:p>
      <w:pPr>
        <w:pStyle w:val="BodyText"/>
        <w:spacing w:line="360" w:lineRule="auto" w:before="48"/>
        <w:ind w:left="105" w:right="108"/>
        <w:jc w:val="both"/>
      </w:pPr>
      <w:r>
        <w:rPr/>
        <w:t>En el caso del CO, (Hernández et al., 2004) propone el uso de datos de la Red Automática de Monitoreo Atmosférico para su análisis tomando en cuenta el periodo que comprende de 1995-2001, para obtención de medidas de dispersión y medidas de tendencia central, obteniendo promedios mensuales, anuales y tendencias. Para la representación espacial, se utilizó el software Surfer 7.2 se trazaron las isolíneas de concentración del monóxido de carbono, así como de los otros gases, y se editaron como franjas en más de 62 mapas, 12 de ellos fueron relativos al monóxido de carbono. Estos mapas fueron combinados con los de temperaturas medias anuales y de precipitaciones medias anuales, así como de representación de rosas de los vientos en diversas estaciones del año, durante seis años (1995-2001) para la zona metropolitana de la Ciudad de Guadalajara, con el fin de establecer relaciones concretas en cuanto a la influencia de los factores geográficos y climáticos en los procesos de concentración y dispersión de la contaminación atmosférica.</w:t>
      </w:r>
    </w:p>
    <w:p>
      <w:pPr>
        <w:pStyle w:val="BodyText"/>
        <w:spacing w:before="10"/>
      </w:pPr>
    </w:p>
    <w:p>
      <w:pPr>
        <w:pStyle w:val="BodyText"/>
        <w:spacing w:line="360" w:lineRule="auto"/>
        <w:ind w:left="105" w:right="114"/>
        <w:jc w:val="both"/>
      </w:pPr>
      <w:r>
        <w:rPr/>
        <w:t>Las tendencias temporales y espaciales de las PM10 </w:t>
      </w:r>
      <w:r>
        <w:rPr>
          <w:spacing w:val="-3"/>
        </w:rPr>
        <w:t>en </w:t>
      </w:r>
      <w:r>
        <w:rPr/>
        <w:t>ocho  ciudades mexicanas: la Zona Metropolitana del Valle de México, la Zona Metropolitana de Guadalajara, la Zona Metropolitana del </w:t>
      </w:r>
      <w:r>
        <w:rPr>
          <w:spacing w:val="-3"/>
        </w:rPr>
        <w:t>Valle </w:t>
      </w:r>
      <w:r>
        <w:rPr/>
        <w:t>de Toluca; Puebla, la Zona Metropolitana de Matamoros, Ciudad Juárez, Tijuana y Mexicali, durante </w:t>
      </w:r>
      <w:r>
        <w:rPr>
          <w:spacing w:val="-3"/>
        </w:rPr>
        <w:t>el  </w:t>
      </w:r>
      <w:r>
        <w:rPr/>
        <w:t>periodo 1997-2005, mostraron que </w:t>
      </w:r>
      <w:r>
        <w:rPr>
          <w:spacing w:val="-3"/>
        </w:rPr>
        <w:t>el </w:t>
      </w:r>
      <w:r>
        <w:rPr/>
        <w:t>comportamiento horario de </w:t>
      </w:r>
      <w:r>
        <w:rPr>
          <w:spacing w:val="5"/>
        </w:rPr>
        <w:t>la </w:t>
      </w:r>
      <w:r>
        <w:rPr/>
        <w:t>partículas </w:t>
      </w:r>
      <w:r>
        <w:rPr>
          <w:spacing w:val="-3"/>
        </w:rPr>
        <w:t>es </w:t>
      </w:r>
      <w:r>
        <w:rPr/>
        <w:t>variable y </w:t>
      </w:r>
      <w:r>
        <w:rPr>
          <w:spacing w:val="-3"/>
        </w:rPr>
        <w:t>el </w:t>
      </w:r>
      <w:r>
        <w:rPr/>
        <w:t>comportamiento mensual indica que </w:t>
      </w:r>
      <w:r>
        <w:rPr>
          <w:spacing w:val="-3"/>
        </w:rPr>
        <w:t>en </w:t>
      </w:r>
      <w:r>
        <w:rPr/>
        <w:t>las ocho ciudades, agrupadas por región, las concentraciones más bajas de las PM10 </w:t>
      </w:r>
      <w:r>
        <w:rPr>
          <w:spacing w:val="3"/>
        </w:rPr>
        <w:t>se </w:t>
      </w:r>
      <w:r>
        <w:rPr/>
        <w:t>presentan </w:t>
      </w:r>
      <w:r>
        <w:rPr>
          <w:spacing w:val="-3"/>
        </w:rPr>
        <w:t>en </w:t>
      </w:r>
      <w:r>
        <w:rPr/>
        <w:t>los </w:t>
      </w:r>
      <w:r>
        <w:rPr>
          <w:spacing w:val="-3"/>
        </w:rPr>
        <w:t>meses </w:t>
      </w:r>
      <w:r>
        <w:rPr/>
        <w:t>de junio a septiembre </w:t>
      </w:r>
      <w:r>
        <w:rPr>
          <w:spacing w:val="-3"/>
        </w:rPr>
        <w:t>en </w:t>
      </w:r>
      <w:r>
        <w:rPr/>
        <w:t>la región centro, </w:t>
      </w:r>
      <w:r>
        <w:rPr>
          <w:spacing w:val="-3"/>
        </w:rPr>
        <w:t>en </w:t>
      </w:r>
      <w:r>
        <w:rPr/>
        <w:t>tanto que las más bajas </w:t>
      </w:r>
      <w:r>
        <w:rPr>
          <w:spacing w:val="-3"/>
        </w:rPr>
        <w:t>en </w:t>
      </w:r>
      <w:r>
        <w:rPr/>
        <w:t>la región norte se aprecian </w:t>
      </w:r>
      <w:r>
        <w:rPr>
          <w:spacing w:val="-3"/>
        </w:rPr>
        <w:t>en </w:t>
      </w:r>
      <w:r>
        <w:rPr/>
        <w:t>los meses de abril a septiembre. En ambas regiones los niveles más elevados </w:t>
      </w:r>
      <w:r>
        <w:rPr>
          <w:spacing w:val="3"/>
        </w:rPr>
        <w:t>se </w:t>
      </w:r>
      <w:r>
        <w:rPr/>
        <w:t>presentan </w:t>
      </w:r>
      <w:r>
        <w:rPr>
          <w:spacing w:val="-3"/>
        </w:rPr>
        <w:t>en </w:t>
      </w:r>
      <w:r>
        <w:rPr/>
        <w:t>los meses fríos (noviembre, diciembre y enero).</w:t>
      </w:r>
    </w:p>
    <w:p>
      <w:pPr>
        <w:pStyle w:val="BodyText"/>
        <w:spacing w:before="10"/>
      </w:pPr>
    </w:p>
    <w:p>
      <w:pPr>
        <w:pStyle w:val="BodyText"/>
        <w:spacing w:line="360" w:lineRule="auto"/>
        <w:ind w:left="105" w:right="118"/>
        <w:jc w:val="both"/>
      </w:pPr>
      <w:r>
        <w:rPr/>
        <w:t>El comportamiento de las concentraciones de las PM10 a </w:t>
      </w:r>
      <w:r>
        <w:rPr>
          <w:spacing w:val="5"/>
        </w:rPr>
        <w:t>lo </w:t>
      </w:r>
      <w:r>
        <w:rPr/>
        <w:t>largo del año puede deberse a que </w:t>
      </w:r>
      <w:r>
        <w:rPr>
          <w:spacing w:val="-3"/>
        </w:rPr>
        <w:t>en </w:t>
      </w:r>
      <w:r>
        <w:rPr/>
        <w:t>los meses fríos se tiene una menor capacidad dispersiva del contaminante </w:t>
      </w:r>
      <w:r>
        <w:rPr>
          <w:spacing w:val="-3"/>
        </w:rPr>
        <w:t>en </w:t>
      </w:r>
      <w:r>
        <w:rPr/>
        <w:t>la atmósfera y se facilita su acumulación. Además, por tratarse  de la época seca del año, ocurre una mayor </w:t>
      </w:r>
      <w:r>
        <w:rPr>
          <w:spacing w:val="3"/>
        </w:rPr>
        <w:t>re </w:t>
      </w:r>
      <w:r>
        <w:rPr/>
        <w:t>suspensión de PM del suelo. En contraparte, </w:t>
      </w:r>
      <w:r>
        <w:rPr>
          <w:spacing w:val="-3"/>
        </w:rPr>
        <w:t>en </w:t>
      </w:r>
      <w:r>
        <w:rPr/>
        <w:t>los meses de la época de lluvias las partículas son eliminadas </w:t>
      </w:r>
      <w:r>
        <w:rPr>
          <w:spacing w:val="52"/>
        </w:rPr>
        <w:t> </w:t>
      </w:r>
      <w:r>
        <w:rPr/>
        <w:t>por</w:t>
      </w:r>
    </w:p>
    <w:p>
      <w:pPr>
        <w:spacing w:after="0" w:line="360" w:lineRule="auto"/>
        <w:jc w:val="both"/>
        <w:sectPr>
          <w:pgSz w:w="12240" w:h="15840"/>
          <w:pgMar w:header="0" w:footer="1001" w:top="1360" w:bottom="1200" w:left="1600" w:right="1580"/>
        </w:sectPr>
      </w:pPr>
    </w:p>
    <w:p>
      <w:pPr>
        <w:pStyle w:val="BodyText"/>
        <w:spacing w:line="362" w:lineRule="auto" w:before="48"/>
        <w:ind w:left="105" w:right="110"/>
        <w:jc w:val="both"/>
      </w:pPr>
      <w:r>
        <w:rPr/>
        <w:t>retención y arrastre en las gotas de lluvia, fenómenos que tienen un efecto de limpieza en la atmósfera (Ashworth et al., 2013).</w:t>
      </w:r>
    </w:p>
    <w:p>
      <w:pPr>
        <w:pStyle w:val="BodyText"/>
        <w:spacing w:before="7"/>
      </w:pPr>
    </w:p>
    <w:p>
      <w:pPr>
        <w:pStyle w:val="BodyText"/>
        <w:spacing w:line="360" w:lineRule="auto" w:before="1"/>
        <w:ind w:left="105" w:right="108"/>
        <w:jc w:val="both"/>
      </w:pPr>
      <w:r>
        <w:rPr/>
        <w:t>Echorn y Schumman proponen </w:t>
      </w:r>
      <w:r>
        <w:rPr>
          <w:spacing w:val="-3"/>
        </w:rPr>
        <w:t>el </w:t>
      </w:r>
      <w:r>
        <w:rPr>
          <w:spacing w:val="3"/>
        </w:rPr>
        <w:t>uso </w:t>
      </w:r>
      <w:r>
        <w:rPr/>
        <w:t>del modelo MISKAM, </w:t>
      </w:r>
      <w:r>
        <w:rPr>
          <w:spacing w:val="-3"/>
        </w:rPr>
        <w:t>el </w:t>
      </w:r>
      <w:r>
        <w:rPr/>
        <w:t>cual permite establecer pronósticos estadísticos tomando </w:t>
      </w:r>
      <w:r>
        <w:rPr>
          <w:spacing w:val="-3"/>
        </w:rPr>
        <w:t>en </w:t>
      </w:r>
      <w:r>
        <w:rPr/>
        <w:t>cuenta tres vectores del viento,  así como la energía </w:t>
      </w:r>
      <w:r>
        <w:rPr>
          <w:spacing w:val="5"/>
        </w:rPr>
        <w:t>de </w:t>
      </w:r>
      <w:r>
        <w:rPr/>
        <w:t>la turbulencia y la disipación </w:t>
      </w:r>
      <w:r>
        <w:rPr>
          <w:spacing w:val="-2"/>
        </w:rPr>
        <w:t>(Auras </w:t>
      </w:r>
      <w:r>
        <w:rPr>
          <w:spacing w:val="-3"/>
        </w:rPr>
        <w:t>et </w:t>
      </w:r>
      <w:r>
        <w:rPr/>
        <w:t>al., 2013). Además de los datos climatológicos, considera los valores obtenidos </w:t>
      </w:r>
      <w:r>
        <w:rPr>
          <w:spacing w:val="-3"/>
        </w:rPr>
        <w:t>en </w:t>
      </w:r>
      <w:r>
        <w:rPr/>
        <w:t>estaciones atmosféricas respecto a los contaminantes, de esta forma a través de ecuaciones estadísticas, permite establecer pronósticos, este método fue utilizado para establecer un pronóstico de exposición a partículas suspendidas y </w:t>
      </w:r>
      <w:r>
        <w:rPr>
          <w:spacing w:val="6"/>
        </w:rPr>
        <w:t>su </w:t>
      </w:r>
      <w:r>
        <w:rPr/>
        <w:t>impacto </w:t>
      </w:r>
      <w:r>
        <w:rPr>
          <w:spacing w:val="-3"/>
        </w:rPr>
        <w:t>en </w:t>
      </w:r>
      <w:r>
        <w:rPr/>
        <w:t>monumentos históricos, </w:t>
      </w:r>
      <w:r>
        <w:rPr>
          <w:spacing w:val="-3"/>
        </w:rPr>
        <w:t>en </w:t>
      </w:r>
      <w:r>
        <w:rPr/>
        <w:t>Alemania, y fue validado a partir de los resultados pronosticados, con la información recabada por dos estaciones de monitoreo ubicadas </w:t>
      </w:r>
      <w:r>
        <w:rPr>
          <w:spacing w:val="-3"/>
        </w:rPr>
        <w:t>en </w:t>
      </w:r>
      <w:r>
        <w:rPr/>
        <w:t>dos edificios, bajo los elementos establecidos por la Asociación Alemana de Ingenieros  (Moølgaard </w:t>
      </w:r>
      <w:r>
        <w:rPr>
          <w:spacing w:val="-3"/>
        </w:rPr>
        <w:t>et </w:t>
      </w:r>
      <w:r>
        <w:rPr/>
        <w:t>al.,</w:t>
      </w:r>
      <w:r>
        <w:rPr>
          <w:spacing w:val="-13"/>
        </w:rPr>
        <w:t> </w:t>
      </w:r>
      <w:r>
        <w:rPr>
          <w:spacing w:val="2"/>
        </w:rPr>
        <w:t>2013).</w:t>
      </w:r>
    </w:p>
    <w:p>
      <w:pPr>
        <w:pStyle w:val="BodyText"/>
        <w:spacing w:before="10"/>
      </w:pPr>
    </w:p>
    <w:p>
      <w:pPr>
        <w:pStyle w:val="BodyText"/>
        <w:spacing w:line="360" w:lineRule="auto"/>
        <w:ind w:left="105" w:right="99"/>
        <w:jc w:val="both"/>
      </w:pPr>
      <w:r>
        <w:rPr/>
        <w:t>Otras herramientas para la modelación de contaminantes consiste en el uso de imágenes satelitales y sensores en el estudio del comportamiento de partículas de polvo, a través las imágenes de los satélites de la NASA, entre los más utilizados se encuentra el sensor MODIS el permite estudiar los aerosoles, vapor de agua y nubes para un mejor entendimiento de todo el proceso de los incendios y su efecto en el ecosistema, atmósfera y el clima entre las variables que considera para la modelación son temperatura (ºC) y presión atmosférica (hPa) en el tope de nube, fracción de nubosidad, radio de la gota (micrones) y vapor de agua (cm) (Shuhaili, Ihsan, &amp; Faris, 2013).</w:t>
      </w:r>
    </w:p>
    <w:p>
      <w:pPr>
        <w:pStyle w:val="BodyText"/>
        <w:spacing w:before="10"/>
      </w:pPr>
    </w:p>
    <w:p>
      <w:pPr>
        <w:pStyle w:val="BodyText"/>
        <w:spacing w:line="360" w:lineRule="auto"/>
        <w:ind w:left="105" w:right="113"/>
        <w:jc w:val="both"/>
      </w:pPr>
      <w:r>
        <w:rPr/>
        <w:t>El uso del sensor MODIS, permite </w:t>
      </w:r>
      <w:r>
        <w:rPr>
          <w:spacing w:val="5"/>
        </w:rPr>
        <w:t>la </w:t>
      </w:r>
      <w:r>
        <w:rPr/>
        <w:t>detección de contaminantes </w:t>
      </w:r>
      <w:r>
        <w:rPr>
          <w:spacing w:val="-3"/>
        </w:rPr>
        <w:t>en </w:t>
      </w:r>
      <w:r>
        <w:rPr>
          <w:spacing w:val="5"/>
        </w:rPr>
        <w:t>la </w:t>
      </w:r>
      <w:r>
        <w:rPr/>
        <w:t>tropósfera y ha sido utilizado para </w:t>
      </w:r>
      <w:r>
        <w:rPr>
          <w:spacing w:val="-3"/>
        </w:rPr>
        <w:t>el </w:t>
      </w:r>
      <w:r>
        <w:rPr/>
        <w:t>desarrollo de cartografía de nubes de polvo, permitiendo </w:t>
      </w:r>
      <w:r>
        <w:rPr>
          <w:spacing w:val="-3"/>
        </w:rPr>
        <w:t>el </w:t>
      </w:r>
      <w:r>
        <w:rPr/>
        <w:t>establecer pronósticos de la calidad del aire </w:t>
      </w:r>
      <w:r>
        <w:rPr>
          <w:spacing w:val="-3"/>
        </w:rPr>
        <w:t>en </w:t>
      </w:r>
      <w:r>
        <w:rPr/>
        <w:t>Estados Unidos, (Al-Saadi, Szykman, Pierce, &amp; Kittaka, 2005)entre los aspectos que pudieron identificarse dentro </w:t>
      </w:r>
      <w:r>
        <w:rPr>
          <w:spacing w:val="5"/>
        </w:rPr>
        <w:t>de </w:t>
      </w:r>
      <w:r>
        <w:rPr/>
        <w:t>este estudio, se observó que los valores más altos </w:t>
      </w:r>
      <w:r>
        <w:rPr>
          <w:spacing w:val="5"/>
        </w:rPr>
        <w:t>de </w:t>
      </w:r>
      <w:r>
        <w:rPr/>
        <w:t>partículas suspendidas se presentan </w:t>
      </w:r>
      <w:r>
        <w:rPr>
          <w:spacing w:val="-3"/>
        </w:rPr>
        <w:t>en el </w:t>
      </w:r>
      <w:r>
        <w:rPr/>
        <w:t>sureste de estados Unidos </w:t>
      </w:r>
      <w:r>
        <w:rPr>
          <w:spacing w:val="-3"/>
        </w:rPr>
        <w:t>en el </w:t>
      </w:r>
      <w:r>
        <w:rPr/>
        <w:t>mes de septiembre, </w:t>
      </w:r>
      <w:r>
        <w:rPr>
          <w:spacing w:val="-3"/>
        </w:rPr>
        <w:t>al </w:t>
      </w:r>
      <w:r>
        <w:rPr/>
        <w:t>mismo tiempo que </w:t>
      </w:r>
      <w:r>
        <w:rPr>
          <w:spacing w:val="3"/>
        </w:rPr>
        <w:t>se </w:t>
      </w:r>
      <w:r>
        <w:rPr/>
        <w:t>presenta </w:t>
      </w:r>
      <w:r>
        <w:rPr>
          <w:spacing w:val="5"/>
        </w:rPr>
        <w:t>la </w:t>
      </w:r>
      <w:r>
        <w:rPr/>
        <w:t>temporada de incendios en    </w:t>
      </w:r>
      <w:r>
        <w:rPr>
          <w:spacing w:val="-3"/>
        </w:rPr>
        <w:t>esta</w:t>
      </w:r>
    </w:p>
    <w:p>
      <w:pPr>
        <w:spacing w:after="0" w:line="360" w:lineRule="auto"/>
        <w:jc w:val="both"/>
        <w:sectPr>
          <w:footerReference w:type="default" r:id="rId15"/>
          <w:pgSz w:w="12240" w:h="15840"/>
          <w:pgMar w:footer="1001" w:header="0" w:top="1360" w:bottom="1200" w:left="1600" w:right="1580"/>
        </w:sectPr>
      </w:pPr>
    </w:p>
    <w:p>
      <w:pPr>
        <w:pStyle w:val="BodyText"/>
        <w:spacing w:line="362" w:lineRule="auto" w:before="48"/>
        <w:ind w:left="105" w:right="128"/>
        <w:jc w:val="both"/>
      </w:pPr>
      <w:r>
        <w:rPr/>
        <w:t>región. De lo anterior es importante considerar los incendios, ya que en la zona de estudio se presenta una importante actividad agrícola que utiliza técnicas como la quema previa a la preparación del suelo para la siembra.</w:t>
      </w:r>
    </w:p>
    <w:p>
      <w:pPr>
        <w:pStyle w:val="BodyText"/>
        <w:spacing w:before="11"/>
        <w:rPr>
          <w:sz w:val="23"/>
        </w:rPr>
      </w:pPr>
    </w:p>
    <w:p>
      <w:pPr>
        <w:pStyle w:val="BodyText"/>
        <w:spacing w:line="362" w:lineRule="auto"/>
        <w:ind w:left="105" w:right="111"/>
        <w:jc w:val="both"/>
      </w:pPr>
      <w:r>
        <w:rPr/>
        <w:t>En cuanto a los modelos matemáticos y estadísticos utilizados en la determinación del comportamiento de los contaminantes Arciniégas, 2012, retoma las metodologías desarrolladas por la US-EPA, considerando diferentes variables como son:</w:t>
      </w:r>
    </w:p>
    <w:p>
      <w:pPr>
        <w:pStyle w:val="BodyText"/>
        <w:spacing w:before="11"/>
        <w:rPr>
          <w:sz w:val="23"/>
        </w:rPr>
      </w:pPr>
    </w:p>
    <w:p>
      <w:pPr>
        <w:pStyle w:val="BodyText"/>
        <w:ind w:left="105"/>
        <w:jc w:val="both"/>
      </w:pPr>
      <w:r>
        <w:rPr/>
        <w:t>Cantidad de contaminante emitida por unidad de tiempo.</w:t>
      </w:r>
    </w:p>
    <w:p>
      <w:pPr>
        <w:pStyle w:val="BodyText"/>
      </w:pPr>
    </w:p>
    <w:p>
      <w:pPr>
        <w:pStyle w:val="ListParagraph"/>
        <w:numPr>
          <w:ilvl w:val="0"/>
          <w:numId w:val="10"/>
        </w:numPr>
        <w:tabs>
          <w:tab w:pos="825" w:val="left" w:leader="none"/>
          <w:tab w:pos="826" w:val="left" w:leader="none"/>
        </w:tabs>
        <w:spacing w:line="240" w:lineRule="auto" w:before="144" w:after="0"/>
        <w:ind w:left="825" w:right="0" w:hanging="360"/>
        <w:jc w:val="left"/>
        <w:rPr>
          <w:sz w:val="24"/>
        </w:rPr>
      </w:pPr>
      <w:r>
        <w:rPr>
          <w:sz w:val="24"/>
        </w:rPr>
        <w:t>Posición y altura </w:t>
      </w:r>
      <w:r>
        <w:rPr>
          <w:spacing w:val="5"/>
          <w:sz w:val="24"/>
        </w:rPr>
        <w:t>de</w:t>
      </w:r>
      <w:r>
        <w:rPr>
          <w:spacing w:val="-17"/>
          <w:sz w:val="24"/>
        </w:rPr>
        <w:t> </w:t>
      </w:r>
      <w:r>
        <w:rPr>
          <w:sz w:val="24"/>
        </w:rPr>
        <w:t>emisión.</w:t>
      </w:r>
    </w:p>
    <w:p>
      <w:pPr>
        <w:pStyle w:val="ListParagraph"/>
        <w:numPr>
          <w:ilvl w:val="0"/>
          <w:numId w:val="10"/>
        </w:numPr>
        <w:tabs>
          <w:tab w:pos="825" w:val="left" w:leader="none"/>
          <w:tab w:pos="826" w:val="left" w:leader="none"/>
        </w:tabs>
        <w:spacing w:line="240" w:lineRule="auto" w:before="138" w:after="0"/>
        <w:ind w:left="825" w:right="0" w:hanging="360"/>
        <w:jc w:val="left"/>
        <w:rPr>
          <w:sz w:val="24"/>
        </w:rPr>
      </w:pPr>
      <w:r>
        <w:rPr>
          <w:sz w:val="24"/>
        </w:rPr>
        <w:t>Velocidad de los</w:t>
      </w:r>
      <w:r>
        <w:rPr>
          <w:spacing w:val="-15"/>
          <w:sz w:val="24"/>
        </w:rPr>
        <w:t> </w:t>
      </w:r>
      <w:r>
        <w:rPr>
          <w:sz w:val="24"/>
        </w:rPr>
        <w:t>vientos.</w:t>
      </w:r>
    </w:p>
    <w:p>
      <w:pPr>
        <w:pStyle w:val="ListParagraph"/>
        <w:numPr>
          <w:ilvl w:val="0"/>
          <w:numId w:val="10"/>
        </w:numPr>
        <w:tabs>
          <w:tab w:pos="825" w:val="left" w:leader="none"/>
          <w:tab w:pos="826" w:val="left" w:leader="none"/>
        </w:tabs>
        <w:spacing w:line="240" w:lineRule="auto" w:before="138" w:after="0"/>
        <w:ind w:left="825" w:right="0" w:hanging="360"/>
        <w:jc w:val="left"/>
        <w:rPr>
          <w:sz w:val="24"/>
        </w:rPr>
      </w:pPr>
      <w:r>
        <w:rPr>
          <w:sz w:val="24"/>
        </w:rPr>
        <w:t>Dirección de los vientos</w:t>
      </w:r>
      <w:r>
        <w:rPr>
          <w:spacing w:val="-18"/>
          <w:sz w:val="24"/>
        </w:rPr>
        <w:t> </w:t>
      </w:r>
      <w:r>
        <w:rPr>
          <w:sz w:val="24"/>
        </w:rPr>
        <w:t>dominantes.</w:t>
      </w:r>
    </w:p>
    <w:p>
      <w:pPr>
        <w:pStyle w:val="ListParagraph"/>
        <w:numPr>
          <w:ilvl w:val="0"/>
          <w:numId w:val="10"/>
        </w:numPr>
        <w:tabs>
          <w:tab w:pos="825" w:val="left" w:leader="none"/>
          <w:tab w:pos="826" w:val="left" w:leader="none"/>
        </w:tabs>
        <w:spacing w:line="240" w:lineRule="auto" w:before="130" w:after="0"/>
        <w:ind w:left="825" w:right="0" w:hanging="360"/>
        <w:jc w:val="left"/>
        <w:rPr>
          <w:sz w:val="24"/>
        </w:rPr>
      </w:pPr>
      <w:r>
        <w:rPr>
          <w:sz w:val="24"/>
        </w:rPr>
        <w:t>Estabilidad</w:t>
      </w:r>
      <w:r>
        <w:rPr>
          <w:spacing w:val="-20"/>
          <w:sz w:val="24"/>
        </w:rPr>
        <w:t> </w:t>
      </w:r>
      <w:r>
        <w:rPr>
          <w:sz w:val="24"/>
        </w:rPr>
        <w:t>atmosférica.</w:t>
      </w:r>
    </w:p>
    <w:p>
      <w:pPr>
        <w:pStyle w:val="ListParagraph"/>
        <w:numPr>
          <w:ilvl w:val="0"/>
          <w:numId w:val="10"/>
        </w:numPr>
        <w:tabs>
          <w:tab w:pos="825" w:val="left" w:leader="none"/>
          <w:tab w:pos="826" w:val="left" w:leader="none"/>
        </w:tabs>
        <w:spacing w:line="240" w:lineRule="auto" w:before="137" w:after="0"/>
        <w:ind w:left="825" w:right="0" w:hanging="360"/>
        <w:jc w:val="left"/>
        <w:rPr>
          <w:sz w:val="24"/>
        </w:rPr>
      </w:pPr>
      <w:r>
        <w:rPr>
          <w:sz w:val="24"/>
        </w:rPr>
        <w:t>Precipitación</w:t>
      </w:r>
    </w:p>
    <w:p>
      <w:pPr>
        <w:pStyle w:val="ListParagraph"/>
        <w:numPr>
          <w:ilvl w:val="0"/>
          <w:numId w:val="10"/>
        </w:numPr>
        <w:tabs>
          <w:tab w:pos="825" w:val="left" w:leader="none"/>
          <w:tab w:pos="826" w:val="left" w:leader="none"/>
        </w:tabs>
        <w:spacing w:line="240" w:lineRule="auto" w:before="138" w:after="0"/>
        <w:ind w:left="825" w:right="0" w:hanging="360"/>
        <w:jc w:val="left"/>
        <w:rPr>
          <w:sz w:val="24"/>
        </w:rPr>
      </w:pPr>
      <w:r>
        <w:rPr>
          <w:sz w:val="24"/>
        </w:rPr>
        <w:t>Humedad</w:t>
      </w:r>
      <w:r>
        <w:rPr>
          <w:spacing w:val="-15"/>
          <w:sz w:val="24"/>
        </w:rPr>
        <w:t> </w:t>
      </w:r>
      <w:r>
        <w:rPr>
          <w:sz w:val="24"/>
        </w:rPr>
        <w:t>Relativa.</w:t>
      </w:r>
    </w:p>
    <w:p>
      <w:pPr>
        <w:pStyle w:val="BodyText"/>
      </w:pPr>
    </w:p>
    <w:p>
      <w:pPr>
        <w:pStyle w:val="BodyText"/>
        <w:spacing w:line="360" w:lineRule="auto" w:before="142"/>
        <w:ind w:left="105" w:right="110"/>
        <w:jc w:val="both"/>
      </w:pPr>
      <w:r>
        <w:rPr/>
        <w:t>En </w:t>
      </w:r>
      <w:r>
        <w:rPr>
          <w:spacing w:val="-3"/>
        </w:rPr>
        <w:t>el </w:t>
      </w:r>
      <w:r>
        <w:rPr/>
        <w:t>contexto internacional, </w:t>
      </w:r>
      <w:r>
        <w:rPr>
          <w:spacing w:val="-3"/>
        </w:rPr>
        <w:t>el </w:t>
      </w:r>
      <w:r>
        <w:rPr/>
        <w:t>modelo más usado para la modelación de calidad del aire </w:t>
      </w:r>
      <w:r>
        <w:rPr>
          <w:spacing w:val="-3"/>
        </w:rPr>
        <w:t>es el </w:t>
      </w:r>
      <w:r>
        <w:rPr/>
        <w:t>ISCST3 basado </w:t>
      </w:r>
      <w:r>
        <w:rPr>
          <w:spacing w:val="-3"/>
        </w:rPr>
        <w:t>en el </w:t>
      </w:r>
      <w:r>
        <w:rPr/>
        <w:t>Modelo de Dispersión de Gauss, propuesto como regulatorio por la Agencia </w:t>
      </w:r>
      <w:r>
        <w:rPr>
          <w:spacing w:val="5"/>
        </w:rPr>
        <w:t>de </w:t>
      </w:r>
      <w:r>
        <w:rPr/>
        <w:t>Protección del Medio Ambiente (Ul-Saufie </w:t>
      </w:r>
      <w:r>
        <w:rPr>
          <w:spacing w:val="-3"/>
        </w:rPr>
        <w:t>et </w:t>
      </w:r>
      <w:r>
        <w:rPr/>
        <w:t>al., 2013). Este modelo se encuentra validado por US-EPA, permite establecer pronósticos confiables con un mínimo de error. En cuanto a los modelos gaussianos </w:t>
      </w:r>
      <w:r>
        <w:rPr>
          <w:spacing w:val="5"/>
        </w:rPr>
        <w:t>de </w:t>
      </w:r>
      <w:r>
        <w:rPr/>
        <w:t>dispersión, </w:t>
      </w:r>
      <w:r>
        <w:rPr>
          <w:spacing w:val="-3"/>
        </w:rPr>
        <w:t>el </w:t>
      </w:r>
      <w:r>
        <w:rPr/>
        <w:t>modelo geométrico de desviación estándar </w:t>
      </w:r>
      <w:r>
        <w:rPr>
          <w:spacing w:val="12"/>
        </w:rPr>
        <w:t>ha </w:t>
      </w:r>
      <w:r>
        <w:rPr/>
        <w:t>sido utilizado </w:t>
      </w:r>
      <w:r>
        <w:rPr>
          <w:spacing w:val="-3"/>
        </w:rPr>
        <w:t>en </w:t>
      </w:r>
      <w:r>
        <w:rPr/>
        <w:t>la evaluación del comportamiento de contaminantes atmosféricos, principalmente </w:t>
      </w:r>
      <w:r>
        <w:rPr>
          <w:spacing w:val="-3"/>
        </w:rPr>
        <w:t>en </w:t>
      </w:r>
      <w:r>
        <w:rPr/>
        <w:t>PM10. Este modelo se </w:t>
      </w:r>
      <w:r>
        <w:rPr>
          <w:spacing w:val="2"/>
        </w:rPr>
        <w:t>basa </w:t>
      </w:r>
      <w:r>
        <w:rPr>
          <w:spacing w:val="-3"/>
        </w:rPr>
        <w:t>en el </w:t>
      </w:r>
      <w:r>
        <w:rPr/>
        <w:t>uso </w:t>
      </w:r>
      <w:r>
        <w:rPr>
          <w:spacing w:val="5"/>
        </w:rPr>
        <w:t>de </w:t>
      </w:r>
      <w:r>
        <w:rPr/>
        <w:t>las bases de datos obtenidas por estaciones de monitoreo atmosférico, estableciendo pronósticos a través de valores</w:t>
      </w:r>
      <w:r>
        <w:rPr>
          <w:spacing w:val="-15"/>
        </w:rPr>
        <w:t> </w:t>
      </w:r>
      <w:r>
        <w:rPr/>
        <w:t>logarítmicos.</w:t>
      </w:r>
    </w:p>
    <w:p>
      <w:pPr>
        <w:pStyle w:val="BodyText"/>
        <w:spacing w:before="10"/>
      </w:pPr>
    </w:p>
    <w:p>
      <w:pPr>
        <w:pStyle w:val="BodyText"/>
        <w:spacing w:line="360" w:lineRule="auto"/>
        <w:ind w:left="105" w:right="122"/>
        <w:jc w:val="both"/>
      </w:pPr>
      <w:r>
        <w:rPr/>
        <w:t>Es importante señalar que con excepción de los métodos que consideran la información obtenida a través del monitoreo espacial con imágenes satelitales, los otros métodos presentados anteriormente se encuentran basados en el uso de la información   obtenida   por   estaciones   de   monitoreo,   sin    embargo     puede</w:t>
      </w:r>
    </w:p>
    <w:p>
      <w:pPr>
        <w:spacing w:after="0" w:line="360" w:lineRule="auto"/>
        <w:jc w:val="both"/>
        <w:sectPr>
          <w:footerReference w:type="default" r:id="rId16"/>
          <w:pgSz w:w="12240" w:h="15840"/>
          <w:pgMar w:footer="1001" w:header="0" w:top="1360" w:bottom="1200" w:left="1600" w:right="1580"/>
          <w:pgNumType w:start="31"/>
        </w:sectPr>
      </w:pPr>
    </w:p>
    <w:p>
      <w:pPr>
        <w:pStyle w:val="BodyText"/>
        <w:spacing w:line="360" w:lineRule="auto" w:before="48"/>
        <w:ind w:left="105" w:right="110"/>
        <w:jc w:val="both"/>
      </w:pPr>
      <w:r>
        <w:rPr/>
        <w:t>presentarse el conflicto que las bases de datos se encuentren incompletas o haya errores en los parámetros registrados. En este sentido es necesario establecer regresiones estadísticas que permitan generar una estimación para los datos faltantes, uno de los modelos utilizados propuesto por (Botero, 2004) es la aplicación de regresión lineal simple, para los valores de cada variable meteorológica a evaluar y de igual forma los registros de contaminantes atmosféricos.</w:t>
      </w:r>
    </w:p>
    <w:p>
      <w:pPr>
        <w:pStyle w:val="BodyText"/>
        <w:spacing w:before="2"/>
      </w:pPr>
    </w:p>
    <w:p>
      <w:pPr>
        <w:pStyle w:val="BodyText"/>
        <w:spacing w:line="360" w:lineRule="auto"/>
        <w:ind w:left="105" w:right="112"/>
        <w:jc w:val="both"/>
      </w:pPr>
      <w:r>
        <w:rPr/>
        <w:t>Para la representación espacial de los contaminantes atmosféricos, existen diferentes softwares que permiten utilizar las bases de datos para definir modelos espaciales para los valores presentados, así como generar proyecciones </w:t>
      </w:r>
      <w:r>
        <w:rPr>
          <w:spacing w:val="-3"/>
        </w:rPr>
        <w:t>en </w:t>
      </w:r>
      <w:r>
        <w:rPr/>
        <w:t>diferentes escalas </w:t>
      </w:r>
      <w:r>
        <w:rPr>
          <w:spacing w:val="5"/>
        </w:rPr>
        <w:t>de </w:t>
      </w:r>
      <w:r>
        <w:rPr/>
        <w:t>tiempo. Entre los software más utilizados destaca Aermod, </w:t>
      </w:r>
      <w:r>
        <w:rPr>
          <w:spacing w:val="-3"/>
        </w:rPr>
        <w:t>el </w:t>
      </w:r>
      <w:r>
        <w:rPr/>
        <w:t>cuál </w:t>
      </w:r>
      <w:r>
        <w:rPr>
          <w:spacing w:val="-3"/>
        </w:rPr>
        <w:t>es un </w:t>
      </w:r>
      <w:r>
        <w:rPr/>
        <w:t>software especializado que utiliza información meteorológica </w:t>
      </w:r>
      <w:r>
        <w:rPr>
          <w:spacing w:val="-3"/>
        </w:rPr>
        <w:t>en </w:t>
      </w:r>
      <w:r>
        <w:rPr/>
        <w:t>tiempo </w:t>
      </w:r>
      <w:r>
        <w:rPr>
          <w:spacing w:val="-3"/>
        </w:rPr>
        <w:t>real </w:t>
      </w:r>
      <w:r>
        <w:rPr/>
        <w:t>de diferentes satélites, sin embargo su alto costo representa una gran  limitante (Mao, Wilson, &amp; Kort, 2013) </w:t>
      </w:r>
      <w:r>
        <w:rPr>
          <w:spacing w:val="-3"/>
        </w:rPr>
        <w:t>el </w:t>
      </w:r>
      <w:r>
        <w:rPr/>
        <w:t>software Aermod, si bien representa una gran herramienta para la determinación del comportamiento de contaminantes atmosféricos </w:t>
      </w:r>
      <w:r>
        <w:rPr>
          <w:spacing w:val="-3"/>
        </w:rPr>
        <w:t>al </w:t>
      </w:r>
      <w:r>
        <w:rPr/>
        <w:t>contar con la información meteorológica </w:t>
      </w:r>
      <w:r>
        <w:rPr>
          <w:spacing w:val="-3"/>
        </w:rPr>
        <w:t>en </w:t>
      </w:r>
      <w:r>
        <w:rPr/>
        <w:t>tiempo real, requiere ser alimentado con una adecuada base de datos sobre </w:t>
      </w:r>
      <w:r>
        <w:rPr>
          <w:spacing w:val="-3"/>
        </w:rPr>
        <w:t>el </w:t>
      </w:r>
      <w:r>
        <w:rPr/>
        <w:t>contaminante </w:t>
      </w:r>
      <w:r>
        <w:rPr>
          <w:spacing w:val="-3"/>
        </w:rPr>
        <w:t>en </w:t>
      </w:r>
      <w:r>
        <w:rPr/>
        <w:t>particular, entre las potencialidades que ofrece, permite proyectar </w:t>
      </w:r>
      <w:r>
        <w:rPr>
          <w:spacing w:val="-3"/>
        </w:rPr>
        <w:t>en </w:t>
      </w:r>
      <w:r>
        <w:rPr/>
        <w:t>función del pronóstico meteorológico, la calidad del aire para las siguientes 48</w:t>
      </w:r>
      <w:r>
        <w:rPr>
          <w:spacing w:val="-43"/>
        </w:rPr>
        <w:t> </w:t>
      </w:r>
      <w:r>
        <w:rPr/>
        <w:t>horas.</w:t>
      </w:r>
    </w:p>
    <w:p>
      <w:pPr>
        <w:pStyle w:val="BodyText"/>
        <w:spacing w:before="2"/>
      </w:pPr>
    </w:p>
    <w:p>
      <w:pPr>
        <w:pStyle w:val="BodyText"/>
        <w:spacing w:line="360" w:lineRule="auto"/>
        <w:ind w:left="105" w:right="108"/>
        <w:jc w:val="both"/>
      </w:pPr>
      <w:r>
        <w:rPr/>
        <w:t>Dado los costos de Aermod, uno de los software más utilizados  </w:t>
      </w:r>
      <w:r>
        <w:rPr>
          <w:spacing w:val="-3"/>
        </w:rPr>
        <w:t>para  </w:t>
      </w:r>
      <w:r>
        <w:rPr/>
        <w:t>la modelación espacial </w:t>
      </w:r>
      <w:r>
        <w:rPr>
          <w:spacing w:val="-3"/>
        </w:rPr>
        <w:t>es </w:t>
      </w:r>
      <w:r>
        <w:rPr/>
        <w:t>Arcgis, este software permite hacer uso de las  bases  </w:t>
      </w:r>
      <w:r>
        <w:rPr>
          <w:spacing w:val="-3"/>
        </w:rPr>
        <w:t>datos </w:t>
      </w:r>
      <w:r>
        <w:rPr/>
        <w:t>y generar isolíneas de comportamiento tanto para variables meteorológicas, como para variables de calidad del aire (Arciniégas, 2012), Arcgis permite generar buffers, relacionadas a una variable, generando </w:t>
      </w:r>
      <w:r>
        <w:rPr>
          <w:spacing w:val="4"/>
        </w:rPr>
        <w:t>una </w:t>
      </w:r>
      <w:r>
        <w:rPr/>
        <w:t>proyección basada </w:t>
      </w:r>
      <w:r>
        <w:rPr>
          <w:spacing w:val="-3"/>
        </w:rPr>
        <w:t>en </w:t>
      </w:r>
      <w:r>
        <w:rPr/>
        <w:t>modelos estadísticos, </w:t>
      </w:r>
      <w:r>
        <w:rPr>
          <w:spacing w:val="4"/>
        </w:rPr>
        <w:t>que </w:t>
      </w:r>
      <w:r>
        <w:rPr/>
        <w:t>pueden generarse para precipitación,  humedad, heladas, entre otras variables (Meza, Quintero, García, &amp; Ramírez, </w:t>
      </w:r>
      <w:r>
        <w:rPr>
          <w:spacing w:val="2"/>
        </w:rPr>
        <w:t>2010), </w:t>
      </w:r>
      <w:r>
        <w:rPr/>
        <w:t>además de ello Arcgis permite ejecutar algebra </w:t>
      </w:r>
      <w:r>
        <w:rPr>
          <w:spacing w:val="5"/>
        </w:rPr>
        <w:t>de </w:t>
      </w:r>
      <w:r>
        <w:rPr/>
        <w:t>mapas, la cual </w:t>
      </w:r>
      <w:r>
        <w:rPr>
          <w:spacing w:val="-3"/>
        </w:rPr>
        <w:t>es </w:t>
      </w:r>
      <w:r>
        <w:rPr/>
        <w:t>una herramienta que  a partir de modelos matemáticos, combina la información de las diferentes variables de cada mapa temático para generar polígonos que cuentan con las mismas características, dando </w:t>
      </w:r>
      <w:r>
        <w:rPr>
          <w:spacing w:val="-3"/>
        </w:rPr>
        <w:t>en  </w:t>
      </w:r>
      <w:r>
        <w:rPr/>
        <w:t>función de la variable de interés (Romero   </w:t>
      </w:r>
      <w:r>
        <w:rPr>
          <w:spacing w:val="51"/>
        </w:rPr>
        <w:t> </w:t>
      </w:r>
      <w:r>
        <w:rPr/>
        <w:t>and</w:t>
      </w:r>
    </w:p>
    <w:p>
      <w:pPr>
        <w:spacing w:after="0" w:line="360" w:lineRule="auto"/>
        <w:jc w:val="both"/>
        <w:sectPr>
          <w:pgSz w:w="12240" w:h="15840"/>
          <w:pgMar w:header="0" w:footer="1001" w:top="1360" w:bottom="1200" w:left="1600" w:right="1580"/>
        </w:sectPr>
      </w:pPr>
    </w:p>
    <w:p>
      <w:pPr>
        <w:pStyle w:val="BodyText"/>
        <w:spacing w:line="360" w:lineRule="auto" w:before="48"/>
        <w:ind w:left="105" w:right="124"/>
        <w:jc w:val="both"/>
      </w:pPr>
      <w:r>
        <w:rPr/>
        <w:t>Reyes, 2013), </w:t>
      </w:r>
      <w:r>
        <w:rPr>
          <w:spacing w:val="-3"/>
        </w:rPr>
        <w:t>en </w:t>
      </w:r>
      <w:r>
        <w:rPr/>
        <w:t>este sentido la aplicación algebra de mapas, </w:t>
      </w:r>
      <w:r>
        <w:rPr>
          <w:spacing w:val="-3"/>
        </w:rPr>
        <w:t>al </w:t>
      </w:r>
      <w:r>
        <w:rPr/>
        <w:t>combinar las variables meteorológicas, con </w:t>
      </w:r>
      <w:r>
        <w:rPr>
          <w:spacing w:val="5"/>
        </w:rPr>
        <w:t>la </w:t>
      </w:r>
      <w:r>
        <w:rPr/>
        <w:t>información de la red de monitoreo atmosférico permite generar un modelo del comportamiento de las partículas suspendidas </w:t>
      </w:r>
      <w:r>
        <w:rPr>
          <w:spacing w:val="-3"/>
        </w:rPr>
        <w:t>en el</w:t>
      </w:r>
      <w:r>
        <w:rPr>
          <w:spacing w:val="-5"/>
        </w:rPr>
        <w:t> </w:t>
      </w:r>
      <w:r>
        <w:rPr/>
        <w:t>aire.</w:t>
      </w:r>
    </w:p>
    <w:p>
      <w:pPr>
        <w:pStyle w:val="BodyText"/>
        <w:spacing w:before="10"/>
      </w:pPr>
    </w:p>
    <w:p>
      <w:pPr>
        <w:pStyle w:val="BodyText"/>
        <w:spacing w:line="360" w:lineRule="auto"/>
        <w:ind w:left="105" w:right="107"/>
        <w:jc w:val="both"/>
      </w:pPr>
      <w:r>
        <w:rPr/>
        <w:t>Estudios relacionados con el comportamiento de las partículas de polvo han mostrado que es en la estación seca cuando las concentraciones de polvo aumentan y se dispersan con mayor facilidad como menciona(Terralledas, Cmino, Alonxo-Pérez, Basart, &amp; Baldasano, 2012), afectando con ello la visibilidad, condición que puede generar trastornos en actividades como la aeronáutica, o actividades al aire libre, en la temporada de lluvias este tipo de fenómenos prácticamente desaparece.</w:t>
      </w:r>
    </w:p>
    <w:p>
      <w:pPr>
        <w:pStyle w:val="BodyText"/>
        <w:spacing w:before="2"/>
      </w:pPr>
    </w:p>
    <w:p>
      <w:pPr>
        <w:pStyle w:val="BodyText"/>
        <w:spacing w:line="360" w:lineRule="auto"/>
        <w:ind w:left="105" w:right="124"/>
        <w:jc w:val="both"/>
      </w:pPr>
      <w:r>
        <w:rPr/>
        <w:t>Las partículas en general el polvo, presentan un importante efecto en los parámetros atmosféricos, en especial cuando se generan grandes emisiones de este, inhibiendo principalmente la formación de sistemas nubosos al generar la inversión de temperaturas, como fue identificado en el caso de las advecciones de polvo Africano en la costa de Venezuela, donde las principales masas de polvo se generan en el verano boreal (Gutiérrez, 2006).</w:t>
      </w:r>
    </w:p>
    <w:p>
      <w:pPr>
        <w:pStyle w:val="BodyText"/>
        <w:spacing w:before="10"/>
      </w:pPr>
    </w:p>
    <w:p>
      <w:pPr>
        <w:pStyle w:val="BodyText"/>
        <w:spacing w:line="360" w:lineRule="auto"/>
        <w:ind w:left="105" w:right="115"/>
        <w:jc w:val="both"/>
      </w:pPr>
      <w:r>
        <w:rPr/>
        <w:t>A partir de imágenes satelitales y la información de la red de monitoreo griega, (Benas, Beloconi, &amp; Chrysoulakis, 2013) realizaron las estimación de la concentración de PM10 en áreas urbanas, utilizando regresiones lineales, a partir de ello menciona que las principales concentraciones de partículas se presentan en zonas con mayor temperatura, que contribuye a la emisión y dispersión de partículas desde la superficie, así como a la formación de contaminantes secundarios.</w:t>
      </w:r>
    </w:p>
    <w:p>
      <w:pPr>
        <w:pStyle w:val="BodyText"/>
        <w:spacing w:before="10"/>
      </w:pPr>
    </w:p>
    <w:p>
      <w:pPr>
        <w:pStyle w:val="BodyText"/>
        <w:spacing w:line="360" w:lineRule="auto"/>
        <w:ind w:left="105" w:right="115"/>
        <w:jc w:val="both"/>
      </w:pPr>
      <w:r>
        <w:rPr/>
        <w:t>Para la ciudad de Mexicali se ha detectado que las emisiones de partículas en áreas urbanas son afectadas por la incidencia de los procesos erosivos que incrementan las concentraciones de este contaminante como resultado de los procesos de la dinámica de vientos (Meza et al., 2010). En el caso de la ciudad de Chihuahua se observó que las mayores concentraciones de partículas de polvo</w:t>
      </w:r>
    </w:p>
    <w:p>
      <w:pPr>
        <w:spacing w:after="0" w:line="360" w:lineRule="auto"/>
        <w:jc w:val="both"/>
        <w:sectPr>
          <w:pgSz w:w="12240" w:h="15840"/>
          <w:pgMar w:header="0" w:footer="1001" w:top="1360" w:bottom="1200" w:left="1600" w:right="1580"/>
        </w:sectPr>
      </w:pPr>
    </w:p>
    <w:p>
      <w:pPr>
        <w:pStyle w:val="BodyText"/>
        <w:spacing w:line="362" w:lineRule="auto" w:before="48"/>
        <w:ind w:left="105" w:right="126"/>
        <w:jc w:val="both"/>
      </w:pPr>
      <w:r>
        <w:rPr/>
        <w:t>registradas como PM10 se presentan hacia el centro de las ciudad sin embargo en este caso se considera como resultado de la actividad industrial preponderante en la zona (Campos, 2006)</w:t>
      </w:r>
    </w:p>
    <w:p>
      <w:pPr>
        <w:pStyle w:val="BodyText"/>
        <w:spacing w:before="11"/>
        <w:rPr>
          <w:sz w:val="23"/>
        </w:rPr>
      </w:pPr>
    </w:p>
    <w:p>
      <w:pPr>
        <w:pStyle w:val="BodyText"/>
        <w:spacing w:line="360" w:lineRule="auto"/>
        <w:ind w:left="105" w:right="112"/>
        <w:jc w:val="both"/>
      </w:pPr>
      <w:r>
        <w:rPr/>
        <w:t>En la ciudad de Guadalajara mediante </w:t>
      </w:r>
      <w:r>
        <w:rPr>
          <w:spacing w:val="-3"/>
        </w:rPr>
        <w:t>el </w:t>
      </w:r>
      <w:r>
        <w:rPr>
          <w:spacing w:val="3"/>
        </w:rPr>
        <w:t>uso </w:t>
      </w:r>
      <w:r>
        <w:rPr/>
        <w:t>de los datos </w:t>
      </w:r>
      <w:r>
        <w:rPr>
          <w:spacing w:val="5"/>
        </w:rPr>
        <w:t>de </w:t>
      </w:r>
      <w:r>
        <w:rPr/>
        <w:t>la red de monitoreo atmosférico, se realizó </w:t>
      </w:r>
      <w:r>
        <w:rPr>
          <w:spacing w:val="-3"/>
        </w:rPr>
        <w:t>el </w:t>
      </w:r>
      <w:r>
        <w:rPr/>
        <w:t>monitoreo del comportamiento del ozono a través del uso de Arcgis mediante la interpolación por método de Kriging, utilizando la información de las estaciones correspondiente </w:t>
      </w:r>
      <w:r>
        <w:rPr>
          <w:spacing w:val="-3"/>
        </w:rPr>
        <w:t>al </w:t>
      </w:r>
      <w:r>
        <w:rPr/>
        <w:t>año 2005, considerando la topografía, hidrología y </w:t>
      </w:r>
      <w:r>
        <w:rPr>
          <w:spacing w:val="-3"/>
        </w:rPr>
        <w:t>el </w:t>
      </w:r>
      <w:r>
        <w:rPr/>
        <w:t>uso </w:t>
      </w:r>
      <w:r>
        <w:rPr>
          <w:spacing w:val="5"/>
        </w:rPr>
        <w:t>de </w:t>
      </w:r>
      <w:r>
        <w:rPr/>
        <w:t>suelo, con lo cual menciona que las áreas urbanas sin presencia de vegetación son aquellas donde se presenta la </w:t>
      </w:r>
      <w:r>
        <w:rPr>
          <w:spacing w:val="-3"/>
        </w:rPr>
        <w:t>mayor </w:t>
      </w:r>
      <w:r>
        <w:rPr/>
        <w:t>cantidad de</w:t>
      </w:r>
      <w:r>
        <w:rPr>
          <w:spacing w:val="-17"/>
        </w:rPr>
        <w:t> </w:t>
      </w:r>
      <w:r>
        <w:rPr/>
        <w:t>contaminantes.</w:t>
      </w:r>
    </w:p>
    <w:p>
      <w:pPr>
        <w:pStyle w:val="BodyText"/>
        <w:spacing w:before="10"/>
      </w:pPr>
    </w:p>
    <w:p>
      <w:pPr>
        <w:pStyle w:val="BodyText"/>
        <w:spacing w:line="360" w:lineRule="auto"/>
        <w:ind w:left="105" w:right="112"/>
        <w:jc w:val="both"/>
      </w:pPr>
      <w:r>
        <w:rPr/>
        <w:t>Para </w:t>
      </w:r>
      <w:r>
        <w:rPr>
          <w:spacing w:val="5"/>
        </w:rPr>
        <w:t>la </w:t>
      </w:r>
      <w:r>
        <w:rPr/>
        <w:t>zona metropolitana de la ciudad de Toluca, (Hernández R, Madrigral U, &amp; Morales M, 2004) realizaron un estudio </w:t>
      </w:r>
      <w:r>
        <w:rPr>
          <w:spacing w:val="5"/>
        </w:rPr>
        <w:t>de </w:t>
      </w:r>
      <w:r>
        <w:rPr/>
        <w:t>comportamiento para la emisiones de monóxido </w:t>
      </w:r>
      <w:r>
        <w:rPr>
          <w:spacing w:val="5"/>
        </w:rPr>
        <w:t>de </w:t>
      </w:r>
      <w:r>
        <w:rPr/>
        <w:t>carbono, señalando como un factor </w:t>
      </w:r>
      <w:r>
        <w:rPr>
          <w:spacing w:val="5"/>
        </w:rPr>
        <w:t>de </w:t>
      </w:r>
      <w:r>
        <w:rPr/>
        <w:t>importancia la  orografía debido a que los vientos tienden a chocar con las laderas montañosas y ocasionar efectos de valle y montaña, donde disminuyen las temperaturas y aumenta la humedad del aire hasta propiciar lluvias locales, muchas de ellas </w:t>
      </w:r>
      <w:r>
        <w:rPr>
          <w:spacing w:val="-3"/>
        </w:rPr>
        <w:t>en </w:t>
      </w:r>
      <w:r>
        <w:rPr/>
        <w:t>formas concentradas o arremolinadas (trombas) </w:t>
      </w:r>
      <w:r>
        <w:rPr>
          <w:spacing w:val="-3"/>
        </w:rPr>
        <w:t>en </w:t>
      </w:r>
      <w:r>
        <w:rPr/>
        <w:t>los periodos húmedos </w:t>
      </w:r>
      <w:r>
        <w:rPr>
          <w:spacing w:val="4"/>
        </w:rPr>
        <w:t>del </w:t>
      </w:r>
      <w:r>
        <w:rPr>
          <w:spacing w:val="-3"/>
        </w:rPr>
        <w:t>año, </w:t>
      </w:r>
      <w:r>
        <w:rPr/>
        <w:t>mientras </w:t>
      </w:r>
      <w:r>
        <w:rPr>
          <w:spacing w:val="4"/>
        </w:rPr>
        <w:t>que </w:t>
      </w:r>
      <w:r>
        <w:rPr>
          <w:spacing w:val="-3"/>
        </w:rPr>
        <w:t>en el </w:t>
      </w:r>
      <w:r>
        <w:rPr/>
        <w:t>invierno disminuye la actividad de los vientos forma significativa, lo que hace estacionaria la contaminación atmosférica </w:t>
      </w:r>
      <w:r>
        <w:rPr>
          <w:spacing w:val="-3"/>
        </w:rPr>
        <w:t>en </w:t>
      </w:r>
      <w:r>
        <w:rPr/>
        <w:t>relación directa con las bajas temperaturas, dentro </w:t>
      </w:r>
      <w:r>
        <w:rPr>
          <w:spacing w:val="5"/>
        </w:rPr>
        <w:t>de </w:t>
      </w:r>
      <w:r>
        <w:rPr/>
        <w:t>los factores que considera </w:t>
      </w:r>
      <w:r>
        <w:rPr>
          <w:spacing w:val="-3"/>
        </w:rPr>
        <w:t>el </w:t>
      </w:r>
      <w:r>
        <w:rPr/>
        <w:t>estudio se obtuvieron de las estaciones de monitoreo durante la temporada </w:t>
      </w:r>
      <w:r>
        <w:rPr>
          <w:spacing w:val="5"/>
        </w:rPr>
        <w:t>de </w:t>
      </w:r>
      <w:r>
        <w:rPr/>
        <w:t>lluvias (verano) y </w:t>
      </w:r>
      <w:r>
        <w:rPr>
          <w:spacing w:val="-3"/>
        </w:rPr>
        <w:t>en </w:t>
      </w:r>
      <w:r>
        <w:rPr/>
        <w:t>la estación de secas (invierno), que son las más representativas de las condiciones extremas de carácter climático, y por ende también de la concentración de este gas. Igualmente </w:t>
      </w:r>
      <w:r>
        <w:rPr>
          <w:spacing w:val="3"/>
        </w:rPr>
        <w:t>se </w:t>
      </w:r>
      <w:r>
        <w:rPr/>
        <w:t>analiza su actuación espacial o de distribución </w:t>
      </w:r>
      <w:r>
        <w:rPr>
          <w:spacing w:val="-3"/>
        </w:rPr>
        <w:t>en </w:t>
      </w:r>
      <w:r>
        <w:rPr/>
        <w:t>las mismas estaciones, tomando </w:t>
      </w:r>
      <w:r>
        <w:rPr>
          <w:spacing w:val="2"/>
        </w:rPr>
        <w:t>como </w:t>
      </w:r>
      <w:r>
        <w:rPr/>
        <w:t>referencia </w:t>
      </w:r>
      <w:r>
        <w:rPr>
          <w:spacing w:val="-3"/>
        </w:rPr>
        <w:t>el </w:t>
      </w:r>
      <w:r>
        <w:rPr/>
        <w:t>comportamiento </w:t>
      </w:r>
      <w:r>
        <w:rPr>
          <w:spacing w:val="-3"/>
        </w:rPr>
        <w:t>en </w:t>
      </w:r>
      <w:r>
        <w:rPr/>
        <w:t>1995 y </w:t>
      </w:r>
      <w:r>
        <w:rPr>
          <w:spacing w:val="-3"/>
        </w:rPr>
        <w:t>en </w:t>
      </w:r>
      <w:r>
        <w:rPr/>
        <w:t>2001. Finalmente, como complemento de la correlación entre factores climáticos y de concentración, </w:t>
      </w:r>
      <w:r>
        <w:rPr>
          <w:spacing w:val="3"/>
        </w:rPr>
        <w:t>se </w:t>
      </w:r>
      <w:r>
        <w:rPr/>
        <w:t>observa su comportamiento promedio a lo largo </w:t>
      </w:r>
      <w:r>
        <w:rPr>
          <w:spacing w:val="5"/>
        </w:rPr>
        <w:t>de </w:t>
      </w:r>
      <w:r>
        <w:rPr/>
        <w:t>24 horas </w:t>
      </w:r>
      <w:r>
        <w:rPr>
          <w:spacing w:val="-3"/>
        </w:rPr>
        <w:t>en </w:t>
      </w:r>
      <w:r>
        <w:rPr/>
        <w:t>las estaciones </w:t>
      </w:r>
      <w:r>
        <w:rPr>
          <w:spacing w:val="4"/>
        </w:rPr>
        <w:t>que </w:t>
      </w:r>
      <w:r>
        <w:rPr/>
        <w:t>tienen los patrones más representativos de</w:t>
      </w:r>
      <w:r>
        <w:rPr>
          <w:spacing w:val="-18"/>
        </w:rPr>
        <w:t> </w:t>
      </w:r>
      <w:r>
        <w:rPr/>
        <w:t>concentración.</w:t>
      </w:r>
    </w:p>
    <w:p>
      <w:pPr>
        <w:spacing w:after="0" w:line="360" w:lineRule="auto"/>
        <w:jc w:val="both"/>
        <w:sectPr>
          <w:pgSz w:w="12240" w:h="15840"/>
          <w:pgMar w:header="0" w:footer="1001" w:top="1360" w:bottom="1200" w:left="1600" w:right="1580"/>
        </w:sectPr>
      </w:pPr>
    </w:p>
    <w:p>
      <w:pPr>
        <w:pStyle w:val="BodyText"/>
        <w:spacing w:line="360" w:lineRule="auto" w:before="48"/>
        <w:ind w:left="105" w:right="112"/>
        <w:jc w:val="both"/>
      </w:pPr>
      <w:r>
        <w:rPr/>
        <w:t>A partir de los resultados obtenidos, (Hernández R </w:t>
      </w:r>
      <w:r>
        <w:rPr>
          <w:spacing w:val="-3"/>
        </w:rPr>
        <w:t>et </w:t>
      </w:r>
      <w:r>
        <w:rPr/>
        <w:t>al., 2004) señalan que la acción del viento </w:t>
      </w:r>
      <w:r>
        <w:rPr>
          <w:spacing w:val="-3"/>
        </w:rPr>
        <w:t>es </w:t>
      </w:r>
      <w:r>
        <w:rPr/>
        <w:t>crucial, ya que desarrolla un patrón de distribución gradual  que va </w:t>
      </w:r>
      <w:r>
        <w:rPr>
          <w:spacing w:val="5"/>
        </w:rPr>
        <w:t>de </w:t>
      </w:r>
      <w:r>
        <w:rPr/>
        <w:t>sureste a noroeste de la zona incluida, Los vientos dominantes </w:t>
      </w:r>
      <w:r>
        <w:rPr>
          <w:spacing w:val="-3"/>
        </w:rPr>
        <w:t>en el </w:t>
      </w:r>
      <w:r>
        <w:rPr/>
        <w:t>valle corren </w:t>
      </w:r>
      <w:r>
        <w:rPr>
          <w:spacing w:val="5"/>
        </w:rPr>
        <w:t>de </w:t>
      </w:r>
      <w:r>
        <w:rPr/>
        <w:t>suroeste a noreste durante </w:t>
      </w:r>
      <w:r>
        <w:rPr>
          <w:spacing w:val="-3"/>
        </w:rPr>
        <w:t>el </w:t>
      </w:r>
      <w:r>
        <w:rPr/>
        <w:t>verano, y ocasionalmente de sureste a noroeste, prácticamente </w:t>
      </w:r>
      <w:r>
        <w:rPr>
          <w:spacing w:val="-3"/>
        </w:rPr>
        <w:t>en </w:t>
      </w:r>
      <w:r>
        <w:rPr/>
        <w:t>forma diagonal a </w:t>
      </w:r>
      <w:r>
        <w:rPr>
          <w:spacing w:val="5"/>
        </w:rPr>
        <w:t>la </w:t>
      </w:r>
      <w:r>
        <w:rPr/>
        <w:t>forma como </w:t>
      </w:r>
      <w:r>
        <w:rPr>
          <w:spacing w:val="3"/>
        </w:rPr>
        <w:t>se </w:t>
      </w:r>
      <w:r>
        <w:rPr/>
        <w:t>distribuyen los valores, </w:t>
      </w:r>
      <w:r>
        <w:rPr>
          <w:spacing w:val="5"/>
        </w:rPr>
        <w:t>lo </w:t>
      </w:r>
      <w:r>
        <w:rPr/>
        <w:t>que implica </w:t>
      </w:r>
      <w:r>
        <w:rPr>
          <w:spacing w:val="-3"/>
        </w:rPr>
        <w:t>en </w:t>
      </w:r>
      <w:r>
        <w:rPr/>
        <w:t>gran medida una circulación muy local que obliga a las </w:t>
      </w:r>
      <w:r>
        <w:rPr>
          <w:spacing w:val="-3"/>
        </w:rPr>
        <w:t>masas </w:t>
      </w:r>
      <w:r>
        <w:rPr/>
        <w:t>de CO a concentrarse hacia </w:t>
      </w:r>
      <w:r>
        <w:rPr>
          <w:spacing w:val="-3"/>
        </w:rPr>
        <w:t>el </w:t>
      </w:r>
      <w:r>
        <w:rPr/>
        <w:t>sureste y dispersarse hacia </w:t>
      </w:r>
      <w:r>
        <w:rPr>
          <w:spacing w:val="-3"/>
        </w:rPr>
        <w:t>el</w:t>
      </w:r>
      <w:r>
        <w:rPr>
          <w:spacing w:val="-2"/>
        </w:rPr>
        <w:t> </w:t>
      </w:r>
      <w:r>
        <w:rPr/>
        <w:t>noroeste.</w:t>
      </w:r>
    </w:p>
    <w:p>
      <w:pPr>
        <w:pStyle w:val="BodyText"/>
        <w:spacing w:before="2"/>
      </w:pPr>
    </w:p>
    <w:p>
      <w:pPr>
        <w:pStyle w:val="BodyText"/>
        <w:spacing w:line="362" w:lineRule="auto"/>
        <w:ind w:left="105" w:right="111"/>
        <w:jc w:val="both"/>
      </w:pPr>
      <w:r>
        <w:rPr/>
        <w:t>Los factores considerados para el estudio anterior son temperatura, dirección de los vientos, velocidad de los vientos, humedad, precipitación, frentes, que en el caso de los primeros cuatro coinciden con variables consideradas en los modelos mencionados previamente.</w:t>
      </w:r>
    </w:p>
    <w:p>
      <w:pPr>
        <w:pStyle w:val="BodyText"/>
        <w:spacing w:before="11"/>
        <w:rPr>
          <w:sz w:val="23"/>
        </w:rPr>
      </w:pPr>
    </w:p>
    <w:p>
      <w:pPr>
        <w:pStyle w:val="BodyText"/>
        <w:spacing w:line="360" w:lineRule="auto"/>
        <w:ind w:left="105" w:right="112"/>
        <w:jc w:val="both"/>
      </w:pPr>
      <w:r>
        <w:rPr/>
        <w:t>Por otro lado respecto a las variaciones meteorológicas que pueden presentarse </w:t>
      </w:r>
      <w:r>
        <w:rPr>
          <w:spacing w:val="-3"/>
        </w:rPr>
        <w:t>en </w:t>
      </w:r>
      <w:r>
        <w:rPr/>
        <w:t>la zona </w:t>
      </w:r>
      <w:r>
        <w:rPr>
          <w:spacing w:val="5"/>
        </w:rPr>
        <w:t>de </w:t>
      </w:r>
      <w:r>
        <w:rPr/>
        <w:t>estudio (Morales, Madrigal, &amp; González, </w:t>
      </w:r>
      <w:r>
        <w:rPr>
          <w:spacing w:val="2"/>
        </w:rPr>
        <w:t>2007), </w:t>
      </w:r>
      <w:r>
        <w:rPr/>
        <w:t>reportan que se generan islas de calor las cuales generan variaciones </w:t>
      </w:r>
      <w:r>
        <w:rPr>
          <w:spacing w:val="-3"/>
        </w:rPr>
        <w:t>en </w:t>
      </w:r>
      <w:r>
        <w:rPr>
          <w:spacing w:val="5"/>
        </w:rPr>
        <w:t>la </w:t>
      </w:r>
      <w:r>
        <w:rPr/>
        <w:t>temperatura de que van de dos a cinco grados centígrados, por lo cual </w:t>
      </w:r>
      <w:r>
        <w:rPr>
          <w:spacing w:val="-3"/>
        </w:rPr>
        <w:t>es </w:t>
      </w:r>
      <w:r>
        <w:rPr/>
        <w:t>un elemento a considerar </w:t>
      </w:r>
      <w:r>
        <w:rPr>
          <w:spacing w:val="-3"/>
        </w:rPr>
        <w:t>en </w:t>
      </w:r>
      <w:r>
        <w:rPr/>
        <w:t>la influencia que </w:t>
      </w:r>
      <w:r>
        <w:rPr>
          <w:spacing w:val="-3"/>
        </w:rPr>
        <w:t>estas </w:t>
      </w:r>
      <w:r>
        <w:rPr/>
        <w:t>islas de calor pueden generar </w:t>
      </w:r>
      <w:r>
        <w:rPr>
          <w:spacing w:val="-3"/>
        </w:rPr>
        <w:t>en el </w:t>
      </w:r>
      <w:r>
        <w:rPr/>
        <w:t>comportamiento de las partículas y otros contaminantes</w:t>
      </w:r>
      <w:r>
        <w:rPr>
          <w:spacing w:val="-20"/>
        </w:rPr>
        <w:t> </w:t>
      </w:r>
      <w:r>
        <w:rPr/>
        <w:t>atmosféricos.</w:t>
      </w:r>
    </w:p>
    <w:p>
      <w:pPr>
        <w:pStyle w:val="BodyText"/>
        <w:spacing w:before="10"/>
      </w:pPr>
    </w:p>
    <w:p>
      <w:pPr>
        <w:pStyle w:val="BodyText"/>
        <w:spacing w:line="360" w:lineRule="auto"/>
        <w:ind w:left="105" w:right="112"/>
        <w:jc w:val="both"/>
      </w:pPr>
      <w:r>
        <w:rPr/>
        <w:t>En </w:t>
      </w:r>
      <w:r>
        <w:rPr>
          <w:spacing w:val="-3"/>
        </w:rPr>
        <w:t>el </w:t>
      </w:r>
      <w:r>
        <w:rPr/>
        <w:t>caso de partículas para la zona metropolitana de </w:t>
      </w:r>
      <w:r>
        <w:rPr>
          <w:spacing w:val="5"/>
        </w:rPr>
        <w:t>la </w:t>
      </w:r>
      <w:r>
        <w:rPr/>
        <w:t>ciudad de Toluca(R. Flores, Jesús Hernán et al., </w:t>
      </w:r>
      <w:r>
        <w:rPr>
          <w:spacing w:val="2"/>
        </w:rPr>
        <w:t>2010), </w:t>
      </w:r>
      <w:r>
        <w:rPr/>
        <w:t>realizaron la modelación de partículas PM10 para </w:t>
      </w:r>
      <w:r>
        <w:rPr>
          <w:spacing w:val="-3"/>
        </w:rPr>
        <w:t>el </w:t>
      </w:r>
      <w:r>
        <w:rPr/>
        <w:t>periodo de 1998 a 2006, a partir de los datos de la base de datos </w:t>
      </w:r>
      <w:r>
        <w:rPr>
          <w:spacing w:val="5"/>
        </w:rPr>
        <w:t>de </w:t>
      </w:r>
      <w:r>
        <w:rPr/>
        <w:t>la Red Automática </w:t>
      </w:r>
      <w:r>
        <w:rPr>
          <w:spacing w:val="5"/>
        </w:rPr>
        <w:t>de </w:t>
      </w:r>
      <w:r>
        <w:rPr/>
        <w:t>Monitoreo Atmosférico de la Toluca, a través del método</w:t>
      </w:r>
      <w:r>
        <w:rPr>
          <w:spacing w:val="-37"/>
        </w:rPr>
        <w:t> </w:t>
      </w:r>
      <w:r>
        <w:rPr/>
        <w:t>estadístico de valores extremos, para modelar valores de predicción, a partir del conjunto de </w:t>
      </w:r>
      <w:r>
        <w:rPr>
          <w:spacing w:val="-3"/>
        </w:rPr>
        <w:t>datos </w:t>
      </w:r>
      <w:r>
        <w:rPr/>
        <w:t>anuales, sin embargo </w:t>
      </w:r>
      <w:r>
        <w:rPr>
          <w:spacing w:val="-3"/>
        </w:rPr>
        <w:t>en </w:t>
      </w:r>
      <w:r>
        <w:rPr/>
        <w:t>este estudio únicamente se consideraron  las  PM10, sin </w:t>
      </w:r>
      <w:r>
        <w:rPr>
          <w:spacing w:val="-3"/>
        </w:rPr>
        <w:t>tomar en </w:t>
      </w:r>
      <w:r>
        <w:rPr/>
        <w:t>cuenta la influencia de las variables</w:t>
      </w:r>
      <w:r>
        <w:rPr>
          <w:spacing w:val="-3"/>
        </w:rPr>
        <w:t> </w:t>
      </w:r>
      <w:r>
        <w:rPr/>
        <w:t>meteorológicas.</w:t>
      </w:r>
    </w:p>
    <w:p>
      <w:pPr>
        <w:pStyle w:val="BodyText"/>
        <w:spacing w:before="10"/>
      </w:pPr>
    </w:p>
    <w:p>
      <w:pPr>
        <w:pStyle w:val="BodyText"/>
        <w:spacing w:line="360" w:lineRule="auto"/>
        <w:ind w:left="105" w:right="115"/>
        <w:jc w:val="both"/>
      </w:pPr>
      <w:r>
        <w:rPr/>
        <w:t>(Morelos Martínez, 2009) a través de un análisis univariente para la ZMCT, menciona que los periodos de mayor concentración de partículas se presentan en el mes de febrero a abril, siendo la zona norte donde se generan las máximas concentraciones, condición determinada por la dirección del viento en la zona, a</w:t>
      </w:r>
    </w:p>
    <w:p>
      <w:pPr>
        <w:spacing w:after="0" w:line="360" w:lineRule="auto"/>
        <w:jc w:val="both"/>
        <w:sectPr>
          <w:pgSz w:w="12240" w:h="15840"/>
          <w:pgMar w:header="0" w:footer="1001" w:top="1360" w:bottom="1200" w:left="1600" w:right="1580"/>
        </w:sectPr>
      </w:pPr>
    </w:p>
    <w:p>
      <w:pPr>
        <w:pStyle w:val="BodyText"/>
        <w:spacing w:line="362" w:lineRule="auto" w:before="48"/>
        <w:ind w:left="105" w:right="133"/>
        <w:jc w:val="both"/>
      </w:pPr>
      <w:r>
        <w:rPr/>
        <w:t>partir de los registros de la red de monitoreo atmosférico correspondientes al periodo 1998-2005.</w:t>
      </w:r>
    </w:p>
    <w:p>
      <w:pPr>
        <w:pStyle w:val="BodyText"/>
        <w:spacing w:before="7"/>
      </w:pPr>
    </w:p>
    <w:p>
      <w:pPr>
        <w:pStyle w:val="BodyText"/>
        <w:spacing w:line="360" w:lineRule="auto" w:before="1"/>
        <w:ind w:left="105" w:right="111"/>
        <w:jc w:val="both"/>
      </w:pPr>
      <w:r>
        <w:rPr/>
        <w:t>Romero E. (2011) reporta como resultado de los factores meteorológicos y la dinámica de los vientos la mayor concentración de partículas se presenta en la zona norte de la ZMCT, presentándose partículas de origen industrial como el carbón, azufre, vanadio y níquel, así como partículas compuestas por aluminio, oxígeno y sílice provenientes de los procesos erosivos, como de igual forma se presentan polen, esporas y fragmentos de insectos y ameba.</w:t>
      </w:r>
    </w:p>
    <w:p>
      <w:pPr>
        <w:pStyle w:val="BodyText"/>
        <w:rPr>
          <w:sz w:val="25"/>
        </w:rPr>
      </w:pPr>
    </w:p>
    <w:p>
      <w:pPr>
        <w:pStyle w:val="Heading2"/>
        <w:numPr>
          <w:ilvl w:val="1"/>
          <w:numId w:val="6"/>
        </w:numPr>
        <w:tabs>
          <w:tab w:pos="538" w:val="left" w:leader="none"/>
        </w:tabs>
        <w:spacing w:line="240" w:lineRule="auto" w:before="0" w:after="0"/>
        <w:ind w:left="537" w:right="0" w:hanging="432"/>
        <w:jc w:val="both"/>
        <w:rPr>
          <w:color w:val="4F81BC"/>
        </w:rPr>
      </w:pPr>
      <w:bookmarkStart w:name="_bookmark18" w:id="29"/>
      <w:bookmarkEnd w:id="29"/>
      <w:r>
        <w:rPr>
          <w:b w:val="0"/>
        </w:rPr>
      </w:r>
      <w:bookmarkStart w:name="_bookmark18" w:id="30"/>
      <w:bookmarkEnd w:id="30"/>
      <w:r>
        <w:rPr>
          <w:color w:val="4F81BC"/>
          <w:spacing w:val="-3"/>
        </w:rPr>
        <w:t>D</w:t>
      </w:r>
      <w:r>
        <w:rPr>
          <w:color w:val="4F81BC"/>
          <w:spacing w:val="-3"/>
        </w:rPr>
        <w:t>iseño </w:t>
      </w:r>
      <w:r>
        <w:rPr>
          <w:color w:val="4F81BC"/>
        </w:rPr>
        <w:t>y estructura </w:t>
      </w:r>
      <w:r>
        <w:rPr>
          <w:color w:val="4F81BC"/>
          <w:spacing w:val="-3"/>
        </w:rPr>
        <w:t>de </w:t>
      </w:r>
      <w:r>
        <w:rPr>
          <w:color w:val="4F81BC"/>
        </w:rPr>
        <w:t>la</w:t>
      </w:r>
      <w:r>
        <w:rPr>
          <w:color w:val="4F81BC"/>
          <w:spacing w:val="46"/>
        </w:rPr>
        <w:t> </w:t>
      </w:r>
      <w:r>
        <w:rPr>
          <w:color w:val="4F81BC"/>
          <w:spacing w:val="-3"/>
        </w:rPr>
        <w:t>investigación</w:t>
      </w:r>
    </w:p>
    <w:p>
      <w:pPr>
        <w:pStyle w:val="BodyText"/>
        <w:spacing w:before="4"/>
        <w:rPr>
          <w:rFonts w:ascii="Cambria"/>
          <w:b/>
          <w:sz w:val="21"/>
        </w:rPr>
      </w:pPr>
    </w:p>
    <w:p>
      <w:pPr>
        <w:pStyle w:val="Heading3"/>
        <w:numPr>
          <w:ilvl w:val="2"/>
          <w:numId w:val="6"/>
        </w:numPr>
        <w:tabs>
          <w:tab w:pos="705" w:val="left" w:leader="none"/>
        </w:tabs>
        <w:spacing w:line="240" w:lineRule="auto" w:before="0" w:after="0"/>
        <w:ind w:left="704" w:right="0" w:hanging="599"/>
        <w:jc w:val="both"/>
        <w:rPr>
          <w:color w:val="4F81BC"/>
        </w:rPr>
      </w:pPr>
      <w:bookmarkStart w:name="_bookmark19" w:id="31"/>
      <w:bookmarkEnd w:id="31"/>
      <w:r>
        <w:rPr>
          <w:b w:val="0"/>
        </w:rPr>
      </w:r>
      <w:bookmarkStart w:name="_bookmark19" w:id="32"/>
      <w:bookmarkEnd w:id="32"/>
      <w:r>
        <w:rPr>
          <w:color w:val="4F81BC"/>
        </w:rPr>
        <w:t>J</w:t>
      </w:r>
      <w:r>
        <w:rPr>
          <w:color w:val="4F81BC"/>
        </w:rPr>
        <w:t>ustificación</w:t>
      </w:r>
    </w:p>
    <w:p>
      <w:pPr>
        <w:pStyle w:val="BodyText"/>
        <w:spacing w:before="9"/>
        <w:rPr>
          <w:rFonts w:ascii="Cambria"/>
          <w:b/>
          <w:sz w:val="26"/>
        </w:rPr>
      </w:pPr>
    </w:p>
    <w:p>
      <w:pPr>
        <w:pStyle w:val="BodyText"/>
        <w:spacing w:line="360" w:lineRule="auto"/>
        <w:ind w:left="105" w:right="106"/>
        <w:jc w:val="both"/>
      </w:pPr>
      <w:r>
        <w:rPr/>
        <w:t>En </w:t>
      </w:r>
      <w:r>
        <w:rPr>
          <w:spacing w:val="-3"/>
        </w:rPr>
        <w:t>años </w:t>
      </w:r>
      <w:r>
        <w:rPr/>
        <w:t>recientes las investigaciones referentes a la contaminación  atmosférica se han concentrado </w:t>
      </w:r>
      <w:r>
        <w:rPr>
          <w:spacing w:val="-3"/>
        </w:rPr>
        <w:t>en </w:t>
      </w:r>
      <w:r>
        <w:rPr/>
        <w:t>las emisiones </w:t>
      </w:r>
      <w:r>
        <w:rPr>
          <w:spacing w:val="5"/>
        </w:rPr>
        <w:t>de </w:t>
      </w:r>
      <w:r>
        <w:rPr/>
        <w:t>gases </w:t>
      </w:r>
      <w:r>
        <w:rPr>
          <w:spacing w:val="5"/>
        </w:rPr>
        <w:t>de </w:t>
      </w:r>
      <w:r>
        <w:rPr/>
        <w:t>efecto invernadero y PM2.5, </w:t>
      </w:r>
      <w:r>
        <w:rPr>
          <w:spacing w:val="-3"/>
        </w:rPr>
        <w:t>en el </w:t>
      </w:r>
      <w:r>
        <w:rPr/>
        <w:t>caso de la ciudad de Toluca </w:t>
      </w:r>
      <w:r>
        <w:rPr>
          <w:spacing w:val="-3"/>
        </w:rPr>
        <w:t>el </w:t>
      </w:r>
      <w:r>
        <w:rPr/>
        <w:t>principal problema de contaminación atmosférica </w:t>
      </w:r>
      <w:r>
        <w:rPr>
          <w:spacing w:val="-3"/>
        </w:rPr>
        <w:t>es </w:t>
      </w:r>
      <w:r>
        <w:rPr/>
        <w:t>la contaminación por partículas de polvo </w:t>
      </w:r>
      <w:r>
        <w:rPr>
          <w:spacing w:val="2"/>
        </w:rPr>
        <w:t>PM</w:t>
      </w:r>
      <w:r>
        <w:rPr>
          <w:spacing w:val="2"/>
          <w:position w:val="-2"/>
          <w:sz w:val="16"/>
        </w:rPr>
        <w:t>10 </w:t>
      </w:r>
      <w:r>
        <w:rPr/>
        <w:t>(INE, 2011).Las partículas de polvo de igual o menor tamaño a 10 micras se encuentran dentro de </w:t>
      </w:r>
      <w:r>
        <w:rPr>
          <w:spacing w:val="5"/>
        </w:rPr>
        <w:t>la </w:t>
      </w:r>
      <w:r>
        <w:rPr/>
        <w:t>fracción respirable, por lo cual pueden llegar a penetrar </w:t>
      </w:r>
      <w:r>
        <w:rPr>
          <w:spacing w:val="-3"/>
        </w:rPr>
        <w:t>en </w:t>
      </w:r>
      <w:r>
        <w:rPr/>
        <w:t>los pulmones afectando </w:t>
      </w:r>
      <w:r>
        <w:rPr>
          <w:spacing w:val="5"/>
        </w:rPr>
        <w:t>la </w:t>
      </w:r>
      <w:r>
        <w:rPr>
          <w:spacing w:val="2"/>
        </w:rPr>
        <w:t>salud </w:t>
      </w:r>
      <w:r>
        <w:rPr/>
        <w:t>humana y de otros seres vivos. En los últimos años las concentraciones  </w:t>
      </w:r>
      <w:r>
        <w:rPr>
          <w:spacing w:val="20"/>
        </w:rPr>
        <w:t> </w:t>
      </w:r>
      <w:r>
        <w:rPr/>
        <w:t>registran</w:t>
      </w:r>
    </w:p>
    <w:p>
      <w:pPr>
        <w:pStyle w:val="BodyText"/>
        <w:spacing w:line="343" w:lineRule="auto" w:before="6"/>
        <w:ind w:left="105" w:right="106"/>
        <w:jc w:val="both"/>
      </w:pPr>
      <w:r>
        <w:rPr/>
        <w:t>niveles por encima de la Norma Oficial Mexicana NOM-025-SSA1. La última modificación en 20014 establece el límite máximo permisible de 75 mcg/m</w:t>
      </w:r>
      <w:r>
        <w:rPr>
          <w:position w:val="11"/>
          <w:sz w:val="16"/>
        </w:rPr>
        <w:t>3 </w:t>
      </w:r>
      <w:r>
        <w:rPr/>
        <w:t>promedio de 24  horas.  La  evolución  del  contaminante muestra una tendencia a</w:t>
      </w:r>
    </w:p>
    <w:p>
      <w:pPr>
        <w:pStyle w:val="BodyText"/>
        <w:spacing w:line="360" w:lineRule="auto" w:before="25"/>
        <w:ind w:left="105" w:right="112"/>
        <w:jc w:val="both"/>
      </w:pPr>
      <w:r>
        <w:rPr/>
        <w:t>rebasar la norma diaria </w:t>
      </w:r>
      <w:r>
        <w:rPr>
          <w:spacing w:val="-3"/>
        </w:rPr>
        <w:t>en </w:t>
      </w:r>
      <w:r>
        <w:rPr/>
        <w:t>las siete estaciones </w:t>
      </w:r>
      <w:r>
        <w:rPr>
          <w:spacing w:val="5"/>
        </w:rPr>
        <w:t>de </w:t>
      </w:r>
      <w:r>
        <w:rPr/>
        <w:t>monitoreo de manera frecuente(SEMARNAT, 2012), por ello </w:t>
      </w:r>
      <w:r>
        <w:rPr>
          <w:spacing w:val="-3"/>
        </w:rPr>
        <w:t>es </w:t>
      </w:r>
      <w:r>
        <w:rPr/>
        <w:t>necesario determinar </w:t>
      </w:r>
      <w:r>
        <w:rPr>
          <w:spacing w:val="-3"/>
        </w:rPr>
        <w:t>el </w:t>
      </w:r>
      <w:r>
        <w:rPr/>
        <w:t>comportamiento espacial identificando áreas de acumulación y concentración, así </w:t>
      </w:r>
      <w:r>
        <w:rPr>
          <w:spacing w:val="2"/>
        </w:rPr>
        <w:t>como </w:t>
      </w:r>
      <w:r>
        <w:rPr/>
        <w:t>las principales fuentes de emisión, a fin </w:t>
      </w:r>
      <w:r>
        <w:rPr>
          <w:spacing w:val="5"/>
        </w:rPr>
        <w:t>de </w:t>
      </w:r>
      <w:r>
        <w:rPr/>
        <w:t>poder generar estrategias </w:t>
      </w:r>
      <w:r>
        <w:rPr>
          <w:spacing w:val="5"/>
        </w:rPr>
        <w:t>de </w:t>
      </w:r>
      <w:r>
        <w:rPr/>
        <w:t>mitigación y gestión de la calidad del aire, permitiendo contribuir </w:t>
      </w:r>
      <w:r>
        <w:rPr>
          <w:spacing w:val="-3"/>
        </w:rPr>
        <w:t>en el </w:t>
      </w:r>
      <w:r>
        <w:rPr/>
        <w:t>mejoramiento de la habitabilidad urbana de </w:t>
      </w:r>
      <w:r>
        <w:rPr>
          <w:spacing w:val="5"/>
        </w:rPr>
        <w:t>la </w:t>
      </w:r>
      <w:r>
        <w:rPr/>
        <w:t>zona metropolitana </w:t>
      </w:r>
      <w:r>
        <w:rPr>
          <w:spacing w:val="5"/>
        </w:rPr>
        <w:t>de</w:t>
      </w:r>
      <w:r>
        <w:rPr>
          <w:spacing w:val="-46"/>
        </w:rPr>
        <w:t> </w:t>
      </w:r>
      <w:r>
        <w:rPr/>
        <w:t>Toluca.</w:t>
      </w:r>
    </w:p>
    <w:p>
      <w:pPr>
        <w:spacing w:after="0" w:line="360" w:lineRule="auto"/>
        <w:jc w:val="both"/>
        <w:sectPr>
          <w:pgSz w:w="12240" w:h="15840"/>
          <w:pgMar w:header="0" w:footer="1001" w:top="1360" w:bottom="1200" w:left="1600" w:right="1580"/>
        </w:sectPr>
      </w:pPr>
    </w:p>
    <w:p>
      <w:pPr>
        <w:pStyle w:val="Heading3"/>
        <w:numPr>
          <w:ilvl w:val="2"/>
          <w:numId w:val="6"/>
        </w:numPr>
        <w:tabs>
          <w:tab w:pos="754" w:val="left" w:leader="none"/>
        </w:tabs>
        <w:spacing w:line="240" w:lineRule="auto" w:before="53" w:after="0"/>
        <w:ind w:left="753" w:right="0" w:hanging="592"/>
        <w:jc w:val="both"/>
        <w:rPr>
          <w:color w:val="4F81BC"/>
        </w:rPr>
      </w:pPr>
      <w:bookmarkStart w:name="_bookmark20" w:id="33"/>
      <w:bookmarkEnd w:id="33"/>
      <w:r>
        <w:rPr>
          <w:b w:val="0"/>
        </w:rPr>
      </w:r>
      <w:bookmarkStart w:name="_bookmark20" w:id="34"/>
      <w:bookmarkEnd w:id="34"/>
      <w:r>
        <w:rPr>
          <w:color w:val="4F81BC"/>
        </w:rPr>
        <w:t>P</w:t>
      </w:r>
      <w:r>
        <w:rPr>
          <w:color w:val="4F81BC"/>
        </w:rPr>
        <w:t>lanteamiento  del</w:t>
      </w:r>
      <w:r>
        <w:rPr>
          <w:color w:val="4F81BC"/>
          <w:spacing w:val="-10"/>
        </w:rPr>
        <w:t> </w:t>
      </w:r>
      <w:r>
        <w:rPr>
          <w:color w:val="4F81BC"/>
        </w:rPr>
        <w:t>problema</w:t>
      </w:r>
    </w:p>
    <w:p>
      <w:pPr>
        <w:pStyle w:val="BodyText"/>
        <w:spacing w:before="5"/>
        <w:rPr>
          <w:rFonts w:ascii="Cambria"/>
          <w:b/>
          <w:sz w:val="27"/>
        </w:rPr>
      </w:pPr>
    </w:p>
    <w:p>
      <w:pPr>
        <w:pStyle w:val="BodyText"/>
        <w:spacing w:line="360" w:lineRule="auto"/>
        <w:ind w:left="105" w:right="103"/>
        <w:jc w:val="both"/>
      </w:pPr>
      <w:r>
        <w:rPr/>
        <w:t>La contaminación atmosférica es uno de los principales problemas  ambientales con visibles repercusiones en la salud, de acuerdo con la Organización Mundial de la Salud (OMS), se estima que para 2004 1.5 millones de personas perecieron a causa de cáncer de pulmón, enfermedades cardiorrespiratorias e infecciones respiratorias como consecuencia de la exposición a la contaminación atmosférica principalmente en zonas urbanas (Martuzzi et al., 2006).</w:t>
      </w:r>
    </w:p>
    <w:p>
      <w:pPr>
        <w:pStyle w:val="BodyText"/>
        <w:spacing w:before="10"/>
      </w:pPr>
    </w:p>
    <w:p>
      <w:pPr>
        <w:pStyle w:val="BodyText"/>
        <w:spacing w:line="360" w:lineRule="auto"/>
        <w:ind w:left="105" w:right="116"/>
        <w:jc w:val="both"/>
      </w:pPr>
      <w:r>
        <w:rPr/>
        <w:t>En México se estima que entre 2001 y 2005, 38 </w:t>
      </w:r>
      <w:r>
        <w:rPr>
          <w:spacing w:val="-2"/>
        </w:rPr>
        <w:t>mil </w:t>
      </w:r>
      <w:r>
        <w:rPr/>
        <w:t>personas murieron a </w:t>
      </w:r>
      <w:r>
        <w:rPr>
          <w:spacing w:val="2"/>
        </w:rPr>
        <w:t>causa </w:t>
      </w:r>
      <w:r>
        <w:rPr/>
        <w:t>de efectos relacionados con la contaminación atmosférica, principalmente por la exposición a partículas suspendidas totales (PM10 Y PM2.5) registrando </w:t>
      </w:r>
      <w:r>
        <w:rPr>
          <w:spacing w:val="-3"/>
        </w:rPr>
        <w:t>el </w:t>
      </w:r>
      <w:r>
        <w:rPr/>
        <w:t>63%  de los casos </w:t>
      </w:r>
      <w:r>
        <w:rPr>
          <w:spacing w:val="-3"/>
        </w:rPr>
        <w:t>en </w:t>
      </w:r>
      <w:r>
        <w:rPr/>
        <w:t>las zonas metropolitanas del Distrito Federal, Guadalajara, Monterrey, Puebla y</w:t>
      </w:r>
      <w:r>
        <w:rPr>
          <w:spacing w:val="-18"/>
        </w:rPr>
        <w:t> </w:t>
      </w:r>
      <w:r>
        <w:rPr/>
        <w:t>Toluca.</w:t>
      </w:r>
    </w:p>
    <w:p>
      <w:pPr>
        <w:pStyle w:val="BodyText"/>
        <w:spacing w:before="9"/>
      </w:pPr>
    </w:p>
    <w:p>
      <w:pPr>
        <w:pStyle w:val="BodyText"/>
        <w:spacing w:line="360" w:lineRule="auto"/>
        <w:ind w:left="105" w:right="114"/>
        <w:jc w:val="both"/>
      </w:pPr>
      <w:r>
        <w:rPr/>
        <w:t>La zona metropolitana del valle de Toluca </w:t>
      </w:r>
      <w:r>
        <w:rPr>
          <w:spacing w:val="3"/>
        </w:rPr>
        <w:t>se </w:t>
      </w:r>
      <w:r>
        <w:rPr/>
        <w:t>constituye como </w:t>
      </w:r>
      <w:r>
        <w:rPr>
          <w:spacing w:val="5"/>
        </w:rPr>
        <w:t>la </w:t>
      </w:r>
      <w:r>
        <w:rPr/>
        <w:t>quinta zona de </w:t>
      </w:r>
      <w:r>
        <w:rPr>
          <w:spacing w:val="-3"/>
        </w:rPr>
        <w:t>mayor </w:t>
      </w:r>
      <w:r>
        <w:rPr/>
        <w:t>importancia a nivel nacional, con una población de 1.85 </w:t>
      </w:r>
      <w:r>
        <w:rPr>
          <w:spacing w:val="-3"/>
        </w:rPr>
        <w:t>millones </w:t>
      </w:r>
      <w:r>
        <w:rPr/>
        <w:t>de habitantes. </w:t>
      </w:r>
      <w:r>
        <w:rPr>
          <w:spacing w:val="5"/>
        </w:rPr>
        <w:t>La </w:t>
      </w:r>
      <w:r>
        <w:rPr/>
        <w:t>calidad del aire </w:t>
      </w:r>
      <w:r>
        <w:rPr>
          <w:spacing w:val="-3"/>
        </w:rPr>
        <w:t>en </w:t>
      </w:r>
      <w:r>
        <w:rPr>
          <w:spacing w:val="5"/>
        </w:rPr>
        <w:t>la </w:t>
      </w:r>
      <w:r>
        <w:rPr/>
        <w:t>ZMVT, de acuerdo </w:t>
      </w:r>
      <w:r>
        <w:rPr>
          <w:spacing w:val="4"/>
        </w:rPr>
        <w:t>con </w:t>
      </w:r>
      <w:r>
        <w:rPr>
          <w:spacing w:val="-3"/>
        </w:rPr>
        <w:t>el </w:t>
      </w:r>
      <w:r>
        <w:rPr/>
        <w:t>quinto almanaque cuarto Almanaque </w:t>
      </w:r>
      <w:r>
        <w:rPr>
          <w:spacing w:val="5"/>
        </w:rPr>
        <w:t>de </w:t>
      </w:r>
      <w:r>
        <w:rPr/>
        <w:t>Datos y tendencias de la Calidad del aire </w:t>
      </w:r>
      <w:r>
        <w:rPr>
          <w:spacing w:val="-3"/>
        </w:rPr>
        <w:t>en </w:t>
      </w:r>
      <w:r>
        <w:rPr/>
        <w:t>20 ciudades mexicanas (2000-2009), se ha visto deteriorada </w:t>
      </w:r>
      <w:r>
        <w:rPr>
          <w:spacing w:val="-3"/>
        </w:rPr>
        <w:t>en </w:t>
      </w:r>
      <w:r>
        <w:rPr/>
        <w:t>los últimos </w:t>
      </w:r>
      <w:r>
        <w:rPr>
          <w:spacing w:val="-3"/>
        </w:rPr>
        <w:t>años </w:t>
      </w:r>
      <w:r>
        <w:rPr/>
        <w:t>como resultado del incremento del parque vehicular que para 2009 se calculaba </w:t>
      </w:r>
      <w:r>
        <w:rPr>
          <w:spacing w:val="-3"/>
        </w:rPr>
        <w:t>en </w:t>
      </w:r>
      <w:r>
        <w:rPr/>
        <w:t>430 mil unidades, así como de las actividades agrícolas y extractivas que se desarrollan </w:t>
      </w:r>
      <w:r>
        <w:rPr>
          <w:spacing w:val="-3"/>
        </w:rPr>
        <w:t>en </w:t>
      </w:r>
      <w:r>
        <w:rPr/>
        <w:t>torno a </w:t>
      </w:r>
      <w:r>
        <w:rPr>
          <w:spacing w:val="5"/>
        </w:rPr>
        <w:t>la </w:t>
      </w:r>
      <w:r>
        <w:rPr/>
        <w:t>zona urbana (INE,</w:t>
      </w:r>
      <w:r>
        <w:rPr>
          <w:spacing w:val="-16"/>
        </w:rPr>
        <w:t> </w:t>
      </w:r>
      <w:r>
        <w:rPr/>
        <w:t>2011).</w:t>
      </w:r>
    </w:p>
    <w:p>
      <w:pPr>
        <w:pStyle w:val="BodyText"/>
        <w:spacing w:before="10"/>
      </w:pPr>
    </w:p>
    <w:p>
      <w:pPr>
        <w:pStyle w:val="BodyText"/>
        <w:spacing w:line="355" w:lineRule="auto"/>
        <w:ind w:left="105" w:right="118"/>
        <w:jc w:val="both"/>
      </w:pPr>
      <w:r>
        <w:rPr/>
        <w:t>Dentro de los contaminantes atmosférico la problemática para la ciudad de Toluca radica principalmente en Ozono O</w:t>
      </w:r>
      <w:r>
        <w:rPr>
          <w:position w:val="-2"/>
          <w:sz w:val="16"/>
        </w:rPr>
        <w:t>3 </w:t>
      </w:r>
      <w:r>
        <w:rPr/>
        <w:t>y partículas suspendidas de igual o menor tamaño a 10 micras (PM</w:t>
      </w:r>
      <w:r>
        <w:rPr>
          <w:position w:val="-2"/>
          <w:sz w:val="16"/>
        </w:rPr>
        <w:t>10</w:t>
      </w:r>
      <w:r>
        <w:rPr/>
        <w:t>), de acuerdo con el INE (2011), la Zona Metropolitana del Valle de Toluca, presente los niveles de contaminación más altos para estas últimas.</w:t>
      </w:r>
    </w:p>
    <w:p>
      <w:pPr>
        <w:pStyle w:val="BodyText"/>
        <w:spacing w:before="7"/>
      </w:pPr>
    </w:p>
    <w:p>
      <w:pPr>
        <w:pStyle w:val="BodyText"/>
        <w:spacing w:line="348" w:lineRule="auto"/>
        <w:ind w:left="105" w:right="107"/>
        <w:jc w:val="both"/>
      </w:pPr>
      <w:r>
        <w:rPr/>
        <w:t>De acuerdo con la Norma Mexicana, los resultados por </w:t>
      </w:r>
      <w:r>
        <w:rPr>
          <w:spacing w:val="-3"/>
        </w:rPr>
        <w:t>el INE </w:t>
      </w:r>
      <w:r>
        <w:rPr/>
        <w:t>(2011) las concentraciones de PM10, rebasaron </w:t>
      </w:r>
      <w:r>
        <w:rPr>
          <w:spacing w:val="-3"/>
        </w:rPr>
        <w:t>el </w:t>
      </w:r>
      <w:r>
        <w:rPr/>
        <w:t>límite permitido </w:t>
      </w:r>
      <w:r>
        <w:rPr>
          <w:spacing w:val="5"/>
        </w:rPr>
        <w:t>de </w:t>
      </w:r>
      <w:r>
        <w:rPr/>
        <w:t>120 (µg/m</w:t>
      </w:r>
      <w:r>
        <w:rPr>
          <w:position w:val="11"/>
          <w:sz w:val="16"/>
        </w:rPr>
        <w:t>3</w:t>
      </w:r>
      <w:r>
        <w:rPr/>
        <w:t>) </w:t>
      </w:r>
      <w:r>
        <w:rPr>
          <w:spacing w:val="-3"/>
        </w:rPr>
        <w:t>en </w:t>
      </w:r>
      <w:r>
        <w:rPr/>
        <w:t>154 días para </w:t>
      </w:r>
      <w:r>
        <w:rPr>
          <w:spacing w:val="-3"/>
        </w:rPr>
        <w:t>el  </w:t>
      </w:r>
      <w:r>
        <w:rPr/>
        <w:t>año 2009. Del </w:t>
      </w:r>
      <w:r>
        <w:rPr>
          <w:spacing w:val="-4"/>
        </w:rPr>
        <w:t>total  </w:t>
      </w:r>
      <w:r>
        <w:rPr/>
        <w:t>de días transcurridos </w:t>
      </w:r>
      <w:r>
        <w:rPr>
          <w:spacing w:val="-3"/>
        </w:rPr>
        <w:t>en  </w:t>
      </w:r>
      <w:r>
        <w:rPr/>
        <w:t>2013, </w:t>
      </w:r>
      <w:r>
        <w:rPr>
          <w:spacing w:val="-3"/>
        </w:rPr>
        <w:t>el  </w:t>
      </w:r>
      <w:r>
        <w:rPr/>
        <w:t>60% de  </w:t>
      </w:r>
      <w:r>
        <w:rPr>
          <w:spacing w:val="42"/>
        </w:rPr>
        <w:t> </w:t>
      </w:r>
      <w:r>
        <w:rPr/>
        <w:t>estos</w:t>
      </w:r>
    </w:p>
    <w:p>
      <w:pPr>
        <w:spacing w:after="0" w:line="348" w:lineRule="auto"/>
        <w:jc w:val="both"/>
        <w:sectPr>
          <w:pgSz w:w="12240" w:h="15840"/>
          <w:pgMar w:header="0" w:footer="1001" w:top="1360" w:bottom="1200" w:left="1600" w:right="1580"/>
        </w:sectPr>
      </w:pPr>
    </w:p>
    <w:p>
      <w:pPr>
        <w:pStyle w:val="BodyText"/>
        <w:spacing w:before="48"/>
        <w:ind w:left="105"/>
        <w:jc w:val="both"/>
      </w:pPr>
      <w:r>
        <w:rPr/>
        <w:t>registró  mala calidad  de  aire,  al  rebasar los 100  puntos IMECA, alcanzando los</w:t>
      </w:r>
    </w:p>
    <w:p>
      <w:pPr>
        <w:pStyle w:val="BodyText"/>
        <w:spacing w:line="362" w:lineRule="auto" w:before="140"/>
        <w:ind w:left="105" w:right="126"/>
        <w:jc w:val="both"/>
      </w:pPr>
      <w:r>
        <w:rPr/>
        <w:t>144 puntos IMECA en febrero de este año, principalmente a causa de las emisiones de PM</w:t>
      </w:r>
      <w:r>
        <w:rPr>
          <w:position w:val="-2"/>
          <w:sz w:val="16"/>
        </w:rPr>
        <w:t>10 </w:t>
      </w:r>
      <w:r>
        <w:rPr/>
        <w:t>(Contrerás, 2013).</w:t>
      </w:r>
    </w:p>
    <w:p>
      <w:pPr>
        <w:pStyle w:val="BodyText"/>
        <w:spacing w:before="3"/>
        <w:rPr>
          <w:sz w:val="22"/>
        </w:rPr>
      </w:pPr>
    </w:p>
    <w:p>
      <w:pPr>
        <w:pStyle w:val="BodyText"/>
        <w:spacing w:line="360" w:lineRule="auto"/>
        <w:ind w:left="105" w:right="123"/>
        <w:jc w:val="both"/>
      </w:pPr>
      <w:r>
        <w:rPr/>
        <w:t>Para </w:t>
      </w:r>
      <w:r>
        <w:rPr>
          <w:spacing w:val="-3"/>
        </w:rPr>
        <w:t>el </w:t>
      </w:r>
      <w:r>
        <w:rPr/>
        <w:t>monitoreo </w:t>
      </w:r>
      <w:r>
        <w:rPr>
          <w:spacing w:val="5"/>
        </w:rPr>
        <w:t>de </w:t>
      </w:r>
      <w:r>
        <w:rPr/>
        <w:t>la calidad del aire </w:t>
      </w:r>
      <w:r>
        <w:rPr>
          <w:spacing w:val="3"/>
        </w:rPr>
        <w:t>se </w:t>
      </w:r>
      <w:r>
        <w:rPr/>
        <w:t>cuenta con la Red Automática de Monitoreo Atmosférico, la cual posee siete estaciones automatizadas siendo </w:t>
      </w:r>
      <w:r>
        <w:rPr>
          <w:spacing w:val="-3"/>
        </w:rPr>
        <w:t>en  </w:t>
      </w:r>
      <w:r>
        <w:rPr/>
        <w:t>las estaciones de </w:t>
      </w:r>
      <w:r>
        <w:rPr>
          <w:spacing w:val="5"/>
        </w:rPr>
        <w:t>la </w:t>
      </w:r>
      <w:r>
        <w:rPr/>
        <w:t>zona norte donde </w:t>
      </w:r>
      <w:r>
        <w:rPr>
          <w:spacing w:val="3"/>
        </w:rPr>
        <w:t>se </w:t>
      </w:r>
      <w:r>
        <w:rPr/>
        <w:t>presentan los mayores niveles de contaminación tanto por las fuentes emisoras como resultado del papel que</w:t>
      </w:r>
      <w:r>
        <w:rPr>
          <w:spacing w:val="-40"/>
        </w:rPr>
        <w:t> </w:t>
      </w:r>
      <w:r>
        <w:rPr/>
        <w:t>juegan los factores meteorológicos </w:t>
      </w:r>
      <w:r>
        <w:rPr>
          <w:spacing w:val="-3"/>
        </w:rPr>
        <w:t>en </w:t>
      </w:r>
      <w:r>
        <w:rPr/>
        <w:t>la dispersión y aerotransporte de los  contaminantes, como la dinámica de vientos y las precipitaciones pluviales (Romero &amp; Reyes,</w:t>
      </w:r>
      <w:r>
        <w:rPr>
          <w:spacing w:val="-6"/>
        </w:rPr>
        <w:t> </w:t>
      </w:r>
      <w:r>
        <w:rPr/>
        <w:t>2013).</w:t>
      </w:r>
    </w:p>
    <w:p>
      <w:pPr>
        <w:pStyle w:val="BodyText"/>
        <w:spacing w:before="10"/>
      </w:pPr>
    </w:p>
    <w:p>
      <w:pPr>
        <w:pStyle w:val="BodyText"/>
        <w:spacing w:line="360" w:lineRule="auto"/>
        <w:ind w:left="105" w:right="117"/>
        <w:jc w:val="both"/>
      </w:pPr>
      <w:r>
        <w:rPr/>
        <w:t>Durante </w:t>
      </w:r>
      <w:r>
        <w:rPr>
          <w:spacing w:val="-3"/>
        </w:rPr>
        <w:t>el </w:t>
      </w:r>
      <w:r>
        <w:rPr/>
        <w:t>periodo invernal como resultado de las condiciones meteorológicas se presenta un aumento </w:t>
      </w:r>
      <w:r>
        <w:rPr>
          <w:spacing w:val="-3"/>
        </w:rPr>
        <w:t>en </w:t>
      </w:r>
      <w:r>
        <w:rPr/>
        <w:t>las concentraciones de los contaminantes, ya que estas son adversas para la dispersión de los contaminantes, mientras que </w:t>
      </w:r>
      <w:r>
        <w:rPr>
          <w:spacing w:val="-3"/>
        </w:rPr>
        <w:t>en el </w:t>
      </w:r>
      <w:r>
        <w:rPr/>
        <w:t>periodo de febrero a mayo considerado como la época cálida seca la concentraciones de contaminantes alcanzan valores medios ocasionado por la presencia </w:t>
      </w:r>
      <w:r>
        <w:rPr>
          <w:spacing w:val="5"/>
        </w:rPr>
        <w:t>de</w:t>
      </w:r>
      <w:r>
        <w:rPr>
          <w:spacing w:val="-47"/>
        </w:rPr>
        <w:t> </w:t>
      </w:r>
      <w:r>
        <w:rPr/>
        <w:t>vientos </w:t>
      </w:r>
      <w:r>
        <w:rPr>
          <w:spacing w:val="5"/>
        </w:rPr>
        <w:t>de </w:t>
      </w:r>
      <w:r>
        <w:rPr>
          <w:spacing w:val="-3"/>
        </w:rPr>
        <w:t>mayor </w:t>
      </w:r>
      <w:r>
        <w:rPr/>
        <w:t>intensidad. Mientras que los horarios de 9 a 12 horas del día y de 6 a 8 horas de </w:t>
      </w:r>
      <w:r>
        <w:rPr>
          <w:spacing w:val="5"/>
        </w:rPr>
        <w:t>la </w:t>
      </w:r>
      <w:r>
        <w:rPr/>
        <w:t>noche son los momentos del día con las mayores concentraciones de PM10.</w:t>
      </w:r>
    </w:p>
    <w:p>
      <w:pPr>
        <w:pStyle w:val="BodyText"/>
        <w:spacing w:before="10"/>
      </w:pPr>
    </w:p>
    <w:p>
      <w:pPr>
        <w:pStyle w:val="BodyText"/>
        <w:spacing w:line="360" w:lineRule="auto"/>
        <w:ind w:left="105" w:right="120"/>
        <w:jc w:val="both"/>
      </w:pPr>
      <w:r>
        <w:rPr/>
        <w:t>Es importante señalar que si bien se conoce </w:t>
      </w:r>
      <w:r>
        <w:rPr>
          <w:spacing w:val="-3"/>
        </w:rPr>
        <w:t>el </w:t>
      </w:r>
      <w:r>
        <w:rPr/>
        <w:t>efecto que pueden originar las Partículas Suspendidas </w:t>
      </w:r>
      <w:r>
        <w:rPr>
          <w:spacing w:val="-3"/>
        </w:rPr>
        <w:t>en </w:t>
      </w:r>
      <w:r>
        <w:rPr/>
        <w:t>la salud y </w:t>
      </w:r>
      <w:r>
        <w:rPr>
          <w:spacing w:val="-3"/>
        </w:rPr>
        <w:t>el </w:t>
      </w:r>
      <w:r>
        <w:rPr/>
        <w:t>incremento </w:t>
      </w:r>
      <w:r>
        <w:rPr>
          <w:spacing w:val="-3"/>
        </w:rPr>
        <w:t>en </w:t>
      </w:r>
      <w:r>
        <w:rPr/>
        <w:t>las concentraciones, hasta </w:t>
      </w:r>
      <w:r>
        <w:rPr>
          <w:spacing w:val="-3"/>
        </w:rPr>
        <w:t>el </w:t>
      </w:r>
      <w:r>
        <w:rPr/>
        <w:t>momento han sido limitadas las investigaciones enfocadas a determinar  </w:t>
      </w:r>
      <w:r>
        <w:rPr>
          <w:spacing w:val="-3"/>
        </w:rPr>
        <w:t>el </w:t>
      </w:r>
      <w:r>
        <w:rPr/>
        <w:t>efecto que los elevados registros del IMECA generan </w:t>
      </w:r>
      <w:r>
        <w:rPr>
          <w:spacing w:val="-3"/>
        </w:rPr>
        <w:t>en </w:t>
      </w:r>
      <w:r>
        <w:rPr/>
        <w:t>la población de </w:t>
      </w:r>
      <w:r>
        <w:rPr>
          <w:spacing w:val="5"/>
        </w:rPr>
        <w:t>la </w:t>
      </w:r>
      <w:r>
        <w:rPr/>
        <w:t>zona  de</w:t>
      </w:r>
      <w:r>
        <w:rPr>
          <w:spacing w:val="-10"/>
        </w:rPr>
        <w:t> </w:t>
      </w:r>
      <w:r>
        <w:rPr/>
        <w:t>estudio.</w:t>
      </w:r>
    </w:p>
    <w:p>
      <w:pPr>
        <w:pStyle w:val="BodyText"/>
        <w:spacing w:before="2"/>
      </w:pPr>
    </w:p>
    <w:p>
      <w:pPr>
        <w:pStyle w:val="BodyText"/>
        <w:spacing w:line="357" w:lineRule="auto"/>
        <w:ind w:left="105" w:right="110"/>
        <w:jc w:val="both"/>
      </w:pPr>
      <w:r>
        <w:rPr/>
        <w:t>Los referentes analizados precisan que los niveles de concentración de PM</w:t>
      </w:r>
      <w:r>
        <w:rPr>
          <w:position w:val="-2"/>
          <w:sz w:val="16"/>
        </w:rPr>
        <w:t>10 </w:t>
      </w:r>
      <w:r>
        <w:rPr/>
        <w:t>se elevan </w:t>
      </w:r>
      <w:r>
        <w:rPr>
          <w:spacing w:val="-3"/>
        </w:rPr>
        <w:t>en </w:t>
      </w:r>
      <w:r>
        <w:rPr/>
        <w:t>invierno y disminuyen </w:t>
      </w:r>
      <w:r>
        <w:rPr>
          <w:spacing w:val="-3"/>
        </w:rPr>
        <w:t>en </w:t>
      </w:r>
      <w:r>
        <w:rPr/>
        <w:t>las estaciones cálidas, lo cual se debe a que los vientos y la lluvia operan como dispersores de las partículas y por </w:t>
      </w:r>
      <w:r>
        <w:rPr>
          <w:spacing w:val="5"/>
        </w:rPr>
        <w:t>lo </w:t>
      </w:r>
      <w:r>
        <w:rPr/>
        <w:t>tanto  estás no </w:t>
      </w:r>
      <w:r>
        <w:rPr>
          <w:spacing w:val="3"/>
        </w:rPr>
        <w:t>se </w:t>
      </w:r>
      <w:r>
        <w:rPr/>
        <w:t>estacionan </w:t>
      </w:r>
      <w:r>
        <w:rPr>
          <w:spacing w:val="-3"/>
        </w:rPr>
        <w:t>en </w:t>
      </w:r>
      <w:r>
        <w:rPr/>
        <w:t>un solo espacio. Sin embargo </w:t>
      </w:r>
      <w:r>
        <w:rPr>
          <w:spacing w:val="-3"/>
        </w:rPr>
        <w:t>es </w:t>
      </w:r>
      <w:r>
        <w:rPr/>
        <w:t>previsible que la concentración disminuya con </w:t>
      </w:r>
      <w:r>
        <w:rPr>
          <w:spacing w:val="-3"/>
        </w:rPr>
        <w:t>el </w:t>
      </w:r>
      <w:r>
        <w:rPr/>
        <w:t>desplazamiento </w:t>
      </w:r>
      <w:r>
        <w:rPr>
          <w:spacing w:val="-3"/>
        </w:rPr>
        <w:t>en </w:t>
      </w:r>
      <w:r>
        <w:rPr/>
        <w:t>la fuente, pero </w:t>
      </w:r>
      <w:r>
        <w:rPr>
          <w:spacing w:val="3"/>
        </w:rPr>
        <w:t>se </w:t>
      </w:r>
      <w:r>
        <w:rPr/>
        <w:t>trasfiere o exporte las partículas hacia otras</w:t>
      </w:r>
      <w:r>
        <w:rPr>
          <w:spacing w:val="-21"/>
        </w:rPr>
        <w:t> </w:t>
      </w:r>
      <w:r>
        <w:rPr/>
        <w:t>áreas.</w:t>
      </w:r>
    </w:p>
    <w:p>
      <w:pPr>
        <w:spacing w:after="0" w:line="357" w:lineRule="auto"/>
        <w:jc w:val="both"/>
        <w:sectPr>
          <w:pgSz w:w="12240" w:h="15840"/>
          <w:pgMar w:header="0" w:footer="1001" w:top="1360" w:bottom="1200" w:left="1600" w:right="1580"/>
        </w:sectPr>
      </w:pPr>
    </w:p>
    <w:p>
      <w:pPr>
        <w:pStyle w:val="BodyText"/>
        <w:spacing w:line="360" w:lineRule="auto" w:before="48"/>
        <w:ind w:left="105" w:right="113"/>
        <w:jc w:val="both"/>
      </w:pPr>
      <w:r>
        <w:rPr/>
        <w:t>Por lo anterior se considera necesario analizar el comportamiento espacial de las partículas suspendidas primarias, aquellas que son emitidas directamente a la atmósfera, específicamente el polvo, (cuyo origen está en las actividades agrícolas y la erosión de las tierras), en función de la velocidad y dirección de los vientos, la temperatura y las lluvias en las estaciones del año (Primavera-verano y otoño- invierno).</w:t>
      </w:r>
    </w:p>
    <w:p>
      <w:pPr>
        <w:pStyle w:val="BodyText"/>
        <w:spacing w:before="3"/>
        <w:rPr>
          <w:sz w:val="25"/>
        </w:rPr>
      </w:pPr>
    </w:p>
    <w:p>
      <w:pPr>
        <w:pStyle w:val="Heading3"/>
        <w:numPr>
          <w:ilvl w:val="2"/>
          <w:numId w:val="6"/>
        </w:numPr>
        <w:tabs>
          <w:tab w:pos="698" w:val="left" w:leader="none"/>
        </w:tabs>
        <w:spacing w:line="240" w:lineRule="auto" w:before="0" w:after="0"/>
        <w:ind w:left="697" w:right="0" w:hanging="592"/>
        <w:jc w:val="both"/>
        <w:rPr>
          <w:color w:val="4F81BC"/>
        </w:rPr>
      </w:pPr>
      <w:bookmarkStart w:name="_bookmark21" w:id="35"/>
      <w:bookmarkEnd w:id="35"/>
      <w:r>
        <w:rPr>
          <w:b w:val="0"/>
        </w:rPr>
      </w:r>
      <w:bookmarkStart w:name="_bookmark21" w:id="36"/>
      <w:bookmarkEnd w:id="36"/>
      <w:r>
        <w:rPr>
          <w:color w:val="4F81BC"/>
        </w:rPr>
        <w:t>H</w:t>
      </w:r>
      <w:r>
        <w:rPr>
          <w:color w:val="4F81BC"/>
        </w:rPr>
        <w:t>ipótesis</w:t>
      </w:r>
    </w:p>
    <w:p>
      <w:pPr>
        <w:pStyle w:val="BodyText"/>
        <w:spacing w:before="9"/>
        <w:rPr>
          <w:rFonts w:ascii="Cambria"/>
          <w:b/>
          <w:sz w:val="26"/>
        </w:rPr>
      </w:pPr>
    </w:p>
    <w:p>
      <w:pPr>
        <w:pStyle w:val="BodyText"/>
        <w:spacing w:line="360" w:lineRule="auto"/>
        <w:ind w:left="105" w:right="113"/>
        <w:jc w:val="both"/>
      </w:pPr>
      <w:r>
        <w:rPr/>
        <w:t>Los patrones espaciales de las partículas suspendidas (PM10) en la ciudad de Toluca, en el periodo 2011-2013, están determinados por factores meteorológicos, principalmente la precipitación que actúa como agente depurador y la temperatura que incrementa los niveles de concentración de las partículas en la fracción respirable, lo que advierte que la calidad del aire es de regular a mala y de mantenerse las condiciones actuales continuará en esta condición.</w:t>
      </w:r>
    </w:p>
    <w:p>
      <w:pPr>
        <w:pStyle w:val="BodyText"/>
        <w:spacing w:before="4"/>
        <w:rPr>
          <w:sz w:val="25"/>
        </w:rPr>
      </w:pPr>
    </w:p>
    <w:p>
      <w:pPr>
        <w:pStyle w:val="Heading3"/>
        <w:numPr>
          <w:ilvl w:val="2"/>
          <w:numId w:val="6"/>
        </w:numPr>
        <w:tabs>
          <w:tab w:pos="705" w:val="left" w:leader="none"/>
        </w:tabs>
        <w:spacing w:line="240" w:lineRule="auto" w:before="0" w:after="0"/>
        <w:ind w:left="704" w:right="0" w:hanging="599"/>
        <w:jc w:val="both"/>
        <w:rPr>
          <w:color w:val="4F81BC"/>
        </w:rPr>
      </w:pPr>
      <w:bookmarkStart w:name="_bookmark22" w:id="37"/>
      <w:bookmarkEnd w:id="37"/>
      <w:r>
        <w:rPr>
          <w:b w:val="0"/>
        </w:rPr>
      </w:r>
      <w:bookmarkStart w:name="_bookmark22" w:id="38"/>
      <w:bookmarkEnd w:id="38"/>
      <w:r>
        <w:rPr>
          <w:color w:val="4F81BC"/>
        </w:rPr>
        <w:t>O</w:t>
      </w:r>
      <w:r>
        <w:rPr>
          <w:color w:val="4F81BC"/>
        </w:rPr>
        <w:t>bjetivo</w:t>
      </w:r>
      <w:r>
        <w:rPr>
          <w:color w:val="4F81BC"/>
          <w:spacing w:val="-13"/>
        </w:rPr>
        <w:t> </w:t>
      </w:r>
      <w:r>
        <w:rPr>
          <w:color w:val="4F81BC"/>
        </w:rPr>
        <w:t>General</w:t>
      </w:r>
    </w:p>
    <w:p>
      <w:pPr>
        <w:pStyle w:val="BodyText"/>
        <w:spacing w:before="8"/>
        <w:rPr>
          <w:rFonts w:ascii="Cambria"/>
          <w:b/>
          <w:sz w:val="26"/>
        </w:rPr>
      </w:pPr>
    </w:p>
    <w:p>
      <w:pPr>
        <w:pStyle w:val="BodyText"/>
        <w:spacing w:line="357" w:lineRule="auto"/>
        <w:ind w:left="105" w:right="110"/>
        <w:jc w:val="both"/>
      </w:pPr>
      <w:r>
        <w:rPr/>
        <w:t>Analizar el comportamiento espacial de las partículas (PM10) en la zona metropolitana de Toluca, con la finalidad establecer lineamientos de gestión que mitiguen el deterioro de la calidad del aire.</w:t>
      </w:r>
    </w:p>
    <w:p>
      <w:pPr>
        <w:pStyle w:val="BodyText"/>
        <w:spacing w:before="6"/>
        <w:rPr>
          <w:sz w:val="25"/>
        </w:rPr>
      </w:pPr>
    </w:p>
    <w:p>
      <w:pPr>
        <w:pStyle w:val="Heading3"/>
      </w:pPr>
      <w:bookmarkStart w:name="_bookmark23" w:id="39"/>
      <w:bookmarkEnd w:id="39"/>
      <w:r>
        <w:rPr>
          <w:b w:val="0"/>
        </w:rPr>
      </w:r>
      <w:r>
        <w:rPr>
          <w:color w:val="4F81BC"/>
        </w:rPr>
        <w:t>Objetivos Específicos</w:t>
      </w:r>
    </w:p>
    <w:p>
      <w:pPr>
        <w:pStyle w:val="BodyText"/>
        <w:spacing w:before="4"/>
        <w:rPr>
          <w:rFonts w:ascii="Cambria"/>
          <w:b/>
          <w:sz w:val="27"/>
        </w:rPr>
      </w:pPr>
    </w:p>
    <w:p>
      <w:pPr>
        <w:pStyle w:val="ListParagraph"/>
        <w:numPr>
          <w:ilvl w:val="3"/>
          <w:numId w:val="6"/>
        </w:numPr>
        <w:tabs>
          <w:tab w:pos="825" w:val="left" w:leader="none"/>
          <w:tab w:pos="826" w:val="left" w:leader="none"/>
        </w:tabs>
        <w:spacing w:line="345" w:lineRule="auto" w:before="1" w:after="0"/>
        <w:ind w:left="825" w:right="111" w:hanging="360"/>
        <w:jc w:val="left"/>
        <w:rPr>
          <w:rFonts w:ascii="Symbol" w:hAnsi="Symbol"/>
          <w:sz w:val="24"/>
        </w:rPr>
      </w:pPr>
      <w:r>
        <w:rPr>
          <w:sz w:val="24"/>
        </w:rPr>
        <w:t>Identificar las fuentes de emisión de las partículas suspendidas (PM10) </w:t>
      </w:r>
      <w:r>
        <w:rPr>
          <w:spacing w:val="-3"/>
          <w:sz w:val="24"/>
        </w:rPr>
        <w:t>en  </w:t>
      </w:r>
      <w:r>
        <w:rPr>
          <w:sz w:val="24"/>
        </w:rPr>
        <w:t>la zona metropolitana del </w:t>
      </w:r>
      <w:r>
        <w:rPr>
          <w:spacing w:val="-3"/>
          <w:sz w:val="24"/>
        </w:rPr>
        <w:t>Valle </w:t>
      </w:r>
      <w:r>
        <w:rPr>
          <w:sz w:val="24"/>
        </w:rPr>
        <w:t>de</w:t>
      </w:r>
      <w:r>
        <w:rPr>
          <w:spacing w:val="-7"/>
          <w:sz w:val="24"/>
        </w:rPr>
        <w:t> </w:t>
      </w:r>
      <w:r>
        <w:rPr>
          <w:sz w:val="24"/>
        </w:rPr>
        <w:t>Toluca.</w:t>
      </w:r>
    </w:p>
    <w:p>
      <w:pPr>
        <w:pStyle w:val="ListParagraph"/>
        <w:numPr>
          <w:ilvl w:val="3"/>
          <w:numId w:val="6"/>
        </w:numPr>
        <w:tabs>
          <w:tab w:pos="825" w:val="left" w:leader="none"/>
          <w:tab w:pos="826" w:val="left" w:leader="none"/>
          <w:tab w:pos="2376" w:val="left" w:leader="none"/>
          <w:tab w:pos="2807" w:val="left" w:leader="none"/>
          <w:tab w:pos="4773" w:val="left" w:leader="none"/>
          <w:tab w:pos="5292" w:val="left" w:leader="none"/>
          <w:tab w:pos="5843" w:val="left" w:leader="none"/>
          <w:tab w:pos="7050" w:val="left" w:leader="none"/>
          <w:tab w:pos="7569" w:val="left" w:leader="none"/>
        </w:tabs>
        <w:spacing w:line="352" w:lineRule="auto" w:before="21" w:after="0"/>
        <w:ind w:left="825" w:right="126" w:hanging="360"/>
        <w:jc w:val="left"/>
        <w:rPr>
          <w:rFonts w:ascii="Symbol" w:hAnsi="Symbol"/>
          <w:sz w:val="24"/>
        </w:rPr>
      </w:pPr>
      <w:r>
        <w:rPr>
          <w:sz w:val="24"/>
        </w:rPr>
        <w:t>Caracterizar</w:t>
        <w:tab/>
      </w:r>
      <w:r>
        <w:rPr>
          <w:spacing w:val="-3"/>
          <w:sz w:val="24"/>
        </w:rPr>
        <w:t>el</w:t>
        <w:tab/>
      </w:r>
      <w:r>
        <w:rPr>
          <w:sz w:val="24"/>
        </w:rPr>
        <w:t>comportamiento</w:t>
        <w:tab/>
        <w:t>de</w:t>
        <w:tab/>
        <w:t>las</w:t>
        <w:tab/>
        <w:t>variables</w:t>
        <w:tab/>
      </w:r>
      <w:r>
        <w:rPr>
          <w:spacing w:val="5"/>
          <w:sz w:val="24"/>
        </w:rPr>
        <w:t>de</w:t>
        <w:tab/>
      </w:r>
      <w:r>
        <w:rPr>
          <w:sz w:val="24"/>
        </w:rPr>
        <w:t>temperatura, precipitación y vientos </w:t>
      </w:r>
      <w:r>
        <w:rPr>
          <w:spacing w:val="-3"/>
          <w:sz w:val="24"/>
        </w:rPr>
        <w:t>en </w:t>
      </w:r>
      <w:r>
        <w:rPr>
          <w:spacing w:val="5"/>
          <w:sz w:val="24"/>
        </w:rPr>
        <w:t>la </w:t>
      </w:r>
      <w:r>
        <w:rPr>
          <w:sz w:val="24"/>
        </w:rPr>
        <w:t>temporada seca y humedad del</w:t>
      </w:r>
      <w:r>
        <w:rPr>
          <w:spacing w:val="-39"/>
          <w:sz w:val="24"/>
        </w:rPr>
        <w:t> </w:t>
      </w:r>
      <w:r>
        <w:rPr>
          <w:sz w:val="24"/>
        </w:rPr>
        <w:t>año.</w:t>
      </w:r>
    </w:p>
    <w:p>
      <w:pPr>
        <w:pStyle w:val="ListParagraph"/>
        <w:numPr>
          <w:ilvl w:val="3"/>
          <w:numId w:val="6"/>
        </w:numPr>
        <w:tabs>
          <w:tab w:pos="825" w:val="left" w:leader="none"/>
          <w:tab w:pos="826" w:val="left" w:leader="none"/>
        </w:tabs>
        <w:spacing w:line="345" w:lineRule="auto" w:before="14" w:after="0"/>
        <w:ind w:left="825" w:right="125" w:hanging="360"/>
        <w:jc w:val="left"/>
        <w:rPr>
          <w:rFonts w:ascii="Symbol" w:hAnsi="Symbol"/>
          <w:sz w:val="24"/>
        </w:rPr>
      </w:pPr>
      <w:r>
        <w:rPr>
          <w:sz w:val="24"/>
        </w:rPr>
        <w:t>Modelar los patrones espaciales </w:t>
      </w:r>
      <w:r>
        <w:rPr>
          <w:spacing w:val="5"/>
          <w:sz w:val="24"/>
        </w:rPr>
        <w:t>de </w:t>
      </w:r>
      <w:r>
        <w:rPr>
          <w:sz w:val="24"/>
        </w:rPr>
        <w:t>las partículas suspendidas (PM10), </w:t>
      </w:r>
      <w:r>
        <w:rPr>
          <w:spacing w:val="-3"/>
          <w:sz w:val="24"/>
        </w:rPr>
        <w:t>en el </w:t>
      </w:r>
      <w:r>
        <w:rPr>
          <w:sz w:val="24"/>
        </w:rPr>
        <w:t>periodo 2011-2013, a través </w:t>
      </w:r>
      <w:r>
        <w:rPr>
          <w:spacing w:val="5"/>
          <w:sz w:val="24"/>
        </w:rPr>
        <w:t>de </w:t>
      </w:r>
      <w:r>
        <w:rPr>
          <w:sz w:val="24"/>
        </w:rPr>
        <w:t>modelos</w:t>
      </w:r>
      <w:r>
        <w:rPr>
          <w:spacing w:val="-32"/>
          <w:sz w:val="24"/>
        </w:rPr>
        <w:t> </w:t>
      </w:r>
      <w:r>
        <w:rPr>
          <w:sz w:val="24"/>
        </w:rPr>
        <w:t>geoestadísticos.</w:t>
      </w:r>
    </w:p>
    <w:p>
      <w:pPr>
        <w:pStyle w:val="ListParagraph"/>
        <w:numPr>
          <w:ilvl w:val="3"/>
          <w:numId w:val="6"/>
        </w:numPr>
        <w:tabs>
          <w:tab w:pos="825" w:val="left" w:leader="none"/>
          <w:tab w:pos="826" w:val="left" w:leader="none"/>
        </w:tabs>
        <w:spacing w:line="362" w:lineRule="auto" w:before="22" w:after="0"/>
        <w:ind w:left="825" w:right="115" w:hanging="360"/>
        <w:jc w:val="left"/>
        <w:rPr>
          <w:rFonts w:ascii="Symbol" w:hAnsi="Symbol"/>
          <w:sz w:val="22"/>
        </w:rPr>
      </w:pPr>
      <w:r>
        <w:rPr>
          <w:sz w:val="24"/>
        </w:rPr>
        <w:t>Caracterizar las áreas de concentración de partículas suspendidas PM10  </w:t>
      </w:r>
      <w:r>
        <w:rPr>
          <w:spacing w:val="-3"/>
          <w:sz w:val="24"/>
        </w:rPr>
        <w:t>en </w:t>
      </w:r>
      <w:r>
        <w:rPr>
          <w:sz w:val="24"/>
        </w:rPr>
        <w:t>la zona de</w:t>
      </w:r>
      <w:r>
        <w:rPr>
          <w:spacing w:val="1"/>
          <w:sz w:val="24"/>
        </w:rPr>
        <w:t> </w:t>
      </w:r>
      <w:r>
        <w:rPr>
          <w:sz w:val="24"/>
        </w:rPr>
        <w:t>estudio</w:t>
      </w:r>
    </w:p>
    <w:p>
      <w:pPr>
        <w:pStyle w:val="ListParagraph"/>
        <w:numPr>
          <w:ilvl w:val="3"/>
          <w:numId w:val="6"/>
        </w:numPr>
        <w:tabs>
          <w:tab w:pos="825" w:val="left" w:leader="none"/>
          <w:tab w:pos="826" w:val="left" w:leader="none"/>
        </w:tabs>
        <w:spacing w:line="355" w:lineRule="auto" w:before="3" w:after="0"/>
        <w:ind w:left="825" w:right="112" w:hanging="360"/>
        <w:jc w:val="left"/>
        <w:rPr>
          <w:rFonts w:ascii="Symbol" w:hAnsi="Symbol"/>
          <w:sz w:val="22"/>
        </w:rPr>
      </w:pPr>
      <w:r>
        <w:rPr>
          <w:sz w:val="24"/>
        </w:rPr>
        <w:t>Proponer lineamientos de gestión del aire a partir de las estrategias, enfocadas </w:t>
      </w:r>
      <w:r>
        <w:rPr>
          <w:spacing w:val="-3"/>
          <w:sz w:val="24"/>
        </w:rPr>
        <w:t>al </w:t>
      </w:r>
      <w:r>
        <w:rPr>
          <w:sz w:val="24"/>
        </w:rPr>
        <w:t>control de PM10 </w:t>
      </w:r>
      <w:r>
        <w:rPr>
          <w:spacing w:val="-3"/>
          <w:sz w:val="24"/>
        </w:rPr>
        <w:t>en </w:t>
      </w:r>
      <w:r>
        <w:rPr>
          <w:sz w:val="24"/>
        </w:rPr>
        <w:t>la zona de</w:t>
      </w:r>
      <w:r>
        <w:rPr>
          <w:spacing w:val="-7"/>
          <w:sz w:val="24"/>
        </w:rPr>
        <w:t> </w:t>
      </w:r>
      <w:r>
        <w:rPr>
          <w:sz w:val="24"/>
        </w:rPr>
        <w:t>estudio.</w:t>
      </w:r>
    </w:p>
    <w:p>
      <w:pPr>
        <w:spacing w:after="0" w:line="355" w:lineRule="auto"/>
        <w:jc w:val="left"/>
        <w:rPr>
          <w:rFonts w:ascii="Symbol" w:hAnsi="Symbol"/>
          <w:sz w:val="22"/>
        </w:rPr>
        <w:sectPr>
          <w:pgSz w:w="12240" w:h="15840"/>
          <w:pgMar w:header="0" w:footer="1001" w:top="1360" w:bottom="1200" w:left="1600" w:right="1580"/>
        </w:sectPr>
      </w:pPr>
    </w:p>
    <w:p>
      <w:pPr>
        <w:pStyle w:val="Heading3"/>
        <w:numPr>
          <w:ilvl w:val="2"/>
          <w:numId w:val="6"/>
        </w:numPr>
        <w:tabs>
          <w:tab w:pos="705" w:val="left" w:leader="none"/>
        </w:tabs>
        <w:spacing w:line="240" w:lineRule="auto" w:before="53" w:after="0"/>
        <w:ind w:left="704" w:right="0" w:hanging="599"/>
        <w:jc w:val="both"/>
        <w:rPr>
          <w:color w:val="4F81BC"/>
        </w:rPr>
      </w:pPr>
      <w:bookmarkStart w:name="_bookmark24" w:id="40"/>
      <w:bookmarkEnd w:id="40"/>
      <w:r>
        <w:rPr>
          <w:b w:val="0"/>
        </w:rPr>
      </w:r>
      <w:bookmarkStart w:name="_bookmark24" w:id="41"/>
      <w:bookmarkEnd w:id="41"/>
      <w:r>
        <w:rPr>
          <w:color w:val="4F81BC"/>
        </w:rPr>
        <w:t>C</w:t>
      </w:r>
      <w:r>
        <w:rPr>
          <w:color w:val="4F81BC"/>
        </w:rPr>
        <w:t>ontribución de la</w:t>
      </w:r>
      <w:r>
        <w:rPr>
          <w:color w:val="4F81BC"/>
          <w:spacing w:val="-21"/>
        </w:rPr>
        <w:t> </w:t>
      </w:r>
      <w:r>
        <w:rPr>
          <w:color w:val="4F81BC"/>
        </w:rPr>
        <w:t>propuesta</w:t>
      </w:r>
    </w:p>
    <w:p>
      <w:pPr>
        <w:pStyle w:val="BodyText"/>
        <w:spacing w:before="5"/>
        <w:rPr>
          <w:rFonts w:ascii="Cambria"/>
          <w:b/>
          <w:sz w:val="27"/>
        </w:rPr>
      </w:pPr>
    </w:p>
    <w:p>
      <w:pPr>
        <w:pStyle w:val="BodyText"/>
        <w:spacing w:line="360" w:lineRule="auto"/>
        <w:ind w:left="105" w:right="109"/>
        <w:jc w:val="both"/>
      </w:pPr>
      <w:r>
        <w:rPr/>
        <w:t>Los resultados sobre </w:t>
      </w:r>
      <w:r>
        <w:rPr>
          <w:spacing w:val="-3"/>
        </w:rPr>
        <w:t>el </w:t>
      </w:r>
      <w:r>
        <w:rPr/>
        <w:t>comportamiento espacial de las partículas suspendidas (PM10) </w:t>
      </w:r>
      <w:r>
        <w:rPr>
          <w:spacing w:val="-3"/>
        </w:rPr>
        <w:t>en </w:t>
      </w:r>
      <w:r>
        <w:rPr/>
        <w:t>la zona metropolitana de Toluca enfocadas </w:t>
      </w:r>
      <w:r>
        <w:rPr>
          <w:spacing w:val="-3"/>
        </w:rPr>
        <w:t>en </w:t>
      </w:r>
      <w:r>
        <w:rPr/>
        <w:t>las áreas de concentración permiten establecer un modelo para la toma de decisiones  enfocada </w:t>
      </w:r>
      <w:r>
        <w:rPr>
          <w:spacing w:val="-3"/>
        </w:rPr>
        <w:t>al </w:t>
      </w:r>
      <w:r>
        <w:rPr/>
        <w:t>mejoramiento de la calidad del aire a través de la detección de áreas de concentración y acumulación. De igual forma se contribuye </w:t>
      </w:r>
      <w:r>
        <w:rPr>
          <w:spacing w:val="-3"/>
        </w:rPr>
        <w:t>al </w:t>
      </w:r>
      <w:r>
        <w:rPr/>
        <w:t>establecer una propuesta </w:t>
      </w:r>
      <w:r>
        <w:rPr>
          <w:spacing w:val="5"/>
        </w:rPr>
        <w:t>de </w:t>
      </w:r>
      <w:r>
        <w:rPr/>
        <w:t>protección a la población expuesta a los niveles de concentraciones por encima de la normatividad vigente. Como resultado de </w:t>
      </w:r>
      <w:r>
        <w:rPr>
          <w:spacing w:val="5"/>
        </w:rPr>
        <w:t>la </w:t>
      </w:r>
      <w:r>
        <w:rPr/>
        <w:t>investigación finalmente </w:t>
      </w:r>
      <w:r>
        <w:rPr>
          <w:spacing w:val="3"/>
        </w:rPr>
        <w:t>se </w:t>
      </w:r>
      <w:r>
        <w:rPr/>
        <w:t>hace visible la necesidad de enfocarse </w:t>
      </w:r>
      <w:r>
        <w:rPr>
          <w:spacing w:val="-3"/>
        </w:rPr>
        <w:t>en </w:t>
      </w:r>
      <w:r>
        <w:rPr/>
        <w:t>líneas </w:t>
      </w:r>
      <w:r>
        <w:rPr>
          <w:spacing w:val="5"/>
        </w:rPr>
        <w:t>de </w:t>
      </w:r>
      <w:r>
        <w:rPr/>
        <w:t>investigación encaminadas </w:t>
      </w:r>
      <w:r>
        <w:rPr>
          <w:spacing w:val="-3"/>
        </w:rPr>
        <w:t>al </w:t>
      </w:r>
      <w:r>
        <w:rPr/>
        <w:t>análisis de riesgos por efectos de </w:t>
      </w:r>
      <w:r>
        <w:rPr>
          <w:spacing w:val="2"/>
        </w:rPr>
        <w:t>cambio </w:t>
      </w:r>
      <w:r>
        <w:rPr/>
        <w:t>climático y contaminación atmosférica como un campo de</w:t>
      </w:r>
      <w:r>
        <w:rPr>
          <w:spacing w:val="-26"/>
        </w:rPr>
        <w:t> </w:t>
      </w:r>
      <w:r>
        <w:rPr/>
        <w:t>oportunidad.</w:t>
      </w:r>
    </w:p>
    <w:p>
      <w:pPr>
        <w:pStyle w:val="BodyText"/>
        <w:rPr>
          <w:sz w:val="25"/>
        </w:rPr>
      </w:pPr>
    </w:p>
    <w:p>
      <w:pPr>
        <w:pStyle w:val="Heading2"/>
        <w:spacing w:before="1"/>
      </w:pPr>
      <w:bookmarkStart w:name="_bookmark25" w:id="42"/>
      <w:bookmarkEnd w:id="42"/>
      <w:r>
        <w:rPr>
          <w:b w:val="0"/>
        </w:rPr>
      </w:r>
      <w:r>
        <w:rPr>
          <w:color w:val="4F81BC"/>
        </w:rPr>
        <w:t>1.6.- Variables</w:t>
      </w:r>
    </w:p>
    <w:p>
      <w:pPr>
        <w:pStyle w:val="BodyText"/>
        <w:spacing w:before="8"/>
        <w:rPr>
          <w:rFonts w:ascii="Cambria"/>
          <w:b/>
          <w:sz w:val="27"/>
        </w:rPr>
      </w:pPr>
    </w:p>
    <w:p>
      <w:pPr>
        <w:pStyle w:val="BodyText"/>
        <w:spacing w:line="360" w:lineRule="auto"/>
        <w:ind w:left="160" w:right="113"/>
        <w:jc w:val="both"/>
      </w:pPr>
      <w:r>
        <w:rPr/>
        <w:t>En esta investigación los factores que inciden </w:t>
      </w:r>
      <w:r>
        <w:rPr>
          <w:spacing w:val="-3"/>
        </w:rPr>
        <w:t>en el </w:t>
      </w:r>
      <w:r>
        <w:rPr/>
        <w:t>comportamiento espacial de los contaminantes atmosféricos, dependen tanto </w:t>
      </w:r>
      <w:r>
        <w:rPr>
          <w:spacing w:val="5"/>
        </w:rPr>
        <w:t>de </w:t>
      </w:r>
      <w:r>
        <w:rPr/>
        <w:t>las fuentes y de la naturaleza de estos, así como del efecto que los factores meteorológicos ejercen </w:t>
      </w:r>
      <w:r>
        <w:rPr>
          <w:spacing w:val="-3"/>
        </w:rPr>
        <w:t>en </w:t>
      </w:r>
      <w:r>
        <w:rPr/>
        <w:t>ellos. Dado </w:t>
      </w:r>
      <w:r>
        <w:rPr>
          <w:spacing w:val="-3"/>
        </w:rPr>
        <w:t>el </w:t>
      </w:r>
      <w:r>
        <w:rPr/>
        <w:t>tamaño </w:t>
      </w:r>
      <w:r>
        <w:rPr>
          <w:spacing w:val="5"/>
        </w:rPr>
        <w:t>de </w:t>
      </w:r>
      <w:r>
        <w:rPr/>
        <w:t>las partículas estás presentan una tendencia similar </w:t>
      </w:r>
      <w:r>
        <w:rPr>
          <w:spacing w:val="-3"/>
        </w:rPr>
        <w:t>al </w:t>
      </w:r>
      <w:r>
        <w:rPr/>
        <w:t>comportamiento </w:t>
      </w:r>
      <w:r>
        <w:rPr>
          <w:spacing w:val="5"/>
        </w:rPr>
        <w:t>de </w:t>
      </w:r>
      <w:r>
        <w:rPr/>
        <w:t>los gases, sin embargo presentan particularidades propias. Los factores meteorológicos que presentan mayor incidencia en </w:t>
      </w:r>
      <w:r>
        <w:rPr>
          <w:spacing w:val="-3"/>
        </w:rPr>
        <w:t>el </w:t>
      </w:r>
      <w:r>
        <w:rPr/>
        <w:t>comportamiento de las partículas son: Temperatura ambiente, precipitación, Humedad Relativa, Velocidad y dirección de los vientos. A continuación se describe </w:t>
      </w:r>
      <w:r>
        <w:rPr>
          <w:spacing w:val="-3"/>
        </w:rPr>
        <w:t>el </w:t>
      </w:r>
      <w:r>
        <w:rPr/>
        <w:t>efecto de cada una de estas variables </w:t>
      </w:r>
      <w:r>
        <w:rPr>
          <w:spacing w:val="-3"/>
        </w:rPr>
        <w:t>en el </w:t>
      </w:r>
      <w:r>
        <w:rPr/>
        <w:t>comportamiento de las partículas</w:t>
      </w:r>
      <w:r>
        <w:rPr>
          <w:spacing w:val="-9"/>
        </w:rPr>
        <w:t> </w:t>
      </w:r>
      <w:r>
        <w:rPr/>
        <w:t>PM</w:t>
      </w:r>
      <w:r>
        <w:rPr>
          <w:position w:val="-2"/>
          <w:sz w:val="16"/>
        </w:rPr>
        <w:t>10</w:t>
      </w:r>
      <w:r>
        <w:rPr/>
        <w:t>.</w:t>
      </w:r>
    </w:p>
    <w:p>
      <w:pPr>
        <w:pStyle w:val="BodyText"/>
        <w:spacing w:before="10"/>
        <w:rPr>
          <w:sz w:val="22"/>
        </w:rPr>
      </w:pPr>
    </w:p>
    <w:p>
      <w:pPr>
        <w:pStyle w:val="Heading3"/>
        <w:numPr>
          <w:ilvl w:val="2"/>
          <w:numId w:val="11"/>
        </w:numPr>
        <w:tabs>
          <w:tab w:pos="706" w:val="left" w:leader="none"/>
        </w:tabs>
        <w:spacing w:line="240" w:lineRule="auto" w:before="1" w:after="0"/>
        <w:ind w:left="705" w:right="0" w:hanging="600"/>
        <w:jc w:val="both"/>
      </w:pPr>
      <w:bookmarkStart w:name="_bookmark26" w:id="43"/>
      <w:bookmarkEnd w:id="43"/>
      <w:r>
        <w:rPr>
          <w:b w:val="0"/>
        </w:rPr>
      </w:r>
      <w:bookmarkStart w:name="_bookmark26" w:id="44"/>
      <w:bookmarkEnd w:id="44"/>
      <w:r>
        <w:rPr>
          <w:color w:val="4F81BC"/>
        </w:rPr>
        <w:t>T</w:t>
      </w:r>
      <w:r>
        <w:rPr>
          <w:color w:val="4F81BC"/>
        </w:rPr>
        <w:t>emperatura</w:t>
      </w:r>
    </w:p>
    <w:p>
      <w:pPr>
        <w:pStyle w:val="BodyText"/>
        <w:spacing w:before="5"/>
        <w:rPr>
          <w:rFonts w:ascii="Cambria"/>
          <w:b/>
          <w:sz w:val="27"/>
        </w:rPr>
      </w:pPr>
    </w:p>
    <w:p>
      <w:pPr>
        <w:pStyle w:val="BodyText"/>
        <w:spacing w:line="360" w:lineRule="auto"/>
        <w:ind w:left="105" w:right="115"/>
        <w:jc w:val="both"/>
      </w:pPr>
      <w:r>
        <w:rPr/>
        <w:t>La temperatura es un factor de gran relevancia en el comportamiento de los contaminantes atmosféricos, a medida que la temperatura aumenta los gases se vuelven más volátiles, permitiendo su dispersión con mayor  facilidad.  En ocasiones se genera la formación de capas frías por debajo de capas con mayor temperatura,  lo  que  se  conoce  como  inversiones   térmicas,  que  impiden     la</w:t>
      </w:r>
    </w:p>
    <w:p>
      <w:pPr>
        <w:spacing w:after="0" w:line="360" w:lineRule="auto"/>
        <w:jc w:val="both"/>
        <w:sectPr>
          <w:footerReference w:type="default" r:id="rId17"/>
          <w:pgSz w:w="12240" w:h="15840"/>
          <w:pgMar w:footer="1001" w:header="0" w:top="1360" w:bottom="1200" w:left="1600" w:right="1580"/>
        </w:sectPr>
      </w:pPr>
    </w:p>
    <w:p>
      <w:pPr>
        <w:pStyle w:val="BodyText"/>
        <w:spacing w:line="360" w:lineRule="auto" w:before="48"/>
        <w:ind w:left="105" w:right="138"/>
        <w:jc w:val="both"/>
      </w:pPr>
      <w:r>
        <w:rPr/>
        <w:t>circulación vertical del aire, encerrando los contaminantes en áreas localizadas. Esta condición se origina principalmente durante la noche al disminuir la radiación solar provocando que el aire más cercano a la tierra se enfríe con mayor velocidad y pudiendo permanecer hasta varias horas del día siguiente cuando la radiación solar aumenta la temperatura de estas capas inferiores rompiendo la inversión térmica. En el caso de las partículas, la disminución en la temperatura y las inversiones térmicas ocasiona que estas puedan permanecer por mayor tiempo en la atmósfera generando la formación de una capa de color pardo(Manahan, 2011).</w:t>
      </w:r>
    </w:p>
    <w:p>
      <w:pPr>
        <w:pStyle w:val="BodyText"/>
        <w:spacing w:before="3"/>
        <w:rPr>
          <w:sz w:val="25"/>
        </w:rPr>
      </w:pPr>
    </w:p>
    <w:p>
      <w:pPr>
        <w:pStyle w:val="Heading3"/>
        <w:numPr>
          <w:ilvl w:val="2"/>
          <w:numId w:val="11"/>
        </w:numPr>
        <w:tabs>
          <w:tab w:pos="706" w:val="left" w:leader="none"/>
        </w:tabs>
        <w:spacing w:line="240" w:lineRule="auto" w:before="1" w:after="0"/>
        <w:ind w:left="705" w:right="0" w:hanging="600"/>
        <w:jc w:val="both"/>
      </w:pPr>
      <w:bookmarkStart w:name="_bookmark27" w:id="45"/>
      <w:bookmarkEnd w:id="45"/>
      <w:r>
        <w:rPr>
          <w:b w:val="0"/>
        </w:rPr>
      </w:r>
      <w:bookmarkStart w:name="_bookmark27" w:id="46"/>
      <w:bookmarkEnd w:id="46"/>
      <w:r>
        <w:rPr>
          <w:color w:val="4F81BC"/>
        </w:rPr>
        <w:t>Ve</w:t>
      </w:r>
      <w:r>
        <w:rPr>
          <w:color w:val="4F81BC"/>
        </w:rPr>
        <w:t>locidad  y dirección de los</w:t>
      </w:r>
      <w:r>
        <w:rPr>
          <w:color w:val="4F81BC"/>
          <w:spacing w:val="-18"/>
        </w:rPr>
        <w:t> </w:t>
      </w:r>
      <w:r>
        <w:rPr>
          <w:color w:val="4F81BC"/>
        </w:rPr>
        <w:t>vientos</w:t>
      </w:r>
    </w:p>
    <w:p>
      <w:pPr>
        <w:pStyle w:val="BodyText"/>
        <w:spacing w:before="5"/>
        <w:rPr>
          <w:rFonts w:ascii="Cambria"/>
          <w:b/>
          <w:sz w:val="27"/>
        </w:rPr>
      </w:pPr>
    </w:p>
    <w:p>
      <w:pPr>
        <w:pStyle w:val="BodyText"/>
        <w:spacing w:line="360" w:lineRule="auto"/>
        <w:ind w:left="105" w:right="133"/>
        <w:jc w:val="both"/>
      </w:pPr>
      <w:r>
        <w:rPr/>
        <w:t>El movimiento del aire juega un papel fundamental </w:t>
      </w:r>
      <w:r>
        <w:rPr>
          <w:spacing w:val="-3"/>
        </w:rPr>
        <w:t>en </w:t>
      </w:r>
      <w:r>
        <w:rPr/>
        <w:t>la dispersión de los fenómenos </w:t>
      </w:r>
      <w:r>
        <w:rPr>
          <w:spacing w:val="5"/>
        </w:rPr>
        <w:t>de </w:t>
      </w:r>
      <w:r>
        <w:rPr/>
        <w:t>contaminación atmosférica, cuando </w:t>
      </w:r>
      <w:r>
        <w:rPr>
          <w:spacing w:val="-3"/>
        </w:rPr>
        <w:t>el </w:t>
      </w:r>
      <w:r>
        <w:rPr/>
        <w:t>viento cesa puede ocurrir estancamiento con un aumento resultante </w:t>
      </w:r>
      <w:r>
        <w:rPr>
          <w:spacing w:val="-3"/>
        </w:rPr>
        <w:t>en </w:t>
      </w:r>
      <w:r>
        <w:rPr/>
        <w:t>los contaminantes. En este sentido  la velocidad de los vientos puede influir directamente de dos formas, la primera </w:t>
      </w:r>
      <w:r>
        <w:rPr>
          <w:spacing w:val="-3"/>
        </w:rPr>
        <w:t>al </w:t>
      </w:r>
      <w:r>
        <w:rPr/>
        <w:t>aumentar </w:t>
      </w:r>
      <w:r>
        <w:rPr>
          <w:spacing w:val="5"/>
        </w:rPr>
        <w:t>la </w:t>
      </w:r>
      <w:r>
        <w:rPr/>
        <w:t>velocidad </w:t>
      </w:r>
      <w:r>
        <w:rPr>
          <w:spacing w:val="5"/>
        </w:rPr>
        <w:t>de </w:t>
      </w:r>
      <w:r>
        <w:rPr/>
        <w:t>los vientos </w:t>
      </w:r>
      <w:r>
        <w:rPr>
          <w:spacing w:val="3"/>
        </w:rPr>
        <w:t>se </w:t>
      </w:r>
      <w:r>
        <w:rPr/>
        <w:t>incrementan los procesos erosivos </w:t>
      </w:r>
      <w:r>
        <w:rPr>
          <w:spacing w:val="-3"/>
        </w:rPr>
        <w:t>en </w:t>
      </w:r>
      <w:r>
        <w:rPr/>
        <w:t>zonas agrícolas y montañosas, originando una mayor presencia </w:t>
      </w:r>
      <w:r>
        <w:rPr>
          <w:spacing w:val="5"/>
        </w:rPr>
        <w:t>de </w:t>
      </w:r>
      <w:r>
        <w:rPr/>
        <w:t>partículas </w:t>
      </w:r>
      <w:r>
        <w:rPr>
          <w:spacing w:val="-3"/>
        </w:rPr>
        <w:t>en el </w:t>
      </w:r>
      <w:r>
        <w:rPr/>
        <w:t>aire, por otro lado, si </w:t>
      </w:r>
      <w:r>
        <w:rPr>
          <w:spacing w:val="5"/>
        </w:rPr>
        <w:t>la </w:t>
      </w:r>
      <w:r>
        <w:rPr/>
        <w:t>velocidad de los vientos </w:t>
      </w:r>
      <w:r>
        <w:rPr>
          <w:spacing w:val="3"/>
        </w:rPr>
        <w:t>se </w:t>
      </w:r>
      <w:r>
        <w:rPr/>
        <w:t>mantiene constante o aumenta impide la deposición de estas partículas ocasionando que se mantengan </w:t>
      </w:r>
      <w:r>
        <w:rPr>
          <w:spacing w:val="-3"/>
        </w:rPr>
        <w:t>en </w:t>
      </w:r>
      <w:r>
        <w:rPr/>
        <w:t>la atmósfera por más tiempo (Manahan, 2011). Por otro lado </w:t>
      </w:r>
      <w:r>
        <w:rPr>
          <w:spacing w:val="5"/>
        </w:rPr>
        <w:t>la </w:t>
      </w:r>
      <w:r>
        <w:rPr/>
        <w:t>dirección de los vientos determina </w:t>
      </w:r>
      <w:r>
        <w:rPr>
          <w:spacing w:val="5"/>
        </w:rPr>
        <w:t>la </w:t>
      </w:r>
      <w:r>
        <w:rPr/>
        <w:t>dispersión de los contaminantes, los cuales serán arrastrados </w:t>
      </w:r>
      <w:r>
        <w:rPr>
          <w:spacing w:val="-3"/>
        </w:rPr>
        <w:t>en </w:t>
      </w:r>
      <w:r>
        <w:rPr/>
        <w:t>función de los movimientos de las masas </w:t>
      </w:r>
      <w:r>
        <w:rPr>
          <w:spacing w:val="5"/>
        </w:rPr>
        <w:t>de </w:t>
      </w:r>
      <w:r>
        <w:rPr/>
        <w:t>aire, generando la diseminación vertical y horizontal de estos. </w:t>
      </w:r>
      <w:r>
        <w:rPr>
          <w:spacing w:val="5"/>
        </w:rPr>
        <w:t>La </w:t>
      </w:r>
      <w:r>
        <w:rPr/>
        <w:t>dirección de los vientos </w:t>
      </w:r>
      <w:r>
        <w:rPr>
          <w:spacing w:val="3"/>
        </w:rPr>
        <w:t>se </w:t>
      </w:r>
      <w:r>
        <w:rPr/>
        <w:t>encuentra  determinada por los vientos alisios y </w:t>
      </w:r>
      <w:r>
        <w:rPr>
          <w:spacing w:val="-3"/>
        </w:rPr>
        <w:t>el </w:t>
      </w:r>
      <w:r>
        <w:rPr/>
        <w:t>efecto de los huracanes(Morales </w:t>
      </w:r>
      <w:r>
        <w:rPr>
          <w:spacing w:val="-3"/>
        </w:rPr>
        <w:t>et </w:t>
      </w:r>
      <w:r>
        <w:rPr/>
        <w:t>al., 2007).</w:t>
      </w:r>
    </w:p>
    <w:p>
      <w:pPr>
        <w:pStyle w:val="BodyText"/>
        <w:spacing w:before="4"/>
        <w:rPr>
          <w:sz w:val="25"/>
        </w:rPr>
      </w:pPr>
    </w:p>
    <w:p>
      <w:pPr>
        <w:pStyle w:val="Heading3"/>
        <w:numPr>
          <w:ilvl w:val="2"/>
          <w:numId w:val="11"/>
        </w:numPr>
        <w:tabs>
          <w:tab w:pos="698" w:val="left" w:leader="none"/>
        </w:tabs>
        <w:spacing w:line="240" w:lineRule="auto" w:before="0" w:after="0"/>
        <w:ind w:left="697" w:right="0" w:hanging="592"/>
        <w:jc w:val="both"/>
      </w:pPr>
      <w:bookmarkStart w:name="_bookmark28" w:id="47"/>
      <w:bookmarkEnd w:id="47"/>
      <w:r>
        <w:rPr>
          <w:b w:val="0"/>
        </w:rPr>
      </w:r>
      <w:bookmarkStart w:name="_bookmark28" w:id="48"/>
      <w:bookmarkEnd w:id="48"/>
      <w:r>
        <w:rPr>
          <w:color w:val="4F81BC"/>
        </w:rPr>
        <w:t>H</w:t>
      </w:r>
      <w:r>
        <w:rPr>
          <w:color w:val="4F81BC"/>
        </w:rPr>
        <w:t>umedad</w:t>
      </w:r>
    </w:p>
    <w:p>
      <w:pPr>
        <w:pStyle w:val="BodyText"/>
        <w:spacing w:before="8"/>
        <w:rPr>
          <w:rFonts w:ascii="Cambria"/>
          <w:b/>
          <w:sz w:val="26"/>
        </w:rPr>
      </w:pPr>
    </w:p>
    <w:p>
      <w:pPr>
        <w:pStyle w:val="BodyText"/>
        <w:spacing w:line="360" w:lineRule="auto"/>
        <w:ind w:left="105" w:right="116"/>
        <w:jc w:val="both"/>
      </w:pPr>
      <w:r>
        <w:rPr/>
        <w:t>El contenido de vapor de agua se expresa en términos de humedad, la humedad relativa describe la cantidad de vapor de agua presente en relación a la máxima que el aire puede contener a la misma temperatura en términos de porcentaje. El aumento en la humedad relativa en la atmósfera puede influir en la dispersión de los contaminantes y las reacciones que entre estos se generan(Manahan,    2011).</w:t>
      </w:r>
    </w:p>
    <w:p>
      <w:pPr>
        <w:spacing w:after="0" w:line="360" w:lineRule="auto"/>
        <w:jc w:val="both"/>
        <w:sectPr>
          <w:footerReference w:type="default" r:id="rId18"/>
          <w:pgSz w:w="12240" w:h="15840"/>
          <w:pgMar w:footer="1001" w:header="0" w:top="1360" w:bottom="1200" w:left="1600" w:right="1560"/>
          <w:pgNumType w:start="41"/>
        </w:sectPr>
      </w:pPr>
    </w:p>
    <w:p>
      <w:pPr>
        <w:pStyle w:val="BodyText"/>
        <w:spacing w:line="360" w:lineRule="auto" w:before="48"/>
        <w:ind w:left="105" w:right="125"/>
        <w:jc w:val="both"/>
      </w:pPr>
      <w:r>
        <w:rPr/>
        <w:t>En el caso de las partículas una atmosfera con mayor humedad relativa facilita la eliminación y deposición de estos contaminantes por el proceso llamado “in cloud scavening” (barrido dentro de la nube), en este caso las partículas que actúan como núcleos de condensación permiten la formación de gotas de lluvia y quedan atrapadas dentro de la nubes, desplazándose con las nubes o precipitando dentro de las gotas de lluvia (Silva, 2007). El aumento en la humedad ocasiona la acumulación de partículas de polvo.</w:t>
      </w:r>
    </w:p>
    <w:p>
      <w:pPr>
        <w:pStyle w:val="BodyText"/>
        <w:spacing w:before="7"/>
      </w:pPr>
    </w:p>
    <w:p>
      <w:pPr>
        <w:pStyle w:val="Heading3"/>
        <w:numPr>
          <w:ilvl w:val="2"/>
          <w:numId w:val="11"/>
        </w:numPr>
        <w:tabs>
          <w:tab w:pos="706" w:val="left" w:leader="none"/>
        </w:tabs>
        <w:spacing w:line="240" w:lineRule="auto" w:before="0" w:after="0"/>
        <w:ind w:left="705" w:right="0" w:hanging="600"/>
        <w:jc w:val="both"/>
      </w:pPr>
      <w:bookmarkStart w:name="_bookmark29" w:id="49"/>
      <w:bookmarkEnd w:id="49"/>
      <w:r>
        <w:rPr>
          <w:b w:val="0"/>
        </w:rPr>
      </w:r>
      <w:bookmarkStart w:name="_bookmark29" w:id="50"/>
      <w:bookmarkEnd w:id="50"/>
      <w:r>
        <w:rPr>
          <w:color w:val="4F81BC"/>
        </w:rPr>
        <w:t>P</w:t>
      </w:r>
      <w:r>
        <w:rPr>
          <w:color w:val="4F81BC"/>
        </w:rPr>
        <w:t>recipitación</w:t>
      </w:r>
    </w:p>
    <w:p>
      <w:pPr>
        <w:pStyle w:val="BodyText"/>
        <w:spacing w:before="5"/>
        <w:rPr>
          <w:rFonts w:ascii="Cambria"/>
          <w:b/>
          <w:sz w:val="27"/>
        </w:rPr>
      </w:pPr>
    </w:p>
    <w:p>
      <w:pPr>
        <w:pStyle w:val="BodyText"/>
        <w:spacing w:line="360" w:lineRule="auto"/>
        <w:ind w:left="105" w:right="111"/>
        <w:jc w:val="both"/>
      </w:pPr>
      <w:r>
        <w:rPr/>
        <w:t>La precipitación como variable meteorológica incide de manera directa </w:t>
      </w:r>
      <w:r>
        <w:rPr>
          <w:spacing w:val="-3"/>
        </w:rPr>
        <w:t>en el </w:t>
      </w:r>
      <w:r>
        <w:rPr/>
        <w:t>lavado de los contaminantes atmosféricos y de manera fundamental </w:t>
      </w:r>
      <w:r>
        <w:rPr>
          <w:spacing w:val="-3"/>
        </w:rPr>
        <w:t>en el </w:t>
      </w:r>
      <w:r>
        <w:rPr/>
        <w:t>caso de las partículas, existe una fuerte correlación entre los niveles </w:t>
      </w:r>
      <w:r>
        <w:rPr>
          <w:spacing w:val="5"/>
        </w:rPr>
        <w:t>de </w:t>
      </w:r>
      <w:r>
        <w:rPr/>
        <w:t>precipitación y las concentraciones </w:t>
      </w:r>
      <w:r>
        <w:rPr>
          <w:spacing w:val="5"/>
        </w:rPr>
        <w:t>de </w:t>
      </w:r>
      <w:r>
        <w:rPr/>
        <w:t>partículas, a medida que los niveles de precipitación  aumentan las concentraciones de partículas disminuyen , por ello </w:t>
      </w:r>
      <w:r>
        <w:rPr>
          <w:spacing w:val="-3"/>
        </w:rPr>
        <w:t>en </w:t>
      </w:r>
      <w:r>
        <w:rPr/>
        <w:t>las ciudades que presentan la problemática de contaminación por partículas se observa que durante la temporada seca del año los niveles contaminación aumentan, mientras que </w:t>
      </w:r>
      <w:r>
        <w:rPr>
          <w:spacing w:val="-3"/>
        </w:rPr>
        <w:t>en </w:t>
      </w:r>
      <w:r>
        <w:rPr/>
        <w:t>los periodos </w:t>
      </w:r>
      <w:r>
        <w:rPr>
          <w:spacing w:val="5"/>
        </w:rPr>
        <w:t>de </w:t>
      </w:r>
      <w:r>
        <w:rPr/>
        <w:t>lluvia estos disminuyen. Este proceso de arrastre que ejerce la precipitación </w:t>
      </w:r>
      <w:r>
        <w:rPr>
          <w:spacing w:val="-3"/>
        </w:rPr>
        <w:t>es </w:t>
      </w:r>
      <w:r>
        <w:rPr/>
        <w:t>denominado “below-cloud scavenging” o “deposición húmeda” (Silva,</w:t>
      </w:r>
      <w:r>
        <w:rPr>
          <w:spacing w:val="-9"/>
        </w:rPr>
        <w:t> </w:t>
      </w:r>
      <w:r>
        <w:rPr/>
        <w:t>2007)</w:t>
      </w:r>
    </w:p>
    <w:p>
      <w:pPr>
        <w:pStyle w:val="BodyText"/>
        <w:spacing w:before="7"/>
      </w:pPr>
    </w:p>
    <w:p>
      <w:pPr>
        <w:pStyle w:val="Heading3"/>
        <w:numPr>
          <w:ilvl w:val="2"/>
          <w:numId w:val="11"/>
        </w:numPr>
        <w:tabs>
          <w:tab w:pos="706" w:val="left" w:leader="none"/>
        </w:tabs>
        <w:spacing w:line="240" w:lineRule="auto" w:before="0" w:after="0"/>
        <w:ind w:left="705" w:right="0" w:hanging="600"/>
        <w:jc w:val="both"/>
      </w:pPr>
      <w:bookmarkStart w:name="_bookmark30" w:id="51"/>
      <w:bookmarkEnd w:id="51"/>
      <w:r>
        <w:rPr>
          <w:b w:val="0"/>
        </w:rPr>
      </w:r>
      <w:bookmarkStart w:name="_bookmark30" w:id="52"/>
      <w:bookmarkEnd w:id="52"/>
      <w:r>
        <w:rPr>
          <w:color w:val="4F81BC"/>
        </w:rPr>
        <w:t>T</w:t>
      </w:r>
      <w:r>
        <w:rPr>
          <w:color w:val="4F81BC"/>
        </w:rPr>
        <w:t>opografía</w:t>
      </w:r>
    </w:p>
    <w:p>
      <w:pPr>
        <w:pStyle w:val="BodyText"/>
        <w:spacing w:before="5"/>
        <w:rPr>
          <w:rFonts w:ascii="Cambria"/>
          <w:b/>
          <w:sz w:val="27"/>
        </w:rPr>
      </w:pPr>
    </w:p>
    <w:p>
      <w:pPr>
        <w:pStyle w:val="BodyText"/>
        <w:spacing w:line="360" w:lineRule="auto"/>
        <w:ind w:left="105" w:right="103"/>
        <w:jc w:val="both"/>
      </w:pPr>
      <w:r>
        <w:rPr/>
        <w:t>La configuración del relieve </w:t>
      </w:r>
      <w:r>
        <w:rPr>
          <w:spacing w:val="-3"/>
        </w:rPr>
        <w:t>es </w:t>
      </w:r>
      <w:r>
        <w:rPr/>
        <w:t>un factor que pude influir drásticamente </w:t>
      </w:r>
      <w:r>
        <w:rPr>
          <w:spacing w:val="-3"/>
        </w:rPr>
        <w:t>en el </w:t>
      </w:r>
      <w:r>
        <w:rPr/>
        <w:t>comportamiento de los contaminantes atmosféricos, </w:t>
      </w:r>
      <w:r>
        <w:rPr>
          <w:spacing w:val="-3"/>
        </w:rPr>
        <w:t>al </w:t>
      </w:r>
      <w:r>
        <w:rPr/>
        <w:t>generar un efecto drástico </w:t>
      </w:r>
      <w:r>
        <w:rPr>
          <w:spacing w:val="-3"/>
        </w:rPr>
        <w:t>en </w:t>
      </w:r>
      <w:r>
        <w:rPr/>
        <w:t>la velocidad de los vientos y su dirección. La topografía montañosa origina vientos localizados, complejos y variables. Las masas de aire </w:t>
      </w:r>
      <w:r>
        <w:rPr>
          <w:spacing w:val="-3"/>
        </w:rPr>
        <w:t>en </w:t>
      </w:r>
      <w:r>
        <w:rPr/>
        <w:t>valles montañosos </w:t>
      </w:r>
      <w:r>
        <w:rPr>
          <w:spacing w:val="3"/>
        </w:rPr>
        <w:t>se </w:t>
      </w:r>
      <w:r>
        <w:rPr/>
        <w:t>calientan durante </w:t>
      </w:r>
      <w:r>
        <w:rPr>
          <w:spacing w:val="-3"/>
        </w:rPr>
        <w:t>el </w:t>
      </w:r>
      <w:r>
        <w:rPr/>
        <w:t>día causando vientos cuesta arriba y  se enfrían por la noche causando vientos cuesta abajo, estos efectos </w:t>
      </w:r>
      <w:r>
        <w:rPr>
          <w:spacing w:val="-3"/>
        </w:rPr>
        <w:t>en </w:t>
      </w:r>
      <w:r>
        <w:rPr/>
        <w:t>las mas de aire generan cambios </w:t>
      </w:r>
      <w:r>
        <w:rPr>
          <w:spacing w:val="-3"/>
        </w:rPr>
        <w:t>en </w:t>
      </w:r>
      <w:r>
        <w:rPr/>
        <w:t>la presión atmosférica e influyen </w:t>
      </w:r>
      <w:r>
        <w:rPr>
          <w:spacing w:val="-3"/>
        </w:rPr>
        <w:t>en </w:t>
      </w:r>
      <w:r>
        <w:rPr>
          <w:spacing w:val="5"/>
        </w:rPr>
        <w:t>la </w:t>
      </w:r>
      <w:r>
        <w:rPr/>
        <w:t>formación de sistemas </w:t>
      </w:r>
      <w:r>
        <w:rPr>
          <w:spacing w:val="5"/>
        </w:rPr>
        <w:t>de </w:t>
      </w:r>
      <w:r>
        <w:rPr/>
        <w:t>alta y baja presión modificando la velocidad de los vientos. Además la formación de </w:t>
      </w:r>
      <w:r>
        <w:rPr>
          <w:spacing w:val="-3"/>
        </w:rPr>
        <w:t>masas </w:t>
      </w:r>
      <w:r>
        <w:rPr/>
        <w:t>frías cuesta arriba que se desplazan hacia la noche influye </w:t>
      </w:r>
      <w:r>
        <w:rPr>
          <w:spacing w:val="-3"/>
        </w:rPr>
        <w:t>en </w:t>
      </w:r>
      <w:r>
        <w:rPr/>
        <w:t>la dispersión de los contaminantes causando que estos se concentren   </w:t>
      </w:r>
      <w:r>
        <w:rPr>
          <w:spacing w:val="16"/>
        </w:rPr>
        <w:t> </w:t>
      </w:r>
      <w:r>
        <w:rPr/>
        <w:t>hasta que</w:t>
      </w:r>
    </w:p>
    <w:p>
      <w:pPr>
        <w:spacing w:after="0" w:line="360" w:lineRule="auto"/>
        <w:jc w:val="both"/>
        <w:sectPr>
          <w:pgSz w:w="12240" w:h="15840"/>
          <w:pgMar w:header="0" w:footer="1001" w:top="1360" w:bottom="1200" w:left="1600" w:right="1580"/>
        </w:sectPr>
      </w:pPr>
    </w:p>
    <w:p>
      <w:pPr>
        <w:pStyle w:val="BodyText"/>
        <w:spacing w:line="360" w:lineRule="auto" w:before="48"/>
        <w:ind w:left="105" w:right="114"/>
        <w:jc w:val="both"/>
      </w:pPr>
      <w:r>
        <w:rPr/>
        <w:t>aumente la temperatura (Manahan, 2011). Por otro lado las formaciones montañosas generan un bloqueo de las masas impidiendo su desplazamiento y encerrando estas como ocurre en la ciudad de México, o en zonas de valles montañosos, particularmente en condiciones de inversión  térmica(Manahan, 2011).</w:t>
      </w:r>
    </w:p>
    <w:p>
      <w:pPr>
        <w:pStyle w:val="BodyText"/>
        <w:spacing w:before="4"/>
        <w:rPr>
          <w:sz w:val="25"/>
        </w:rPr>
      </w:pPr>
    </w:p>
    <w:p>
      <w:pPr>
        <w:pStyle w:val="Heading3"/>
        <w:numPr>
          <w:ilvl w:val="2"/>
          <w:numId w:val="11"/>
        </w:numPr>
        <w:tabs>
          <w:tab w:pos="706" w:val="left" w:leader="none"/>
        </w:tabs>
        <w:spacing w:line="240" w:lineRule="auto" w:before="0" w:after="0"/>
        <w:ind w:left="705" w:right="0" w:hanging="600"/>
        <w:jc w:val="both"/>
      </w:pPr>
      <w:bookmarkStart w:name="_bookmark31" w:id="53"/>
      <w:bookmarkEnd w:id="53"/>
      <w:r>
        <w:rPr>
          <w:b w:val="0"/>
        </w:rPr>
      </w:r>
      <w:bookmarkStart w:name="_bookmark31" w:id="54"/>
      <w:bookmarkEnd w:id="54"/>
      <w:r>
        <w:rPr>
          <w:color w:val="4F81BC"/>
        </w:rPr>
        <w:t>M</w:t>
      </w:r>
      <w:r>
        <w:rPr>
          <w:color w:val="4F81BC"/>
        </w:rPr>
        <w:t>icro</w:t>
      </w:r>
      <w:r>
        <w:rPr>
          <w:color w:val="4F81BC"/>
          <w:spacing w:val="-11"/>
        </w:rPr>
        <w:t> </w:t>
      </w:r>
      <w:r>
        <w:rPr>
          <w:color w:val="4F81BC"/>
        </w:rPr>
        <w:t>clima</w:t>
      </w:r>
    </w:p>
    <w:p>
      <w:pPr>
        <w:pStyle w:val="BodyText"/>
        <w:spacing w:before="9"/>
        <w:rPr>
          <w:rFonts w:ascii="Cambria"/>
          <w:b/>
          <w:sz w:val="26"/>
        </w:rPr>
      </w:pPr>
    </w:p>
    <w:p>
      <w:pPr>
        <w:pStyle w:val="BodyText"/>
        <w:spacing w:line="360" w:lineRule="auto"/>
        <w:ind w:left="105" w:right="111"/>
        <w:jc w:val="both"/>
      </w:pPr>
      <w:r>
        <w:rPr/>
        <w:t>El microclima se define como áreas locales de la superficie donde a menudo se presentan condiciones características y diferenciales al clima global. La urbanización incide de forma muy marcada en esta condición debido a la falta de vegetación y sistemas acuosos que actúan como moderadores de temperatura. El asfalto, concreto y otros materiales de construcción absorben grandes cantidades de energía en incidiendo en un aumento en temperatura de entre tres y ocho grados centígrados, el aire cálido en la ciudad atrae brisa del área circundante generando efecto invernadero local que puede verse contrabalanceado por la reflexión de la radiación solar que generan las partículas en suspensión(Manahan, 2011).</w:t>
      </w:r>
    </w:p>
    <w:p>
      <w:pPr>
        <w:pStyle w:val="BodyText"/>
        <w:spacing w:before="3"/>
        <w:rPr>
          <w:sz w:val="25"/>
        </w:rPr>
      </w:pPr>
    </w:p>
    <w:p>
      <w:pPr>
        <w:pStyle w:val="Heading3"/>
        <w:numPr>
          <w:ilvl w:val="2"/>
          <w:numId w:val="11"/>
        </w:numPr>
        <w:tabs>
          <w:tab w:pos="706" w:val="left" w:leader="none"/>
        </w:tabs>
        <w:spacing w:line="240" w:lineRule="auto" w:before="1" w:after="0"/>
        <w:ind w:left="705" w:right="0" w:hanging="600"/>
        <w:jc w:val="both"/>
      </w:pPr>
      <w:bookmarkStart w:name="_bookmark32" w:id="55"/>
      <w:bookmarkEnd w:id="55"/>
      <w:r>
        <w:rPr>
          <w:b w:val="0"/>
        </w:rPr>
      </w:r>
      <w:bookmarkStart w:name="_bookmark32" w:id="56"/>
      <w:bookmarkEnd w:id="56"/>
      <w:r>
        <w:rPr>
          <w:color w:val="4F81BC"/>
        </w:rPr>
        <w:t>U</w:t>
      </w:r>
      <w:r>
        <w:rPr>
          <w:color w:val="4F81BC"/>
        </w:rPr>
        <w:t>so de</w:t>
      </w:r>
      <w:r>
        <w:rPr>
          <w:color w:val="4F81BC"/>
          <w:spacing w:val="-7"/>
        </w:rPr>
        <w:t> </w:t>
      </w:r>
      <w:r>
        <w:rPr>
          <w:color w:val="4F81BC"/>
        </w:rPr>
        <w:t>suelo</w:t>
      </w:r>
    </w:p>
    <w:p>
      <w:pPr>
        <w:pStyle w:val="BodyText"/>
        <w:spacing w:before="8"/>
        <w:rPr>
          <w:rFonts w:ascii="Cambria"/>
          <w:b/>
          <w:sz w:val="26"/>
        </w:rPr>
      </w:pPr>
    </w:p>
    <w:p>
      <w:pPr>
        <w:pStyle w:val="BodyText"/>
        <w:spacing w:line="360" w:lineRule="auto"/>
        <w:ind w:left="105" w:right="113"/>
        <w:jc w:val="both"/>
      </w:pPr>
      <w:r>
        <w:rPr/>
        <w:t>Como </w:t>
      </w:r>
      <w:r>
        <w:rPr>
          <w:spacing w:val="3"/>
        </w:rPr>
        <w:t>se </w:t>
      </w:r>
      <w:r>
        <w:rPr/>
        <w:t>mencionó </w:t>
      </w:r>
      <w:r>
        <w:rPr>
          <w:spacing w:val="-3"/>
        </w:rPr>
        <w:t>en </w:t>
      </w:r>
      <w:r>
        <w:rPr/>
        <w:t>apartados anteriores las actividades humanas como fuente de emisiones a la atmósfera pueden clasificarse </w:t>
      </w:r>
      <w:r>
        <w:rPr>
          <w:spacing w:val="-3"/>
        </w:rPr>
        <w:t>en </w:t>
      </w:r>
      <w:r>
        <w:rPr/>
        <w:t>función de su estacionariedad o movimiento. En </w:t>
      </w:r>
      <w:r>
        <w:rPr>
          <w:spacing w:val="-3"/>
        </w:rPr>
        <w:t>el </w:t>
      </w:r>
      <w:r>
        <w:rPr/>
        <w:t>caso </w:t>
      </w:r>
      <w:r>
        <w:rPr>
          <w:spacing w:val="5"/>
        </w:rPr>
        <w:t>de </w:t>
      </w:r>
      <w:r>
        <w:rPr/>
        <w:t>las fuentes fijas y para fines de esta investigación </w:t>
      </w:r>
      <w:r>
        <w:rPr>
          <w:spacing w:val="-3"/>
        </w:rPr>
        <w:t>el </w:t>
      </w:r>
      <w:r>
        <w:rPr/>
        <w:t>uso de suelo </w:t>
      </w:r>
      <w:r>
        <w:rPr>
          <w:spacing w:val="-3"/>
        </w:rPr>
        <w:t>es </w:t>
      </w:r>
      <w:r>
        <w:rPr/>
        <w:t>una variable fundamental, </w:t>
      </w:r>
      <w:r>
        <w:rPr>
          <w:spacing w:val="3"/>
        </w:rPr>
        <w:t>ya </w:t>
      </w:r>
      <w:r>
        <w:rPr/>
        <w:t>que las partículas </w:t>
      </w:r>
      <w:r>
        <w:rPr>
          <w:spacing w:val="5"/>
        </w:rPr>
        <w:t>de </w:t>
      </w:r>
      <w:r>
        <w:rPr/>
        <w:t>principal interés son aquellas que </w:t>
      </w:r>
      <w:r>
        <w:rPr>
          <w:spacing w:val="3"/>
        </w:rPr>
        <w:t>se </w:t>
      </w:r>
      <w:r>
        <w:rPr/>
        <w:t>derivan de las actividades agrícolas y las zonas erosivas que de igual forma son resultado de las actividades humanas. Las principales fuentes de emisión de partículas de polvo de este tipo se generan </w:t>
      </w:r>
      <w:r>
        <w:rPr>
          <w:spacing w:val="-3"/>
        </w:rPr>
        <w:t>en el </w:t>
      </w:r>
      <w:r>
        <w:rPr/>
        <w:t>entorno urbano como resultado de las actividades extractivas y agrícolas, donde los suelos son erosionados como consecuencia </w:t>
      </w:r>
      <w:r>
        <w:rPr>
          <w:spacing w:val="5"/>
        </w:rPr>
        <w:t>de </w:t>
      </w:r>
      <w:r>
        <w:rPr/>
        <w:t>la acción del  viento(Silva, 2007)</w:t>
      </w:r>
    </w:p>
    <w:p>
      <w:pPr>
        <w:spacing w:after="0" w:line="360" w:lineRule="auto"/>
        <w:jc w:val="both"/>
        <w:sectPr>
          <w:pgSz w:w="12240" w:h="15840"/>
          <w:pgMar w:header="0" w:footer="1001" w:top="1360" w:bottom="1200" w:left="1600" w:right="1580"/>
        </w:sectPr>
      </w:pPr>
    </w:p>
    <w:p>
      <w:pPr>
        <w:pStyle w:val="BodyText"/>
        <w:spacing w:line="362" w:lineRule="auto" w:before="48"/>
        <w:ind w:left="105" w:right="119"/>
      </w:pPr>
      <w:r>
        <w:rPr/>
        <w:t>La Relación de realimentación entre el clima y las partículas, queda ejemplificado en el la figura 2 que se retoma de Silva 2007:</w:t>
      </w:r>
    </w:p>
    <w:p>
      <w:pPr>
        <w:pStyle w:val="BodyText"/>
      </w:pPr>
    </w:p>
    <w:p>
      <w:pPr>
        <w:pStyle w:val="BodyText"/>
        <w:spacing w:before="3"/>
      </w:pPr>
    </w:p>
    <w:p>
      <w:pPr>
        <w:pStyle w:val="BodyText"/>
        <w:spacing w:after="12"/>
        <w:ind w:left="2707"/>
      </w:pPr>
      <w:r>
        <w:rPr/>
        <w:t>Figura 2 Relación partículas-clima</w:t>
      </w:r>
    </w:p>
    <w:p>
      <w:pPr>
        <w:pStyle w:val="BodyText"/>
        <w:ind w:left="1731"/>
        <w:rPr>
          <w:sz w:val="20"/>
        </w:rPr>
      </w:pPr>
      <w:r>
        <w:rPr>
          <w:sz w:val="20"/>
        </w:rPr>
        <w:drawing>
          <wp:inline distT="0" distB="0" distL="0" distR="0">
            <wp:extent cx="3563143" cy="2351151"/>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9" cstate="print"/>
                    <a:stretch>
                      <a:fillRect/>
                    </a:stretch>
                  </pic:blipFill>
                  <pic:spPr>
                    <a:xfrm>
                      <a:off x="0" y="0"/>
                      <a:ext cx="3563143" cy="2351151"/>
                    </a:xfrm>
                    <a:prstGeom prst="rect">
                      <a:avLst/>
                    </a:prstGeom>
                  </pic:spPr>
                </pic:pic>
              </a:graphicData>
            </a:graphic>
          </wp:inline>
        </w:drawing>
      </w:r>
      <w:r>
        <w:rPr>
          <w:sz w:val="20"/>
        </w:rPr>
      </w:r>
    </w:p>
    <w:p>
      <w:pPr>
        <w:spacing w:after="0"/>
        <w:rPr>
          <w:sz w:val="20"/>
        </w:rPr>
        <w:sectPr>
          <w:pgSz w:w="12240" w:h="15840"/>
          <w:pgMar w:header="0" w:footer="1001" w:top="1360" w:bottom="1200" w:left="1600" w:right="1580"/>
        </w:sectPr>
      </w:pPr>
    </w:p>
    <w:p>
      <w:pPr>
        <w:pStyle w:val="BodyText"/>
        <w:rPr>
          <w:sz w:val="26"/>
        </w:rPr>
      </w:pPr>
    </w:p>
    <w:p>
      <w:pPr>
        <w:pStyle w:val="Heading2"/>
        <w:numPr>
          <w:ilvl w:val="1"/>
          <w:numId w:val="12"/>
        </w:numPr>
        <w:tabs>
          <w:tab w:pos="538" w:val="left" w:leader="none"/>
        </w:tabs>
        <w:spacing w:line="240" w:lineRule="auto" w:before="154" w:after="0"/>
        <w:ind w:left="537" w:right="0" w:hanging="432"/>
        <w:jc w:val="left"/>
      </w:pPr>
      <w:bookmarkStart w:name="_bookmark33" w:id="57"/>
      <w:bookmarkEnd w:id="57"/>
      <w:r>
        <w:rPr>
          <w:b w:val="0"/>
        </w:rPr>
      </w:r>
      <w:bookmarkStart w:name="_bookmark33" w:id="58"/>
      <w:bookmarkEnd w:id="58"/>
      <w:r>
        <w:rPr>
          <w:color w:val="4F81BC"/>
          <w:spacing w:val="-3"/>
        </w:rPr>
        <w:t>M</w:t>
      </w:r>
      <w:r>
        <w:rPr>
          <w:color w:val="4F81BC"/>
          <w:spacing w:val="-3"/>
        </w:rPr>
        <w:t>ateriales </w:t>
      </w:r>
      <w:r>
        <w:rPr>
          <w:color w:val="4F81BC"/>
        </w:rPr>
        <w:t>y</w:t>
      </w:r>
      <w:r>
        <w:rPr>
          <w:color w:val="4F81BC"/>
          <w:spacing w:val="28"/>
        </w:rPr>
        <w:t> </w:t>
      </w:r>
      <w:r>
        <w:rPr>
          <w:color w:val="4F81BC"/>
        </w:rPr>
        <w:t>Métodos</w:t>
      </w:r>
    </w:p>
    <w:p>
      <w:pPr>
        <w:pStyle w:val="BodyText"/>
        <w:spacing w:line="247" w:lineRule="exact"/>
        <w:ind w:left="105"/>
      </w:pPr>
      <w:r>
        <w:rPr/>
        <w:br w:type="column"/>
      </w:r>
      <w:r>
        <w:rPr/>
        <w:t>Fuente: Silva 2007</w:t>
      </w:r>
    </w:p>
    <w:p>
      <w:pPr>
        <w:spacing w:after="0" w:line="247" w:lineRule="exact"/>
        <w:sectPr>
          <w:type w:val="continuous"/>
          <w:pgSz w:w="12240" w:h="15840"/>
          <w:pgMar w:top="1500" w:bottom="280" w:left="1600" w:right="1580"/>
          <w:cols w:num="2" w:equalWidth="0">
            <w:col w:w="3088" w:space="330"/>
            <w:col w:w="5642"/>
          </w:cols>
        </w:sectPr>
      </w:pPr>
    </w:p>
    <w:p>
      <w:pPr>
        <w:pStyle w:val="BodyText"/>
        <w:spacing w:before="6"/>
        <w:rPr>
          <w:sz w:val="21"/>
        </w:rPr>
      </w:pPr>
    </w:p>
    <w:p>
      <w:pPr>
        <w:pStyle w:val="BodyText"/>
        <w:spacing w:line="360" w:lineRule="auto" w:before="70"/>
        <w:ind w:left="105" w:right="113"/>
        <w:jc w:val="both"/>
      </w:pPr>
      <w:r>
        <w:rPr/>
        <w:t>En </w:t>
      </w:r>
      <w:r>
        <w:rPr>
          <w:spacing w:val="-3"/>
        </w:rPr>
        <w:t>esta </w:t>
      </w:r>
      <w:r>
        <w:rPr/>
        <w:t>investigación se utilizó la base de datos de la Red de Monitoreo atmosférico del valle de Toluca (RAMAT), la cual opera desde 1998 contando con siete estaciones de medición cuya conformación se muestra </w:t>
      </w:r>
      <w:r>
        <w:rPr>
          <w:spacing w:val="-3"/>
        </w:rPr>
        <w:t>en </w:t>
      </w:r>
      <w:r>
        <w:rPr/>
        <w:t>la figura 5.  Algunas de sus limitaciones son la falta de linealidad, ya que </w:t>
      </w:r>
      <w:r>
        <w:rPr>
          <w:spacing w:val="-3"/>
        </w:rPr>
        <w:t>en el </w:t>
      </w:r>
      <w:r>
        <w:rPr/>
        <w:t>periodo de 16 </w:t>
      </w:r>
      <w:r>
        <w:rPr>
          <w:spacing w:val="-3"/>
        </w:rPr>
        <w:t>años </w:t>
      </w:r>
      <w:r>
        <w:rPr/>
        <w:t>de operación de la red, se presentan años </w:t>
      </w:r>
      <w:r>
        <w:rPr>
          <w:spacing w:val="-3"/>
        </w:rPr>
        <w:t>en </w:t>
      </w:r>
      <w:r>
        <w:rPr/>
        <w:t>los cuales las mediciones no  se realizaron o sólo </w:t>
      </w:r>
      <w:r>
        <w:rPr>
          <w:spacing w:val="3"/>
        </w:rPr>
        <w:t>se </w:t>
      </w:r>
      <w:r>
        <w:rPr/>
        <w:t>llevaron a cabo </w:t>
      </w:r>
      <w:r>
        <w:rPr>
          <w:spacing w:val="-3"/>
        </w:rPr>
        <w:t>en </w:t>
      </w:r>
      <w:r>
        <w:rPr/>
        <w:t>una o dos estaciones, además de ello por problemas administrativos se presentan días sin información o periodos de </w:t>
      </w:r>
      <w:r>
        <w:rPr>
          <w:spacing w:val="-3"/>
        </w:rPr>
        <w:t>meses </w:t>
      </w:r>
      <w:r>
        <w:rPr/>
        <w:t>completos sin datos, por otro lado una de las estaciones cambió su ubicación </w:t>
      </w:r>
      <w:r>
        <w:rPr>
          <w:spacing w:val="-3"/>
        </w:rPr>
        <w:t>en </w:t>
      </w:r>
      <w:r>
        <w:rPr/>
        <w:t>2010, bajo condiciones</w:t>
      </w:r>
      <w:r>
        <w:rPr>
          <w:spacing w:val="-21"/>
        </w:rPr>
        <w:t> </w:t>
      </w:r>
      <w:r>
        <w:rPr/>
        <w:t>distintas.</w:t>
      </w:r>
    </w:p>
    <w:p>
      <w:pPr>
        <w:pStyle w:val="BodyText"/>
        <w:spacing w:before="10"/>
      </w:pPr>
    </w:p>
    <w:p>
      <w:pPr>
        <w:pStyle w:val="BodyText"/>
        <w:spacing w:line="362" w:lineRule="auto"/>
        <w:ind w:left="105" w:right="116"/>
        <w:jc w:val="both"/>
      </w:pPr>
      <w:r>
        <w:rPr/>
        <w:t>Sin embargo se decidió retomar la información de los </w:t>
      </w:r>
      <w:r>
        <w:rPr>
          <w:spacing w:val="-3"/>
        </w:rPr>
        <w:t>años </w:t>
      </w:r>
      <w:r>
        <w:rPr/>
        <w:t>más  completos,  aquella que comprende </w:t>
      </w:r>
      <w:r>
        <w:rPr>
          <w:spacing w:val="-3"/>
        </w:rPr>
        <w:t>el </w:t>
      </w:r>
      <w:r>
        <w:rPr/>
        <w:t>período </w:t>
      </w:r>
      <w:r>
        <w:rPr>
          <w:spacing w:val="2"/>
        </w:rPr>
        <w:t>2011-2014. </w:t>
      </w:r>
      <w:r>
        <w:rPr/>
        <w:t>Las variables que se tomaron </w:t>
      </w:r>
      <w:r>
        <w:rPr>
          <w:spacing w:val="-3"/>
        </w:rPr>
        <w:t>en </w:t>
      </w:r>
      <w:r>
        <w:rPr/>
        <w:t>cuenta </w:t>
      </w:r>
      <w:r>
        <w:rPr>
          <w:spacing w:val="3"/>
        </w:rPr>
        <w:t>se </w:t>
      </w:r>
      <w:r>
        <w:rPr/>
        <w:t>presentan </w:t>
      </w:r>
      <w:r>
        <w:rPr>
          <w:spacing w:val="-3"/>
        </w:rPr>
        <w:t>en </w:t>
      </w:r>
      <w:r>
        <w:rPr/>
        <w:t>la figura</w:t>
      </w:r>
      <w:r>
        <w:rPr>
          <w:spacing w:val="-16"/>
        </w:rPr>
        <w:t> </w:t>
      </w:r>
      <w:r>
        <w:rPr/>
        <w:t>3:</w:t>
      </w:r>
    </w:p>
    <w:p>
      <w:pPr>
        <w:pStyle w:val="BodyText"/>
        <w:spacing w:before="10"/>
        <w:rPr>
          <w:sz w:val="23"/>
        </w:rPr>
      </w:pPr>
    </w:p>
    <w:p>
      <w:pPr>
        <w:pStyle w:val="BodyText"/>
        <w:ind w:left="281" w:right="302"/>
        <w:jc w:val="center"/>
      </w:pPr>
      <w:r>
        <w:rPr/>
        <w:t>Figura 3. Variables</w:t>
      </w:r>
    </w:p>
    <w:p>
      <w:pPr>
        <w:spacing w:after="0"/>
        <w:jc w:val="center"/>
        <w:sectPr>
          <w:type w:val="continuous"/>
          <w:pgSz w:w="12240" w:h="15840"/>
          <w:pgMar w:top="1500" w:bottom="280" w:left="1600" w:right="1580"/>
        </w:sectPr>
      </w:pPr>
    </w:p>
    <w:p>
      <w:pPr>
        <w:pStyle w:val="BodyText"/>
        <w:ind w:left="526"/>
        <w:rPr>
          <w:sz w:val="20"/>
        </w:rPr>
      </w:pPr>
      <w:r>
        <w:rPr>
          <w:sz w:val="20"/>
        </w:rPr>
        <w:drawing>
          <wp:inline distT="0" distB="0" distL="0" distR="0">
            <wp:extent cx="5074591" cy="2040254"/>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20" cstate="print"/>
                    <a:stretch>
                      <a:fillRect/>
                    </a:stretch>
                  </pic:blipFill>
                  <pic:spPr>
                    <a:xfrm>
                      <a:off x="0" y="0"/>
                      <a:ext cx="5074591" cy="2040254"/>
                    </a:xfrm>
                    <a:prstGeom prst="rect">
                      <a:avLst/>
                    </a:prstGeom>
                  </pic:spPr>
                </pic:pic>
              </a:graphicData>
            </a:graphic>
          </wp:inline>
        </w:drawing>
      </w:r>
      <w:r>
        <w:rPr>
          <w:sz w:val="20"/>
        </w:rPr>
      </w:r>
    </w:p>
    <w:p>
      <w:pPr>
        <w:pStyle w:val="BodyText"/>
        <w:spacing w:before="2"/>
        <w:rPr>
          <w:sz w:val="14"/>
        </w:rPr>
      </w:pPr>
    </w:p>
    <w:p>
      <w:pPr>
        <w:pStyle w:val="BodyText"/>
        <w:spacing w:before="69"/>
        <w:ind w:left="289" w:right="302"/>
        <w:jc w:val="center"/>
      </w:pPr>
      <w:r>
        <w:rPr/>
        <w:t>Fuente: Elaboración propia en base a RAMAT</w:t>
      </w:r>
    </w:p>
    <w:p>
      <w:pPr>
        <w:pStyle w:val="BodyText"/>
        <w:spacing w:before="5"/>
        <w:rPr>
          <w:sz w:val="27"/>
        </w:rPr>
      </w:pPr>
    </w:p>
    <w:p>
      <w:pPr>
        <w:pStyle w:val="BodyText"/>
        <w:spacing w:line="362" w:lineRule="auto" w:before="1"/>
        <w:ind w:left="105" w:right="118"/>
        <w:jc w:val="both"/>
      </w:pPr>
      <w:r>
        <w:rPr/>
        <w:t>En total se seleccionaron cinco variables de las cuales son de tipo cuantitativa,  y  a partir de las cuales </w:t>
      </w:r>
      <w:r>
        <w:rPr>
          <w:spacing w:val="3"/>
        </w:rPr>
        <w:t>se </w:t>
      </w:r>
      <w:r>
        <w:rPr/>
        <w:t>realizará </w:t>
      </w:r>
      <w:r>
        <w:rPr>
          <w:spacing w:val="9"/>
        </w:rPr>
        <w:t>la </w:t>
      </w:r>
      <w:r>
        <w:rPr/>
        <w:t>construcción de los mapas temáticos y se realizaron los análisis geostadísticos. El procedimiento general comprende tres etapas que se estructuran </w:t>
      </w:r>
      <w:r>
        <w:rPr>
          <w:spacing w:val="5"/>
        </w:rPr>
        <w:t>la </w:t>
      </w:r>
      <w:r>
        <w:rPr/>
        <w:t>figura</w:t>
      </w:r>
      <w:r>
        <w:rPr>
          <w:spacing w:val="-33"/>
        </w:rPr>
        <w:t> </w:t>
      </w:r>
      <w:r>
        <w:rPr/>
        <w:t>4:</w:t>
      </w:r>
    </w:p>
    <w:p>
      <w:pPr>
        <w:pStyle w:val="BodyText"/>
        <w:spacing w:before="11"/>
        <w:rPr>
          <w:sz w:val="23"/>
        </w:rPr>
      </w:pPr>
    </w:p>
    <w:p>
      <w:pPr>
        <w:pStyle w:val="BodyText"/>
        <w:ind w:left="301" w:right="302"/>
        <w:jc w:val="center"/>
      </w:pPr>
      <w:r>
        <w:rPr/>
        <w:t>Figura 4. Procedimiento metodológico</w:t>
      </w:r>
    </w:p>
    <w:p>
      <w:pPr>
        <w:pStyle w:val="BodyText"/>
        <w:spacing w:before="3"/>
        <w:rPr>
          <w:sz w:val="18"/>
        </w:rPr>
      </w:pPr>
      <w:r>
        <w:rPr/>
        <w:drawing>
          <wp:anchor distT="0" distB="0" distL="0" distR="0" allowOverlap="1" layoutInCell="1" locked="0" behindDoc="0" simplePos="0" relativeHeight="1144">
            <wp:simplePos x="0" y="0"/>
            <wp:positionH relativeFrom="page">
              <wp:posOffset>1818385</wp:posOffset>
            </wp:positionH>
            <wp:positionV relativeFrom="paragraph">
              <wp:posOffset>158204</wp:posOffset>
            </wp:positionV>
            <wp:extent cx="4133367" cy="2638044"/>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1" cstate="print"/>
                    <a:stretch>
                      <a:fillRect/>
                    </a:stretch>
                  </pic:blipFill>
                  <pic:spPr>
                    <a:xfrm>
                      <a:off x="0" y="0"/>
                      <a:ext cx="4133367" cy="2638044"/>
                    </a:xfrm>
                    <a:prstGeom prst="rect">
                      <a:avLst/>
                    </a:prstGeom>
                  </pic:spPr>
                </pic:pic>
              </a:graphicData>
            </a:graphic>
          </wp:anchor>
        </w:drawing>
      </w:r>
    </w:p>
    <w:p>
      <w:pPr>
        <w:pStyle w:val="BodyText"/>
        <w:spacing w:before="3"/>
        <w:rPr>
          <w:sz w:val="19"/>
        </w:rPr>
      </w:pPr>
    </w:p>
    <w:p>
      <w:pPr>
        <w:pStyle w:val="BodyText"/>
        <w:ind w:left="286" w:right="302"/>
        <w:jc w:val="center"/>
      </w:pPr>
      <w:r>
        <w:rPr/>
        <w:t>Fuente. Elaboración propia</w:t>
      </w:r>
    </w:p>
    <w:p>
      <w:pPr>
        <w:pStyle w:val="BodyText"/>
        <w:spacing w:before="2"/>
        <w:rPr>
          <w:sz w:val="28"/>
        </w:rPr>
      </w:pPr>
    </w:p>
    <w:p>
      <w:pPr>
        <w:pStyle w:val="BodyText"/>
        <w:spacing w:line="362" w:lineRule="auto"/>
        <w:ind w:left="105" w:right="125"/>
        <w:jc w:val="both"/>
      </w:pPr>
      <w:r>
        <w:rPr/>
        <w:t>Para el desarrollo de esta investigación se considera un diseño no experimental, que utilizará múltiples técnicas de la geomática como una herramienta para la captura, construcción, gestión y manipulación de las bases de datos digitales de la</w:t>
      </w:r>
    </w:p>
    <w:p>
      <w:pPr>
        <w:spacing w:after="0" w:line="362" w:lineRule="auto"/>
        <w:jc w:val="both"/>
        <w:sectPr>
          <w:pgSz w:w="12240" w:h="15840"/>
          <w:pgMar w:header="0" w:footer="1001" w:top="1420" w:bottom="1200" w:left="1600" w:right="1580"/>
        </w:sectPr>
      </w:pPr>
    </w:p>
    <w:p>
      <w:pPr>
        <w:pStyle w:val="BodyText"/>
        <w:spacing w:line="360" w:lineRule="auto" w:before="48"/>
        <w:ind w:left="105" w:right="114"/>
        <w:jc w:val="both"/>
      </w:pPr>
      <w:r>
        <w:rPr/>
        <w:t>zona de estudio. En función de ello para el desarrollo de la presente investigación se propone el uso de la metodología propuesta por Najera et. Al. (2005), utilizada para modelar el comportamiento del ozono en la Zona Metropolitana de la ciudad de Guadalajara a través del método de kriging, sin embargo se considera necesario realizar modificaciones a la misma en función del tema y los objetivos particulares de esta investigación.</w:t>
      </w:r>
    </w:p>
    <w:p>
      <w:pPr>
        <w:pStyle w:val="BodyText"/>
        <w:spacing w:before="10"/>
      </w:pPr>
    </w:p>
    <w:p>
      <w:pPr>
        <w:pStyle w:val="BodyText"/>
        <w:spacing w:line="360" w:lineRule="auto"/>
        <w:ind w:left="105" w:right="105"/>
        <w:jc w:val="both"/>
      </w:pPr>
      <w:r>
        <w:rPr/>
        <w:t>El desarrollo de esta investigación se realizó en tres fases, descriptiva, analítica y propositiva, considerando la revisión bibliográfica que permitió la construcción del marco teórico-conceptual, el marco jurídico y el marco metodológico, así como la construcción de las bases de datos que permitirán el desarrollo del análisis geostadístico. La metodología por fase se describe a continuación.</w:t>
      </w:r>
    </w:p>
    <w:p>
      <w:pPr>
        <w:pStyle w:val="BodyText"/>
        <w:spacing w:before="7"/>
      </w:pPr>
    </w:p>
    <w:p>
      <w:pPr>
        <w:pStyle w:val="Heading3"/>
        <w:numPr>
          <w:ilvl w:val="2"/>
          <w:numId w:val="12"/>
        </w:numPr>
        <w:tabs>
          <w:tab w:pos="698" w:val="left" w:leader="none"/>
        </w:tabs>
        <w:spacing w:line="240" w:lineRule="auto" w:before="0" w:after="0"/>
        <w:ind w:left="697" w:right="0" w:hanging="592"/>
        <w:jc w:val="both"/>
      </w:pPr>
      <w:bookmarkStart w:name="_bookmark34" w:id="59"/>
      <w:bookmarkEnd w:id="59"/>
      <w:r>
        <w:rPr>
          <w:b w:val="0"/>
        </w:rPr>
      </w:r>
      <w:bookmarkStart w:name="_bookmark34" w:id="60"/>
      <w:bookmarkEnd w:id="60"/>
      <w:r>
        <w:rPr>
          <w:color w:val="4F81BC"/>
        </w:rPr>
        <w:t>F</w:t>
      </w:r>
      <w:r>
        <w:rPr>
          <w:color w:val="4F81BC"/>
        </w:rPr>
        <w:t>ase</w:t>
      </w:r>
      <w:r>
        <w:rPr>
          <w:color w:val="4F81BC"/>
          <w:spacing w:val="-10"/>
        </w:rPr>
        <w:t> </w:t>
      </w:r>
      <w:r>
        <w:rPr>
          <w:color w:val="4F81BC"/>
        </w:rPr>
        <w:t>descriptiva:</w:t>
      </w:r>
    </w:p>
    <w:p>
      <w:pPr>
        <w:pStyle w:val="BodyText"/>
        <w:spacing w:before="5"/>
        <w:rPr>
          <w:rFonts w:ascii="Cambria"/>
          <w:b/>
          <w:sz w:val="27"/>
        </w:rPr>
      </w:pPr>
    </w:p>
    <w:p>
      <w:pPr>
        <w:pStyle w:val="BodyText"/>
        <w:spacing w:line="357" w:lineRule="auto"/>
        <w:ind w:left="105" w:right="105"/>
        <w:jc w:val="both"/>
      </w:pPr>
      <w:r>
        <w:rPr/>
        <w:t>Se desarrolla a través de trabajo de gabinete permitiendo dar cumplimiento a los dos primeros objetivos específicos. En esta fase se realizó la revisión bibliográfica de libros, tesis y artículos de investigación científica para la construcción del marco teórico, el marco metodológico y el marco jurídico. Se realizó la construcción de la base a partir de los registros de la Red Automática de Monitoreo Atmosférico del Valle de Toluca (RAMAT), la cual cuenta con siete estaciones y registra diariamente las concentraciones de Partículas (PM10 y PM2.5), Monóxido de Carbono (CO), Óxidos Nitrosos (NOx), Óxidos de azufre (SOX) y Ozono (0</w:t>
      </w:r>
      <w:r>
        <w:rPr>
          <w:position w:val="-2"/>
          <w:sz w:val="16"/>
        </w:rPr>
        <w:t>3</w:t>
      </w:r>
      <w:r>
        <w:rPr/>
        <w:t>), para este estudio se consideró únicamente las PM</w:t>
      </w:r>
      <w:r>
        <w:rPr>
          <w:position w:val="-2"/>
          <w:sz w:val="16"/>
        </w:rPr>
        <w:t>10</w:t>
      </w:r>
      <w:r>
        <w:rPr/>
        <w:t>, que de acuerdo a los registros de la RAMAT de las siete estaciones de monitoreo (Ver Figura 5) y son el principal contaminante atmosféricos de la zona metropolitana de Toluca.</w:t>
      </w:r>
    </w:p>
    <w:p>
      <w:pPr>
        <w:pStyle w:val="BodyText"/>
        <w:spacing w:before="1"/>
        <w:rPr>
          <w:sz w:val="25"/>
        </w:rPr>
      </w:pPr>
    </w:p>
    <w:p>
      <w:pPr>
        <w:pStyle w:val="BodyText"/>
        <w:ind w:left="1946"/>
      </w:pPr>
      <w:r>
        <w:rPr/>
        <w:t>Figura 5. Estaciones de Monitoreo de la RAMAT</w:t>
      </w:r>
    </w:p>
    <w:p>
      <w:pPr>
        <w:spacing w:after="0"/>
        <w:sectPr>
          <w:pgSz w:w="12240" w:h="15840"/>
          <w:pgMar w:header="0" w:footer="1001" w:top="1360" w:bottom="1200" w:left="1600" w:right="1580"/>
        </w:sectPr>
      </w:pPr>
    </w:p>
    <w:p>
      <w:pPr>
        <w:pStyle w:val="BodyText"/>
        <w:ind w:left="2219"/>
        <w:rPr>
          <w:sz w:val="20"/>
        </w:rPr>
      </w:pPr>
      <w:r>
        <w:rPr>
          <w:sz w:val="20"/>
        </w:rPr>
        <w:drawing>
          <wp:inline distT="0" distB="0" distL="0" distR="0">
            <wp:extent cx="2961682" cy="3009138"/>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22" cstate="print"/>
                    <a:stretch>
                      <a:fillRect/>
                    </a:stretch>
                  </pic:blipFill>
                  <pic:spPr>
                    <a:xfrm>
                      <a:off x="0" y="0"/>
                      <a:ext cx="2961682" cy="3009138"/>
                    </a:xfrm>
                    <a:prstGeom prst="rect">
                      <a:avLst/>
                    </a:prstGeom>
                  </pic:spPr>
                </pic:pic>
              </a:graphicData>
            </a:graphic>
          </wp:inline>
        </w:drawing>
      </w:r>
      <w:r>
        <w:rPr>
          <w:sz w:val="20"/>
        </w:rPr>
      </w:r>
    </w:p>
    <w:p>
      <w:pPr>
        <w:pStyle w:val="BodyText"/>
        <w:rPr>
          <w:sz w:val="27"/>
        </w:rPr>
      </w:pPr>
    </w:p>
    <w:p>
      <w:pPr>
        <w:spacing w:before="74"/>
        <w:ind w:left="2338" w:right="0" w:firstLine="0"/>
        <w:jc w:val="left"/>
        <w:rPr>
          <w:sz w:val="20"/>
        </w:rPr>
      </w:pPr>
      <w:r>
        <w:rPr>
          <w:sz w:val="20"/>
        </w:rPr>
        <w:t>FUENTE: Elaboración propia, basado en RAMAT</w:t>
      </w:r>
    </w:p>
    <w:p>
      <w:pPr>
        <w:pStyle w:val="BodyText"/>
        <w:rPr>
          <w:sz w:val="20"/>
        </w:rPr>
      </w:pPr>
    </w:p>
    <w:p>
      <w:pPr>
        <w:pStyle w:val="BodyText"/>
        <w:spacing w:line="360" w:lineRule="auto" w:before="158"/>
        <w:ind w:left="105" w:right="117"/>
        <w:jc w:val="both"/>
      </w:pPr>
      <w:r>
        <w:rPr/>
        <w:t>La información disponible corresponde a los periodos 1998-2006 y 2010-2013. Para el periodo correspondiente de 2006-2010, se carece de información como resultado de la suspensión de operaciones de la RAMAT, por lo cual existe un vacío de información, además de ello es necesario realizar la estandarización de información, pues como se mencionó en apartados anteriores la base de datos carece de linealidad, por lo cual se decidió tomar el periodo que corresponde de 2011-2014.</w:t>
      </w:r>
    </w:p>
    <w:p>
      <w:pPr>
        <w:pStyle w:val="BodyText"/>
        <w:spacing w:before="10"/>
      </w:pPr>
    </w:p>
    <w:p>
      <w:pPr>
        <w:pStyle w:val="BodyText"/>
        <w:spacing w:line="360" w:lineRule="auto"/>
        <w:ind w:left="105" w:right="129"/>
        <w:jc w:val="both"/>
      </w:pPr>
      <w:r>
        <w:rPr/>
        <w:t>Como parte para la identificación de las fuentes de partículas ser realizó el análisis de usos de suelo a través de ortofotos de 1990 e imágenes satelitales de Quick Bird, obtenidas de google earth 2013, lo anterior permitirá realizar el comparativo en las modificaciones en los usos para determinar si estos influyen en el comportamiento de las partículas de polvo.</w:t>
      </w:r>
    </w:p>
    <w:p>
      <w:pPr>
        <w:pStyle w:val="BodyText"/>
        <w:spacing w:before="10"/>
      </w:pPr>
    </w:p>
    <w:p>
      <w:pPr>
        <w:pStyle w:val="BodyText"/>
        <w:spacing w:line="360" w:lineRule="auto"/>
        <w:ind w:left="105" w:right="129"/>
        <w:jc w:val="both"/>
      </w:pPr>
      <w:r>
        <w:rPr/>
        <w:t>Además de la base de datos referida a los registro de las partículas PM10, es necesario contar con la base de datos de las variables meteorológicas  que de igual forma se retomará a partir de los registros de las siete estaciones de la RAMAT,   a   fin   de   establecer   los   promedios   anuales,   mensuales   y      los</w:t>
      </w:r>
    </w:p>
    <w:p>
      <w:pPr>
        <w:spacing w:after="0" w:line="360" w:lineRule="auto"/>
        <w:jc w:val="both"/>
        <w:sectPr>
          <w:pgSz w:w="12240" w:h="15840"/>
          <w:pgMar w:header="0" w:footer="1001" w:top="1420" w:bottom="1200" w:left="1600" w:right="1560"/>
        </w:sectPr>
      </w:pPr>
    </w:p>
    <w:p>
      <w:pPr>
        <w:pStyle w:val="BodyText"/>
        <w:spacing w:line="360" w:lineRule="auto" w:before="48"/>
        <w:ind w:left="105" w:right="113"/>
        <w:jc w:val="both"/>
      </w:pPr>
      <w:r>
        <w:rPr/>
        <w:t>correspondientes a la estación húmeda y seca que considera la RAMAT. Se tomarán en cuenta las variables de precipitación, Temperatura, Humedad, Dirección y velocidad del viento de acuerdo a lo propuesto  por(Pérez-Vidal, García, Fernández, &amp; Romero, 2010) por ser las variables que presentan un efecto visible en el comportamiento de las partículas.</w:t>
      </w:r>
    </w:p>
    <w:p>
      <w:pPr>
        <w:pStyle w:val="BodyText"/>
        <w:spacing w:before="4"/>
        <w:rPr>
          <w:sz w:val="25"/>
        </w:rPr>
      </w:pPr>
    </w:p>
    <w:p>
      <w:pPr>
        <w:pStyle w:val="Heading3"/>
        <w:numPr>
          <w:ilvl w:val="2"/>
          <w:numId w:val="12"/>
        </w:numPr>
        <w:tabs>
          <w:tab w:pos="698" w:val="left" w:leader="none"/>
        </w:tabs>
        <w:spacing w:line="240" w:lineRule="auto" w:before="0" w:after="0"/>
        <w:ind w:left="697" w:right="0" w:hanging="592"/>
        <w:jc w:val="both"/>
      </w:pPr>
      <w:bookmarkStart w:name="_bookmark35" w:id="61"/>
      <w:bookmarkEnd w:id="61"/>
      <w:r>
        <w:rPr>
          <w:b w:val="0"/>
        </w:rPr>
      </w:r>
      <w:bookmarkStart w:name="_bookmark35" w:id="62"/>
      <w:bookmarkEnd w:id="62"/>
      <w:r>
        <w:rPr>
          <w:color w:val="4F81BC"/>
        </w:rPr>
        <w:t>F</w:t>
      </w:r>
      <w:r>
        <w:rPr>
          <w:color w:val="4F81BC"/>
        </w:rPr>
        <w:t>ase</w:t>
      </w:r>
      <w:r>
        <w:rPr>
          <w:color w:val="4F81BC"/>
          <w:spacing w:val="-12"/>
        </w:rPr>
        <w:t> </w:t>
      </w:r>
      <w:r>
        <w:rPr>
          <w:color w:val="4F81BC"/>
        </w:rPr>
        <w:t>Analítica</w:t>
      </w:r>
    </w:p>
    <w:p>
      <w:pPr>
        <w:pStyle w:val="BodyText"/>
        <w:spacing w:before="9"/>
        <w:rPr>
          <w:rFonts w:ascii="Cambria"/>
          <w:b/>
          <w:sz w:val="26"/>
        </w:rPr>
      </w:pPr>
    </w:p>
    <w:p>
      <w:pPr>
        <w:pStyle w:val="BodyText"/>
        <w:spacing w:line="360" w:lineRule="auto"/>
        <w:ind w:left="105" w:right="114"/>
        <w:jc w:val="both"/>
      </w:pPr>
      <w:r>
        <w:rPr/>
        <w:t>Esta fase comprende </w:t>
      </w:r>
      <w:r>
        <w:rPr>
          <w:spacing w:val="-3"/>
        </w:rPr>
        <w:t>el </w:t>
      </w:r>
      <w:r>
        <w:rPr/>
        <w:t>cumplimiento </w:t>
      </w:r>
      <w:r>
        <w:rPr>
          <w:spacing w:val="5"/>
        </w:rPr>
        <w:t>de </w:t>
      </w:r>
      <w:r>
        <w:rPr/>
        <w:t>los objetivos tres realizándose </w:t>
      </w:r>
      <w:r>
        <w:rPr>
          <w:spacing w:val="-3"/>
        </w:rPr>
        <w:t>el </w:t>
      </w:r>
      <w:r>
        <w:rPr/>
        <w:t>análisis geostadístico. </w:t>
      </w:r>
      <w:r>
        <w:rPr>
          <w:spacing w:val="5"/>
        </w:rPr>
        <w:t>La </w:t>
      </w:r>
      <w:r>
        <w:rPr/>
        <w:t>geoestadística se constituye como una herramienta que permite describir y analizar </w:t>
      </w:r>
      <w:r>
        <w:rPr>
          <w:spacing w:val="-3"/>
        </w:rPr>
        <w:t>el </w:t>
      </w:r>
      <w:r>
        <w:rPr/>
        <w:t>comportamiento de una variable continúa </w:t>
      </w:r>
      <w:r>
        <w:rPr>
          <w:spacing w:val="-3"/>
        </w:rPr>
        <w:t>en el </w:t>
      </w:r>
      <w:r>
        <w:rPr/>
        <w:t>espacio, con un nivel de detalle que permite cuantificar las variaciones </w:t>
      </w:r>
      <w:r>
        <w:rPr>
          <w:spacing w:val="-3"/>
        </w:rPr>
        <w:t>en </w:t>
      </w:r>
      <w:r>
        <w:rPr/>
        <w:t>cualquier dirección espacial </w:t>
      </w:r>
      <w:r>
        <w:rPr>
          <w:spacing w:val="-3"/>
        </w:rPr>
        <w:t>en </w:t>
      </w:r>
      <w:r>
        <w:rPr/>
        <w:t>que </w:t>
      </w:r>
      <w:r>
        <w:rPr>
          <w:spacing w:val="-3"/>
        </w:rPr>
        <w:t>está </w:t>
      </w:r>
      <w:r>
        <w:rPr/>
        <w:t>presente, a través de diferentes funciones para establecer interpolaciones de esta </w:t>
      </w:r>
      <w:r>
        <w:rPr>
          <w:spacing w:val="-3"/>
        </w:rPr>
        <w:t>en </w:t>
      </w:r>
      <w:r>
        <w:rPr/>
        <w:t>sitios no muestreados. Conlleva la finalidad de establecer predicciones asociando una variable a un punto espacial y la correlación existente entre estos. (Díaz Viera, 2002). El  análisis  geostadístico parte del supuesto que  los valores de una variable medida distribuida </w:t>
      </w:r>
      <w:r>
        <w:rPr>
          <w:spacing w:val="-3"/>
        </w:rPr>
        <w:t>en </w:t>
      </w:r>
      <w:r>
        <w:rPr/>
        <w:t>espacio  y tiempo </w:t>
      </w:r>
      <w:r>
        <w:rPr>
          <w:spacing w:val="5"/>
        </w:rPr>
        <w:t>de </w:t>
      </w:r>
      <w:r>
        <w:rPr/>
        <w:t>manera implícita están correlacionados unos con otros, </w:t>
      </w:r>
      <w:r>
        <w:rPr>
          <w:spacing w:val="-3"/>
        </w:rPr>
        <w:t>es </w:t>
      </w:r>
      <w:r>
        <w:rPr>
          <w:spacing w:val="2"/>
        </w:rPr>
        <w:t>decir </w:t>
      </w:r>
      <w:r>
        <w:rPr/>
        <w:t>que entre más cercanos estén situados dos puntos están más correlacionados y mientras más separados hay meno relación entre estos  (Díaz Viera,</w:t>
      </w:r>
      <w:r>
        <w:rPr>
          <w:spacing w:val="-19"/>
        </w:rPr>
        <w:t> </w:t>
      </w:r>
      <w:r>
        <w:rPr/>
        <w:t>2002).</w:t>
      </w:r>
    </w:p>
    <w:p>
      <w:pPr>
        <w:pStyle w:val="BodyText"/>
        <w:spacing w:before="2"/>
      </w:pPr>
    </w:p>
    <w:p>
      <w:pPr>
        <w:pStyle w:val="BodyText"/>
        <w:spacing w:line="362" w:lineRule="auto"/>
        <w:ind w:left="105" w:right="133"/>
        <w:jc w:val="both"/>
      </w:pPr>
      <w:r>
        <w:rPr/>
        <w:t>El análisis consta de un procedimiento analítico y un procedimiento instrumental  </w:t>
      </w:r>
      <w:r>
        <w:rPr>
          <w:spacing w:val="-3"/>
        </w:rPr>
        <w:t>en </w:t>
      </w:r>
      <w:r>
        <w:rPr/>
        <w:t>un sistema de información geográfica como </w:t>
      </w:r>
      <w:r>
        <w:rPr>
          <w:spacing w:val="3"/>
        </w:rPr>
        <w:t>se </w:t>
      </w:r>
      <w:r>
        <w:rPr/>
        <w:t>describe </w:t>
      </w:r>
      <w:r>
        <w:rPr>
          <w:spacing w:val="-3"/>
        </w:rPr>
        <w:t>en </w:t>
      </w:r>
      <w:r>
        <w:rPr/>
        <w:t>la figura</w:t>
      </w:r>
      <w:r>
        <w:rPr>
          <w:spacing w:val="-17"/>
        </w:rPr>
        <w:t> </w:t>
      </w:r>
      <w:r>
        <w:rPr/>
        <w:t>6.</w:t>
      </w:r>
    </w:p>
    <w:p>
      <w:pPr>
        <w:spacing w:after="0" w:line="362" w:lineRule="auto"/>
        <w:jc w:val="both"/>
        <w:sectPr>
          <w:pgSz w:w="12240" w:h="15840"/>
          <w:pgMar w:header="0" w:footer="1001" w:top="1360" w:bottom="1200" w:left="1600" w:right="1580"/>
        </w:sectPr>
      </w:pPr>
    </w:p>
    <w:p>
      <w:pPr>
        <w:pStyle w:val="BodyText"/>
        <w:rPr>
          <w:sz w:val="20"/>
        </w:rPr>
      </w:pPr>
    </w:p>
    <w:p>
      <w:pPr>
        <w:pStyle w:val="BodyText"/>
        <w:spacing w:before="5"/>
        <w:rPr>
          <w:sz w:val="26"/>
        </w:rPr>
      </w:pPr>
    </w:p>
    <w:p>
      <w:pPr>
        <w:pStyle w:val="BodyText"/>
        <w:spacing w:before="70"/>
        <w:ind w:left="241" w:right="230"/>
        <w:jc w:val="center"/>
      </w:pPr>
      <w:r>
        <w:rPr/>
        <w:t>Figura 6. Análisis geostadístico</w:t>
      </w:r>
    </w:p>
    <w:p>
      <w:pPr>
        <w:pStyle w:val="BodyText"/>
        <w:rPr>
          <w:sz w:val="20"/>
        </w:rPr>
      </w:pPr>
    </w:p>
    <w:p>
      <w:pPr>
        <w:pStyle w:val="BodyText"/>
        <w:spacing w:before="9"/>
        <w:rPr>
          <w:sz w:val="13"/>
        </w:rPr>
      </w:pPr>
      <w:r>
        <w:rPr/>
        <w:drawing>
          <wp:anchor distT="0" distB="0" distL="0" distR="0" allowOverlap="1" layoutInCell="1" locked="0" behindDoc="0" simplePos="0" relativeHeight="1168">
            <wp:simplePos x="0" y="0"/>
            <wp:positionH relativeFrom="page">
              <wp:posOffset>2313304</wp:posOffset>
            </wp:positionH>
            <wp:positionV relativeFrom="paragraph">
              <wp:posOffset>125831</wp:posOffset>
            </wp:positionV>
            <wp:extent cx="3171236" cy="2212848"/>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23" cstate="print"/>
                    <a:stretch>
                      <a:fillRect/>
                    </a:stretch>
                  </pic:blipFill>
                  <pic:spPr>
                    <a:xfrm>
                      <a:off x="0" y="0"/>
                      <a:ext cx="3171236" cy="2212848"/>
                    </a:xfrm>
                    <a:prstGeom prst="rect">
                      <a:avLst/>
                    </a:prstGeom>
                  </pic:spPr>
                </pic:pic>
              </a:graphicData>
            </a:graphic>
          </wp:anchor>
        </w:drawing>
      </w:r>
    </w:p>
    <w:p>
      <w:pPr>
        <w:pStyle w:val="BodyText"/>
        <w:spacing w:before="176"/>
        <w:ind w:left="234" w:right="233"/>
        <w:jc w:val="center"/>
      </w:pPr>
      <w:r>
        <w:rPr/>
        <w:t>Fuente. Elaboración Propia</w:t>
      </w:r>
    </w:p>
    <w:p>
      <w:pPr>
        <w:pStyle w:val="BodyText"/>
        <w:spacing w:before="2"/>
        <w:rPr>
          <w:sz w:val="28"/>
        </w:rPr>
      </w:pPr>
    </w:p>
    <w:p>
      <w:pPr>
        <w:pStyle w:val="BodyText"/>
        <w:spacing w:line="360" w:lineRule="auto"/>
        <w:ind w:left="225" w:right="224"/>
        <w:jc w:val="both"/>
      </w:pPr>
      <w:r>
        <w:rPr/>
        <w:t>Los datos para su posterior análisis en el software  seleccionado  deben encontrarse georreferenciados, asociando las mediciones con las coordenadas de los sitios donde fueron muestreados, de forma general los datos deben estandarizarse en una base de datos de estructura similar a la siguiente:</w:t>
      </w:r>
    </w:p>
    <w:p>
      <w:pPr>
        <w:pStyle w:val="BodyText"/>
        <w:spacing w:before="10"/>
      </w:pPr>
    </w:p>
    <w:p>
      <w:pPr>
        <w:pStyle w:val="BodyText"/>
        <w:ind w:left="230" w:right="233"/>
        <w:jc w:val="center"/>
      </w:pPr>
      <w:r>
        <w:rPr/>
        <w:t>Cuadro 3. Estructura básica de la base de datos</w:t>
      </w:r>
    </w:p>
    <w:p>
      <w:pPr>
        <w:pStyle w:val="BodyText"/>
        <w:spacing w:before="3" w:after="1"/>
        <w:rPr>
          <w:sz w:val="21"/>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45"/>
        <w:gridCol w:w="1320"/>
        <w:gridCol w:w="1457"/>
        <w:gridCol w:w="992"/>
        <w:gridCol w:w="889"/>
        <w:gridCol w:w="816"/>
        <w:gridCol w:w="817"/>
        <w:gridCol w:w="816"/>
        <w:gridCol w:w="809"/>
      </w:tblGrid>
      <w:tr>
        <w:trPr>
          <w:trHeight w:val="288" w:hRule="exact"/>
        </w:trPr>
        <w:tc>
          <w:tcPr>
            <w:tcW w:w="1145" w:type="dxa"/>
          </w:tcPr>
          <w:p>
            <w:pPr>
              <w:pStyle w:val="TableParagraph"/>
              <w:spacing w:line="275" w:lineRule="exact"/>
              <w:ind w:left="112"/>
              <w:rPr>
                <w:sz w:val="24"/>
              </w:rPr>
            </w:pPr>
            <w:r>
              <w:rPr>
                <w:sz w:val="24"/>
              </w:rPr>
              <w:t>Sitio</w:t>
            </w:r>
          </w:p>
        </w:tc>
        <w:tc>
          <w:tcPr>
            <w:tcW w:w="1320" w:type="dxa"/>
          </w:tcPr>
          <w:p>
            <w:pPr>
              <w:pStyle w:val="TableParagraph"/>
              <w:spacing w:line="275" w:lineRule="exact"/>
              <w:ind w:left="104"/>
              <w:rPr>
                <w:sz w:val="24"/>
              </w:rPr>
            </w:pPr>
            <w:r>
              <w:rPr>
                <w:sz w:val="24"/>
              </w:rPr>
              <w:t>Latitud</w:t>
            </w:r>
          </w:p>
        </w:tc>
        <w:tc>
          <w:tcPr>
            <w:tcW w:w="1457" w:type="dxa"/>
          </w:tcPr>
          <w:p>
            <w:pPr>
              <w:pStyle w:val="TableParagraph"/>
              <w:spacing w:line="275" w:lineRule="exact"/>
              <w:ind w:left="104"/>
              <w:rPr>
                <w:sz w:val="24"/>
              </w:rPr>
            </w:pPr>
            <w:r>
              <w:rPr>
                <w:sz w:val="24"/>
              </w:rPr>
              <w:t>Longitud</w:t>
            </w:r>
          </w:p>
        </w:tc>
        <w:tc>
          <w:tcPr>
            <w:tcW w:w="992" w:type="dxa"/>
          </w:tcPr>
          <w:p>
            <w:pPr>
              <w:pStyle w:val="TableParagraph"/>
              <w:spacing w:line="288" w:lineRule="exact"/>
              <w:ind w:left="104"/>
              <w:rPr>
                <w:sz w:val="16"/>
              </w:rPr>
            </w:pPr>
            <w:r>
              <w:rPr>
                <w:sz w:val="24"/>
              </w:rPr>
              <w:t>X</w:t>
            </w:r>
            <w:r>
              <w:rPr>
                <w:position w:val="-2"/>
                <w:sz w:val="16"/>
              </w:rPr>
              <w:t>1</w:t>
            </w:r>
          </w:p>
        </w:tc>
        <w:tc>
          <w:tcPr>
            <w:tcW w:w="889" w:type="dxa"/>
          </w:tcPr>
          <w:p>
            <w:pPr>
              <w:pStyle w:val="TableParagraph"/>
              <w:spacing w:line="288" w:lineRule="exact"/>
              <w:ind w:left="104"/>
              <w:rPr>
                <w:sz w:val="16"/>
              </w:rPr>
            </w:pPr>
            <w:r>
              <w:rPr>
                <w:sz w:val="24"/>
              </w:rPr>
              <w:t>X</w:t>
            </w:r>
            <w:r>
              <w:rPr>
                <w:position w:val="-2"/>
                <w:sz w:val="16"/>
              </w:rPr>
              <w:t>2</w:t>
            </w:r>
          </w:p>
        </w:tc>
        <w:tc>
          <w:tcPr>
            <w:tcW w:w="816" w:type="dxa"/>
          </w:tcPr>
          <w:p>
            <w:pPr>
              <w:pStyle w:val="TableParagraph"/>
              <w:spacing w:line="275" w:lineRule="exact"/>
              <w:ind w:right="1"/>
              <w:jc w:val="center"/>
              <w:rPr>
                <w:sz w:val="24"/>
              </w:rPr>
            </w:pPr>
            <w:r>
              <w:rPr>
                <w:w w:val="99"/>
                <w:sz w:val="24"/>
              </w:rPr>
              <w:t>‘</w:t>
            </w:r>
          </w:p>
        </w:tc>
        <w:tc>
          <w:tcPr>
            <w:tcW w:w="817" w:type="dxa"/>
          </w:tcPr>
          <w:p>
            <w:pPr>
              <w:pStyle w:val="TableParagraph"/>
              <w:spacing w:line="275" w:lineRule="exact"/>
              <w:ind w:left="104"/>
              <w:rPr>
                <w:sz w:val="24"/>
              </w:rPr>
            </w:pPr>
            <w:r>
              <w:rPr>
                <w:w w:val="99"/>
                <w:sz w:val="24"/>
              </w:rPr>
              <w:t>‘</w:t>
            </w:r>
          </w:p>
        </w:tc>
        <w:tc>
          <w:tcPr>
            <w:tcW w:w="816" w:type="dxa"/>
          </w:tcPr>
          <w:p>
            <w:pPr>
              <w:pStyle w:val="TableParagraph"/>
              <w:spacing w:line="275" w:lineRule="exact"/>
              <w:ind w:left="104"/>
              <w:rPr>
                <w:sz w:val="24"/>
              </w:rPr>
            </w:pPr>
            <w:r>
              <w:rPr>
                <w:w w:val="99"/>
                <w:sz w:val="24"/>
              </w:rPr>
              <w:t>‘</w:t>
            </w:r>
          </w:p>
        </w:tc>
        <w:tc>
          <w:tcPr>
            <w:tcW w:w="809" w:type="dxa"/>
          </w:tcPr>
          <w:p>
            <w:pPr>
              <w:pStyle w:val="TableParagraph"/>
              <w:spacing w:line="288" w:lineRule="exact"/>
              <w:ind w:left="104"/>
              <w:rPr>
                <w:sz w:val="16"/>
              </w:rPr>
            </w:pPr>
            <w:r>
              <w:rPr>
                <w:sz w:val="24"/>
              </w:rPr>
              <w:t>X</w:t>
            </w:r>
            <w:r>
              <w:rPr>
                <w:position w:val="-2"/>
                <w:sz w:val="16"/>
              </w:rPr>
              <w:t>p</w:t>
            </w:r>
          </w:p>
        </w:tc>
      </w:tr>
      <w:tr>
        <w:trPr>
          <w:trHeight w:val="288" w:hRule="exact"/>
        </w:trPr>
        <w:tc>
          <w:tcPr>
            <w:tcW w:w="1145" w:type="dxa"/>
          </w:tcPr>
          <w:p>
            <w:pPr>
              <w:pStyle w:val="TableParagraph"/>
              <w:spacing w:line="267" w:lineRule="exact"/>
              <w:ind w:left="112"/>
              <w:rPr>
                <w:sz w:val="24"/>
              </w:rPr>
            </w:pPr>
            <w:r>
              <w:rPr>
                <w:w w:val="99"/>
                <w:sz w:val="24"/>
              </w:rPr>
              <w:t>1</w:t>
            </w:r>
          </w:p>
        </w:tc>
        <w:tc>
          <w:tcPr>
            <w:tcW w:w="1320" w:type="dxa"/>
          </w:tcPr>
          <w:p>
            <w:pPr/>
          </w:p>
        </w:tc>
        <w:tc>
          <w:tcPr>
            <w:tcW w:w="1457" w:type="dxa"/>
          </w:tcPr>
          <w:p>
            <w:pPr/>
          </w:p>
        </w:tc>
        <w:tc>
          <w:tcPr>
            <w:tcW w:w="992" w:type="dxa"/>
          </w:tcPr>
          <w:p>
            <w:pPr>
              <w:pStyle w:val="TableParagraph"/>
              <w:spacing w:line="282" w:lineRule="exact"/>
              <w:ind w:left="104"/>
              <w:rPr>
                <w:sz w:val="16"/>
              </w:rPr>
            </w:pPr>
            <w:r>
              <w:rPr>
                <w:position w:val="3"/>
                <w:sz w:val="24"/>
              </w:rPr>
              <w:t>X</w:t>
            </w:r>
            <w:r>
              <w:rPr>
                <w:sz w:val="16"/>
              </w:rPr>
              <w:t>11</w:t>
            </w:r>
          </w:p>
        </w:tc>
        <w:tc>
          <w:tcPr>
            <w:tcW w:w="889" w:type="dxa"/>
          </w:tcPr>
          <w:p>
            <w:pPr>
              <w:pStyle w:val="TableParagraph"/>
              <w:spacing w:line="282" w:lineRule="exact"/>
              <w:ind w:left="104"/>
              <w:rPr>
                <w:sz w:val="16"/>
              </w:rPr>
            </w:pPr>
            <w:r>
              <w:rPr>
                <w:position w:val="3"/>
                <w:sz w:val="24"/>
              </w:rPr>
              <w:t>X</w:t>
            </w:r>
            <w:r>
              <w:rPr>
                <w:sz w:val="16"/>
              </w:rPr>
              <w:t>21</w:t>
            </w:r>
          </w:p>
        </w:tc>
        <w:tc>
          <w:tcPr>
            <w:tcW w:w="816" w:type="dxa"/>
          </w:tcPr>
          <w:p>
            <w:pPr/>
          </w:p>
        </w:tc>
        <w:tc>
          <w:tcPr>
            <w:tcW w:w="817" w:type="dxa"/>
          </w:tcPr>
          <w:p>
            <w:pPr/>
          </w:p>
        </w:tc>
        <w:tc>
          <w:tcPr>
            <w:tcW w:w="816" w:type="dxa"/>
          </w:tcPr>
          <w:p>
            <w:pPr/>
          </w:p>
        </w:tc>
        <w:tc>
          <w:tcPr>
            <w:tcW w:w="809" w:type="dxa"/>
          </w:tcPr>
          <w:p>
            <w:pPr/>
          </w:p>
        </w:tc>
      </w:tr>
      <w:tr>
        <w:trPr>
          <w:trHeight w:val="288" w:hRule="exact"/>
        </w:trPr>
        <w:tc>
          <w:tcPr>
            <w:tcW w:w="1145" w:type="dxa"/>
          </w:tcPr>
          <w:p>
            <w:pPr>
              <w:pStyle w:val="TableParagraph"/>
              <w:spacing w:line="267" w:lineRule="exact"/>
              <w:ind w:left="112"/>
              <w:rPr>
                <w:sz w:val="24"/>
              </w:rPr>
            </w:pPr>
            <w:r>
              <w:rPr>
                <w:w w:val="99"/>
                <w:sz w:val="24"/>
              </w:rPr>
              <w:t>2</w:t>
            </w:r>
          </w:p>
        </w:tc>
        <w:tc>
          <w:tcPr>
            <w:tcW w:w="1320" w:type="dxa"/>
          </w:tcPr>
          <w:p>
            <w:pPr/>
          </w:p>
        </w:tc>
        <w:tc>
          <w:tcPr>
            <w:tcW w:w="1457" w:type="dxa"/>
          </w:tcPr>
          <w:p>
            <w:pPr/>
          </w:p>
        </w:tc>
        <w:tc>
          <w:tcPr>
            <w:tcW w:w="992" w:type="dxa"/>
          </w:tcPr>
          <w:p>
            <w:pPr>
              <w:pStyle w:val="TableParagraph"/>
              <w:spacing w:line="282" w:lineRule="exact"/>
              <w:ind w:left="104"/>
              <w:rPr>
                <w:sz w:val="16"/>
              </w:rPr>
            </w:pPr>
            <w:r>
              <w:rPr>
                <w:position w:val="3"/>
                <w:sz w:val="24"/>
              </w:rPr>
              <w:t>X</w:t>
            </w:r>
            <w:r>
              <w:rPr>
                <w:sz w:val="16"/>
              </w:rPr>
              <w:t>12</w:t>
            </w:r>
          </w:p>
        </w:tc>
        <w:tc>
          <w:tcPr>
            <w:tcW w:w="889" w:type="dxa"/>
          </w:tcPr>
          <w:p>
            <w:pPr>
              <w:pStyle w:val="TableParagraph"/>
              <w:spacing w:line="282" w:lineRule="exact"/>
              <w:ind w:left="104"/>
              <w:rPr>
                <w:sz w:val="16"/>
              </w:rPr>
            </w:pPr>
            <w:r>
              <w:rPr>
                <w:position w:val="3"/>
                <w:sz w:val="24"/>
              </w:rPr>
              <w:t>X</w:t>
            </w:r>
            <w:r>
              <w:rPr>
                <w:sz w:val="16"/>
              </w:rPr>
              <w:t>22</w:t>
            </w:r>
          </w:p>
        </w:tc>
        <w:tc>
          <w:tcPr>
            <w:tcW w:w="816" w:type="dxa"/>
          </w:tcPr>
          <w:p>
            <w:pPr/>
          </w:p>
        </w:tc>
        <w:tc>
          <w:tcPr>
            <w:tcW w:w="817" w:type="dxa"/>
          </w:tcPr>
          <w:p>
            <w:pPr/>
          </w:p>
        </w:tc>
        <w:tc>
          <w:tcPr>
            <w:tcW w:w="816" w:type="dxa"/>
          </w:tcPr>
          <w:p>
            <w:pPr/>
          </w:p>
        </w:tc>
        <w:tc>
          <w:tcPr>
            <w:tcW w:w="809" w:type="dxa"/>
          </w:tcPr>
          <w:p>
            <w:pPr/>
          </w:p>
        </w:tc>
      </w:tr>
      <w:tr>
        <w:trPr>
          <w:trHeight w:val="280" w:hRule="exact"/>
        </w:trPr>
        <w:tc>
          <w:tcPr>
            <w:tcW w:w="1145" w:type="dxa"/>
          </w:tcPr>
          <w:p>
            <w:pPr>
              <w:pStyle w:val="TableParagraph"/>
              <w:spacing w:line="267" w:lineRule="exact"/>
              <w:ind w:left="112"/>
              <w:rPr>
                <w:sz w:val="24"/>
              </w:rPr>
            </w:pPr>
            <w:r>
              <w:rPr>
                <w:w w:val="99"/>
                <w:sz w:val="24"/>
              </w:rPr>
              <w:t>3</w:t>
            </w:r>
          </w:p>
        </w:tc>
        <w:tc>
          <w:tcPr>
            <w:tcW w:w="1320" w:type="dxa"/>
          </w:tcPr>
          <w:p>
            <w:pPr/>
          </w:p>
        </w:tc>
        <w:tc>
          <w:tcPr>
            <w:tcW w:w="1457" w:type="dxa"/>
          </w:tcPr>
          <w:p>
            <w:pPr/>
          </w:p>
        </w:tc>
        <w:tc>
          <w:tcPr>
            <w:tcW w:w="992" w:type="dxa"/>
          </w:tcPr>
          <w:p>
            <w:pPr>
              <w:pStyle w:val="TableParagraph"/>
              <w:spacing w:line="282" w:lineRule="exact"/>
              <w:ind w:left="104"/>
              <w:rPr>
                <w:sz w:val="16"/>
              </w:rPr>
            </w:pPr>
            <w:r>
              <w:rPr>
                <w:position w:val="3"/>
                <w:sz w:val="24"/>
              </w:rPr>
              <w:t>X</w:t>
            </w:r>
            <w:r>
              <w:rPr>
                <w:sz w:val="16"/>
              </w:rPr>
              <w:t>13</w:t>
            </w:r>
          </w:p>
        </w:tc>
        <w:tc>
          <w:tcPr>
            <w:tcW w:w="889" w:type="dxa"/>
          </w:tcPr>
          <w:p>
            <w:pPr>
              <w:pStyle w:val="TableParagraph"/>
              <w:spacing w:line="282" w:lineRule="exact"/>
              <w:ind w:left="104"/>
              <w:rPr>
                <w:sz w:val="16"/>
              </w:rPr>
            </w:pPr>
            <w:r>
              <w:rPr>
                <w:position w:val="3"/>
                <w:sz w:val="24"/>
              </w:rPr>
              <w:t>X</w:t>
            </w:r>
            <w:r>
              <w:rPr>
                <w:sz w:val="16"/>
              </w:rPr>
              <w:t>23</w:t>
            </w:r>
          </w:p>
        </w:tc>
        <w:tc>
          <w:tcPr>
            <w:tcW w:w="816" w:type="dxa"/>
          </w:tcPr>
          <w:p>
            <w:pPr/>
          </w:p>
        </w:tc>
        <w:tc>
          <w:tcPr>
            <w:tcW w:w="817" w:type="dxa"/>
          </w:tcPr>
          <w:p>
            <w:pPr/>
          </w:p>
        </w:tc>
        <w:tc>
          <w:tcPr>
            <w:tcW w:w="816" w:type="dxa"/>
          </w:tcPr>
          <w:p>
            <w:pPr/>
          </w:p>
        </w:tc>
        <w:tc>
          <w:tcPr>
            <w:tcW w:w="809" w:type="dxa"/>
          </w:tcPr>
          <w:p>
            <w:pPr/>
          </w:p>
        </w:tc>
      </w:tr>
      <w:tr>
        <w:trPr>
          <w:trHeight w:val="288" w:hRule="exact"/>
        </w:trPr>
        <w:tc>
          <w:tcPr>
            <w:tcW w:w="1145" w:type="dxa"/>
          </w:tcPr>
          <w:p>
            <w:pPr>
              <w:pStyle w:val="TableParagraph"/>
              <w:spacing w:line="275" w:lineRule="exact"/>
              <w:ind w:left="112"/>
              <w:rPr>
                <w:sz w:val="24"/>
              </w:rPr>
            </w:pPr>
            <w:r>
              <w:rPr>
                <w:w w:val="99"/>
                <w:sz w:val="24"/>
              </w:rPr>
              <w:t>4</w:t>
            </w:r>
          </w:p>
        </w:tc>
        <w:tc>
          <w:tcPr>
            <w:tcW w:w="1320" w:type="dxa"/>
          </w:tcPr>
          <w:p>
            <w:pPr/>
          </w:p>
        </w:tc>
        <w:tc>
          <w:tcPr>
            <w:tcW w:w="1457" w:type="dxa"/>
          </w:tcPr>
          <w:p>
            <w:pPr/>
          </w:p>
        </w:tc>
        <w:tc>
          <w:tcPr>
            <w:tcW w:w="992" w:type="dxa"/>
          </w:tcPr>
          <w:p>
            <w:pPr>
              <w:pStyle w:val="TableParagraph"/>
              <w:spacing w:before="1"/>
              <w:ind w:left="104"/>
              <w:rPr>
                <w:sz w:val="16"/>
              </w:rPr>
            </w:pPr>
            <w:r>
              <w:rPr>
                <w:position w:val="3"/>
                <w:sz w:val="24"/>
              </w:rPr>
              <w:t>X</w:t>
            </w:r>
            <w:r>
              <w:rPr>
                <w:sz w:val="16"/>
              </w:rPr>
              <w:t>14</w:t>
            </w:r>
          </w:p>
        </w:tc>
        <w:tc>
          <w:tcPr>
            <w:tcW w:w="889" w:type="dxa"/>
          </w:tcPr>
          <w:p>
            <w:pPr>
              <w:pStyle w:val="TableParagraph"/>
              <w:spacing w:before="1"/>
              <w:ind w:left="104"/>
              <w:rPr>
                <w:sz w:val="16"/>
              </w:rPr>
            </w:pPr>
            <w:r>
              <w:rPr>
                <w:position w:val="3"/>
                <w:sz w:val="24"/>
              </w:rPr>
              <w:t>X</w:t>
            </w:r>
            <w:r>
              <w:rPr>
                <w:sz w:val="16"/>
              </w:rPr>
              <w:t>24</w:t>
            </w:r>
          </w:p>
        </w:tc>
        <w:tc>
          <w:tcPr>
            <w:tcW w:w="816" w:type="dxa"/>
          </w:tcPr>
          <w:p>
            <w:pPr/>
          </w:p>
        </w:tc>
        <w:tc>
          <w:tcPr>
            <w:tcW w:w="817" w:type="dxa"/>
          </w:tcPr>
          <w:p>
            <w:pPr/>
          </w:p>
        </w:tc>
        <w:tc>
          <w:tcPr>
            <w:tcW w:w="816" w:type="dxa"/>
          </w:tcPr>
          <w:p>
            <w:pPr/>
          </w:p>
        </w:tc>
        <w:tc>
          <w:tcPr>
            <w:tcW w:w="809" w:type="dxa"/>
          </w:tcPr>
          <w:p>
            <w:pPr/>
          </w:p>
        </w:tc>
      </w:tr>
      <w:tr>
        <w:trPr>
          <w:trHeight w:val="288" w:hRule="exact"/>
        </w:trPr>
        <w:tc>
          <w:tcPr>
            <w:tcW w:w="1145" w:type="dxa"/>
          </w:tcPr>
          <w:p>
            <w:pPr>
              <w:pStyle w:val="TableParagraph"/>
              <w:spacing w:line="267" w:lineRule="exact"/>
              <w:ind w:left="112"/>
              <w:rPr>
                <w:sz w:val="24"/>
              </w:rPr>
            </w:pPr>
            <w:r>
              <w:rPr>
                <w:w w:val="99"/>
                <w:sz w:val="24"/>
              </w:rPr>
              <w:t>‘</w:t>
            </w:r>
          </w:p>
        </w:tc>
        <w:tc>
          <w:tcPr>
            <w:tcW w:w="1320" w:type="dxa"/>
          </w:tcPr>
          <w:p>
            <w:pPr/>
          </w:p>
        </w:tc>
        <w:tc>
          <w:tcPr>
            <w:tcW w:w="1457" w:type="dxa"/>
          </w:tcPr>
          <w:p>
            <w:pPr/>
          </w:p>
        </w:tc>
        <w:tc>
          <w:tcPr>
            <w:tcW w:w="992" w:type="dxa"/>
          </w:tcPr>
          <w:p>
            <w:pPr>
              <w:pStyle w:val="TableParagraph"/>
              <w:spacing w:line="282" w:lineRule="exact"/>
              <w:ind w:left="104"/>
              <w:rPr>
                <w:sz w:val="16"/>
              </w:rPr>
            </w:pPr>
            <w:r>
              <w:rPr>
                <w:position w:val="3"/>
                <w:sz w:val="24"/>
              </w:rPr>
              <w:t>X</w:t>
            </w:r>
            <w:r>
              <w:rPr>
                <w:sz w:val="16"/>
              </w:rPr>
              <w:t>15</w:t>
            </w:r>
          </w:p>
        </w:tc>
        <w:tc>
          <w:tcPr>
            <w:tcW w:w="889" w:type="dxa"/>
          </w:tcPr>
          <w:p>
            <w:pPr>
              <w:pStyle w:val="TableParagraph"/>
              <w:spacing w:line="282" w:lineRule="exact"/>
              <w:ind w:left="104"/>
              <w:rPr>
                <w:sz w:val="16"/>
              </w:rPr>
            </w:pPr>
            <w:r>
              <w:rPr>
                <w:position w:val="3"/>
                <w:sz w:val="24"/>
              </w:rPr>
              <w:t>X</w:t>
            </w:r>
            <w:r>
              <w:rPr>
                <w:sz w:val="16"/>
              </w:rPr>
              <w:t>25</w:t>
            </w:r>
          </w:p>
        </w:tc>
        <w:tc>
          <w:tcPr>
            <w:tcW w:w="816" w:type="dxa"/>
          </w:tcPr>
          <w:p>
            <w:pPr/>
          </w:p>
        </w:tc>
        <w:tc>
          <w:tcPr>
            <w:tcW w:w="817" w:type="dxa"/>
          </w:tcPr>
          <w:p>
            <w:pPr/>
          </w:p>
        </w:tc>
        <w:tc>
          <w:tcPr>
            <w:tcW w:w="816" w:type="dxa"/>
          </w:tcPr>
          <w:p>
            <w:pPr/>
          </w:p>
        </w:tc>
        <w:tc>
          <w:tcPr>
            <w:tcW w:w="809" w:type="dxa"/>
          </w:tcPr>
          <w:p>
            <w:pPr/>
          </w:p>
        </w:tc>
      </w:tr>
      <w:tr>
        <w:trPr>
          <w:trHeight w:val="288" w:hRule="exact"/>
        </w:trPr>
        <w:tc>
          <w:tcPr>
            <w:tcW w:w="1145" w:type="dxa"/>
          </w:tcPr>
          <w:p>
            <w:pPr>
              <w:pStyle w:val="TableParagraph"/>
              <w:spacing w:line="267" w:lineRule="exact"/>
              <w:ind w:left="112"/>
              <w:rPr>
                <w:sz w:val="24"/>
              </w:rPr>
            </w:pPr>
            <w:r>
              <w:rPr>
                <w:w w:val="99"/>
                <w:sz w:val="24"/>
              </w:rPr>
              <w:t>‘</w:t>
            </w:r>
          </w:p>
        </w:tc>
        <w:tc>
          <w:tcPr>
            <w:tcW w:w="1320" w:type="dxa"/>
          </w:tcPr>
          <w:p>
            <w:pPr/>
          </w:p>
        </w:tc>
        <w:tc>
          <w:tcPr>
            <w:tcW w:w="1457" w:type="dxa"/>
          </w:tcPr>
          <w:p>
            <w:pPr/>
          </w:p>
        </w:tc>
        <w:tc>
          <w:tcPr>
            <w:tcW w:w="992" w:type="dxa"/>
          </w:tcPr>
          <w:p>
            <w:pPr/>
          </w:p>
        </w:tc>
        <w:tc>
          <w:tcPr>
            <w:tcW w:w="889" w:type="dxa"/>
          </w:tcPr>
          <w:p>
            <w:pPr/>
          </w:p>
        </w:tc>
        <w:tc>
          <w:tcPr>
            <w:tcW w:w="816" w:type="dxa"/>
          </w:tcPr>
          <w:p>
            <w:pPr/>
          </w:p>
        </w:tc>
        <w:tc>
          <w:tcPr>
            <w:tcW w:w="817" w:type="dxa"/>
          </w:tcPr>
          <w:p>
            <w:pPr/>
          </w:p>
        </w:tc>
        <w:tc>
          <w:tcPr>
            <w:tcW w:w="816" w:type="dxa"/>
          </w:tcPr>
          <w:p>
            <w:pPr/>
          </w:p>
        </w:tc>
        <w:tc>
          <w:tcPr>
            <w:tcW w:w="809" w:type="dxa"/>
          </w:tcPr>
          <w:p>
            <w:pPr/>
          </w:p>
        </w:tc>
      </w:tr>
      <w:tr>
        <w:trPr>
          <w:trHeight w:val="289" w:hRule="exact"/>
        </w:trPr>
        <w:tc>
          <w:tcPr>
            <w:tcW w:w="1145" w:type="dxa"/>
          </w:tcPr>
          <w:p>
            <w:pPr>
              <w:pStyle w:val="TableParagraph"/>
              <w:spacing w:line="267" w:lineRule="exact"/>
              <w:ind w:left="112"/>
              <w:rPr>
                <w:sz w:val="24"/>
              </w:rPr>
            </w:pPr>
            <w:r>
              <w:rPr>
                <w:w w:val="99"/>
                <w:sz w:val="24"/>
              </w:rPr>
              <w:t>n</w:t>
            </w:r>
          </w:p>
        </w:tc>
        <w:tc>
          <w:tcPr>
            <w:tcW w:w="1320" w:type="dxa"/>
          </w:tcPr>
          <w:p>
            <w:pPr/>
          </w:p>
        </w:tc>
        <w:tc>
          <w:tcPr>
            <w:tcW w:w="1457" w:type="dxa"/>
          </w:tcPr>
          <w:p>
            <w:pPr/>
          </w:p>
        </w:tc>
        <w:tc>
          <w:tcPr>
            <w:tcW w:w="992" w:type="dxa"/>
          </w:tcPr>
          <w:p>
            <w:pPr>
              <w:pStyle w:val="TableParagraph"/>
              <w:spacing w:line="281" w:lineRule="exact"/>
              <w:ind w:left="104"/>
              <w:rPr>
                <w:sz w:val="16"/>
              </w:rPr>
            </w:pPr>
            <w:r>
              <w:rPr>
                <w:sz w:val="24"/>
              </w:rPr>
              <w:t>Xn</w:t>
            </w:r>
            <w:r>
              <w:rPr>
                <w:position w:val="-2"/>
                <w:sz w:val="16"/>
              </w:rPr>
              <w:t>1</w:t>
            </w:r>
          </w:p>
        </w:tc>
        <w:tc>
          <w:tcPr>
            <w:tcW w:w="889" w:type="dxa"/>
          </w:tcPr>
          <w:p>
            <w:pPr>
              <w:pStyle w:val="TableParagraph"/>
              <w:spacing w:line="281" w:lineRule="exact"/>
              <w:ind w:left="104"/>
              <w:rPr>
                <w:sz w:val="16"/>
              </w:rPr>
            </w:pPr>
            <w:r>
              <w:rPr>
                <w:sz w:val="24"/>
              </w:rPr>
              <w:t>Xn</w:t>
            </w:r>
            <w:r>
              <w:rPr>
                <w:position w:val="-2"/>
                <w:sz w:val="16"/>
              </w:rPr>
              <w:t>2</w:t>
            </w:r>
          </w:p>
        </w:tc>
        <w:tc>
          <w:tcPr>
            <w:tcW w:w="816" w:type="dxa"/>
          </w:tcPr>
          <w:p>
            <w:pPr/>
          </w:p>
        </w:tc>
        <w:tc>
          <w:tcPr>
            <w:tcW w:w="817" w:type="dxa"/>
          </w:tcPr>
          <w:p>
            <w:pPr/>
          </w:p>
        </w:tc>
        <w:tc>
          <w:tcPr>
            <w:tcW w:w="816" w:type="dxa"/>
          </w:tcPr>
          <w:p>
            <w:pPr/>
          </w:p>
        </w:tc>
        <w:tc>
          <w:tcPr>
            <w:tcW w:w="809" w:type="dxa"/>
          </w:tcPr>
          <w:p>
            <w:pPr>
              <w:pStyle w:val="TableParagraph"/>
              <w:spacing w:line="281" w:lineRule="exact"/>
              <w:ind w:left="104"/>
              <w:rPr>
                <w:sz w:val="16"/>
              </w:rPr>
            </w:pPr>
            <w:r>
              <w:rPr>
                <w:sz w:val="24"/>
              </w:rPr>
              <w:t>Xn</w:t>
            </w:r>
            <w:r>
              <w:rPr>
                <w:position w:val="-2"/>
                <w:sz w:val="16"/>
              </w:rPr>
              <w:t>p</w:t>
            </w:r>
          </w:p>
        </w:tc>
      </w:tr>
    </w:tbl>
    <w:p>
      <w:pPr>
        <w:pStyle w:val="BodyText"/>
        <w:spacing w:line="267" w:lineRule="exact"/>
        <w:ind w:left="241" w:right="231"/>
        <w:jc w:val="center"/>
      </w:pPr>
      <w:r>
        <w:rPr/>
        <w:t>Fuente: Moreno 2006</w:t>
      </w:r>
    </w:p>
    <w:p>
      <w:pPr>
        <w:pStyle w:val="BodyText"/>
        <w:spacing w:before="5"/>
        <w:rPr>
          <w:sz w:val="27"/>
        </w:rPr>
      </w:pPr>
    </w:p>
    <w:p>
      <w:pPr>
        <w:pStyle w:val="BodyText"/>
        <w:spacing w:line="360" w:lineRule="auto"/>
        <w:ind w:left="225" w:right="208"/>
        <w:jc w:val="both"/>
      </w:pPr>
      <w:r>
        <w:rPr/>
        <w:t>En la tabla anterior “n” corresponde al número de puntos muestreados y “p” las variables medidas en cada uno de ello, cada Xjj corresponde a la media de la variable en el sitio, la cual puede ser cuantitativa o categórica. Cada x corresponde a la media de la variable  en  el  sitio muestreado.  Las  coordenadas  pueden   ser</w:t>
      </w:r>
    </w:p>
    <w:p>
      <w:pPr>
        <w:spacing w:after="0" w:line="360" w:lineRule="auto"/>
        <w:jc w:val="both"/>
        <w:sectPr>
          <w:pgSz w:w="12240" w:h="15840"/>
          <w:pgMar w:header="0" w:footer="1001" w:top="1500" w:bottom="1200" w:left="1480" w:right="1480"/>
        </w:sectPr>
      </w:pPr>
    </w:p>
    <w:p>
      <w:pPr>
        <w:pStyle w:val="BodyText"/>
        <w:spacing w:line="362" w:lineRule="auto" w:before="48"/>
        <w:ind w:left="105" w:right="113"/>
        <w:jc w:val="both"/>
      </w:pPr>
      <w:r>
        <w:rPr/>
        <w:t>planas o geográficas, su utilización dependerá del software a utilizar (Giraldo, 2003).</w:t>
      </w:r>
    </w:p>
    <w:p>
      <w:pPr>
        <w:pStyle w:val="BodyText"/>
        <w:spacing w:before="7"/>
      </w:pPr>
    </w:p>
    <w:p>
      <w:pPr>
        <w:pStyle w:val="BodyText"/>
        <w:spacing w:line="360" w:lineRule="auto" w:before="1"/>
        <w:ind w:left="105" w:right="112"/>
        <w:jc w:val="both"/>
      </w:pPr>
      <w:r>
        <w:rPr/>
        <w:t>A partir de los datos se realiza la construcción de los histogramas, el análisis de Q y la construcción de los semivariogramas, con lo cual se permite determinar el modelo que se ajuste mejor a los datos, las diferentes opciones de Kriging que presenta el programa. El uso del Kriging para la investigación se justifica dado que este ofrece el mejor indicador insesgado de una característica desconocida que se estudia, permite obtener un valor aproximado de un atributo en un sitio no muestreado a partir de las mediciones disponibles en puntos localizados dentro de la misma área o región incluyendo en el procedimiento efectos de variabilidad aleatoria (Díaz Viera, 2002).</w:t>
      </w:r>
    </w:p>
    <w:p>
      <w:pPr>
        <w:pStyle w:val="BodyText"/>
        <w:spacing w:before="2"/>
      </w:pPr>
    </w:p>
    <w:p>
      <w:pPr>
        <w:pStyle w:val="BodyText"/>
        <w:spacing w:line="360" w:lineRule="auto"/>
        <w:ind w:left="105" w:right="111"/>
        <w:jc w:val="both"/>
      </w:pPr>
      <w:r>
        <w:rPr/>
        <w:t>Ajusta una función matemática a una cantidad especificada de puntos o a </w:t>
      </w:r>
      <w:r>
        <w:rPr>
          <w:spacing w:val="-3"/>
        </w:rPr>
        <w:t>todos </w:t>
      </w:r>
      <w:r>
        <w:rPr/>
        <w:t>los puntos dentro </w:t>
      </w:r>
      <w:r>
        <w:rPr>
          <w:spacing w:val="5"/>
        </w:rPr>
        <w:t>de </w:t>
      </w:r>
      <w:r>
        <w:rPr/>
        <w:t>un radio específico para determinar </w:t>
      </w:r>
      <w:r>
        <w:rPr>
          <w:spacing w:val="-3"/>
        </w:rPr>
        <w:t>el </w:t>
      </w:r>
      <w:r>
        <w:rPr/>
        <w:t>valor </w:t>
      </w:r>
      <w:r>
        <w:rPr>
          <w:spacing w:val="5"/>
        </w:rPr>
        <w:t>de </w:t>
      </w:r>
      <w:r>
        <w:rPr/>
        <w:t>salida para cada ubicación. Kriging </w:t>
      </w:r>
      <w:r>
        <w:rPr>
          <w:spacing w:val="-3"/>
        </w:rPr>
        <w:t>es </w:t>
      </w:r>
      <w:r>
        <w:rPr/>
        <w:t>un proceso que tiene varios pasos, entre los que se incluyen, </w:t>
      </w:r>
      <w:r>
        <w:rPr>
          <w:spacing w:val="-3"/>
        </w:rPr>
        <w:t>el </w:t>
      </w:r>
      <w:r>
        <w:rPr/>
        <w:t>análisis estadístico exploratorio </w:t>
      </w:r>
      <w:r>
        <w:rPr>
          <w:spacing w:val="5"/>
        </w:rPr>
        <w:t>de </w:t>
      </w:r>
      <w:r>
        <w:rPr/>
        <w:t>los datos, </w:t>
      </w:r>
      <w:r>
        <w:rPr>
          <w:spacing w:val="-3"/>
        </w:rPr>
        <w:t>el </w:t>
      </w:r>
      <w:r>
        <w:rPr/>
        <w:t>mod elado de variogramas, la creación de la superficie y (opcionalmente) </w:t>
      </w:r>
      <w:r>
        <w:rPr>
          <w:spacing w:val="5"/>
        </w:rPr>
        <w:t>la </w:t>
      </w:r>
      <w:r>
        <w:rPr/>
        <w:t>exploración de la superficie de varianza. Este método </w:t>
      </w:r>
      <w:r>
        <w:rPr>
          <w:spacing w:val="-3"/>
        </w:rPr>
        <w:t>es </w:t>
      </w:r>
      <w:r>
        <w:rPr/>
        <w:t>más adecuado cuando se sabe </w:t>
      </w:r>
      <w:r>
        <w:rPr>
          <w:spacing w:val="4"/>
        </w:rPr>
        <w:t>que </w:t>
      </w:r>
      <w:r>
        <w:rPr/>
        <w:t>hay una influencia direccional o </w:t>
      </w:r>
      <w:r>
        <w:rPr>
          <w:spacing w:val="5"/>
        </w:rPr>
        <w:t>de </w:t>
      </w:r>
      <w:r>
        <w:rPr/>
        <w:t>la distancia correlacionada espacialmente </w:t>
      </w:r>
      <w:r>
        <w:rPr>
          <w:spacing w:val="-3"/>
        </w:rPr>
        <w:t>en </w:t>
      </w:r>
      <w:r>
        <w:rPr/>
        <w:t>los datos(Barón,</w:t>
      </w:r>
      <w:r>
        <w:rPr>
          <w:spacing w:val="-5"/>
        </w:rPr>
        <w:t> </w:t>
      </w:r>
      <w:r>
        <w:rPr/>
        <w:t>2003).</w:t>
      </w:r>
    </w:p>
    <w:p>
      <w:pPr>
        <w:pStyle w:val="BodyText"/>
        <w:spacing w:before="2"/>
      </w:pPr>
    </w:p>
    <w:p>
      <w:pPr>
        <w:pStyle w:val="BodyText"/>
        <w:spacing w:line="360" w:lineRule="auto"/>
        <w:ind w:left="105" w:right="121"/>
        <w:jc w:val="both"/>
      </w:pPr>
      <w:r>
        <w:rPr/>
        <w:t>Del desarrollo de esta fase se realizó el análisis estadístico de las variables, la construcción de gráficas de tendencias y los climogramas. Por otro lado se realizará la representación de las variables a través de los mapas temáticos para cada una de las variables, a través del método de Kriging, permitiendo realizar una la simulación del comportamiento de las variables en la zona de estudio para la temporada húmeda y la temporada seca del año.</w:t>
      </w:r>
    </w:p>
    <w:p>
      <w:pPr>
        <w:pStyle w:val="BodyText"/>
        <w:spacing w:before="3"/>
        <w:rPr>
          <w:sz w:val="25"/>
        </w:rPr>
      </w:pPr>
    </w:p>
    <w:p>
      <w:pPr>
        <w:pStyle w:val="Heading3"/>
        <w:spacing w:before="1"/>
      </w:pPr>
      <w:bookmarkStart w:name="_bookmark36" w:id="63"/>
      <w:bookmarkEnd w:id="63"/>
      <w:r>
        <w:rPr>
          <w:b w:val="0"/>
        </w:rPr>
      </w:r>
      <w:r>
        <w:rPr>
          <w:color w:val="4F81BC"/>
        </w:rPr>
        <w:t>Fase Propositiva</w:t>
      </w:r>
    </w:p>
    <w:p>
      <w:pPr>
        <w:pStyle w:val="BodyText"/>
        <w:spacing w:before="9"/>
        <w:rPr>
          <w:rFonts w:ascii="Cambria"/>
          <w:b/>
          <w:sz w:val="26"/>
        </w:rPr>
      </w:pPr>
    </w:p>
    <w:p>
      <w:pPr>
        <w:pStyle w:val="BodyText"/>
        <w:spacing w:line="362" w:lineRule="auto"/>
        <w:ind w:left="105" w:right="113"/>
        <w:jc w:val="both"/>
      </w:pPr>
      <w:r>
        <w:rPr/>
        <w:t>La fase propositiva corresponde </w:t>
      </w:r>
      <w:r>
        <w:rPr>
          <w:spacing w:val="-3"/>
        </w:rPr>
        <w:t>al </w:t>
      </w:r>
      <w:r>
        <w:rPr/>
        <w:t>último objetivo, </w:t>
      </w:r>
      <w:r>
        <w:rPr>
          <w:spacing w:val="-3"/>
        </w:rPr>
        <w:t>en el </w:t>
      </w:r>
      <w:r>
        <w:rPr/>
        <w:t>cual se realizará una propuesta  a  de  lineamientos  de  gestión  que  contribuya  a  la  mitigación  de</w:t>
      </w:r>
      <w:r>
        <w:rPr>
          <w:spacing w:val="59"/>
        </w:rPr>
        <w:t> </w:t>
      </w:r>
      <w:r>
        <w:rPr/>
        <w:t>la</w:t>
      </w:r>
    </w:p>
    <w:p>
      <w:pPr>
        <w:spacing w:after="0" w:line="362" w:lineRule="auto"/>
        <w:jc w:val="both"/>
        <w:sectPr>
          <w:footerReference w:type="default" r:id="rId24"/>
          <w:pgSz w:w="12240" w:h="15840"/>
          <w:pgMar w:footer="1001" w:header="0" w:top="1360" w:bottom="1200" w:left="1600" w:right="1580"/>
        </w:sectPr>
      </w:pPr>
    </w:p>
    <w:p>
      <w:pPr>
        <w:pStyle w:val="BodyText"/>
        <w:spacing w:line="360" w:lineRule="auto" w:before="48"/>
        <w:ind w:left="105" w:right="120"/>
        <w:jc w:val="both"/>
      </w:pPr>
      <w:r>
        <w:rPr/>
        <w:t>problemática analizada a partir de los resultados obtenidos de la fase analítica y con el fundamento de la fase descriptica, considerando las variables participes, bajo las directrices del Plan Nacional de Cambio Climático y la Estrategia Nacional de Cambio Climático.</w:t>
      </w:r>
    </w:p>
    <w:p>
      <w:pPr>
        <w:pStyle w:val="BodyText"/>
        <w:spacing w:before="10"/>
      </w:pPr>
    </w:p>
    <w:p>
      <w:pPr>
        <w:pStyle w:val="BodyText"/>
        <w:spacing w:line="360" w:lineRule="auto"/>
        <w:ind w:left="105" w:right="113"/>
        <w:jc w:val="both"/>
      </w:pPr>
      <w:r>
        <w:rPr/>
        <w:t>En esta última etapa se considera pertinente establecer estrategias a nivel territorial que contribuyan e mitigar la emisión de partículas de polvo, así como estrategias que contribuyan en la disminución del efecto de las mismas en la zona de estudio.</w:t>
      </w:r>
    </w:p>
    <w:p>
      <w:pPr>
        <w:spacing w:after="0" w:line="360" w:lineRule="auto"/>
        <w:jc w:val="both"/>
        <w:sectPr>
          <w:footerReference w:type="default" r:id="rId25"/>
          <w:pgSz w:w="12240" w:h="15840"/>
          <w:pgMar w:footer="1001" w:header="0" w:top="1360" w:bottom="1200" w:left="1600" w:right="1580"/>
          <w:pgNumType w:start="51"/>
        </w:sectPr>
      </w:pPr>
    </w:p>
    <w:p>
      <w:pPr>
        <w:pStyle w:val="Heading1"/>
        <w:spacing w:before="109"/>
        <w:ind w:left="2951" w:right="0"/>
        <w:jc w:val="left"/>
      </w:pPr>
      <w:bookmarkStart w:name="_bookmark37" w:id="64"/>
      <w:bookmarkEnd w:id="64"/>
      <w:r>
        <w:rPr>
          <w:b w:val="0"/>
        </w:rPr>
      </w:r>
      <w:r>
        <w:rPr>
          <w:color w:val="365F91"/>
        </w:rPr>
        <w:t>Capítulo 2 Resultados</w:t>
      </w:r>
    </w:p>
    <w:p>
      <w:pPr>
        <w:pStyle w:val="BodyText"/>
        <w:spacing w:before="8"/>
        <w:rPr>
          <w:rFonts w:ascii="Cambria"/>
          <w:b/>
          <w:sz w:val="28"/>
        </w:rPr>
      </w:pPr>
    </w:p>
    <w:p>
      <w:pPr>
        <w:pStyle w:val="BodyText"/>
        <w:spacing w:line="360" w:lineRule="auto"/>
        <w:ind w:left="125" w:right="106"/>
        <w:jc w:val="both"/>
      </w:pPr>
      <w:r>
        <w:rPr/>
        <w:t>En </w:t>
      </w:r>
      <w:r>
        <w:rPr>
          <w:spacing w:val="-3"/>
        </w:rPr>
        <w:t>este </w:t>
      </w:r>
      <w:r>
        <w:rPr/>
        <w:t>capítulo </w:t>
      </w:r>
      <w:r>
        <w:rPr>
          <w:spacing w:val="3"/>
        </w:rPr>
        <w:t>se </w:t>
      </w:r>
      <w:r>
        <w:rPr/>
        <w:t>presentan los resultados de </w:t>
      </w:r>
      <w:r>
        <w:rPr>
          <w:spacing w:val="5"/>
        </w:rPr>
        <w:t>la </w:t>
      </w:r>
      <w:r>
        <w:rPr/>
        <w:t>investigación, </w:t>
      </w:r>
      <w:r>
        <w:rPr>
          <w:spacing w:val="-3"/>
        </w:rPr>
        <w:t>en </w:t>
      </w:r>
      <w:r>
        <w:rPr/>
        <w:t>primer término se caracterizan las fuentes </w:t>
      </w:r>
      <w:r>
        <w:rPr>
          <w:spacing w:val="5"/>
        </w:rPr>
        <w:t>de </w:t>
      </w:r>
      <w:r>
        <w:rPr/>
        <w:t>emisión de los contaminantes, </w:t>
      </w:r>
      <w:r>
        <w:rPr>
          <w:spacing w:val="5"/>
        </w:rPr>
        <w:t>la </w:t>
      </w:r>
      <w:r>
        <w:rPr/>
        <w:t>legislación presta atención a las fuentes artificiales o naturales, fijas o móviles (03062004 DOF, 2004)</w:t>
      </w:r>
    </w:p>
    <w:p>
      <w:pPr>
        <w:pStyle w:val="BodyText"/>
        <w:spacing w:before="10"/>
      </w:pPr>
    </w:p>
    <w:p>
      <w:pPr>
        <w:pStyle w:val="BodyText"/>
        <w:spacing w:line="360" w:lineRule="auto"/>
        <w:ind w:left="125" w:right="99"/>
        <w:jc w:val="both"/>
      </w:pPr>
      <w:r>
        <w:rPr/>
        <w:t>A continuación se presenta el artículo de investigación titulado “Modelación espacial de partículas suspendidas (PM10), ciudad de Toluca, México, 2011- 2013”, el cual fue enviado a la revista Indexada Luna Azul de la Universidad de Caldas Colombia.</w:t>
      </w:r>
    </w:p>
    <w:p>
      <w:pPr>
        <w:pStyle w:val="BodyText"/>
        <w:spacing w:line="360" w:lineRule="auto" w:before="206"/>
        <w:ind w:left="125" w:right="122"/>
        <w:jc w:val="both"/>
      </w:pPr>
      <w:r>
        <w:rPr/>
        <w:t>Finalmente se realiza la presentación de la propuesta del plan de alerta temprana para la zona metropolitana de la ciudad de Toluca, considerando esta última como un aspecto fundamental, dada la inexistencia de un programa de contingencia enfocado a la prevención y la protección de la población.</w:t>
      </w:r>
    </w:p>
    <w:p>
      <w:pPr>
        <w:pStyle w:val="Heading2"/>
        <w:spacing w:before="208"/>
        <w:ind w:left="125"/>
      </w:pPr>
      <w:bookmarkStart w:name="_bookmark38" w:id="65"/>
      <w:bookmarkEnd w:id="65"/>
      <w:r>
        <w:rPr>
          <w:b w:val="0"/>
        </w:rPr>
      </w:r>
      <w:r>
        <w:rPr>
          <w:color w:val="4F81BC"/>
        </w:rPr>
        <w:t>2.1 Área de estudio y Fuentes de  emisión</w:t>
      </w:r>
    </w:p>
    <w:p>
      <w:pPr>
        <w:pStyle w:val="BodyText"/>
        <w:spacing w:before="9"/>
        <w:rPr>
          <w:rFonts w:ascii="Cambria"/>
          <w:b/>
          <w:sz w:val="27"/>
        </w:rPr>
      </w:pPr>
    </w:p>
    <w:p>
      <w:pPr>
        <w:pStyle w:val="BodyText"/>
        <w:spacing w:line="355" w:lineRule="auto"/>
        <w:ind w:left="125" w:right="109"/>
        <w:jc w:val="both"/>
      </w:pPr>
      <w:r>
        <w:rPr/>
        <w:t>La Zona Metropolitana del Valle de Toluca (ZMVT) </w:t>
      </w:r>
      <w:r>
        <w:rPr>
          <w:spacing w:val="-3"/>
        </w:rPr>
        <w:t>está </w:t>
      </w:r>
      <w:r>
        <w:rPr/>
        <w:t>conformada por 22 municipios</w:t>
      </w:r>
      <w:r>
        <w:rPr>
          <w:position w:val="11"/>
          <w:sz w:val="16"/>
        </w:rPr>
        <w:t>1</w:t>
      </w:r>
      <w:r>
        <w:rPr/>
        <w:t>, sin embargo para </w:t>
      </w:r>
      <w:r>
        <w:rPr>
          <w:spacing w:val="5"/>
        </w:rPr>
        <w:t>la </w:t>
      </w:r>
      <w:r>
        <w:rPr/>
        <w:t>gestión de la calidad del aire sólo </w:t>
      </w:r>
      <w:r>
        <w:rPr>
          <w:spacing w:val="3"/>
        </w:rPr>
        <w:t>se </w:t>
      </w:r>
      <w:r>
        <w:rPr/>
        <w:t>consideran siete 7 que por su dinámica e interacción socioeconómica contribuyen de manera significativa </w:t>
      </w:r>
      <w:r>
        <w:rPr>
          <w:spacing w:val="-3"/>
        </w:rPr>
        <w:t>al </w:t>
      </w:r>
      <w:r>
        <w:rPr/>
        <w:t>problema de la contaminación atmosférica. La zona de estudio se localiza </w:t>
      </w:r>
      <w:r>
        <w:rPr>
          <w:spacing w:val="-3"/>
        </w:rPr>
        <w:t>en </w:t>
      </w:r>
      <w:r>
        <w:rPr/>
        <w:t>la porción central del Estado de México. Está conformada por los municipios de Lerma, Metepec, San Mateo Atenco, Toluca, Ocoyoacac, Xonacatlán  y  Zinacantepec,  sin  embargo  las  estaciones  de  monitoreo  de   </w:t>
      </w:r>
      <w:r>
        <w:rPr>
          <w:spacing w:val="27"/>
        </w:rPr>
        <w:t> </w:t>
      </w:r>
      <w:r>
        <w:rPr/>
        <w:t>la</w:t>
      </w:r>
    </w:p>
    <w:p>
      <w:pPr>
        <w:pStyle w:val="BodyText"/>
        <w:spacing w:line="360" w:lineRule="auto" w:before="12"/>
        <w:ind w:left="125" w:right="103"/>
        <w:jc w:val="both"/>
      </w:pPr>
      <w:r>
        <w:rPr/>
        <w:t>RAMAT se encuentran localizadas únicamente </w:t>
      </w:r>
      <w:r>
        <w:rPr>
          <w:spacing w:val="-3"/>
        </w:rPr>
        <w:t>en </w:t>
      </w:r>
      <w:r>
        <w:rPr/>
        <w:t>los Municipios de Toluca, </w:t>
      </w:r>
      <w:r>
        <w:rPr>
          <w:spacing w:val="-3"/>
        </w:rPr>
        <w:t>Metpec </w:t>
      </w:r>
      <w:r>
        <w:rPr/>
        <w:t>y San Mateo Atenco, proporcionan con información para </w:t>
      </w:r>
      <w:r>
        <w:rPr>
          <w:spacing w:val="-3"/>
        </w:rPr>
        <w:t>el </w:t>
      </w:r>
      <w:r>
        <w:rPr/>
        <w:t>análisis propuesto </w:t>
      </w:r>
      <w:r>
        <w:rPr>
          <w:spacing w:val="-3"/>
        </w:rPr>
        <w:t>en </w:t>
      </w:r>
      <w:r>
        <w:rPr/>
        <w:t>este estudio, abarca una extensión territorial de 1,208.5 </w:t>
      </w:r>
      <w:r>
        <w:rPr>
          <w:spacing w:val="2"/>
        </w:rPr>
        <w:t>km2; </w:t>
      </w:r>
      <w:r>
        <w:rPr/>
        <w:t>lo que representa  </w:t>
      </w:r>
      <w:r>
        <w:rPr>
          <w:spacing w:val="-3"/>
        </w:rPr>
        <w:t>el  </w:t>
      </w:r>
      <w:r>
        <w:rPr/>
        <w:t>5.3%  de </w:t>
      </w:r>
      <w:r>
        <w:rPr>
          <w:spacing w:val="5"/>
        </w:rPr>
        <w:t>la </w:t>
      </w:r>
      <w:r>
        <w:rPr/>
        <w:t>superficie  estatal  y  tiene  una  altura  media  de</w:t>
      </w:r>
      <w:r>
        <w:rPr>
          <w:spacing w:val="30"/>
        </w:rPr>
        <w:t> </w:t>
      </w:r>
      <w:r>
        <w:rPr/>
        <w:t>2,650</w:t>
      </w:r>
    </w:p>
    <w:p>
      <w:pPr>
        <w:pStyle w:val="BodyText"/>
        <w:spacing w:before="6"/>
        <w:rPr>
          <w:sz w:val="14"/>
        </w:rPr>
      </w:pPr>
      <w:r>
        <w:rPr/>
        <w:pict>
          <v:line style="position:absolute;mso-position-horizontal-relative:page;mso-position-vertical-relative:paragraph;z-index:1192;mso-wrap-distance-left:0;mso-wrap-distance-right:0" from="85.25pt,10.74391pt" to="229.35pt,10.74391pt" stroked="true" strokeweight=".79999pt" strokecolor="#000000">
            <w10:wrap type="topAndBottom"/>
          </v:line>
        </w:pict>
      </w:r>
    </w:p>
    <w:p>
      <w:pPr>
        <w:spacing w:line="240" w:lineRule="auto" w:before="41"/>
        <w:ind w:left="125" w:right="106" w:firstLine="0"/>
        <w:jc w:val="both"/>
        <w:rPr>
          <w:rFonts w:ascii="Calibri" w:hAnsi="Calibri"/>
          <w:sz w:val="20"/>
        </w:rPr>
      </w:pPr>
      <w:r>
        <w:rPr>
          <w:rFonts w:ascii="Calibri" w:hAnsi="Calibri"/>
          <w:position w:val="10"/>
          <w:sz w:val="14"/>
        </w:rPr>
        <w:t>1</w:t>
      </w:r>
      <w:r>
        <w:rPr>
          <w:rFonts w:ascii="Calibri" w:hAnsi="Calibri"/>
          <w:sz w:val="20"/>
        </w:rPr>
        <w:t>De acuerdo con el criterio del Plan Regional de Desarrollo Urbano del Valle de Toluca, la ZMVT está conformada por 22 Municipios (Gobierno del Estado de México (2005). Plan Regional de Desarrollo Urbano del Valle de Toluca, Vol. I, México).</w:t>
      </w:r>
    </w:p>
    <w:p>
      <w:pPr>
        <w:spacing w:after="0" w:line="240" w:lineRule="auto"/>
        <w:jc w:val="both"/>
        <w:rPr>
          <w:rFonts w:ascii="Calibri" w:hAnsi="Calibri"/>
          <w:sz w:val="20"/>
        </w:rPr>
        <w:sectPr>
          <w:pgSz w:w="12240" w:h="15840"/>
          <w:pgMar w:header="0" w:footer="1001" w:top="1500" w:bottom="1200" w:left="1580" w:right="1580"/>
        </w:sectPr>
      </w:pPr>
    </w:p>
    <w:p>
      <w:pPr>
        <w:pStyle w:val="BodyText"/>
        <w:spacing w:line="362" w:lineRule="auto" w:before="48"/>
        <w:ind w:left="225" w:right="225"/>
        <w:jc w:val="both"/>
      </w:pPr>
      <w:r>
        <w:rPr/>
        <w:t>msnm. Sus coordenadas extremas corresponden a los 19° 27’ y 19° 03' de latitud norte y los 99° 54’ y 99° 19’ longitud oeste (SEMARNAT, 2012).</w:t>
      </w:r>
    </w:p>
    <w:p>
      <w:pPr>
        <w:pStyle w:val="BodyText"/>
        <w:spacing w:before="1"/>
        <w:rPr>
          <w:sz w:val="25"/>
        </w:rPr>
      </w:pPr>
    </w:p>
    <w:p>
      <w:pPr>
        <w:pStyle w:val="Heading3"/>
        <w:ind w:left="225"/>
      </w:pPr>
      <w:bookmarkStart w:name="_bookmark39" w:id="66"/>
      <w:bookmarkEnd w:id="66"/>
      <w:r>
        <w:rPr>
          <w:b w:val="0"/>
        </w:rPr>
      </w:r>
      <w:r>
        <w:rPr>
          <w:color w:val="4F81BC"/>
        </w:rPr>
        <w:t>2.1.1 Fuentes de área</w:t>
      </w:r>
    </w:p>
    <w:p>
      <w:pPr>
        <w:pStyle w:val="BodyText"/>
        <w:spacing w:before="8"/>
        <w:rPr>
          <w:rFonts w:ascii="Cambria"/>
          <w:b/>
          <w:sz w:val="26"/>
        </w:rPr>
      </w:pPr>
    </w:p>
    <w:p>
      <w:pPr>
        <w:pStyle w:val="BodyText"/>
        <w:spacing w:line="360" w:lineRule="auto" w:before="1"/>
        <w:ind w:left="225" w:right="218"/>
        <w:jc w:val="both"/>
      </w:pPr>
      <w:r>
        <w:rPr/>
        <w:t>En este sector se consideran aquellos procesos o fenómenos de emisión que se presentan </w:t>
      </w:r>
      <w:r>
        <w:rPr>
          <w:spacing w:val="-3"/>
        </w:rPr>
        <w:t>en </w:t>
      </w:r>
      <w:r>
        <w:rPr/>
        <w:t>los ecosistemas terrestres, con y sin la intervención de una actividad antropogénica, entre ellos los procesos erosivos y los usos de suelo. Para </w:t>
      </w:r>
      <w:r>
        <w:rPr>
          <w:spacing w:val="-3"/>
        </w:rPr>
        <w:t>el</w:t>
      </w:r>
      <w:r>
        <w:rPr>
          <w:spacing w:val="60"/>
        </w:rPr>
        <w:t> </w:t>
      </w:r>
      <w:r>
        <w:rPr/>
        <w:t>efecto de determinar </w:t>
      </w:r>
      <w:r>
        <w:rPr>
          <w:spacing w:val="-3"/>
        </w:rPr>
        <w:t>el </w:t>
      </w:r>
      <w:r>
        <w:rPr/>
        <w:t>papel de los usos del suelo </w:t>
      </w:r>
      <w:r>
        <w:rPr>
          <w:spacing w:val="-3"/>
        </w:rPr>
        <w:t>en </w:t>
      </w:r>
      <w:r>
        <w:rPr/>
        <w:t>la emisión de partículas suspendidas a la atmósfera, se realizó un análisis comparativo de los cambios de uso de suelo ocurridos </w:t>
      </w:r>
      <w:r>
        <w:rPr>
          <w:spacing w:val="-3"/>
        </w:rPr>
        <w:t>en el </w:t>
      </w:r>
      <w:r>
        <w:rPr/>
        <w:t>período</w:t>
      </w:r>
      <w:r>
        <w:rPr>
          <w:spacing w:val="11"/>
        </w:rPr>
        <w:t> </w:t>
      </w:r>
      <w:r>
        <w:rPr/>
        <w:t>1990-2013.</w:t>
      </w:r>
    </w:p>
    <w:p>
      <w:pPr>
        <w:pStyle w:val="BodyText"/>
        <w:spacing w:before="1"/>
        <w:rPr>
          <w:sz w:val="25"/>
        </w:rPr>
      </w:pPr>
    </w:p>
    <w:p>
      <w:pPr>
        <w:spacing w:line="360" w:lineRule="auto" w:before="1"/>
        <w:ind w:left="225" w:right="211" w:firstLine="0"/>
        <w:jc w:val="both"/>
        <w:rPr>
          <w:sz w:val="22"/>
        </w:rPr>
      </w:pPr>
      <w:r>
        <w:rPr>
          <w:sz w:val="22"/>
        </w:rPr>
        <w:t>Se </w:t>
      </w:r>
      <w:r>
        <w:rPr>
          <w:spacing w:val="-3"/>
          <w:sz w:val="22"/>
        </w:rPr>
        <w:t>consideran fuentes </w:t>
      </w:r>
      <w:r>
        <w:rPr>
          <w:sz w:val="22"/>
        </w:rPr>
        <w:t>de área todos </w:t>
      </w:r>
      <w:r>
        <w:rPr>
          <w:spacing w:val="-3"/>
          <w:sz w:val="22"/>
        </w:rPr>
        <w:t>aquellos establecimientos </w:t>
      </w:r>
      <w:r>
        <w:rPr>
          <w:sz w:val="22"/>
        </w:rPr>
        <w:t>comerciales  y  de  </w:t>
      </w:r>
      <w:r>
        <w:rPr>
          <w:spacing w:val="-3"/>
          <w:sz w:val="22"/>
        </w:rPr>
        <w:t>servicios, </w:t>
      </w:r>
      <w:r>
        <w:rPr>
          <w:sz w:val="22"/>
        </w:rPr>
        <w:t>destinadas como casas habitación, </w:t>
      </w:r>
      <w:r>
        <w:rPr>
          <w:spacing w:val="-3"/>
          <w:sz w:val="22"/>
        </w:rPr>
        <w:t>talleres </w:t>
      </w:r>
      <w:r>
        <w:rPr>
          <w:sz w:val="22"/>
        </w:rPr>
        <w:t>mecánicos, </w:t>
      </w:r>
      <w:r>
        <w:rPr>
          <w:spacing w:val="-3"/>
          <w:sz w:val="22"/>
        </w:rPr>
        <w:t>tintorerías, </w:t>
      </w:r>
      <w:r>
        <w:rPr>
          <w:sz w:val="22"/>
        </w:rPr>
        <w:t>panaderías, </w:t>
      </w:r>
      <w:r>
        <w:rPr>
          <w:spacing w:val="-3"/>
          <w:sz w:val="22"/>
        </w:rPr>
        <w:t>lavanderías, imprentas </w:t>
      </w:r>
      <w:r>
        <w:rPr>
          <w:sz w:val="22"/>
        </w:rPr>
        <w:t>y </w:t>
      </w:r>
      <w:r>
        <w:rPr>
          <w:spacing w:val="-3"/>
          <w:sz w:val="22"/>
        </w:rPr>
        <w:t>combustión </w:t>
      </w:r>
      <w:r>
        <w:rPr>
          <w:sz w:val="22"/>
        </w:rPr>
        <w:t>doméstica, </w:t>
      </w:r>
      <w:r>
        <w:rPr>
          <w:spacing w:val="-3"/>
          <w:sz w:val="22"/>
        </w:rPr>
        <w:t>entre </w:t>
      </w:r>
      <w:r>
        <w:rPr>
          <w:sz w:val="22"/>
        </w:rPr>
        <w:t>otros, que </w:t>
      </w:r>
      <w:r>
        <w:rPr>
          <w:spacing w:val="-3"/>
          <w:sz w:val="22"/>
        </w:rPr>
        <w:t>emiten </w:t>
      </w:r>
      <w:r>
        <w:rPr>
          <w:sz w:val="22"/>
        </w:rPr>
        <w:t>contaminantes </w:t>
      </w:r>
      <w:r>
        <w:rPr>
          <w:spacing w:val="-7"/>
          <w:sz w:val="22"/>
        </w:rPr>
        <w:t>en </w:t>
      </w:r>
      <w:r>
        <w:rPr>
          <w:sz w:val="22"/>
        </w:rPr>
        <w:t>cantidades que </w:t>
      </w:r>
      <w:r>
        <w:rPr>
          <w:spacing w:val="-3"/>
          <w:sz w:val="22"/>
        </w:rPr>
        <w:t>resultan </w:t>
      </w:r>
      <w:r>
        <w:rPr>
          <w:sz w:val="22"/>
        </w:rPr>
        <w:t>relativamente bajas y </w:t>
      </w:r>
      <w:r>
        <w:rPr>
          <w:spacing w:val="-3"/>
          <w:sz w:val="22"/>
        </w:rPr>
        <w:t>cuyas </w:t>
      </w:r>
      <w:r>
        <w:rPr>
          <w:sz w:val="22"/>
        </w:rPr>
        <w:t>emisiones no </w:t>
      </w:r>
      <w:r>
        <w:rPr>
          <w:spacing w:val="-3"/>
          <w:sz w:val="22"/>
        </w:rPr>
        <w:t>es </w:t>
      </w:r>
      <w:r>
        <w:rPr>
          <w:sz w:val="22"/>
        </w:rPr>
        <w:t>factible estimar </w:t>
      </w:r>
      <w:r>
        <w:rPr>
          <w:spacing w:val="-3"/>
          <w:sz w:val="22"/>
        </w:rPr>
        <w:t>en </w:t>
      </w:r>
      <w:r>
        <w:rPr>
          <w:sz w:val="22"/>
        </w:rPr>
        <w:t>forma individual, pero que debido a su </w:t>
      </w:r>
      <w:r>
        <w:rPr>
          <w:spacing w:val="-3"/>
          <w:sz w:val="22"/>
        </w:rPr>
        <w:t>número </w:t>
      </w:r>
      <w:r>
        <w:rPr>
          <w:sz w:val="22"/>
        </w:rPr>
        <w:t>o intensidad, generan </w:t>
      </w:r>
      <w:r>
        <w:rPr>
          <w:spacing w:val="-3"/>
          <w:sz w:val="22"/>
        </w:rPr>
        <w:t>importantes </w:t>
      </w:r>
      <w:r>
        <w:rPr>
          <w:sz w:val="22"/>
        </w:rPr>
        <w:t>emisiones </w:t>
      </w:r>
      <w:r>
        <w:rPr>
          <w:spacing w:val="-3"/>
          <w:sz w:val="22"/>
        </w:rPr>
        <w:t>(03062004 DOF,</w:t>
      </w:r>
      <w:r>
        <w:rPr>
          <w:spacing w:val="42"/>
          <w:sz w:val="22"/>
        </w:rPr>
        <w:t> </w:t>
      </w:r>
      <w:r>
        <w:rPr>
          <w:sz w:val="22"/>
        </w:rPr>
        <w:t>2004).</w:t>
      </w:r>
    </w:p>
    <w:p>
      <w:pPr>
        <w:pStyle w:val="BodyText"/>
        <w:spacing w:before="4"/>
      </w:pPr>
    </w:p>
    <w:p>
      <w:pPr>
        <w:spacing w:line="360" w:lineRule="auto" w:before="0"/>
        <w:ind w:left="225" w:right="203" w:firstLine="0"/>
        <w:jc w:val="both"/>
        <w:rPr>
          <w:sz w:val="22"/>
        </w:rPr>
      </w:pPr>
      <w:r>
        <w:rPr>
          <w:sz w:val="22"/>
        </w:rPr>
        <w:t>En este grupo se </w:t>
      </w:r>
      <w:r>
        <w:rPr>
          <w:spacing w:val="-3"/>
          <w:sz w:val="22"/>
        </w:rPr>
        <w:t>consideran las </w:t>
      </w:r>
      <w:r>
        <w:rPr>
          <w:sz w:val="22"/>
        </w:rPr>
        <w:t>actividades de </w:t>
      </w:r>
      <w:r>
        <w:rPr>
          <w:spacing w:val="-3"/>
          <w:sz w:val="22"/>
        </w:rPr>
        <w:t>labranza, </w:t>
      </w:r>
      <w:r>
        <w:rPr>
          <w:sz w:val="22"/>
        </w:rPr>
        <w:t>construcción, combustión agropecuaria, </w:t>
      </w:r>
      <w:r>
        <w:rPr>
          <w:spacing w:val="-3"/>
          <w:sz w:val="22"/>
        </w:rPr>
        <w:t>combustión </w:t>
      </w:r>
      <w:r>
        <w:rPr>
          <w:sz w:val="22"/>
        </w:rPr>
        <w:t>de leña entre otras. El inventario de </w:t>
      </w:r>
      <w:r>
        <w:rPr>
          <w:spacing w:val="-3"/>
          <w:sz w:val="22"/>
        </w:rPr>
        <w:t>emisiones </w:t>
      </w:r>
      <w:r>
        <w:rPr>
          <w:sz w:val="22"/>
        </w:rPr>
        <w:t>señala que </w:t>
      </w:r>
      <w:r>
        <w:rPr>
          <w:spacing w:val="-3"/>
          <w:sz w:val="22"/>
        </w:rPr>
        <w:t>las </w:t>
      </w:r>
      <w:r>
        <w:rPr>
          <w:sz w:val="22"/>
        </w:rPr>
        <w:t>fuentes de área contribuyen con </w:t>
      </w:r>
      <w:r>
        <w:rPr>
          <w:spacing w:val="-3"/>
          <w:sz w:val="22"/>
        </w:rPr>
        <w:t>6,948 </w:t>
      </w:r>
      <w:r>
        <w:rPr>
          <w:sz w:val="22"/>
        </w:rPr>
        <w:t>toneladas </w:t>
      </w:r>
      <w:r>
        <w:rPr>
          <w:spacing w:val="-3"/>
          <w:sz w:val="22"/>
        </w:rPr>
        <w:t>al </w:t>
      </w:r>
      <w:r>
        <w:rPr>
          <w:sz w:val="22"/>
        </w:rPr>
        <w:t>año de partículas PM10, representando </w:t>
      </w:r>
      <w:r>
        <w:rPr>
          <w:spacing w:val="-3"/>
          <w:sz w:val="22"/>
        </w:rPr>
        <w:t>el </w:t>
      </w:r>
      <w:r>
        <w:rPr>
          <w:sz w:val="22"/>
        </w:rPr>
        <w:t>79% de </w:t>
      </w:r>
      <w:r>
        <w:rPr>
          <w:spacing w:val="-3"/>
          <w:sz w:val="22"/>
        </w:rPr>
        <w:t>las </w:t>
      </w:r>
      <w:r>
        <w:rPr>
          <w:sz w:val="22"/>
        </w:rPr>
        <w:t>emisiones </w:t>
      </w:r>
      <w:r>
        <w:rPr>
          <w:spacing w:val="-3"/>
          <w:sz w:val="22"/>
        </w:rPr>
        <w:t>totales </w:t>
      </w:r>
      <w:r>
        <w:rPr>
          <w:sz w:val="22"/>
        </w:rPr>
        <w:t>para este </w:t>
      </w:r>
      <w:r>
        <w:rPr>
          <w:spacing w:val="-3"/>
          <w:sz w:val="22"/>
        </w:rPr>
        <w:t>contaminante. </w:t>
      </w:r>
      <w:r>
        <w:rPr>
          <w:sz w:val="22"/>
        </w:rPr>
        <w:t>Entre </w:t>
      </w:r>
      <w:r>
        <w:rPr>
          <w:spacing w:val="-3"/>
          <w:sz w:val="22"/>
        </w:rPr>
        <w:t>las </w:t>
      </w:r>
      <w:r>
        <w:rPr>
          <w:sz w:val="22"/>
        </w:rPr>
        <w:t>fuentes de área se estima que la </w:t>
      </w:r>
      <w:r>
        <w:rPr>
          <w:spacing w:val="-3"/>
          <w:sz w:val="22"/>
        </w:rPr>
        <w:t>combustión </w:t>
      </w:r>
      <w:r>
        <w:rPr>
          <w:sz w:val="22"/>
        </w:rPr>
        <w:t>de leña </w:t>
      </w:r>
      <w:r>
        <w:rPr>
          <w:spacing w:val="-3"/>
          <w:sz w:val="22"/>
        </w:rPr>
        <w:t>contribuye </w:t>
      </w:r>
      <w:r>
        <w:rPr>
          <w:sz w:val="22"/>
        </w:rPr>
        <w:t>con 74.54% del total, mientras  que la </w:t>
      </w:r>
      <w:r>
        <w:rPr>
          <w:spacing w:val="-3"/>
          <w:sz w:val="22"/>
        </w:rPr>
        <w:t>actividad agrícola </w:t>
      </w:r>
      <w:r>
        <w:rPr>
          <w:sz w:val="22"/>
        </w:rPr>
        <w:t>aporta </w:t>
      </w:r>
      <w:r>
        <w:rPr>
          <w:spacing w:val="-3"/>
          <w:sz w:val="22"/>
        </w:rPr>
        <w:t>el </w:t>
      </w:r>
      <w:r>
        <w:rPr>
          <w:sz w:val="22"/>
        </w:rPr>
        <w:t>18% </w:t>
      </w:r>
      <w:r>
        <w:rPr>
          <w:spacing w:val="-4"/>
          <w:sz w:val="22"/>
        </w:rPr>
        <w:t>(EDOMEX, </w:t>
      </w:r>
      <w:r>
        <w:rPr>
          <w:sz w:val="22"/>
        </w:rPr>
        <w:t>2012b). Los municipios con la </w:t>
      </w:r>
      <w:r>
        <w:rPr>
          <w:spacing w:val="-3"/>
          <w:sz w:val="22"/>
        </w:rPr>
        <w:t>mayor aportación </w:t>
      </w:r>
      <w:r>
        <w:rPr>
          <w:sz w:val="22"/>
        </w:rPr>
        <w:t>por erosión como resultado de </w:t>
      </w:r>
      <w:r>
        <w:rPr>
          <w:spacing w:val="-3"/>
          <w:sz w:val="22"/>
        </w:rPr>
        <w:t>las </w:t>
      </w:r>
      <w:r>
        <w:rPr>
          <w:sz w:val="22"/>
        </w:rPr>
        <w:t>actividades agrícolas se </w:t>
      </w:r>
      <w:r>
        <w:rPr>
          <w:spacing w:val="-3"/>
          <w:sz w:val="22"/>
        </w:rPr>
        <w:t>presentan en el </w:t>
      </w:r>
      <w:r>
        <w:rPr>
          <w:sz w:val="22"/>
        </w:rPr>
        <w:t>cuadro</w:t>
      </w:r>
      <w:r>
        <w:rPr>
          <w:spacing w:val="7"/>
          <w:sz w:val="22"/>
        </w:rPr>
        <w:t> </w:t>
      </w:r>
      <w:r>
        <w:rPr>
          <w:sz w:val="22"/>
        </w:rPr>
        <w:t>4.</w:t>
      </w:r>
    </w:p>
    <w:p>
      <w:pPr>
        <w:pStyle w:val="BodyText"/>
        <w:spacing w:before="6"/>
        <w:rPr>
          <w:sz w:val="25"/>
        </w:rPr>
      </w:pPr>
    </w:p>
    <w:p>
      <w:pPr>
        <w:pStyle w:val="BodyText"/>
        <w:spacing w:line="272" w:lineRule="exact" w:after="10"/>
        <w:ind w:left="4187" w:right="204" w:hanging="3899"/>
      </w:pPr>
      <w:r>
        <w:rPr/>
        <w:t>Cuadro 4. Contribución de partículas por municipio como resultado </w:t>
      </w:r>
      <w:r>
        <w:rPr>
          <w:spacing w:val="5"/>
        </w:rPr>
        <w:t>de</w:t>
      </w:r>
      <w:r>
        <w:rPr>
          <w:spacing w:val="-47"/>
        </w:rPr>
        <w:t> </w:t>
      </w:r>
      <w:r>
        <w:rPr/>
        <w:t>la actividad agrícola.</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73"/>
        <w:gridCol w:w="2258"/>
        <w:gridCol w:w="2265"/>
        <w:gridCol w:w="2266"/>
      </w:tblGrid>
      <w:tr>
        <w:trPr>
          <w:trHeight w:val="216" w:hRule="exact"/>
        </w:trPr>
        <w:tc>
          <w:tcPr>
            <w:tcW w:w="2273" w:type="dxa"/>
          </w:tcPr>
          <w:p>
            <w:pPr>
              <w:pStyle w:val="TableParagraph"/>
              <w:spacing w:line="198" w:lineRule="exact"/>
              <w:ind w:left="752"/>
              <w:rPr>
                <w:sz w:val="18"/>
              </w:rPr>
            </w:pPr>
            <w:r>
              <w:rPr>
                <w:sz w:val="18"/>
              </w:rPr>
              <w:t>Municipio</w:t>
            </w:r>
          </w:p>
        </w:tc>
        <w:tc>
          <w:tcPr>
            <w:tcW w:w="2258" w:type="dxa"/>
          </w:tcPr>
          <w:p>
            <w:pPr>
              <w:pStyle w:val="TableParagraph"/>
              <w:spacing w:line="198" w:lineRule="exact"/>
              <w:ind w:left="520"/>
              <w:rPr>
                <w:sz w:val="18"/>
              </w:rPr>
            </w:pPr>
            <w:r>
              <w:rPr>
                <w:sz w:val="18"/>
              </w:rPr>
              <w:t>Toneladas/Año</w:t>
            </w:r>
          </w:p>
        </w:tc>
        <w:tc>
          <w:tcPr>
            <w:tcW w:w="2265" w:type="dxa"/>
          </w:tcPr>
          <w:p>
            <w:pPr>
              <w:pStyle w:val="TableParagraph"/>
              <w:spacing w:line="198" w:lineRule="exact"/>
              <w:ind w:left="592"/>
              <w:rPr>
                <w:sz w:val="18"/>
              </w:rPr>
            </w:pPr>
            <w:r>
              <w:rPr>
                <w:sz w:val="18"/>
              </w:rPr>
              <w:t>Porcentaje %</w:t>
            </w:r>
          </w:p>
        </w:tc>
        <w:tc>
          <w:tcPr>
            <w:tcW w:w="2266" w:type="dxa"/>
          </w:tcPr>
          <w:p>
            <w:pPr>
              <w:pStyle w:val="TableParagraph"/>
              <w:spacing w:line="198" w:lineRule="exact"/>
              <w:ind w:left="168"/>
              <w:rPr>
                <w:sz w:val="12"/>
              </w:rPr>
            </w:pPr>
            <w:r>
              <w:rPr>
                <w:sz w:val="18"/>
              </w:rPr>
              <w:t>Superficie cultivada km</w:t>
            </w:r>
            <w:r>
              <w:rPr>
                <w:position w:val="9"/>
                <w:sz w:val="12"/>
              </w:rPr>
              <w:t>2</w:t>
            </w:r>
          </w:p>
        </w:tc>
      </w:tr>
      <w:tr>
        <w:trPr>
          <w:trHeight w:val="216" w:hRule="exact"/>
        </w:trPr>
        <w:tc>
          <w:tcPr>
            <w:tcW w:w="2273" w:type="dxa"/>
          </w:tcPr>
          <w:p>
            <w:pPr>
              <w:pStyle w:val="TableParagraph"/>
              <w:spacing w:line="199" w:lineRule="exact"/>
              <w:ind w:left="112"/>
              <w:rPr>
                <w:sz w:val="18"/>
              </w:rPr>
            </w:pPr>
            <w:r>
              <w:rPr>
                <w:sz w:val="18"/>
              </w:rPr>
              <w:t>Toluca</w:t>
            </w:r>
          </w:p>
        </w:tc>
        <w:tc>
          <w:tcPr>
            <w:tcW w:w="2258" w:type="dxa"/>
          </w:tcPr>
          <w:p>
            <w:pPr>
              <w:pStyle w:val="TableParagraph"/>
              <w:spacing w:line="199" w:lineRule="exact"/>
              <w:ind w:right="88"/>
              <w:jc w:val="right"/>
              <w:rPr>
                <w:sz w:val="18"/>
              </w:rPr>
            </w:pPr>
            <w:r>
              <w:rPr>
                <w:sz w:val="18"/>
              </w:rPr>
              <w:t>226.8</w:t>
            </w:r>
          </w:p>
        </w:tc>
        <w:tc>
          <w:tcPr>
            <w:tcW w:w="2265" w:type="dxa"/>
          </w:tcPr>
          <w:p>
            <w:pPr>
              <w:pStyle w:val="TableParagraph"/>
              <w:spacing w:line="199" w:lineRule="exact"/>
              <w:ind w:right="96"/>
              <w:jc w:val="right"/>
              <w:rPr>
                <w:sz w:val="18"/>
              </w:rPr>
            </w:pPr>
            <w:r>
              <w:rPr>
                <w:sz w:val="18"/>
              </w:rPr>
              <w:t>26.7</w:t>
            </w:r>
          </w:p>
        </w:tc>
        <w:tc>
          <w:tcPr>
            <w:tcW w:w="2266" w:type="dxa"/>
          </w:tcPr>
          <w:p>
            <w:pPr>
              <w:pStyle w:val="TableParagraph"/>
              <w:spacing w:line="199" w:lineRule="exact"/>
              <w:ind w:right="97"/>
              <w:jc w:val="right"/>
              <w:rPr>
                <w:sz w:val="18"/>
              </w:rPr>
            </w:pPr>
            <w:r>
              <w:rPr>
                <w:sz w:val="18"/>
              </w:rPr>
              <w:t>271.00</w:t>
            </w:r>
          </w:p>
        </w:tc>
      </w:tr>
      <w:tr>
        <w:trPr>
          <w:trHeight w:val="216" w:hRule="exact"/>
        </w:trPr>
        <w:tc>
          <w:tcPr>
            <w:tcW w:w="2273" w:type="dxa"/>
          </w:tcPr>
          <w:p>
            <w:pPr>
              <w:pStyle w:val="TableParagraph"/>
              <w:spacing w:line="198" w:lineRule="exact"/>
              <w:ind w:left="112"/>
              <w:rPr>
                <w:sz w:val="18"/>
              </w:rPr>
            </w:pPr>
            <w:r>
              <w:rPr>
                <w:sz w:val="18"/>
              </w:rPr>
              <w:t>Tenango</w:t>
            </w:r>
          </w:p>
        </w:tc>
        <w:tc>
          <w:tcPr>
            <w:tcW w:w="2258" w:type="dxa"/>
          </w:tcPr>
          <w:p>
            <w:pPr>
              <w:pStyle w:val="TableParagraph"/>
              <w:spacing w:line="198" w:lineRule="exact"/>
              <w:ind w:right="89"/>
              <w:jc w:val="right"/>
              <w:rPr>
                <w:sz w:val="18"/>
              </w:rPr>
            </w:pPr>
            <w:r>
              <w:rPr>
                <w:sz w:val="18"/>
              </w:rPr>
              <w:t>193.10</w:t>
            </w:r>
          </w:p>
        </w:tc>
        <w:tc>
          <w:tcPr>
            <w:tcW w:w="2265" w:type="dxa"/>
          </w:tcPr>
          <w:p>
            <w:pPr>
              <w:pStyle w:val="TableParagraph"/>
              <w:spacing w:line="198" w:lineRule="exact"/>
              <w:ind w:right="96"/>
              <w:jc w:val="right"/>
              <w:rPr>
                <w:sz w:val="18"/>
              </w:rPr>
            </w:pPr>
            <w:r>
              <w:rPr>
                <w:sz w:val="18"/>
              </w:rPr>
              <w:t>22.7</w:t>
            </w:r>
          </w:p>
        </w:tc>
        <w:tc>
          <w:tcPr>
            <w:tcW w:w="2266" w:type="dxa"/>
          </w:tcPr>
          <w:p>
            <w:pPr>
              <w:pStyle w:val="TableParagraph"/>
              <w:spacing w:line="198" w:lineRule="exact"/>
              <w:ind w:right="97"/>
              <w:jc w:val="right"/>
              <w:rPr>
                <w:sz w:val="18"/>
              </w:rPr>
            </w:pPr>
            <w:r>
              <w:rPr>
                <w:sz w:val="18"/>
              </w:rPr>
              <w:t>137.29</w:t>
            </w:r>
          </w:p>
        </w:tc>
      </w:tr>
      <w:tr>
        <w:trPr>
          <w:trHeight w:val="216" w:hRule="exact"/>
        </w:trPr>
        <w:tc>
          <w:tcPr>
            <w:tcW w:w="2273" w:type="dxa"/>
          </w:tcPr>
          <w:p>
            <w:pPr>
              <w:pStyle w:val="TableParagraph"/>
              <w:spacing w:line="198" w:lineRule="exact"/>
              <w:ind w:left="112"/>
              <w:rPr>
                <w:sz w:val="18"/>
              </w:rPr>
            </w:pPr>
            <w:r>
              <w:rPr>
                <w:sz w:val="18"/>
              </w:rPr>
              <w:t>Calimaya</w:t>
            </w:r>
          </w:p>
        </w:tc>
        <w:tc>
          <w:tcPr>
            <w:tcW w:w="2258" w:type="dxa"/>
          </w:tcPr>
          <w:p>
            <w:pPr>
              <w:pStyle w:val="TableParagraph"/>
              <w:spacing w:line="198" w:lineRule="exact"/>
              <w:ind w:right="88"/>
              <w:jc w:val="right"/>
              <w:rPr>
                <w:sz w:val="18"/>
              </w:rPr>
            </w:pPr>
            <w:r>
              <w:rPr>
                <w:sz w:val="18"/>
              </w:rPr>
              <w:t>85.2</w:t>
            </w:r>
          </w:p>
        </w:tc>
        <w:tc>
          <w:tcPr>
            <w:tcW w:w="2265" w:type="dxa"/>
          </w:tcPr>
          <w:p>
            <w:pPr>
              <w:pStyle w:val="TableParagraph"/>
              <w:spacing w:line="198" w:lineRule="exact"/>
              <w:ind w:right="96"/>
              <w:jc w:val="right"/>
              <w:rPr>
                <w:sz w:val="18"/>
              </w:rPr>
            </w:pPr>
            <w:r>
              <w:rPr>
                <w:sz w:val="18"/>
              </w:rPr>
              <w:t>10.0</w:t>
            </w:r>
          </w:p>
        </w:tc>
        <w:tc>
          <w:tcPr>
            <w:tcW w:w="2266" w:type="dxa"/>
          </w:tcPr>
          <w:p>
            <w:pPr>
              <w:pStyle w:val="TableParagraph"/>
              <w:spacing w:line="198" w:lineRule="exact"/>
              <w:ind w:right="96"/>
              <w:jc w:val="right"/>
              <w:rPr>
                <w:sz w:val="18"/>
              </w:rPr>
            </w:pPr>
            <w:r>
              <w:rPr>
                <w:sz w:val="18"/>
              </w:rPr>
              <w:t>78.57</w:t>
            </w:r>
          </w:p>
        </w:tc>
      </w:tr>
      <w:tr>
        <w:trPr>
          <w:trHeight w:val="216" w:hRule="exact"/>
        </w:trPr>
        <w:tc>
          <w:tcPr>
            <w:tcW w:w="2273" w:type="dxa"/>
          </w:tcPr>
          <w:p>
            <w:pPr>
              <w:pStyle w:val="TableParagraph"/>
              <w:spacing w:line="198" w:lineRule="exact"/>
              <w:ind w:left="112"/>
              <w:rPr>
                <w:sz w:val="18"/>
              </w:rPr>
            </w:pPr>
            <w:r>
              <w:rPr>
                <w:sz w:val="18"/>
              </w:rPr>
              <w:t>Lerma</w:t>
            </w:r>
          </w:p>
        </w:tc>
        <w:tc>
          <w:tcPr>
            <w:tcW w:w="2258" w:type="dxa"/>
          </w:tcPr>
          <w:p>
            <w:pPr>
              <w:pStyle w:val="TableParagraph"/>
              <w:spacing w:line="198" w:lineRule="exact"/>
              <w:ind w:right="88"/>
              <w:jc w:val="right"/>
              <w:rPr>
                <w:sz w:val="18"/>
              </w:rPr>
            </w:pPr>
            <w:r>
              <w:rPr>
                <w:sz w:val="18"/>
              </w:rPr>
              <w:t>56.8</w:t>
            </w:r>
          </w:p>
        </w:tc>
        <w:tc>
          <w:tcPr>
            <w:tcW w:w="2265" w:type="dxa"/>
          </w:tcPr>
          <w:p>
            <w:pPr>
              <w:pStyle w:val="TableParagraph"/>
              <w:spacing w:line="198" w:lineRule="exact"/>
              <w:ind w:right="96"/>
              <w:jc w:val="right"/>
              <w:rPr>
                <w:sz w:val="18"/>
              </w:rPr>
            </w:pPr>
            <w:r>
              <w:rPr>
                <w:sz w:val="18"/>
              </w:rPr>
              <w:t>6.7</w:t>
            </w:r>
          </w:p>
        </w:tc>
        <w:tc>
          <w:tcPr>
            <w:tcW w:w="2266" w:type="dxa"/>
          </w:tcPr>
          <w:p>
            <w:pPr>
              <w:pStyle w:val="TableParagraph"/>
              <w:spacing w:line="198" w:lineRule="exact"/>
              <w:ind w:right="97"/>
              <w:jc w:val="right"/>
              <w:rPr>
                <w:sz w:val="18"/>
              </w:rPr>
            </w:pPr>
            <w:r>
              <w:rPr>
                <w:sz w:val="18"/>
              </w:rPr>
              <w:t>140.62</w:t>
            </w:r>
          </w:p>
        </w:tc>
      </w:tr>
      <w:tr>
        <w:trPr>
          <w:trHeight w:val="216" w:hRule="exact"/>
        </w:trPr>
        <w:tc>
          <w:tcPr>
            <w:tcW w:w="2273" w:type="dxa"/>
          </w:tcPr>
          <w:p>
            <w:pPr>
              <w:pStyle w:val="TableParagraph"/>
              <w:spacing w:line="198" w:lineRule="exact"/>
              <w:ind w:left="112"/>
              <w:rPr>
                <w:sz w:val="18"/>
              </w:rPr>
            </w:pPr>
            <w:r>
              <w:rPr>
                <w:sz w:val="18"/>
              </w:rPr>
              <w:t>Ocoyoacac</w:t>
            </w:r>
          </w:p>
        </w:tc>
        <w:tc>
          <w:tcPr>
            <w:tcW w:w="2258" w:type="dxa"/>
          </w:tcPr>
          <w:p>
            <w:pPr>
              <w:pStyle w:val="TableParagraph"/>
              <w:spacing w:line="198" w:lineRule="exact"/>
              <w:ind w:right="88"/>
              <w:jc w:val="right"/>
              <w:rPr>
                <w:sz w:val="18"/>
              </w:rPr>
            </w:pPr>
            <w:r>
              <w:rPr>
                <w:sz w:val="18"/>
              </w:rPr>
              <w:t>39.8</w:t>
            </w:r>
          </w:p>
        </w:tc>
        <w:tc>
          <w:tcPr>
            <w:tcW w:w="2265" w:type="dxa"/>
          </w:tcPr>
          <w:p>
            <w:pPr>
              <w:pStyle w:val="TableParagraph"/>
              <w:spacing w:line="198" w:lineRule="exact"/>
              <w:ind w:right="96"/>
              <w:jc w:val="right"/>
              <w:rPr>
                <w:sz w:val="18"/>
              </w:rPr>
            </w:pPr>
            <w:r>
              <w:rPr>
                <w:sz w:val="18"/>
              </w:rPr>
              <w:t>4.7</w:t>
            </w:r>
          </w:p>
        </w:tc>
        <w:tc>
          <w:tcPr>
            <w:tcW w:w="2266" w:type="dxa"/>
          </w:tcPr>
          <w:p>
            <w:pPr>
              <w:pStyle w:val="TableParagraph"/>
              <w:spacing w:line="198" w:lineRule="exact"/>
              <w:ind w:right="96"/>
              <w:jc w:val="right"/>
              <w:rPr>
                <w:sz w:val="18"/>
              </w:rPr>
            </w:pPr>
            <w:r>
              <w:rPr>
                <w:sz w:val="18"/>
              </w:rPr>
              <w:t>63.25</w:t>
            </w:r>
          </w:p>
        </w:tc>
      </w:tr>
      <w:tr>
        <w:trPr>
          <w:trHeight w:val="217" w:hRule="exact"/>
        </w:trPr>
        <w:tc>
          <w:tcPr>
            <w:tcW w:w="2273" w:type="dxa"/>
          </w:tcPr>
          <w:p>
            <w:pPr>
              <w:pStyle w:val="TableParagraph"/>
              <w:spacing w:line="207" w:lineRule="exact"/>
              <w:ind w:left="112"/>
              <w:rPr>
                <w:sz w:val="18"/>
              </w:rPr>
            </w:pPr>
            <w:r>
              <w:rPr>
                <w:sz w:val="18"/>
              </w:rPr>
              <w:t>Otzolotepec</w:t>
            </w:r>
          </w:p>
        </w:tc>
        <w:tc>
          <w:tcPr>
            <w:tcW w:w="2258" w:type="dxa"/>
          </w:tcPr>
          <w:p>
            <w:pPr>
              <w:pStyle w:val="TableParagraph"/>
              <w:spacing w:line="207" w:lineRule="exact"/>
              <w:ind w:right="88"/>
              <w:jc w:val="right"/>
              <w:rPr>
                <w:sz w:val="18"/>
              </w:rPr>
            </w:pPr>
            <w:r>
              <w:rPr>
                <w:sz w:val="18"/>
              </w:rPr>
              <w:t>28.8</w:t>
            </w:r>
          </w:p>
        </w:tc>
        <w:tc>
          <w:tcPr>
            <w:tcW w:w="2265" w:type="dxa"/>
          </w:tcPr>
          <w:p>
            <w:pPr>
              <w:pStyle w:val="TableParagraph"/>
              <w:spacing w:line="207" w:lineRule="exact"/>
              <w:ind w:right="96"/>
              <w:jc w:val="right"/>
              <w:rPr>
                <w:sz w:val="18"/>
              </w:rPr>
            </w:pPr>
            <w:r>
              <w:rPr>
                <w:sz w:val="18"/>
              </w:rPr>
              <w:t>3.4</w:t>
            </w:r>
          </w:p>
        </w:tc>
        <w:tc>
          <w:tcPr>
            <w:tcW w:w="2266" w:type="dxa"/>
          </w:tcPr>
          <w:p>
            <w:pPr>
              <w:pStyle w:val="TableParagraph"/>
              <w:spacing w:line="207" w:lineRule="exact"/>
              <w:ind w:right="96"/>
              <w:jc w:val="right"/>
              <w:rPr>
                <w:sz w:val="18"/>
              </w:rPr>
            </w:pPr>
            <w:r>
              <w:rPr>
                <w:sz w:val="18"/>
              </w:rPr>
              <w:t>71.23</w:t>
            </w:r>
          </w:p>
        </w:tc>
      </w:tr>
      <w:tr>
        <w:trPr>
          <w:trHeight w:val="224" w:hRule="exact"/>
        </w:trPr>
        <w:tc>
          <w:tcPr>
            <w:tcW w:w="2273" w:type="dxa"/>
          </w:tcPr>
          <w:p>
            <w:pPr>
              <w:pStyle w:val="TableParagraph"/>
              <w:spacing w:line="206" w:lineRule="exact"/>
              <w:ind w:left="112"/>
              <w:rPr>
                <w:sz w:val="18"/>
              </w:rPr>
            </w:pPr>
            <w:r>
              <w:rPr>
                <w:sz w:val="18"/>
              </w:rPr>
              <w:t>Zinacantepec</w:t>
            </w:r>
          </w:p>
        </w:tc>
        <w:tc>
          <w:tcPr>
            <w:tcW w:w="2258" w:type="dxa"/>
          </w:tcPr>
          <w:p>
            <w:pPr>
              <w:pStyle w:val="TableParagraph"/>
              <w:spacing w:line="206" w:lineRule="exact"/>
              <w:ind w:right="88"/>
              <w:jc w:val="right"/>
              <w:rPr>
                <w:sz w:val="18"/>
              </w:rPr>
            </w:pPr>
            <w:r>
              <w:rPr>
                <w:sz w:val="18"/>
              </w:rPr>
              <w:t>13.9</w:t>
            </w:r>
          </w:p>
        </w:tc>
        <w:tc>
          <w:tcPr>
            <w:tcW w:w="2265" w:type="dxa"/>
          </w:tcPr>
          <w:p>
            <w:pPr>
              <w:pStyle w:val="TableParagraph"/>
              <w:spacing w:line="206" w:lineRule="exact"/>
              <w:ind w:right="96"/>
              <w:jc w:val="right"/>
              <w:rPr>
                <w:sz w:val="18"/>
              </w:rPr>
            </w:pPr>
            <w:r>
              <w:rPr>
                <w:sz w:val="18"/>
              </w:rPr>
              <w:t>1.6</w:t>
            </w:r>
          </w:p>
        </w:tc>
        <w:tc>
          <w:tcPr>
            <w:tcW w:w="2266" w:type="dxa"/>
          </w:tcPr>
          <w:p>
            <w:pPr>
              <w:pStyle w:val="TableParagraph"/>
              <w:spacing w:line="206" w:lineRule="exact"/>
              <w:ind w:right="96"/>
              <w:jc w:val="right"/>
              <w:rPr>
                <w:sz w:val="18"/>
              </w:rPr>
            </w:pPr>
            <w:r>
              <w:rPr>
                <w:sz w:val="18"/>
              </w:rPr>
              <w:t>71.84</w:t>
            </w:r>
          </w:p>
        </w:tc>
      </w:tr>
    </w:tbl>
    <w:p>
      <w:pPr>
        <w:pStyle w:val="BodyText"/>
        <w:spacing w:line="267" w:lineRule="exact"/>
        <w:ind w:left="881" w:right="204"/>
      </w:pPr>
      <w:r>
        <w:rPr/>
        <w:t>Fuente: Elaboración propia en base a (EDOMEX, 2012b; INEGI, 2015)</w:t>
      </w:r>
    </w:p>
    <w:p>
      <w:pPr>
        <w:spacing w:after="0" w:line="267" w:lineRule="exact"/>
        <w:sectPr>
          <w:pgSz w:w="12240" w:h="15840"/>
          <w:pgMar w:header="0" w:footer="1001" w:top="1360" w:bottom="1200" w:left="1480" w:right="1480"/>
        </w:sectPr>
      </w:pPr>
    </w:p>
    <w:p>
      <w:pPr>
        <w:pStyle w:val="BodyText"/>
        <w:rPr>
          <w:sz w:val="20"/>
        </w:rPr>
      </w:pPr>
    </w:p>
    <w:p>
      <w:pPr>
        <w:pStyle w:val="BodyText"/>
        <w:spacing w:before="9"/>
        <w:rPr>
          <w:sz w:val="18"/>
        </w:rPr>
      </w:pPr>
    </w:p>
    <w:p>
      <w:pPr>
        <w:spacing w:line="360" w:lineRule="auto" w:before="0"/>
        <w:ind w:left="105" w:right="109" w:firstLine="0"/>
        <w:jc w:val="both"/>
        <w:rPr>
          <w:sz w:val="22"/>
        </w:rPr>
      </w:pPr>
      <w:r>
        <w:rPr>
          <w:sz w:val="22"/>
        </w:rPr>
        <w:t>Pesé </w:t>
      </w:r>
      <w:r>
        <w:rPr>
          <w:spacing w:val="-3"/>
          <w:sz w:val="22"/>
        </w:rPr>
        <w:t>al </w:t>
      </w:r>
      <w:r>
        <w:rPr>
          <w:sz w:val="22"/>
        </w:rPr>
        <w:t>crecimiento urbano y </w:t>
      </w:r>
      <w:r>
        <w:rPr>
          <w:spacing w:val="-3"/>
          <w:sz w:val="22"/>
        </w:rPr>
        <w:t>el </w:t>
      </w:r>
      <w:r>
        <w:rPr>
          <w:sz w:val="22"/>
        </w:rPr>
        <w:t>cambio de uso de suelo durante </w:t>
      </w:r>
      <w:r>
        <w:rPr>
          <w:spacing w:val="-3"/>
          <w:sz w:val="22"/>
        </w:rPr>
        <w:t>los </w:t>
      </w:r>
      <w:r>
        <w:rPr>
          <w:sz w:val="22"/>
        </w:rPr>
        <w:t>últimos 20 </w:t>
      </w:r>
      <w:r>
        <w:rPr>
          <w:spacing w:val="-3"/>
          <w:sz w:val="22"/>
        </w:rPr>
        <w:t>años, el </w:t>
      </w:r>
      <w:r>
        <w:rPr>
          <w:sz w:val="22"/>
        </w:rPr>
        <w:t>municipio de </w:t>
      </w:r>
      <w:r>
        <w:rPr>
          <w:spacing w:val="-3"/>
          <w:sz w:val="22"/>
        </w:rPr>
        <w:t>Toluca </w:t>
      </w:r>
      <w:r>
        <w:rPr>
          <w:sz w:val="22"/>
        </w:rPr>
        <w:t>cuenta con </w:t>
      </w:r>
      <w:r>
        <w:rPr>
          <w:spacing w:val="-3"/>
          <w:sz w:val="22"/>
        </w:rPr>
        <w:t>mayor </w:t>
      </w:r>
      <w:r>
        <w:rPr>
          <w:sz w:val="22"/>
        </w:rPr>
        <w:t>superficie cultivada, seguido por </w:t>
      </w:r>
      <w:r>
        <w:rPr>
          <w:spacing w:val="-3"/>
          <w:sz w:val="22"/>
        </w:rPr>
        <w:t>el </w:t>
      </w:r>
      <w:r>
        <w:rPr>
          <w:sz w:val="22"/>
        </w:rPr>
        <w:t>municipio de Tenango del Valle, </w:t>
      </w:r>
      <w:r>
        <w:rPr>
          <w:spacing w:val="-3"/>
          <w:sz w:val="22"/>
        </w:rPr>
        <w:t>los </w:t>
      </w:r>
      <w:r>
        <w:rPr>
          <w:sz w:val="22"/>
        </w:rPr>
        <w:t>cuales </w:t>
      </w:r>
      <w:r>
        <w:rPr>
          <w:spacing w:val="-3"/>
          <w:sz w:val="22"/>
        </w:rPr>
        <w:t>contribuyen </w:t>
      </w:r>
      <w:r>
        <w:rPr>
          <w:sz w:val="22"/>
        </w:rPr>
        <w:t>con </w:t>
      </w:r>
      <w:r>
        <w:rPr>
          <w:spacing w:val="-3"/>
          <w:sz w:val="22"/>
        </w:rPr>
        <w:t>el 49.4% </w:t>
      </w:r>
      <w:r>
        <w:rPr>
          <w:sz w:val="22"/>
        </w:rPr>
        <w:t>de </w:t>
      </w:r>
      <w:r>
        <w:rPr>
          <w:spacing w:val="-3"/>
          <w:sz w:val="22"/>
        </w:rPr>
        <w:t>las emisiones </w:t>
      </w:r>
      <w:r>
        <w:rPr>
          <w:sz w:val="22"/>
        </w:rPr>
        <w:t>de </w:t>
      </w:r>
      <w:r>
        <w:rPr>
          <w:spacing w:val="-3"/>
          <w:sz w:val="22"/>
        </w:rPr>
        <w:t>partículas en   </w:t>
      </w:r>
      <w:r>
        <w:rPr>
          <w:sz w:val="22"/>
        </w:rPr>
        <w:t>la zona metropolitana de </w:t>
      </w:r>
      <w:r>
        <w:rPr>
          <w:spacing w:val="-3"/>
          <w:sz w:val="22"/>
        </w:rPr>
        <w:t>Toluca. </w:t>
      </w:r>
      <w:r>
        <w:rPr>
          <w:sz w:val="22"/>
        </w:rPr>
        <w:t>El municipio de Lerma cuenta con una </w:t>
      </w:r>
      <w:r>
        <w:rPr>
          <w:spacing w:val="-3"/>
          <w:sz w:val="22"/>
        </w:rPr>
        <w:t>mayor </w:t>
      </w:r>
      <w:r>
        <w:rPr>
          <w:sz w:val="22"/>
        </w:rPr>
        <w:t>superficie cultivada a la de Tenango, </w:t>
      </w:r>
      <w:r>
        <w:rPr>
          <w:spacing w:val="-4"/>
          <w:sz w:val="22"/>
        </w:rPr>
        <w:t>sin </w:t>
      </w:r>
      <w:r>
        <w:rPr>
          <w:sz w:val="22"/>
        </w:rPr>
        <w:t>embargo </w:t>
      </w:r>
      <w:r>
        <w:rPr>
          <w:spacing w:val="-3"/>
          <w:sz w:val="22"/>
        </w:rPr>
        <w:t>las </w:t>
      </w:r>
      <w:r>
        <w:rPr>
          <w:sz w:val="22"/>
        </w:rPr>
        <w:t>características </w:t>
      </w:r>
      <w:r>
        <w:rPr>
          <w:spacing w:val="-3"/>
          <w:sz w:val="22"/>
        </w:rPr>
        <w:t>edafológicas </w:t>
      </w:r>
      <w:r>
        <w:rPr>
          <w:sz w:val="22"/>
        </w:rPr>
        <w:t>de este último </w:t>
      </w:r>
      <w:r>
        <w:rPr>
          <w:spacing w:val="-4"/>
          <w:sz w:val="22"/>
        </w:rPr>
        <w:t>favorecen </w:t>
      </w:r>
      <w:r>
        <w:rPr>
          <w:sz w:val="22"/>
        </w:rPr>
        <w:t>la erosión de </w:t>
      </w:r>
      <w:r>
        <w:rPr>
          <w:spacing w:val="-3"/>
          <w:sz w:val="22"/>
        </w:rPr>
        <w:t>los suelos </w:t>
      </w:r>
      <w:r>
        <w:rPr>
          <w:sz w:val="22"/>
        </w:rPr>
        <w:t>como resultado de la </w:t>
      </w:r>
      <w:r>
        <w:rPr>
          <w:spacing w:val="-3"/>
          <w:sz w:val="22"/>
        </w:rPr>
        <w:t>actividad </w:t>
      </w:r>
      <w:r>
        <w:rPr>
          <w:spacing w:val="50"/>
          <w:sz w:val="22"/>
        </w:rPr>
        <w:t> </w:t>
      </w:r>
      <w:r>
        <w:rPr>
          <w:spacing w:val="-3"/>
          <w:sz w:val="22"/>
        </w:rPr>
        <w:t>agrícola.</w:t>
      </w:r>
    </w:p>
    <w:p>
      <w:pPr>
        <w:pStyle w:val="BodyText"/>
        <w:spacing w:before="7"/>
      </w:pPr>
    </w:p>
    <w:p>
      <w:pPr>
        <w:pStyle w:val="Heading3"/>
      </w:pPr>
      <w:bookmarkStart w:name="_bookmark40" w:id="67"/>
      <w:bookmarkEnd w:id="67"/>
      <w:r>
        <w:rPr>
          <w:b w:val="0"/>
        </w:rPr>
      </w:r>
      <w:r>
        <w:rPr>
          <w:color w:val="4F81BC"/>
        </w:rPr>
        <w:t>1) Cambios en los usos de suelo de 1990-2013.</w:t>
      </w:r>
    </w:p>
    <w:p>
      <w:pPr>
        <w:pStyle w:val="BodyText"/>
        <w:rPr>
          <w:rFonts w:ascii="Cambria"/>
          <w:b/>
        </w:rPr>
      </w:pPr>
    </w:p>
    <w:p>
      <w:pPr>
        <w:pStyle w:val="BodyText"/>
        <w:spacing w:before="6"/>
        <w:rPr>
          <w:rFonts w:ascii="Cambria"/>
          <w:b/>
          <w:sz w:val="22"/>
        </w:rPr>
      </w:pPr>
    </w:p>
    <w:p>
      <w:pPr>
        <w:pStyle w:val="BodyText"/>
        <w:spacing w:line="360" w:lineRule="auto"/>
        <w:ind w:left="105" w:right="113"/>
        <w:jc w:val="both"/>
      </w:pPr>
      <w:r>
        <w:rPr/>
        <w:t>Los cambios de uso de suelo en la zona de estudio, se ven reflejados en el crecimiento de la zona urbana. Para 1990 se encontraba concentrada principalmente en los municipios de Toluca, Metepec, San Mateo Atenco, Zinacantepec y Lerma. Sin embargo para el año 2013 la conurbación de estos municipios se consolida.</w:t>
      </w:r>
    </w:p>
    <w:p>
      <w:pPr>
        <w:pStyle w:val="BodyText"/>
        <w:spacing w:line="360" w:lineRule="auto" w:before="206"/>
        <w:ind w:left="105" w:right="116"/>
        <w:jc w:val="both"/>
      </w:pPr>
      <w:r>
        <w:rPr/>
        <w:t>Para </w:t>
      </w:r>
      <w:r>
        <w:rPr>
          <w:spacing w:val="-3"/>
        </w:rPr>
        <w:t>el </w:t>
      </w:r>
      <w:r>
        <w:rPr/>
        <w:t>caso del presente apartado </w:t>
      </w:r>
      <w:r>
        <w:rPr>
          <w:spacing w:val="3"/>
        </w:rPr>
        <w:t>se </w:t>
      </w:r>
      <w:r>
        <w:rPr/>
        <w:t>realizó </w:t>
      </w:r>
      <w:r>
        <w:rPr>
          <w:spacing w:val="-3"/>
        </w:rPr>
        <w:t>el </w:t>
      </w:r>
      <w:r>
        <w:rPr/>
        <w:t>comparativo de los cambios de uso de suelo </w:t>
      </w:r>
      <w:r>
        <w:rPr>
          <w:spacing w:val="-3"/>
        </w:rPr>
        <w:t>en </w:t>
      </w:r>
      <w:r>
        <w:rPr/>
        <w:t>12 municipios Toluca, Metepec, Zinacantepec, Almoloya de Juárez, Calimaya, Lerma, San Mateo Atenco, San Antonio la Isla, Mexicaltzingo, Ocoyoacac y Chapultepec. Se consideraron, </w:t>
      </w:r>
      <w:r>
        <w:rPr>
          <w:spacing w:val="-3"/>
        </w:rPr>
        <w:t>el </w:t>
      </w:r>
      <w:r>
        <w:rPr/>
        <w:t>uso forestal, agrícola, urbano, pastizal, así como las zonas sin </w:t>
      </w:r>
      <w:r>
        <w:rPr>
          <w:spacing w:val="3"/>
        </w:rPr>
        <w:t>uso </w:t>
      </w:r>
      <w:r>
        <w:rPr/>
        <w:t>aparente, las cuáles </w:t>
      </w:r>
      <w:r>
        <w:rPr>
          <w:spacing w:val="-3"/>
        </w:rPr>
        <w:t>en </w:t>
      </w:r>
      <w:r>
        <w:rPr/>
        <w:t>general son zonas erosionadas y desprovistas de vegetación, las áreas de minas y cuerpos de agua. En la figura 7 </w:t>
      </w:r>
      <w:r>
        <w:rPr>
          <w:spacing w:val="3"/>
        </w:rPr>
        <w:t>se </w:t>
      </w:r>
      <w:r>
        <w:rPr/>
        <w:t>observa </w:t>
      </w:r>
      <w:r>
        <w:rPr>
          <w:spacing w:val="-3"/>
        </w:rPr>
        <w:t>el </w:t>
      </w:r>
      <w:r>
        <w:rPr/>
        <w:t>uso de suelo para</w:t>
      </w:r>
      <w:r>
        <w:rPr>
          <w:spacing w:val="-19"/>
        </w:rPr>
        <w:t> </w:t>
      </w:r>
      <w:r>
        <w:rPr/>
        <w:t>1990.</w:t>
      </w:r>
    </w:p>
    <w:p>
      <w:pPr>
        <w:spacing w:after="0" w:line="360" w:lineRule="auto"/>
        <w:jc w:val="both"/>
        <w:sectPr>
          <w:pgSz w:w="12240" w:h="15840"/>
          <w:pgMar w:header="0" w:footer="1001" w:top="1500" w:bottom="1200" w:left="1600" w:right="1580"/>
        </w:sectPr>
      </w:pPr>
    </w:p>
    <w:p>
      <w:pPr>
        <w:pStyle w:val="BodyText"/>
        <w:spacing w:before="48"/>
        <w:ind w:left="286" w:right="302"/>
        <w:jc w:val="center"/>
      </w:pPr>
      <w:r>
        <w:rPr/>
        <w:t>Figura 7. Usos de suelo 1990</w:t>
      </w:r>
    </w:p>
    <w:p>
      <w:pPr>
        <w:pStyle w:val="BodyText"/>
        <w:spacing w:before="8"/>
        <w:rPr>
          <w:sz w:val="10"/>
        </w:rPr>
      </w:pPr>
      <w:r>
        <w:rPr/>
        <w:pict>
          <v:group style="position:absolute;margin-left:200.255005pt;margin-top:8.102007pt;width:211.2pt;height:136.7pt;mso-position-horizontal-relative:page;mso-position-vertical-relative:paragraph;z-index:1216;mso-wrap-distance-left:0;mso-wrap-distance-right:0" coordorigin="4005,162" coordsize="4224,2734">
            <v:shape style="position:absolute;left:4020;top:177;width:4194;height:2704" type="#_x0000_t75" stroked="false">
              <v:imagedata r:id="rId26" o:title=""/>
            </v:shape>
            <v:rect style="position:absolute;left:4013;top:170;width:4209;height:2719" filled="false" stroked="true" strokeweight=".75pt" strokecolor="#000000"/>
            <w10:wrap type="topAndBottom"/>
          </v:group>
        </w:pict>
      </w:r>
    </w:p>
    <w:p>
      <w:pPr>
        <w:pStyle w:val="BodyText"/>
        <w:spacing w:before="112"/>
        <w:ind w:left="286" w:right="302"/>
        <w:jc w:val="center"/>
      </w:pPr>
      <w:r>
        <w:rPr/>
        <w:t>Fuente. Elaboración propia</w:t>
      </w:r>
    </w:p>
    <w:p>
      <w:pPr>
        <w:pStyle w:val="BodyText"/>
      </w:pPr>
    </w:p>
    <w:p>
      <w:pPr>
        <w:pStyle w:val="BodyText"/>
        <w:spacing w:before="4"/>
      </w:pPr>
    </w:p>
    <w:p>
      <w:pPr>
        <w:pStyle w:val="BodyText"/>
        <w:spacing w:line="360" w:lineRule="auto"/>
        <w:ind w:left="105" w:right="111"/>
        <w:jc w:val="both"/>
      </w:pPr>
      <w:r>
        <w:rPr/>
        <w:t>En 1990 </w:t>
      </w:r>
      <w:r>
        <w:rPr>
          <w:spacing w:val="-3"/>
        </w:rPr>
        <w:t>el </w:t>
      </w:r>
      <w:r>
        <w:rPr/>
        <w:t>uso predominante estaba conformado por </w:t>
      </w:r>
      <w:r>
        <w:rPr>
          <w:spacing w:val="-3"/>
        </w:rPr>
        <w:t>el </w:t>
      </w:r>
      <w:r>
        <w:rPr>
          <w:spacing w:val="3"/>
        </w:rPr>
        <w:t>uso </w:t>
      </w:r>
      <w:r>
        <w:rPr/>
        <w:t>agrícola con 62%, mientras que </w:t>
      </w:r>
      <w:r>
        <w:rPr>
          <w:spacing w:val="-3"/>
        </w:rPr>
        <w:t>el </w:t>
      </w:r>
      <w:r>
        <w:rPr/>
        <w:t>uso urbano conformaba únicamente </w:t>
      </w:r>
      <w:r>
        <w:rPr>
          <w:spacing w:val="-3"/>
        </w:rPr>
        <w:t>el </w:t>
      </w:r>
      <w:r>
        <w:rPr/>
        <w:t>9% de la superficie total,  las áreas forestales comprendían 20%. Las zonas urbanas se concentraban principalmente </w:t>
      </w:r>
      <w:r>
        <w:rPr>
          <w:spacing w:val="-3"/>
        </w:rPr>
        <w:t>en </w:t>
      </w:r>
      <w:r>
        <w:rPr/>
        <w:t>las cabeceras municipales, sin embargo </w:t>
      </w:r>
      <w:r>
        <w:rPr>
          <w:spacing w:val="-3"/>
        </w:rPr>
        <w:t>el </w:t>
      </w:r>
      <w:r>
        <w:rPr/>
        <w:t>desarrollo de zonas habitacionales cobro auge </w:t>
      </w:r>
      <w:r>
        <w:rPr>
          <w:spacing w:val="-3"/>
        </w:rPr>
        <w:t>en </w:t>
      </w:r>
      <w:r>
        <w:rPr/>
        <w:t>los últimos 20 años, generando incremento </w:t>
      </w:r>
      <w:r>
        <w:rPr>
          <w:spacing w:val="-3"/>
        </w:rPr>
        <w:t>en </w:t>
      </w:r>
      <w:r>
        <w:rPr/>
        <w:t>las zonas urbanas y </w:t>
      </w:r>
      <w:r>
        <w:rPr>
          <w:spacing w:val="-3"/>
        </w:rPr>
        <w:t>en </w:t>
      </w:r>
      <w:r>
        <w:rPr/>
        <w:t>consecuencia la pérdida de áreas agrícolas. En la figura 8 se muestran los usos de suelo para</w:t>
      </w:r>
      <w:r>
        <w:rPr>
          <w:spacing w:val="-13"/>
        </w:rPr>
        <w:t> </w:t>
      </w:r>
      <w:r>
        <w:rPr/>
        <w:t>2013.</w:t>
      </w:r>
    </w:p>
    <w:p>
      <w:pPr>
        <w:pStyle w:val="BodyText"/>
        <w:spacing w:before="206" w:after="18"/>
        <w:ind w:left="286" w:right="302"/>
        <w:jc w:val="center"/>
      </w:pPr>
      <w:r>
        <w:rPr/>
        <w:t>Figura 8. Usos de suelo 2013</w:t>
      </w:r>
    </w:p>
    <w:p>
      <w:pPr>
        <w:pStyle w:val="BodyText"/>
        <w:ind w:left="2075"/>
        <w:rPr>
          <w:sz w:val="20"/>
        </w:rPr>
      </w:pPr>
      <w:r>
        <w:rPr>
          <w:sz w:val="20"/>
        </w:rPr>
        <w:pict>
          <v:group style="width:245pt;height:143.6pt;mso-position-horizontal-relative:char;mso-position-vertical-relative:line" coordorigin="0,0" coordsize="4900,2872">
            <v:shape style="position:absolute;left:15;top:15;width:4870;height:2842" type="#_x0000_t75" stroked="false">
              <v:imagedata r:id="rId27" o:title=""/>
            </v:shape>
            <v:rect style="position:absolute;left:8;top:8;width:4885;height:2857" filled="false" stroked="true" strokeweight=".75pt" strokecolor="#000000"/>
          </v:group>
        </w:pict>
      </w:r>
      <w:r>
        <w:rPr>
          <w:sz w:val="20"/>
        </w:rPr>
      </w:r>
    </w:p>
    <w:p>
      <w:pPr>
        <w:pStyle w:val="BodyText"/>
        <w:ind w:left="293" w:right="302"/>
        <w:jc w:val="center"/>
      </w:pPr>
      <w:r>
        <w:rPr/>
        <w:t>Fuente. Elaboración propia</w:t>
      </w:r>
    </w:p>
    <w:p>
      <w:pPr>
        <w:pStyle w:val="BodyText"/>
        <w:spacing w:before="3"/>
        <w:rPr>
          <w:sz w:val="23"/>
        </w:rPr>
      </w:pPr>
    </w:p>
    <w:p>
      <w:pPr>
        <w:pStyle w:val="BodyText"/>
        <w:spacing w:line="360" w:lineRule="auto"/>
        <w:ind w:left="105" w:right="114"/>
        <w:jc w:val="both"/>
      </w:pPr>
      <w:r>
        <w:rPr/>
        <w:t>En </w:t>
      </w:r>
      <w:r>
        <w:rPr>
          <w:spacing w:val="-3"/>
        </w:rPr>
        <w:t>el </w:t>
      </w:r>
      <w:r>
        <w:rPr/>
        <w:t>año 2013, </w:t>
      </w:r>
      <w:r>
        <w:rPr>
          <w:spacing w:val="-3"/>
        </w:rPr>
        <w:t>el </w:t>
      </w:r>
      <w:r>
        <w:rPr/>
        <w:t>uso de suelo predominante sigue siendo </w:t>
      </w:r>
      <w:r>
        <w:rPr>
          <w:spacing w:val="-3"/>
        </w:rPr>
        <w:t>el </w:t>
      </w:r>
      <w:r>
        <w:rPr/>
        <w:t>agrícola, sin embargo su representatividad disminuyó a 41%, mientras que </w:t>
      </w:r>
      <w:r>
        <w:rPr>
          <w:spacing w:val="-3"/>
        </w:rPr>
        <w:t>el </w:t>
      </w:r>
      <w:r>
        <w:rPr/>
        <w:t>uso urbano incrementó su superficie, representando </w:t>
      </w:r>
      <w:r>
        <w:rPr>
          <w:spacing w:val="-3"/>
        </w:rPr>
        <w:t>el </w:t>
      </w:r>
      <w:r>
        <w:rPr/>
        <w:t>29% de la ZMCT. Es importante señalar que </w:t>
      </w:r>
      <w:r>
        <w:rPr>
          <w:spacing w:val="-3"/>
        </w:rPr>
        <w:t>en </w:t>
      </w:r>
      <w:r>
        <w:rPr/>
        <w:t>apariencia las zonas forestales mantienen la superficie </w:t>
      </w:r>
      <w:r>
        <w:rPr>
          <w:spacing w:val="-3"/>
        </w:rPr>
        <w:t>en </w:t>
      </w:r>
      <w:r>
        <w:rPr/>
        <w:t>relación a 1990, sin embargo </w:t>
      </w:r>
      <w:r>
        <w:rPr>
          <w:spacing w:val="-3"/>
        </w:rPr>
        <w:t>al  </w:t>
      </w:r>
      <w:r>
        <w:rPr/>
        <w:t>realizar  </w:t>
      </w:r>
      <w:r>
        <w:rPr>
          <w:spacing w:val="-3"/>
        </w:rPr>
        <w:t>el  </w:t>
      </w:r>
      <w:r>
        <w:rPr/>
        <w:t>análisis de las imágenes satelitales y   </w:t>
      </w:r>
      <w:r>
        <w:rPr>
          <w:spacing w:val="65"/>
        </w:rPr>
        <w:t> </w:t>
      </w:r>
      <w:r>
        <w:rPr/>
        <w:t>aéreas</w:t>
      </w:r>
    </w:p>
    <w:p>
      <w:pPr>
        <w:spacing w:after="0" w:line="360" w:lineRule="auto"/>
        <w:jc w:val="both"/>
        <w:sectPr>
          <w:pgSz w:w="12240" w:h="15840"/>
          <w:pgMar w:header="0" w:footer="1001" w:top="1360" w:bottom="1200" w:left="1600" w:right="1580"/>
        </w:sectPr>
      </w:pPr>
    </w:p>
    <w:p>
      <w:pPr>
        <w:pStyle w:val="BodyText"/>
        <w:spacing w:line="362" w:lineRule="auto" w:before="48"/>
        <w:ind w:left="105" w:right="126"/>
        <w:jc w:val="both"/>
      </w:pPr>
      <w:r>
        <w:rPr/>
        <w:t>puede observarse la pérdida de densidad en la cobertura forestal. En la figura 9 se muestra el comparativo entre los usos de suelo para 1990 y los usos para 2013.</w:t>
      </w:r>
    </w:p>
    <w:p>
      <w:pPr>
        <w:pStyle w:val="BodyText"/>
        <w:spacing w:before="204"/>
        <w:ind w:left="300" w:right="302"/>
        <w:jc w:val="center"/>
      </w:pPr>
      <w:r>
        <w:rPr/>
        <w:t>Figura 9. Comparativo de usos de suelo 1990-2013</w:t>
      </w:r>
    </w:p>
    <w:p>
      <w:pPr>
        <w:pStyle w:val="BodyText"/>
        <w:spacing w:before="7"/>
        <w:rPr>
          <w:sz w:val="27"/>
        </w:rPr>
      </w:pPr>
      <w:r>
        <w:rPr/>
        <w:pict>
          <v:group style="position:absolute;margin-left:173.255005pt;margin-top:17.872002pt;width:265.25pt;height:164.9pt;mso-position-horizontal-relative:page;mso-position-vertical-relative:paragraph;z-index:1264;mso-wrap-distance-left:0;mso-wrap-distance-right:0" coordorigin="3465,357" coordsize="5305,3298">
            <v:shape style="position:absolute;left:3480;top:372;width:5275;height:3268" type="#_x0000_t75" stroked="false">
              <v:imagedata r:id="rId28" o:title=""/>
            </v:shape>
            <v:rect style="position:absolute;left:3473;top:365;width:5290;height:3283" filled="false" stroked="true" strokeweight=".75pt" strokecolor="#000000"/>
            <w10:wrap type="topAndBottom"/>
          </v:group>
        </w:pict>
      </w:r>
    </w:p>
    <w:p>
      <w:pPr>
        <w:pStyle w:val="BodyText"/>
        <w:spacing w:before="10"/>
        <w:rPr>
          <w:sz w:val="27"/>
        </w:rPr>
      </w:pPr>
    </w:p>
    <w:p>
      <w:pPr>
        <w:spacing w:before="1"/>
        <w:ind w:left="292" w:right="302" w:firstLine="0"/>
        <w:jc w:val="center"/>
        <w:rPr>
          <w:rFonts w:ascii="Calibri" w:hAnsi="Calibri"/>
          <w:sz w:val="22"/>
        </w:rPr>
      </w:pPr>
      <w:r>
        <w:rPr>
          <w:rFonts w:ascii="Calibri" w:hAnsi="Calibri"/>
          <w:sz w:val="22"/>
        </w:rPr>
        <w:t>Fuente.  Elaboración Propia</w:t>
      </w:r>
    </w:p>
    <w:p>
      <w:pPr>
        <w:pStyle w:val="BodyText"/>
        <w:spacing w:before="2"/>
        <w:rPr>
          <w:rFonts w:ascii="Calibri"/>
          <w:sz w:val="27"/>
        </w:rPr>
      </w:pPr>
    </w:p>
    <w:p>
      <w:pPr>
        <w:pStyle w:val="BodyText"/>
        <w:spacing w:line="360" w:lineRule="auto"/>
        <w:ind w:left="105" w:right="102"/>
        <w:jc w:val="both"/>
      </w:pPr>
      <w:r>
        <w:rPr/>
        <w:t>En </w:t>
      </w:r>
      <w:r>
        <w:rPr>
          <w:spacing w:val="-3"/>
        </w:rPr>
        <w:t>el </w:t>
      </w:r>
      <w:r>
        <w:rPr/>
        <w:t>comparativo podemos observar que </w:t>
      </w:r>
      <w:r>
        <w:rPr>
          <w:spacing w:val="-3"/>
        </w:rPr>
        <w:t>el </w:t>
      </w:r>
      <w:r>
        <w:rPr/>
        <w:t>principal cambio se da </w:t>
      </w:r>
      <w:r>
        <w:rPr>
          <w:spacing w:val="-3"/>
        </w:rPr>
        <w:t>en el </w:t>
      </w:r>
      <w:r>
        <w:rPr/>
        <w:t>uso agrícola y urbano, </w:t>
      </w:r>
      <w:r>
        <w:rPr>
          <w:spacing w:val="-3"/>
        </w:rPr>
        <w:t>en </w:t>
      </w:r>
      <w:r>
        <w:rPr/>
        <w:t>1990 </w:t>
      </w:r>
      <w:r>
        <w:rPr>
          <w:spacing w:val="-3"/>
        </w:rPr>
        <w:t>el </w:t>
      </w:r>
      <w:r>
        <w:rPr/>
        <w:t>uso urbano contaba con un total de 16,619.61 hectáreas, que </w:t>
      </w:r>
      <w:r>
        <w:rPr>
          <w:spacing w:val="3"/>
        </w:rPr>
        <w:t>se </w:t>
      </w:r>
      <w:r>
        <w:rPr/>
        <w:t>incrementaron a 52,282.33, </w:t>
      </w:r>
      <w:r>
        <w:rPr>
          <w:spacing w:val="-3"/>
        </w:rPr>
        <w:t>en </w:t>
      </w:r>
      <w:r>
        <w:rPr/>
        <w:t>2013, las zonas urbanas que se limitaban a las cabeceras municipales </w:t>
      </w:r>
      <w:r>
        <w:rPr>
          <w:spacing w:val="-3"/>
        </w:rPr>
        <w:t>en </w:t>
      </w:r>
      <w:r>
        <w:rPr/>
        <w:t>1990, para 2013 se consolidan  como una zona urbana única </w:t>
      </w:r>
      <w:r>
        <w:rPr>
          <w:spacing w:val="-3"/>
        </w:rPr>
        <w:t>en </w:t>
      </w:r>
      <w:r>
        <w:rPr/>
        <w:t>doce municipios. En cuanto </w:t>
      </w:r>
      <w:r>
        <w:rPr>
          <w:spacing w:val="-3"/>
        </w:rPr>
        <w:t>al </w:t>
      </w:r>
      <w:r>
        <w:rPr/>
        <w:t>uso agrícola </w:t>
      </w:r>
      <w:r>
        <w:rPr>
          <w:spacing w:val="3"/>
        </w:rPr>
        <w:t>se </w:t>
      </w:r>
      <w:r>
        <w:rPr/>
        <w:t>presenta una pérdida de superficie </w:t>
      </w:r>
      <w:r>
        <w:rPr>
          <w:spacing w:val="5"/>
        </w:rPr>
        <w:t>de </w:t>
      </w:r>
      <w:r>
        <w:rPr/>
        <w:t>38,325.5 hectáreas, ya que </w:t>
      </w:r>
      <w:r>
        <w:rPr>
          <w:spacing w:val="-3"/>
        </w:rPr>
        <w:t>en </w:t>
      </w:r>
      <w:r>
        <w:rPr/>
        <w:t>1990 conformaba una superficie de 112,441.5 hectáreas, mientras que </w:t>
      </w:r>
      <w:r>
        <w:rPr>
          <w:spacing w:val="-3"/>
        </w:rPr>
        <w:t>en </w:t>
      </w:r>
      <w:r>
        <w:rPr/>
        <w:t>2013 la superficie </w:t>
      </w:r>
      <w:r>
        <w:rPr>
          <w:spacing w:val="-3"/>
        </w:rPr>
        <w:t>es </w:t>
      </w:r>
      <w:r>
        <w:rPr/>
        <w:t>de 74,115.5</w:t>
      </w:r>
      <w:r>
        <w:rPr>
          <w:spacing w:val="-14"/>
        </w:rPr>
        <w:t> </w:t>
      </w:r>
      <w:r>
        <w:rPr/>
        <w:t>hectáreas.</w:t>
      </w:r>
    </w:p>
    <w:p>
      <w:pPr>
        <w:pStyle w:val="BodyText"/>
        <w:spacing w:before="206"/>
        <w:ind w:left="105"/>
        <w:jc w:val="both"/>
      </w:pPr>
      <w:r>
        <w:rPr/>
        <w:t>Respecto  a  la  actividad  minera  para  1990  se  contabilizaba  una  superficie de</w:t>
      </w:r>
    </w:p>
    <w:p>
      <w:pPr>
        <w:pStyle w:val="BodyText"/>
        <w:spacing w:line="362" w:lineRule="auto" w:before="132"/>
        <w:ind w:left="105" w:right="128"/>
        <w:jc w:val="both"/>
      </w:pPr>
      <w:r>
        <w:rPr/>
        <w:t>504.48 hectáreas localizadas principalmente en el municipio de Calimaya, las cuales para 2013 se incrementaron a 912.87 hectáreas, presentándose en los municipios de Calimaya, Toluca y Zinacantepec. En las figura 10 se presentan los mapas de uso de suelo para 1990 y 2013.</w:t>
      </w:r>
    </w:p>
    <w:p>
      <w:pPr>
        <w:spacing w:after="0" w:line="362" w:lineRule="auto"/>
        <w:jc w:val="both"/>
        <w:sectPr>
          <w:pgSz w:w="12240" w:h="15840"/>
          <w:pgMar w:header="0" w:footer="1001" w:top="1360" w:bottom="1200" w:left="1600" w:right="1580"/>
        </w:sectPr>
      </w:pPr>
    </w:p>
    <w:p>
      <w:pPr>
        <w:pStyle w:val="BodyText"/>
        <w:rPr>
          <w:sz w:val="20"/>
        </w:rPr>
      </w:pPr>
    </w:p>
    <w:p>
      <w:pPr>
        <w:pStyle w:val="BodyText"/>
        <w:rPr>
          <w:sz w:val="20"/>
        </w:rPr>
      </w:pPr>
    </w:p>
    <w:p>
      <w:pPr>
        <w:pStyle w:val="BodyText"/>
        <w:rPr>
          <w:sz w:val="20"/>
        </w:rPr>
      </w:pPr>
    </w:p>
    <w:p>
      <w:pPr>
        <w:pStyle w:val="BodyText"/>
        <w:rPr>
          <w:sz w:val="22"/>
        </w:rPr>
      </w:pPr>
    </w:p>
    <w:p>
      <w:pPr>
        <w:pStyle w:val="BodyText"/>
        <w:spacing w:before="69" w:after="12"/>
        <w:ind w:left="290" w:right="302"/>
        <w:jc w:val="center"/>
      </w:pPr>
      <w:r>
        <w:rPr/>
        <w:t>Figura 10. Comparativo cartográfico de usos de suelo 1990 y 2013.</w:t>
      </w:r>
    </w:p>
    <w:p>
      <w:pPr>
        <w:pStyle w:val="BodyText"/>
        <w:ind w:left="101"/>
        <w:rPr>
          <w:sz w:val="20"/>
        </w:rPr>
      </w:pPr>
      <w:r>
        <w:rPr>
          <w:sz w:val="20"/>
        </w:rPr>
        <w:drawing>
          <wp:inline distT="0" distB="0" distL="0" distR="0">
            <wp:extent cx="5538688" cy="2183034"/>
            <wp:effectExtent l="0" t="0" r="0" b="0"/>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29" cstate="print"/>
                    <a:stretch>
                      <a:fillRect/>
                    </a:stretch>
                  </pic:blipFill>
                  <pic:spPr>
                    <a:xfrm>
                      <a:off x="0" y="0"/>
                      <a:ext cx="5538688" cy="2183034"/>
                    </a:xfrm>
                    <a:prstGeom prst="rect">
                      <a:avLst/>
                    </a:prstGeom>
                  </pic:spPr>
                </pic:pic>
              </a:graphicData>
            </a:graphic>
          </wp:inline>
        </w:drawing>
      </w:r>
      <w:r>
        <w:rPr>
          <w:sz w:val="20"/>
        </w:rPr>
      </w:r>
    </w:p>
    <w:p>
      <w:pPr>
        <w:pStyle w:val="BodyText"/>
        <w:spacing w:before="44"/>
        <w:ind w:left="285" w:right="300"/>
        <w:jc w:val="center"/>
      </w:pPr>
      <w:r>
        <w:rPr/>
        <w:t>Fuente: Elaboración propia a partir de INEGI 1990 y Google Earth 2013</w:t>
      </w:r>
    </w:p>
    <w:p>
      <w:pPr>
        <w:pStyle w:val="BodyText"/>
      </w:pPr>
    </w:p>
    <w:p>
      <w:pPr>
        <w:pStyle w:val="BodyText"/>
        <w:spacing w:before="8"/>
        <w:rPr>
          <w:sz w:val="23"/>
        </w:rPr>
      </w:pPr>
    </w:p>
    <w:p>
      <w:pPr>
        <w:pStyle w:val="BodyText"/>
        <w:spacing w:line="360" w:lineRule="auto"/>
        <w:ind w:left="105" w:right="101"/>
        <w:jc w:val="both"/>
      </w:pPr>
      <w:r>
        <w:rPr/>
        <w:t>No obstante que </w:t>
      </w:r>
      <w:r>
        <w:rPr>
          <w:spacing w:val="-3"/>
        </w:rPr>
        <w:t>el </w:t>
      </w:r>
      <w:r>
        <w:rPr/>
        <w:t>perdedor de superficie </w:t>
      </w:r>
      <w:r>
        <w:rPr>
          <w:spacing w:val="5"/>
        </w:rPr>
        <w:t>ha </w:t>
      </w:r>
      <w:r>
        <w:rPr/>
        <w:t>sido </w:t>
      </w:r>
      <w:r>
        <w:rPr>
          <w:spacing w:val="-3"/>
        </w:rPr>
        <w:t>el </w:t>
      </w:r>
      <w:r>
        <w:rPr>
          <w:spacing w:val="3"/>
        </w:rPr>
        <w:t>uso </w:t>
      </w:r>
      <w:r>
        <w:rPr/>
        <w:t>de suelo agrícola a favor del uso urbano, especialmente </w:t>
      </w:r>
      <w:r>
        <w:rPr>
          <w:spacing w:val="-3"/>
        </w:rPr>
        <w:t>en </w:t>
      </w:r>
      <w:r>
        <w:rPr/>
        <w:t>la porción </w:t>
      </w:r>
      <w:r>
        <w:rPr>
          <w:spacing w:val="-3"/>
        </w:rPr>
        <w:t>norte, </w:t>
      </w:r>
      <w:r>
        <w:rPr/>
        <w:t>noreste y sureste de la ZMCT. La superficie de uso agrícola </w:t>
      </w:r>
      <w:r>
        <w:rPr>
          <w:spacing w:val="5"/>
        </w:rPr>
        <w:t>de </w:t>
      </w:r>
      <w:r>
        <w:rPr/>
        <w:t>temporal </w:t>
      </w:r>
      <w:r>
        <w:rPr>
          <w:spacing w:val="-3"/>
        </w:rPr>
        <w:t>es </w:t>
      </w:r>
      <w:r>
        <w:rPr/>
        <w:t>muy importante. Cada año </w:t>
      </w:r>
      <w:r>
        <w:rPr>
          <w:spacing w:val="3"/>
        </w:rPr>
        <w:t>se </w:t>
      </w:r>
      <w:r>
        <w:rPr/>
        <w:t>cultiva la tierra para producir </w:t>
      </w:r>
      <w:r>
        <w:rPr>
          <w:spacing w:val="-3"/>
        </w:rPr>
        <w:t>maíz en </w:t>
      </w:r>
      <w:r>
        <w:rPr/>
        <w:t>primavera- verano, </w:t>
      </w:r>
      <w:r>
        <w:rPr>
          <w:spacing w:val="-3"/>
        </w:rPr>
        <w:t>en </w:t>
      </w:r>
      <w:r>
        <w:rPr/>
        <w:t>la época seca (otoño- invierno), la mayor parte </w:t>
      </w:r>
      <w:r>
        <w:rPr>
          <w:spacing w:val="5"/>
        </w:rPr>
        <w:t>de </w:t>
      </w:r>
      <w:r>
        <w:rPr/>
        <w:t>las tierras no se cultivan, </w:t>
      </w:r>
      <w:r>
        <w:rPr>
          <w:spacing w:val="5"/>
        </w:rPr>
        <w:t>lo </w:t>
      </w:r>
      <w:r>
        <w:rPr/>
        <w:t>que aunado </w:t>
      </w:r>
      <w:r>
        <w:rPr>
          <w:spacing w:val="-3"/>
        </w:rPr>
        <w:t>al </w:t>
      </w:r>
      <w:r>
        <w:rPr/>
        <w:t>sobrepastoreo y </w:t>
      </w:r>
      <w:r>
        <w:rPr>
          <w:spacing w:val="-3"/>
        </w:rPr>
        <w:t>el </w:t>
      </w:r>
      <w:r>
        <w:rPr/>
        <w:t>inadecuado manejo de los suelos (el riego excesivo, </w:t>
      </w:r>
      <w:r>
        <w:rPr>
          <w:spacing w:val="5"/>
        </w:rPr>
        <w:t>la </w:t>
      </w:r>
      <w:r>
        <w:rPr/>
        <w:t>quema de residuos de cosecha, </w:t>
      </w:r>
      <w:r>
        <w:rPr>
          <w:spacing w:val="5"/>
        </w:rPr>
        <w:t>la </w:t>
      </w:r>
      <w:r>
        <w:rPr/>
        <w:t>preparación de suelos, </w:t>
      </w:r>
      <w:r>
        <w:rPr>
          <w:spacing w:val="-3"/>
        </w:rPr>
        <w:t>el </w:t>
      </w:r>
      <w:r>
        <w:rPr/>
        <w:t>exceso de labranza), ocasiona tolvaneras que desprenden material del sustrato. Aunque las zonas desprovistas </w:t>
      </w:r>
      <w:r>
        <w:rPr>
          <w:spacing w:val="5"/>
        </w:rPr>
        <w:t>de </w:t>
      </w:r>
      <w:r>
        <w:rPr/>
        <w:t>vegetación están muy localizadas, estas son producto de la deforestación asociada a los cambios del uso de suelo y actividades pecuarias, la contribución </w:t>
      </w:r>
      <w:r>
        <w:rPr>
          <w:spacing w:val="-3"/>
        </w:rPr>
        <w:t>en </w:t>
      </w:r>
      <w:r>
        <w:rPr/>
        <w:t>las emisiones de partículas de suelo no </w:t>
      </w:r>
      <w:r>
        <w:rPr>
          <w:spacing w:val="-3"/>
        </w:rPr>
        <w:t>es </w:t>
      </w:r>
      <w:r>
        <w:rPr/>
        <w:t>clara. Sin embargo, de acuerdo a los inventarios </w:t>
      </w:r>
      <w:r>
        <w:rPr>
          <w:spacing w:val="5"/>
        </w:rPr>
        <w:t>de </w:t>
      </w:r>
      <w:r>
        <w:rPr/>
        <w:t>emisiones 2004 y 2006, </w:t>
      </w:r>
      <w:r>
        <w:rPr>
          <w:spacing w:val="-3"/>
        </w:rPr>
        <w:t>el </w:t>
      </w:r>
      <w:r>
        <w:rPr/>
        <w:t>área sujeta a erosión se </w:t>
      </w:r>
      <w:r>
        <w:rPr>
          <w:spacing w:val="-3"/>
        </w:rPr>
        <w:t>está </w:t>
      </w:r>
      <w:r>
        <w:rPr/>
        <w:t>reduciendo </w:t>
      </w:r>
      <w:r>
        <w:rPr>
          <w:spacing w:val="-3"/>
        </w:rPr>
        <w:t>al </w:t>
      </w:r>
      <w:r>
        <w:rPr/>
        <w:t>pasar de 57,303 a 70, 778 hectáreas (SEMARNAT, 2012). No obstante estas cifras, un estudio realizado </w:t>
      </w:r>
      <w:r>
        <w:rPr>
          <w:spacing w:val="-3"/>
        </w:rPr>
        <w:t>en </w:t>
      </w:r>
      <w:r>
        <w:rPr/>
        <w:t>la cuenca alta del río Lerma, concluye que </w:t>
      </w:r>
      <w:r>
        <w:rPr>
          <w:spacing w:val="-3"/>
        </w:rPr>
        <w:t>el </w:t>
      </w:r>
      <w:r>
        <w:rPr/>
        <w:t>curso alto de esta cuenca, </w:t>
      </w:r>
      <w:r>
        <w:rPr>
          <w:spacing w:val="-3"/>
        </w:rPr>
        <w:t>en </w:t>
      </w:r>
      <w:r>
        <w:rPr/>
        <w:t>este se ubica la ZMVT. El 12% de la superficie del suelo presenta degradación alta y que los municipios que </w:t>
      </w:r>
      <w:r>
        <w:rPr>
          <w:spacing w:val="53"/>
        </w:rPr>
        <w:t> </w:t>
      </w:r>
      <w:r>
        <w:rPr/>
        <w:t>requieren</w:t>
      </w:r>
    </w:p>
    <w:p>
      <w:pPr>
        <w:spacing w:after="0" w:line="360" w:lineRule="auto"/>
        <w:jc w:val="both"/>
        <w:sectPr>
          <w:pgSz w:w="12240" w:h="15840"/>
          <w:pgMar w:header="0" w:footer="1001" w:top="1500" w:bottom="1200" w:left="1600" w:right="1580"/>
        </w:sectPr>
      </w:pPr>
    </w:p>
    <w:p>
      <w:pPr>
        <w:pStyle w:val="BodyText"/>
        <w:spacing w:line="362" w:lineRule="auto" w:before="48"/>
        <w:ind w:left="105" w:right="127"/>
        <w:jc w:val="both"/>
      </w:pPr>
      <w:r>
        <w:rPr/>
        <w:t>especial atención en cuanto a estrategias de conservación y manejo de suelos son Temoaya, Lerma y Xonacatlán (De la Cruz Jasso, Marisol et al, 2011: 1 y 12).</w:t>
      </w:r>
    </w:p>
    <w:p>
      <w:pPr>
        <w:pStyle w:val="BodyText"/>
        <w:spacing w:before="7"/>
      </w:pPr>
    </w:p>
    <w:p>
      <w:pPr>
        <w:pStyle w:val="BodyText"/>
        <w:spacing w:line="360" w:lineRule="auto" w:before="1"/>
        <w:ind w:left="105" w:right="112"/>
        <w:jc w:val="both"/>
      </w:pPr>
      <w:r>
        <w:rPr/>
        <w:t>Esta situación </w:t>
      </w:r>
      <w:r>
        <w:rPr>
          <w:spacing w:val="-3"/>
        </w:rPr>
        <w:t>es </w:t>
      </w:r>
      <w:r>
        <w:rPr/>
        <w:t>importante, puesto que </w:t>
      </w:r>
      <w:r>
        <w:rPr>
          <w:spacing w:val="-3"/>
        </w:rPr>
        <w:t>en </w:t>
      </w:r>
      <w:r>
        <w:rPr/>
        <w:t>los últimos </w:t>
      </w:r>
      <w:r>
        <w:rPr>
          <w:spacing w:val="-3"/>
        </w:rPr>
        <w:t>años </w:t>
      </w:r>
      <w:r>
        <w:rPr>
          <w:spacing w:val="3"/>
        </w:rPr>
        <w:t>se </w:t>
      </w:r>
      <w:r>
        <w:rPr/>
        <w:t>ha identificado  alta contaminación por partículas de polvo </w:t>
      </w:r>
      <w:r>
        <w:rPr>
          <w:spacing w:val="-3"/>
        </w:rPr>
        <w:t>en </w:t>
      </w:r>
      <w:r>
        <w:rPr/>
        <w:t>la zona </w:t>
      </w:r>
      <w:r>
        <w:rPr>
          <w:spacing w:val="5"/>
        </w:rPr>
        <w:t>de </w:t>
      </w:r>
      <w:r>
        <w:rPr/>
        <w:t>estudio, lo cual se relaciona con los vientos que contribuyen </w:t>
      </w:r>
      <w:r>
        <w:rPr>
          <w:spacing w:val="-3"/>
        </w:rPr>
        <w:t>en </w:t>
      </w:r>
      <w:r>
        <w:rPr>
          <w:spacing w:val="5"/>
        </w:rPr>
        <w:t>la </w:t>
      </w:r>
      <w:r>
        <w:rPr/>
        <w:t>dispersión de estas partículas de origen</w:t>
      </w:r>
      <w:r>
        <w:rPr>
          <w:spacing w:val="-12"/>
        </w:rPr>
        <w:t> </w:t>
      </w:r>
      <w:r>
        <w:rPr/>
        <w:t>natural.</w:t>
      </w:r>
    </w:p>
    <w:p>
      <w:pPr>
        <w:pStyle w:val="BodyText"/>
        <w:spacing w:before="10"/>
      </w:pPr>
    </w:p>
    <w:p>
      <w:pPr>
        <w:pStyle w:val="BodyText"/>
        <w:spacing w:line="360" w:lineRule="auto"/>
        <w:ind w:left="105" w:right="105"/>
        <w:jc w:val="both"/>
      </w:pPr>
      <w:r>
        <w:rPr/>
        <w:t>En la zona de estudio los movimientos de las masas de aíre se presentan en dirección sureste-noroeste, con velocidades de 4 a 11 km/hora; mientras que los vientos con dirección sureste-noroeste, presentan velocidades de 1 a 4 km/hr, lo cual indica que las partículas de polvo de origen natural finas se muevan y se concentren en la zona noroeste de la ciudad de Toluca, en tanto que las partículas gruesas tienen menor movilidad y suelen depositarse por efecto de la lluvia en los lugares cercanos a las fuentes de área.</w:t>
      </w:r>
    </w:p>
    <w:p>
      <w:pPr>
        <w:pStyle w:val="Heading3"/>
        <w:numPr>
          <w:ilvl w:val="2"/>
          <w:numId w:val="13"/>
        </w:numPr>
        <w:tabs>
          <w:tab w:pos="698" w:val="left" w:leader="none"/>
        </w:tabs>
        <w:spacing w:line="240" w:lineRule="auto" w:before="211" w:after="0"/>
        <w:ind w:left="697" w:right="0" w:hanging="592"/>
        <w:jc w:val="both"/>
      </w:pPr>
      <w:bookmarkStart w:name="_bookmark41" w:id="68"/>
      <w:bookmarkEnd w:id="68"/>
      <w:r>
        <w:rPr>
          <w:b w:val="0"/>
        </w:rPr>
      </w:r>
      <w:bookmarkStart w:name="_bookmark41" w:id="69"/>
      <w:bookmarkEnd w:id="69"/>
      <w:r>
        <w:rPr>
          <w:color w:val="4F81BC"/>
        </w:rPr>
        <w:t>F</w:t>
      </w:r>
      <w:r>
        <w:rPr>
          <w:color w:val="4F81BC"/>
        </w:rPr>
        <w:t>uentes</w:t>
      </w:r>
      <w:r>
        <w:rPr>
          <w:color w:val="4F81BC"/>
          <w:spacing w:val="-7"/>
        </w:rPr>
        <w:t> </w:t>
      </w:r>
      <w:r>
        <w:rPr>
          <w:color w:val="4F81BC"/>
        </w:rPr>
        <w:t>fijas:</w:t>
      </w:r>
    </w:p>
    <w:p>
      <w:pPr>
        <w:pStyle w:val="BodyText"/>
        <w:spacing w:before="8"/>
        <w:rPr>
          <w:rFonts w:ascii="Cambria"/>
          <w:b/>
          <w:sz w:val="26"/>
        </w:rPr>
      </w:pPr>
    </w:p>
    <w:p>
      <w:pPr>
        <w:pStyle w:val="BodyText"/>
        <w:spacing w:line="362" w:lineRule="auto"/>
        <w:ind w:left="105" w:right="112"/>
        <w:jc w:val="both"/>
      </w:pPr>
      <w:r>
        <w:rPr/>
        <w:t>Toda instalación establecida </w:t>
      </w:r>
      <w:r>
        <w:rPr>
          <w:spacing w:val="-3"/>
        </w:rPr>
        <w:t>en </w:t>
      </w:r>
      <w:r>
        <w:rPr/>
        <w:t>un </w:t>
      </w:r>
      <w:r>
        <w:rPr>
          <w:spacing w:val="2"/>
        </w:rPr>
        <w:t>sólo </w:t>
      </w:r>
      <w:r>
        <w:rPr/>
        <w:t>lugar que tenga como finalidad desarrollar operaciones o procesos industriales, comerciales de servicios o de actividades  que generan o puedan generar emisiones contaminantes a la atmósfera”(DOF, 1998), por ejemplo, las minas, industrias y</w:t>
      </w:r>
      <w:r>
        <w:rPr>
          <w:spacing w:val="-32"/>
        </w:rPr>
        <w:t> </w:t>
      </w:r>
      <w:r>
        <w:rPr/>
        <w:t>cementeras.</w:t>
      </w:r>
    </w:p>
    <w:p>
      <w:pPr>
        <w:pStyle w:val="BodyText"/>
        <w:spacing w:before="11"/>
        <w:rPr>
          <w:sz w:val="23"/>
        </w:rPr>
      </w:pPr>
    </w:p>
    <w:p>
      <w:pPr>
        <w:pStyle w:val="BodyText"/>
        <w:spacing w:line="360" w:lineRule="auto"/>
        <w:ind w:left="105" w:right="111"/>
        <w:jc w:val="both"/>
      </w:pPr>
      <w:r>
        <w:rPr/>
        <w:t>En </w:t>
      </w:r>
      <w:r>
        <w:rPr>
          <w:spacing w:val="-3"/>
        </w:rPr>
        <w:t>este </w:t>
      </w:r>
      <w:r>
        <w:rPr/>
        <w:t>grupo se identifican las minas dedicadas a la extracción de </w:t>
      </w:r>
      <w:r>
        <w:rPr>
          <w:spacing w:val="-3"/>
        </w:rPr>
        <w:t>materiales </w:t>
      </w:r>
      <w:r>
        <w:rPr/>
        <w:t>pétreos (Cuadro 5). Siendo la operación minera un proceso donde </w:t>
      </w:r>
      <w:r>
        <w:rPr>
          <w:spacing w:val="-3"/>
        </w:rPr>
        <w:t>el </w:t>
      </w:r>
      <w:r>
        <w:rPr/>
        <w:t>objetivo principal </w:t>
      </w:r>
      <w:r>
        <w:rPr>
          <w:spacing w:val="-3"/>
        </w:rPr>
        <w:t>es </w:t>
      </w:r>
      <w:r>
        <w:rPr/>
        <w:t>fragmentar la roca, </w:t>
      </w:r>
      <w:r>
        <w:rPr>
          <w:spacing w:val="-3"/>
        </w:rPr>
        <w:t>es </w:t>
      </w:r>
      <w:r>
        <w:rPr/>
        <w:t>inevitable que prácticamente toda acción minera, genere polvo </w:t>
      </w:r>
      <w:r>
        <w:rPr>
          <w:spacing w:val="-3"/>
        </w:rPr>
        <w:t>en </w:t>
      </w:r>
      <w:r>
        <w:rPr/>
        <w:t>mayor o menor grado. Estos polvos son partículas de 1 a 100 micras de diámetro, con capacidad para permanecer </w:t>
      </w:r>
      <w:r>
        <w:rPr>
          <w:spacing w:val="-3"/>
        </w:rPr>
        <w:t>en </w:t>
      </w:r>
      <w:r>
        <w:rPr/>
        <w:t>suspensión temporal </w:t>
      </w:r>
      <w:r>
        <w:rPr>
          <w:spacing w:val="-3"/>
        </w:rPr>
        <w:t>en el</w:t>
      </w:r>
      <w:r>
        <w:rPr>
          <w:spacing w:val="6"/>
        </w:rPr>
        <w:t> </w:t>
      </w:r>
      <w:r>
        <w:rPr/>
        <w:t>aire.</w:t>
      </w:r>
    </w:p>
    <w:p>
      <w:pPr>
        <w:spacing w:after="0" w:line="360" w:lineRule="auto"/>
        <w:jc w:val="both"/>
        <w:sectPr>
          <w:pgSz w:w="12240" w:h="15840"/>
          <w:pgMar w:header="0" w:footer="1001" w:top="1360" w:bottom="1200" w:left="1600" w:right="1580"/>
        </w:sectPr>
      </w:pPr>
    </w:p>
    <w:p>
      <w:pPr>
        <w:pStyle w:val="BodyText"/>
        <w:spacing w:before="48" w:after="13"/>
        <w:ind w:left="1626" w:right="204"/>
      </w:pPr>
      <w:r>
        <w:rPr/>
        <w:t>Cuadro 5. Minas activas de material pétreo. ZMVT, 2012</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378"/>
        <w:gridCol w:w="2121"/>
        <w:gridCol w:w="3411"/>
      </w:tblGrid>
      <w:tr>
        <w:trPr>
          <w:trHeight w:val="240" w:hRule="exact"/>
        </w:trPr>
        <w:tc>
          <w:tcPr>
            <w:tcW w:w="3378" w:type="dxa"/>
          </w:tcPr>
          <w:p>
            <w:pPr>
              <w:pStyle w:val="TableParagraph"/>
              <w:spacing w:line="226" w:lineRule="exact"/>
              <w:ind w:left="112"/>
              <w:rPr>
                <w:sz w:val="20"/>
              </w:rPr>
            </w:pPr>
            <w:r>
              <w:rPr>
                <w:sz w:val="20"/>
              </w:rPr>
              <w:t>Municipio</w:t>
            </w:r>
          </w:p>
        </w:tc>
        <w:tc>
          <w:tcPr>
            <w:tcW w:w="2121" w:type="dxa"/>
          </w:tcPr>
          <w:p>
            <w:pPr>
              <w:pStyle w:val="TableParagraph"/>
              <w:spacing w:line="226" w:lineRule="exact"/>
              <w:ind w:left="104"/>
              <w:rPr>
                <w:sz w:val="20"/>
              </w:rPr>
            </w:pPr>
            <w:r>
              <w:rPr>
                <w:sz w:val="20"/>
              </w:rPr>
              <w:t>No. de minas</w:t>
            </w:r>
          </w:p>
        </w:tc>
        <w:tc>
          <w:tcPr>
            <w:tcW w:w="3411" w:type="dxa"/>
          </w:tcPr>
          <w:p>
            <w:pPr>
              <w:pStyle w:val="TableParagraph"/>
              <w:spacing w:line="226" w:lineRule="exact"/>
              <w:ind w:left="112"/>
              <w:rPr>
                <w:sz w:val="20"/>
              </w:rPr>
            </w:pPr>
            <w:r>
              <w:rPr>
                <w:sz w:val="20"/>
              </w:rPr>
              <w:t>Mineral</w:t>
            </w:r>
          </w:p>
        </w:tc>
      </w:tr>
      <w:tr>
        <w:trPr>
          <w:trHeight w:val="464" w:hRule="exact"/>
        </w:trPr>
        <w:tc>
          <w:tcPr>
            <w:tcW w:w="3378" w:type="dxa"/>
          </w:tcPr>
          <w:p>
            <w:pPr>
              <w:pStyle w:val="TableParagraph"/>
              <w:spacing w:line="226" w:lineRule="exact"/>
              <w:ind w:left="112"/>
              <w:rPr>
                <w:sz w:val="20"/>
              </w:rPr>
            </w:pPr>
            <w:r>
              <w:rPr>
                <w:sz w:val="20"/>
              </w:rPr>
              <w:t>Almoloya de Juárez</w:t>
            </w:r>
          </w:p>
        </w:tc>
        <w:tc>
          <w:tcPr>
            <w:tcW w:w="2121" w:type="dxa"/>
          </w:tcPr>
          <w:p>
            <w:pPr>
              <w:pStyle w:val="TableParagraph"/>
              <w:spacing w:line="226" w:lineRule="exact"/>
              <w:jc w:val="center"/>
              <w:rPr>
                <w:sz w:val="20"/>
              </w:rPr>
            </w:pPr>
            <w:r>
              <w:rPr>
                <w:w w:val="99"/>
                <w:sz w:val="20"/>
              </w:rPr>
              <w:t>5</w:t>
            </w:r>
          </w:p>
        </w:tc>
        <w:tc>
          <w:tcPr>
            <w:tcW w:w="3411" w:type="dxa"/>
          </w:tcPr>
          <w:p>
            <w:pPr>
              <w:pStyle w:val="TableParagraph"/>
              <w:spacing w:line="242" w:lineRule="auto"/>
              <w:ind w:left="112"/>
              <w:rPr>
                <w:sz w:val="20"/>
              </w:rPr>
            </w:pPr>
            <w:r>
              <w:rPr>
                <w:sz w:val="20"/>
              </w:rPr>
              <w:t>Cantera, Arcilla Común, Arena y Grava, Tezontle</w:t>
            </w:r>
          </w:p>
        </w:tc>
      </w:tr>
      <w:tr>
        <w:trPr>
          <w:trHeight w:val="473" w:hRule="exact"/>
        </w:trPr>
        <w:tc>
          <w:tcPr>
            <w:tcW w:w="3378" w:type="dxa"/>
          </w:tcPr>
          <w:p>
            <w:pPr>
              <w:pStyle w:val="TableParagraph"/>
              <w:spacing w:before="5"/>
              <w:ind w:left="112"/>
              <w:rPr>
                <w:sz w:val="20"/>
              </w:rPr>
            </w:pPr>
            <w:r>
              <w:rPr>
                <w:sz w:val="20"/>
              </w:rPr>
              <w:t>Calimaya</w:t>
            </w:r>
          </w:p>
        </w:tc>
        <w:tc>
          <w:tcPr>
            <w:tcW w:w="2121" w:type="dxa"/>
          </w:tcPr>
          <w:p>
            <w:pPr>
              <w:pStyle w:val="TableParagraph"/>
              <w:spacing w:before="5"/>
              <w:ind w:left="925" w:right="925"/>
              <w:jc w:val="center"/>
              <w:rPr>
                <w:sz w:val="20"/>
              </w:rPr>
            </w:pPr>
            <w:r>
              <w:rPr>
                <w:sz w:val="20"/>
              </w:rPr>
              <w:t>12</w:t>
            </w:r>
          </w:p>
        </w:tc>
        <w:tc>
          <w:tcPr>
            <w:tcW w:w="3411" w:type="dxa"/>
          </w:tcPr>
          <w:p>
            <w:pPr>
              <w:pStyle w:val="TableParagraph"/>
              <w:spacing w:line="224" w:lineRule="exact" w:before="13"/>
              <w:ind w:left="112"/>
              <w:rPr>
                <w:sz w:val="20"/>
              </w:rPr>
            </w:pPr>
            <w:r>
              <w:rPr>
                <w:sz w:val="20"/>
              </w:rPr>
              <w:t>Arena y Grava, Tepojal (pumicita) Arcilla común</w:t>
            </w:r>
          </w:p>
        </w:tc>
      </w:tr>
      <w:tr>
        <w:trPr>
          <w:trHeight w:val="240" w:hRule="exact"/>
        </w:trPr>
        <w:tc>
          <w:tcPr>
            <w:tcW w:w="3378" w:type="dxa"/>
          </w:tcPr>
          <w:p>
            <w:pPr>
              <w:pStyle w:val="TableParagraph"/>
              <w:spacing w:line="226" w:lineRule="exact"/>
              <w:ind w:left="112"/>
              <w:rPr>
                <w:sz w:val="20"/>
              </w:rPr>
            </w:pPr>
            <w:r>
              <w:rPr>
                <w:sz w:val="20"/>
              </w:rPr>
              <w:t>Capulhuac</w:t>
            </w:r>
          </w:p>
        </w:tc>
        <w:tc>
          <w:tcPr>
            <w:tcW w:w="2121" w:type="dxa"/>
          </w:tcPr>
          <w:p>
            <w:pPr>
              <w:pStyle w:val="TableParagraph"/>
              <w:spacing w:line="226" w:lineRule="exact"/>
              <w:jc w:val="center"/>
              <w:rPr>
                <w:sz w:val="20"/>
              </w:rPr>
            </w:pPr>
            <w:r>
              <w:rPr>
                <w:w w:val="99"/>
                <w:sz w:val="20"/>
              </w:rPr>
              <w:t>1</w:t>
            </w:r>
          </w:p>
        </w:tc>
        <w:tc>
          <w:tcPr>
            <w:tcW w:w="3411" w:type="dxa"/>
          </w:tcPr>
          <w:p>
            <w:pPr>
              <w:pStyle w:val="TableParagraph"/>
              <w:spacing w:line="226" w:lineRule="exact"/>
              <w:ind w:left="112"/>
              <w:rPr>
                <w:sz w:val="20"/>
              </w:rPr>
            </w:pPr>
            <w:r>
              <w:rPr>
                <w:sz w:val="20"/>
              </w:rPr>
              <w:t>Tezontle</w:t>
            </w:r>
          </w:p>
        </w:tc>
      </w:tr>
      <w:tr>
        <w:trPr>
          <w:trHeight w:val="240" w:hRule="exact"/>
        </w:trPr>
        <w:tc>
          <w:tcPr>
            <w:tcW w:w="3378" w:type="dxa"/>
          </w:tcPr>
          <w:p>
            <w:pPr>
              <w:pStyle w:val="TableParagraph"/>
              <w:spacing w:line="226" w:lineRule="exact"/>
              <w:ind w:left="112"/>
              <w:rPr>
                <w:sz w:val="20"/>
              </w:rPr>
            </w:pPr>
            <w:r>
              <w:rPr>
                <w:sz w:val="20"/>
              </w:rPr>
              <w:t>Lerma</w:t>
            </w:r>
          </w:p>
        </w:tc>
        <w:tc>
          <w:tcPr>
            <w:tcW w:w="2121" w:type="dxa"/>
          </w:tcPr>
          <w:p>
            <w:pPr>
              <w:pStyle w:val="TableParagraph"/>
              <w:spacing w:line="226" w:lineRule="exact"/>
              <w:jc w:val="center"/>
              <w:rPr>
                <w:sz w:val="20"/>
              </w:rPr>
            </w:pPr>
            <w:r>
              <w:rPr>
                <w:w w:val="99"/>
                <w:sz w:val="20"/>
              </w:rPr>
              <w:t>1</w:t>
            </w:r>
          </w:p>
        </w:tc>
        <w:tc>
          <w:tcPr>
            <w:tcW w:w="3411" w:type="dxa"/>
          </w:tcPr>
          <w:p>
            <w:pPr>
              <w:pStyle w:val="TableParagraph"/>
              <w:spacing w:line="226" w:lineRule="exact"/>
              <w:ind w:left="112"/>
              <w:rPr>
                <w:sz w:val="20"/>
              </w:rPr>
            </w:pPr>
            <w:r>
              <w:rPr>
                <w:sz w:val="20"/>
              </w:rPr>
              <w:t>Arena, Grava y tepetate</w:t>
            </w:r>
          </w:p>
        </w:tc>
      </w:tr>
      <w:tr>
        <w:trPr>
          <w:trHeight w:val="472" w:hRule="exact"/>
        </w:trPr>
        <w:tc>
          <w:tcPr>
            <w:tcW w:w="3378" w:type="dxa"/>
          </w:tcPr>
          <w:p>
            <w:pPr>
              <w:pStyle w:val="TableParagraph"/>
              <w:spacing w:line="226" w:lineRule="exact"/>
              <w:ind w:left="112"/>
              <w:rPr>
                <w:sz w:val="20"/>
              </w:rPr>
            </w:pPr>
            <w:r>
              <w:rPr>
                <w:sz w:val="20"/>
              </w:rPr>
              <w:t>Metepec</w:t>
            </w:r>
          </w:p>
        </w:tc>
        <w:tc>
          <w:tcPr>
            <w:tcW w:w="2121" w:type="dxa"/>
          </w:tcPr>
          <w:p>
            <w:pPr>
              <w:pStyle w:val="TableParagraph"/>
              <w:spacing w:line="226" w:lineRule="exact"/>
              <w:jc w:val="center"/>
              <w:rPr>
                <w:sz w:val="20"/>
              </w:rPr>
            </w:pPr>
            <w:r>
              <w:rPr>
                <w:w w:val="99"/>
                <w:sz w:val="20"/>
              </w:rPr>
              <w:t>4</w:t>
            </w:r>
          </w:p>
        </w:tc>
        <w:tc>
          <w:tcPr>
            <w:tcW w:w="3411" w:type="dxa"/>
          </w:tcPr>
          <w:p>
            <w:pPr>
              <w:pStyle w:val="TableParagraph"/>
              <w:spacing w:line="242" w:lineRule="auto"/>
              <w:ind w:left="112"/>
              <w:rPr>
                <w:sz w:val="20"/>
              </w:rPr>
            </w:pPr>
            <w:r>
              <w:rPr>
                <w:sz w:val="20"/>
              </w:rPr>
              <w:t>Arena, Grava y tepetate, Arcilla común</w:t>
            </w:r>
          </w:p>
        </w:tc>
      </w:tr>
      <w:tr>
        <w:trPr>
          <w:trHeight w:val="240" w:hRule="exact"/>
        </w:trPr>
        <w:tc>
          <w:tcPr>
            <w:tcW w:w="3378" w:type="dxa"/>
          </w:tcPr>
          <w:p>
            <w:pPr>
              <w:pStyle w:val="TableParagraph"/>
              <w:spacing w:line="226" w:lineRule="exact"/>
              <w:ind w:left="112"/>
              <w:rPr>
                <w:sz w:val="20"/>
              </w:rPr>
            </w:pPr>
            <w:r>
              <w:rPr>
                <w:sz w:val="20"/>
              </w:rPr>
              <w:t>San Antonio la Isla</w:t>
            </w:r>
          </w:p>
        </w:tc>
        <w:tc>
          <w:tcPr>
            <w:tcW w:w="2121" w:type="dxa"/>
          </w:tcPr>
          <w:p>
            <w:pPr>
              <w:pStyle w:val="TableParagraph"/>
              <w:spacing w:line="226" w:lineRule="exact"/>
              <w:jc w:val="center"/>
              <w:rPr>
                <w:sz w:val="20"/>
              </w:rPr>
            </w:pPr>
            <w:r>
              <w:rPr>
                <w:w w:val="99"/>
                <w:sz w:val="20"/>
              </w:rPr>
              <w:t>6</w:t>
            </w:r>
          </w:p>
        </w:tc>
        <w:tc>
          <w:tcPr>
            <w:tcW w:w="3411" w:type="dxa"/>
          </w:tcPr>
          <w:p>
            <w:pPr>
              <w:pStyle w:val="TableParagraph"/>
              <w:spacing w:line="226" w:lineRule="exact"/>
              <w:ind w:left="112"/>
              <w:rPr>
                <w:sz w:val="20"/>
              </w:rPr>
            </w:pPr>
            <w:r>
              <w:rPr>
                <w:sz w:val="20"/>
              </w:rPr>
              <w:t>Arena y grava, tepetate</w:t>
            </w:r>
          </w:p>
        </w:tc>
      </w:tr>
      <w:tr>
        <w:trPr>
          <w:trHeight w:val="240" w:hRule="exact"/>
        </w:trPr>
        <w:tc>
          <w:tcPr>
            <w:tcW w:w="3378" w:type="dxa"/>
          </w:tcPr>
          <w:p>
            <w:pPr>
              <w:pStyle w:val="TableParagraph"/>
              <w:spacing w:line="226" w:lineRule="exact"/>
              <w:ind w:left="112"/>
              <w:rPr>
                <w:sz w:val="20"/>
              </w:rPr>
            </w:pPr>
            <w:r>
              <w:rPr>
                <w:sz w:val="20"/>
              </w:rPr>
              <w:t>Tenango del Valle</w:t>
            </w:r>
          </w:p>
        </w:tc>
        <w:tc>
          <w:tcPr>
            <w:tcW w:w="2121" w:type="dxa"/>
          </w:tcPr>
          <w:p>
            <w:pPr>
              <w:pStyle w:val="TableParagraph"/>
              <w:spacing w:line="226" w:lineRule="exact"/>
              <w:jc w:val="center"/>
              <w:rPr>
                <w:sz w:val="20"/>
              </w:rPr>
            </w:pPr>
            <w:r>
              <w:rPr>
                <w:w w:val="99"/>
                <w:sz w:val="20"/>
              </w:rPr>
              <w:t>2</w:t>
            </w:r>
          </w:p>
        </w:tc>
        <w:tc>
          <w:tcPr>
            <w:tcW w:w="3411" w:type="dxa"/>
          </w:tcPr>
          <w:p>
            <w:pPr>
              <w:pStyle w:val="TableParagraph"/>
              <w:spacing w:line="226" w:lineRule="exact"/>
              <w:ind w:left="112"/>
              <w:rPr>
                <w:sz w:val="20"/>
              </w:rPr>
            </w:pPr>
            <w:r>
              <w:rPr>
                <w:sz w:val="20"/>
              </w:rPr>
              <w:t>Cantera y arena</w:t>
            </w:r>
          </w:p>
        </w:tc>
      </w:tr>
      <w:tr>
        <w:trPr>
          <w:trHeight w:val="240" w:hRule="exact"/>
        </w:trPr>
        <w:tc>
          <w:tcPr>
            <w:tcW w:w="3378" w:type="dxa"/>
          </w:tcPr>
          <w:p>
            <w:pPr>
              <w:pStyle w:val="TableParagraph"/>
              <w:spacing w:line="226" w:lineRule="exact"/>
              <w:ind w:left="112"/>
              <w:rPr>
                <w:sz w:val="20"/>
              </w:rPr>
            </w:pPr>
            <w:r>
              <w:rPr>
                <w:sz w:val="20"/>
              </w:rPr>
              <w:t>Toluca</w:t>
            </w:r>
          </w:p>
        </w:tc>
        <w:tc>
          <w:tcPr>
            <w:tcW w:w="2121" w:type="dxa"/>
          </w:tcPr>
          <w:p>
            <w:pPr>
              <w:pStyle w:val="TableParagraph"/>
              <w:spacing w:line="226" w:lineRule="exact"/>
              <w:jc w:val="center"/>
              <w:rPr>
                <w:sz w:val="20"/>
              </w:rPr>
            </w:pPr>
            <w:r>
              <w:rPr>
                <w:w w:val="99"/>
                <w:sz w:val="20"/>
              </w:rPr>
              <w:t>1</w:t>
            </w:r>
          </w:p>
        </w:tc>
        <w:tc>
          <w:tcPr>
            <w:tcW w:w="3411" w:type="dxa"/>
          </w:tcPr>
          <w:p>
            <w:pPr>
              <w:pStyle w:val="TableParagraph"/>
              <w:spacing w:line="226" w:lineRule="exact"/>
              <w:ind w:left="112"/>
              <w:rPr>
                <w:sz w:val="20"/>
              </w:rPr>
            </w:pPr>
            <w:r>
              <w:rPr>
                <w:sz w:val="20"/>
              </w:rPr>
              <w:t>Cantera</w:t>
            </w:r>
          </w:p>
        </w:tc>
      </w:tr>
      <w:tr>
        <w:trPr>
          <w:trHeight w:val="240" w:hRule="exact"/>
        </w:trPr>
        <w:tc>
          <w:tcPr>
            <w:tcW w:w="3378" w:type="dxa"/>
          </w:tcPr>
          <w:p>
            <w:pPr>
              <w:pStyle w:val="TableParagraph"/>
              <w:spacing w:line="227" w:lineRule="exact"/>
              <w:ind w:left="112"/>
              <w:rPr>
                <w:sz w:val="20"/>
              </w:rPr>
            </w:pPr>
            <w:r>
              <w:rPr>
                <w:sz w:val="20"/>
              </w:rPr>
              <w:t>Xonacatlán</w:t>
            </w:r>
          </w:p>
        </w:tc>
        <w:tc>
          <w:tcPr>
            <w:tcW w:w="2121" w:type="dxa"/>
          </w:tcPr>
          <w:p>
            <w:pPr>
              <w:pStyle w:val="TableParagraph"/>
              <w:spacing w:line="227" w:lineRule="exact"/>
              <w:jc w:val="center"/>
              <w:rPr>
                <w:sz w:val="20"/>
              </w:rPr>
            </w:pPr>
            <w:r>
              <w:rPr>
                <w:w w:val="99"/>
                <w:sz w:val="20"/>
              </w:rPr>
              <w:t>1</w:t>
            </w:r>
          </w:p>
        </w:tc>
        <w:tc>
          <w:tcPr>
            <w:tcW w:w="3411" w:type="dxa"/>
          </w:tcPr>
          <w:p>
            <w:pPr>
              <w:pStyle w:val="TableParagraph"/>
              <w:spacing w:line="227" w:lineRule="exact"/>
              <w:ind w:left="112"/>
              <w:rPr>
                <w:sz w:val="20"/>
              </w:rPr>
            </w:pPr>
            <w:r>
              <w:rPr>
                <w:sz w:val="20"/>
              </w:rPr>
              <w:t>Arena y grava</w:t>
            </w:r>
          </w:p>
        </w:tc>
      </w:tr>
      <w:tr>
        <w:trPr>
          <w:trHeight w:val="240" w:hRule="exact"/>
        </w:trPr>
        <w:tc>
          <w:tcPr>
            <w:tcW w:w="3378" w:type="dxa"/>
          </w:tcPr>
          <w:p>
            <w:pPr>
              <w:pStyle w:val="TableParagraph"/>
              <w:spacing w:line="226" w:lineRule="exact"/>
              <w:ind w:left="112"/>
              <w:rPr>
                <w:sz w:val="20"/>
              </w:rPr>
            </w:pPr>
            <w:r>
              <w:rPr>
                <w:sz w:val="20"/>
              </w:rPr>
              <w:t>Zinacantepec</w:t>
            </w:r>
          </w:p>
        </w:tc>
        <w:tc>
          <w:tcPr>
            <w:tcW w:w="2121" w:type="dxa"/>
          </w:tcPr>
          <w:p>
            <w:pPr>
              <w:pStyle w:val="TableParagraph"/>
              <w:spacing w:line="226" w:lineRule="exact"/>
              <w:jc w:val="center"/>
              <w:rPr>
                <w:sz w:val="20"/>
              </w:rPr>
            </w:pPr>
            <w:r>
              <w:rPr>
                <w:w w:val="99"/>
                <w:sz w:val="20"/>
              </w:rPr>
              <w:t>5</w:t>
            </w:r>
          </w:p>
        </w:tc>
        <w:tc>
          <w:tcPr>
            <w:tcW w:w="3411" w:type="dxa"/>
          </w:tcPr>
          <w:p>
            <w:pPr>
              <w:pStyle w:val="TableParagraph"/>
              <w:spacing w:line="226" w:lineRule="exact"/>
              <w:ind w:left="112"/>
              <w:rPr>
                <w:sz w:val="20"/>
              </w:rPr>
            </w:pPr>
            <w:r>
              <w:rPr>
                <w:sz w:val="20"/>
              </w:rPr>
              <w:t>Arena Grava y tepetate</w:t>
            </w:r>
          </w:p>
        </w:tc>
      </w:tr>
      <w:tr>
        <w:trPr>
          <w:trHeight w:val="240" w:hRule="exact"/>
        </w:trPr>
        <w:tc>
          <w:tcPr>
            <w:tcW w:w="3378" w:type="dxa"/>
          </w:tcPr>
          <w:p>
            <w:pPr>
              <w:pStyle w:val="TableParagraph"/>
              <w:spacing w:line="226" w:lineRule="exact"/>
              <w:ind w:left="112"/>
              <w:rPr>
                <w:sz w:val="20"/>
              </w:rPr>
            </w:pPr>
            <w:r>
              <w:rPr>
                <w:sz w:val="20"/>
              </w:rPr>
              <w:t>Total</w:t>
            </w:r>
          </w:p>
        </w:tc>
        <w:tc>
          <w:tcPr>
            <w:tcW w:w="2121" w:type="dxa"/>
          </w:tcPr>
          <w:p>
            <w:pPr>
              <w:pStyle w:val="TableParagraph"/>
              <w:spacing w:line="226" w:lineRule="exact"/>
              <w:ind w:left="925" w:right="925"/>
              <w:jc w:val="center"/>
              <w:rPr>
                <w:sz w:val="20"/>
              </w:rPr>
            </w:pPr>
            <w:r>
              <w:rPr>
                <w:sz w:val="20"/>
              </w:rPr>
              <w:t>55</w:t>
            </w:r>
          </w:p>
        </w:tc>
        <w:tc>
          <w:tcPr>
            <w:tcW w:w="3411" w:type="dxa"/>
          </w:tcPr>
          <w:p>
            <w:pPr/>
          </w:p>
        </w:tc>
      </w:tr>
    </w:tbl>
    <w:p>
      <w:pPr>
        <w:pStyle w:val="BodyText"/>
        <w:spacing w:line="267" w:lineRule="exact"/>
        <w:ind w:left="225"/>
        <w:jc w:val="both"/>
      </w:pPr>
      <w:r>
        <w:rPr/>
        <w:t>Fuente: (GEM,2012) Directorio de minas activas en estado de México, 2011 - 2012</w:t>
      </w:r>
    </w:p>
    <w:p>
      <w:pPr>
        <w:pStyle w:val="BodyText"/>
        <w:spacing w:before="6"/>
        <w:rPr>
          <w:sz w:val="29"/>
        </w:rPr>
      </w:pPr>
    </w:p>
    <w:p>
      <w:pPr>
        <w:pStyle w:val="BodyText"/>
        <w:spacing w:line="360" w:lineRule="auto" w:before="1"/>
        <w:ind w:left="225" w:right="212"/>
        <w:jc w:val="both"/>
      </w:pPr>
      <w:r>
        <w:rPr/>
        <w:t>Las unidades económicas que integran </w:t>
      </w:r>
      <w:r>
        <w:rPr>
          <w:spacing w:val="-3"/>
        </w:rPr>
        <w:t>al </w:t>
      </w:r>
      <w:r>
        <w:rPr/>
        <w:t>sector de la Industria manufacturera,  casi se duplicaron, </w:t>
      </w:r>
      <w:r>
        <w:rPr>
          <w:spacing w:val="-3"/>
        </w:rPr>
        <w:t>al </w:t>
      </w:r>
      <w:r>
        <w:rPr/>
        <w:t>pasar de 4,860 </w:t>
      </w:r>
      <w:r>
        <w:rPr>
          <w:spacing w:val="-3"/>
        </w:rPr>
        <w:t>en el </w:t>
      </w:r>
      <w:r>
        <w:rPr/>
        <w:t>año 2004, a 8,187 </w:t>
      </w:r>
      <w:r>
        <w:rPr>
          <w:spacing w:val="-3"/>
        </w:rPr>
        <w:t>en </w:t>
      </w:r>
      <w:r>
        <w:rPr/>
        <w:t>2009. Entre los sectores industriales más importantes, </w:t>
      </w:r>
      <w:r>
        <w:rPr>
          <w:spacing w:val="-3"/>
        </w:rPr>
        <w:t>está el </w:t>
      </w:r>
      <w:r>
        <w:rPr/>
        <w:t>alimenticio, químico farmacéutico, vidrio, automotriz, textil y productos de plástico (SIEM,</w:t>
      </w:r>
      <w:r>
        <w:rPr>
          <w:spacing w:val="-16"/>
        </w:rPr>
        <w:t> </w:t>
      </w:r>
      <w:r>
        <w:rPr/>
        <w:t>2015).</w:t>
      </w:r>
    </w:p>
    <w:p>
      <w:pPr>
        <w:pStyle w:val="BodyText"/>
        <w:spacing w:before="206" w:after="5"/>
        <w:ind w:left="233" w:right="233"/>
        <w:jc w:val="center"/>
      </w:pPr>
      <w:r>
        <w:rPr/>
        <w:t>Cuadro 6. Unidades económicas de la industria manufacturera</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33"/>
        <w:gridCol w:w="2025"/>
        <w:gridCol w:w="1737"/>
        <w:gridCol w:w="1730"/>
        <w:gridCol w:w="1737"/>
      </w:tblGrid>
      <w:tr>
        <w:trPr>
          <w:trHeight w:val="1257" w:hRule="exact"/>
        </w:trPr>
        <w:tc>
          <w:tcPr>
            <w:tcW w:w="1833" w:type="dxa"/>
          </w:tcPr>
          <w:p>
            <w:pPr>
              <w:pStyle w:val="TableParagraph"/>
              <w:spacing w:line="206" w:lineRule="exact"/>
              <w:ind w:left="488"/>
              <w:rPr>
                <w:sz w:val="18"/>
              </w:rPr>
            </w:pPr>
            <w:r>
              <w:rPr>
                <w:sz w:val="18"/>
              </w:rPr>
              <w:t>Municipios</w:t>
            </w:r>
          </w:p>
        </w:tc>
        <w:tc>
          <w:tcPr>
            <w:tcW w:w="2025" w:type="dxa"/>
          </w:tcPr>
          <w:p>
            <w:pPr>
              <w:pStyle w:val="TableParagraph"/>
              <w:spacing w:line="200" w:lineRule="exact" w:before="8"/>
              <w:ind w:left="528" w:right="306" w:hanging="208"/>
              <w:rPr>
                <w:sz w:val="18"/>
              </w:rPr>
            </w:pPr>
            <w:r>
              <w:rPr>
                <w:sz w:val="18"/>
              </w:rPr>
              <w:t>No. De Unidades económicas</w:t>
            </w:r>
          </w:p>
        </w:tc>
        <w:tc>
          <w:tcPr>
            <w:tcW w:w="1737" w:type="dxa"/>
          </w:tcPr>
          <w:p>
            <w:pPr>
              <w:pStyle w:val="TableParagraph"/>
              <w:tabs>
                <w:tab w:pos="863" w:val="left" w:leader="none"/>
              </w:tabs>
              <w:spacing w:line="237" w:lineRule="auto" w:before="1"/>
              <w:ind w:left="104" w:right="99"/>
              <w:rPr>
                <w:sz w:val="18"/>
              </w:rPr>
            </w:pPr>
            <w:r>
              <w:rPr>
                <w:sz w:val="18"/>
              </w:rPr>
              <w:t>No.</w:t>
              <w:tab/>
            </w:r>
            <w:r>
              <w:rPr>
                <w:spacing w:val="-3"/>
                <w:sz w:val="18"/>
              </w:rPr>
              <w:t>Unidades económicas </w:t>
            </w:r>
            <w:r>
              <w:rPr>
                <w:sz w:val="18"/>
              </w:rPr>
              <w:t>industriales</w:t>
            </w:r>
          </w:p>
        </w:tc>
        <w:tc>
          <w:tcPr>
            <w:tcW w:w="1730" w:type="dxa"/>
          </w:tcPr>
          <w:p>
            <w:pPr>
              <w:pStyle w:val="TableParagraph"/>
              <w:spacing w:line="237" w:lineRule="auto" w:before="1"/>
              <w:ind w:left="152" w:right="153" w:firstLine="8"/>
              <w:jc w:val="center"/>
              <w:rPr>
                <w:sz w:val="18"/>
              </w:rPr>
            </w:pPr>
            <w:r>
              <w:rPr>
                <w:sz w:val="18"/>
              </w:rPr>
              <w:t>Participación municipal en el total unidades industriales, 2004</w:t>
            </w:r>
          </w:p>
          <w:p>
            <w:pPr>
              <w:pStyle w:val="TableParagraph"/>
              <w:spacing w:before="1"/>
              <w:ind w:left="11"/>
              <w:jc w:val="center"/>
              <w:rPr>
                <w:sz w:val="18"/>
              </w:rPr>
            </w:pPr>
            <w:r>
              <w:rPr>
                <w:w w:val="102"/>
                <w:sz w:val="18"/>
              </w:rPr>
              <w:t>%</w:t>
            </w:r>
          </w:p>
        </w:tc>
        <w:tc>
          <w:tcPr>
            <w:tcW w:w="1737" w:type="dxa"/>
          </w:tcPr>
          <w:p>
            <w:pPr>
              <w:pStyle w:val="TableParagraph"/>
              <w:spacing w:line="237" w:lineRule="auto" w:before="1"/>
              <w:ind w:left="160" w:right="153" w:firstLine="9"/>
              <w:jc w:val="center"/>
              <w:rPr>
                <w:sz w:val="18"/>
              </w:rPr>
            </w:pPr>
            <w:r>
              <w:rPr>
                <w:sz w:val="18"/>
              </w:rPr>
              <w:t>Participación municipal en el total unidades industriales, 2009</w:t>
            </w:r>
          </w:p>
          <w:p>
            <w:pPr>
              <w:pStyle w:val="TableParagraph"/>
              <w:spacing w:before="1"/>
              <w:ind w:left="19"/>
              <w:jc w:val="center"/>
              <w:rPr>
                <w:sz w:val="18"/>
              </w:rPr>
            </w:pPr>
            <w:r>
              <w:rPr>
                <w:w w:val="102"/>
                <w:sz w:val="18"/>
              </w:rPr>
              <w:t>%</w:t>
            </w:r>
          </w:p>
        </w:tc>
      </w:tr>
      <w:tr>
        <w:trPr>
          <w:trHeight w:val="216" w:hRule="exact"/>
        </w:trPr>
        <w:tc>
          <w:tcPr>
            <w:tcW w:w="1833" w:type="dxa"/>
          </w:tcPr>
          <w:p>
            <w:pPr>
              <w:pStyle w:val="TableParagraph"/>
              <w:spacing w:line="198" w:lineRule="exact"/>
              <w:ind w:left="621" w:right="622"/>
              <w:jc w:val="center"/>
              <w:rPr>
                <w:sz w:val="18"/>
              </w:rPr>
            </w:pPr>
            <w:r>
              <w:rPr>
                <w:sz w:val="18"/>
              </w:rPr>
              <w:t>Toluca</w:t>
            </w:r>
          </w:p>
        </w:tc>
        <w:tc>
          <w:tcPr>
            <w:tcW w:w="2025" w:type="dxa"/>
          </w:tcPr>
          <w:p>
            <w:pPr>
              <w:pStyle w:val="TableParagraph"/>
              <w:spacing w:line="198" w:lineRule="exact"/>
              <w:ind w:left="766" w:right="761"/>
              <w:jc w:val="center"/>
              <w:rPr>
                <w:sz w:val="18"/>
              </w:rPr>
            </w:pPr>
            <w:r>
              <w:rPr>
                <w:sz w:val="18"/>
              </w:rPr>
              <w:t>2,297</w:t>
            </w:r>
          </w:p>
        </w:tc>
        <w:tc>
          <w:tcPr>
            <w:tcW w:w="1737" w:type="dxa"/>
          </w:tcPr>
          <w:p>
            <w:pPr>
              <w:pStyle w:val="TableParagraph"/>
              <w:spacing w:line="198" w:lineRule="exact"/>
              <w:ind w:left="622" w:right="616"/>
              <w:jc w:val="center"/>
              <w:rPr>
                <w:sz w:val="18"/>
              </w:rPr>
            </w:pPr>
            <w:r>
              <w:rPr>
                <w:sz w:val="18"/>
              </w:rPr>
              <w:t>3,083</w:t>
            </w:r>
          </w:p>
        </w:tc>
        <w:tc>
          <w:tcPr>
            <w:tcW w:w="1730" w:type="dxa"/>
          </w:tcPr>
          <w:p>
            <w:pPr>
              <w:pStyle w:val="TableParagraph"/>
              <w:spacing w:line="198" w:lineRule="exact"/>
              <w:ind w:left="690" w:right="683"/>
              <w:jc w:val="center"/>
              <w:rPr>
                <w:sz w:val="18"/>
              </w:rPr>
            </w:pPr>
            <w:r>
              <w:rPr>
                <w:sz w:val="18"/>
              </w:rPr>
              <w:t>47</w:t>
            </w:r>
          </w:p>
        </w:tc>
        <w:tc>
          <w:tcPr>
            <w:tcW w:w="1737" w:type="dxa"/>
          </w:tcPr>
          <w:p>
            <w:pPr>
              <w:pStyle w:val="TableParagraph"/>
              <w:spacing w:line="198" w:lineRule="exact"/>
              <w:ind w:left="622" w:right="600"/>
              <w:jc w:val="center"/>
              <w:rPr>
                <w:sz w:val="18"/>
              </w:rPr>
            </w:pPr>
            <w:r>
              <w:rPr>
                <w:sz w:val="18"/>
              </w:rPr>
              <w:t>37.7</w:t>
            </w:r>
          </w:p>
        </w:tc>
      </w:tr>
      <w:tr>
        <w:trPr>
          <w:trHeight w:val="217" w:hRule="exact"/>
        </w:trPr>
        <w:tc>
          <w:tcPr>
            <w:tcW w:w="1833" w:type="dxa"/>
          </w:tcPr>
          <w:p>
            <w:pPr>
              <w:pStyle w:val="TableParagraph"/>
              <w:spacing w:line="199" w:lineRule="exact"/>
              <w:ind w:left="568"/>
              <w:rPr>
                <w:sz w:val="18"/>
              </w:rPr>
            </w:pPr>
            <w:r>
              <w:rPr>
                <w:sz w:val="18"/>
              </w:rPr>
              <w:t>Metepec</w:t>
            </w:r>
          </w:p>
        </w:tc>
        <w:tc>
          <w:tcPr>
            <w:tcW w:w="2025" w:type="dxa"/>
          </w:tcPr>
          <w:p>
            <w:pPr>
              <w:pStyle w:val="TableParagraph"/>
              <w:spacing w:line="199" w:lineRule="exact"/>
              <w:ind w:left="766" w:right="758"/>
              <w:jc w:val="center"/>
              <w:rPr>
                <w:sz w:val="18"/>
              </w:rPr>
            </w:pPr>
            <w:r>
              <w:rPr>
                <w:sz w:val="18"/>
              </w:rPr>
              <w:t>676</w:t>
            </w:r>
          </w:p>
        </w:tc>
        <w:tc>
          <w:tcPr>
            <w:tcW w:w="1737" w:type="dxa"/>
          </w:tcPr>
          <w:p>
            <w:pPr>
              <w:pStyle w:val="TableParagraph"/>
              <w:spacing w:line="199" w:lineRule="exact"/>
              <w:ind w:left="622" w:right="614"/>
              <w:jc w:val="center"/>
              <w:rPr>
                <w:sz w:val="18"/>
              </w:rPr>
            </w:pPr>
            <w:r>
              <w:rPr>
                <w:sz w:val="18"/>
              </w:rPr>
              <w:t>900</w:t>
            </w:r>
          </w:p>
        </w:tc>
        <w:tc>
          <w:tcPr>
            <w:tcW w:w="1730" w:type="dxa"/>
          </w:tcPr>
          <w:p>
            <w:pPr>
              <w:pStyle w:val="TableParagraph"/>
              <w:spacing w:line="199" w:lineRule="exact"/>
              <w:ind w:left="690" w:right="683"/>
              <w:jc w:val="center"/>
              <w:rPr>
                <w:sz w:val="18"/>
              </w:rPr>
            </w:pPr>
            <w:r>
              <w:rPr>
                <w:sz w:val="18"/>
              </w:rPr>
              <w:t>14</w:t>
            </w:r>
          </w:p>
        </w:tc>
        <w:tc>
          <w:tcPr>
            <w:tcW w:w="1737" w:type="dxa"/>
          </w:tcPr>
          <w:p>
            <w:pPr>
              <w:pStyle w:val="TableParagraph"/>
              <w:spacing w:line="199" w:lineRule="exact"/>
              <w:ind w:left="622" w:right="600"/>
              <w:jc w:val="center"/>
              <w:rPr>
                <w:sz w:val="18"/>
              </w:rPr>
            </w:pPr>
            <w:r>
              <w:rPr>
                <w:sz w:val="18"/>
              </w:rPr>
              <w:t>11.0</w:t>
            </w:r>
          </w:p>
        </w:tc>
      </w:tr>
      <w:tr>
        <w:trPr>
          <w:trHeight w:val="216" w:hRule="exact"/>
        </w:trPr>
        <w:tc>
          <w:tcPr>
            <w:tcW w:w="1833" w:type="dxa"/>
          </w:tcPr>
          <w:p>
            <w:pPr>
              <w:pStyle w:val="TableParagraph"/>
              <w:spacing w:line="198" w:lineRule="exact"/>
              <w:ind w:left="112"/>
              <w:rPr>
                <w:sz w:val="18"/>
              </w:rPr>
            </w:pPr>
            <w:r>
              <w:rPr>
                <w:sz w:val="18"/>
              </w:rPr>
              <w:t>San Mateo Atenco</w:t>
            </w:r>
          </w:p>
        </w:tc>
        <w:tc>
          <w:tcPr>
            <w:tcW w:w="2025" w:type="dxa"/>
          </w:tcPr>
          <w:p>
            <w:pPr>
              <w:pStyle w:val="TableParagraph"/>
              <w:spacing w:line="198" w:lineRule="exact"/>
              <w:ind w:left="766" w:right="758"/>
              <w:jc w:val="center"/>
              <w:rPr>
                <w:sz w:val="18"/>
              </w:rPr>
            </w:pPr>
            <w:r>
              <w:rPr>
                <w:sz w:val="18"/>
              </w:rPr>
              <w:t>500</w:t>
            </w:r>
          </w:p>
        </w:tc>
        <w:tc>
          <w:tcPr>
            <w:tcW w:w="1737" w:type="dxa"/>
          </w:tcPr>
          <w:p>
            <w:pPr>
              <w:pStyle w:val="TableParagraph"/>
              <w:spacing w:line="198" w:lineRule="exact"/>
              <w:ind w:left="622" w:right="616"/>
              <w:jc w:val="center"/>
              <w:rPr>
                <w:sz w:val="18"/>
              </w:rPr>
            </w:pPr>
            <w:r>
              <w:rPr>
                <w:sz w:val="18"/>
              </w:rPr>
              <w:t>1715</w:t>
            </w:r>
          </w:p>
        </w:tc>
        <w:tc>
          <w:tcPr>
            <w:tcW w:w="1730" w:type="dxa"/>
          </w:tcPr>
          <w:p>
            <w:pPr>
              <w:pStyle w:val="TableParagraph"/>
              <w:spacing w:line="198" w:lineRule="exact"/>
              <w:ind w:left="690" w:right="683"/>
              <w:jc w:val="center"/>
              <w:rPr>
                <w:sz w:val="18"/>
              </w:rPr>
            </w:pPr>
            <w:r>
              <w:rPr>
                <w:sz w:val="18"/>
              </w:rPr>
              <w:t>10</w:t>
            </w:r>
          </w:p>
        </w:tc>
        <w:tc>
          <w:tcPr>
            <w:tcW w:w="1737" w:type="dxa"/>
          </w:tcPr>
          <w:p>
            <w:pPr>
              <w:pStyle w:val="TableParagraph"/>
              <w:spacing w:line="198" w:lineRule="exact"/>
              <w:ind w:left="622" w:right="600"/>
              <w:jc w:val="center"/>
              <w:rPr>
                <w:sz w:val="18"/>
              </w:rPr>
            </w:pPr>
            <w:r>
              <w:rPr>
                <w:sz w:val="18"/>
              </w:rPr>
              <w:t>20.9</w:t>
            </w:r>
          </w:p>
        </w:tc>
      </w:tr>
      <w:tr>
        <w:trPr>
          <w:trHeight w:val="216" w:hRule="exact"/>
        </w:trPr>
        <w:tc>
          <w:tcPr>
            <w:tcW w:w="1833" w:type="dxa"/>
          </w:tcPr>
          <w:p>
            <w:pPr>
              <w:pStyle w:val="TableParagraph"/>
              <w:spacing w:line="198" w:lineRule="exact"/>
              <w:ind w:left="112"/>
              <w:rPr>
                <w:sz w:val="18"/>
              </w:rPr>
            </w:pPr>
            <w:r>
              <w:rPr>
                <w:sz w:val="18"/>
              </w:rPr>
              <w:t>Zinacantepec</w:t>
            </w:r>
          </w:p>
        </w:tc>
        <w:tc>
          <w:tcPr>
            <w:tcW w:w="2025" w:type="dxa"/>
          </w:tcPr>
          <w:p>
            <w:pPr>
              <w:pStyle w:val="TableParagraph"/>
              <w:spacing w:line="198" w:lineRule="exact"/>
              <w:ind w:left="766" w:right="758"/>
              <w:jc w:val="center"/>
              <w:rPr>
                <w:sz w:val="18"/>
              </w:rPr>
            </w:pPr>
            <w:r>
              <w:rPr>
                <w:sz w:val="18"/>
              </w:rPr>
              <w:t>306</w:t>
            </w:r>
          </w:p>
        </w:tc>
        <w:tc>
          <w:tcPr>
            <w:tcW w:w="1737" w:type="dxa"/>
          </w:tcPr>
          <w:p>
            <w:pPr>
              <w:pStyle w:val="TableParagraph"/>
              <w:spacing w:line="198" w:lineRule="exact"/>
              <w:ind w:left="622" w:right="614"/>
              <w:jc w:val="center"/>
              <w:rPr>
                <w:sz w:val="18"/>
              </w:rPr>
            </w:pPr>
            <w:r>
              <w:rPr>
                <w:sz w:val="18"/>
              </w:rPr>
              <w:t>431</w:t>
            </w:r>
          </w:p>
        </w:tc>
        <w:tc>
          <w:tcPr>
            <w:tcW w:w="1730" w:type="dxa"/>
          </w:tcPr>
          <w:p>
            <w:pPr>
              <w:pStyle w:val="TableParagraph"/>
              <w:spacing w:line="198" w:lineRule="exact"/>
              <w:ind w:left="688" w:right="683"/>
              <w:jc w:val="center"/>
              <w:rPr>
                <w:sz w:val="18"/>
              </w:rPr>
            </w:pPr>
            <w:r>
              <w:rPr>
                <w:sz w:val="18"/>
              </w:rPr>
              <w:t>6.3</w:t>
            </w:r>
          </w:p>
        </w:tc>
        <w:tc>
          <w:tcPr>
            <w:tcW w:w="1737" w:type="dxa"/>
          </w:tcPr>
          <w:p>
            <w:pPr>
              <w:pStyle w:val="TableParagraph"/>
              <w:spacing w:line="198" w:lineRule="exact"/>
              <w:ind w:left="622" w:right="608"/>
              <w:jc w:val="center"/>
              <w:rPr>
                <w:sz w:val="18"/>
              </w:rPr>
            </w:pPr>
            <w:r>
              <w:rPr>
                <w:sz w:val="18"/>
              </w:rPr>
              <w:t>5.3</w:t>
            </w:r>
          </w:p>
        </w:tc>
      </w:tr>
      <w:tr>
        <w:trPr>
          <w:trHeight w:val="216" w:hRule="exact"/>
        </w:trPr>
        <w:tc>
          <w:tcPr>
            <w:tcW w:w="1833" w:type="dxa"/>
          </w:tcPr>
          <w:p>
            <w:pPr>
              <w:pStyle w:val="TableParagraph"/>
              <w:spacing w:line="206" w:lineRule="exact"/>
              <w:ind w:left="112"/>
              <w:rPr>
                <w:sz w:val="18"/>
              </w:rPr>
            </w:pPr>
            <w:r>
              <w:rPr>
                <w:sz w:val="18"/>
              </w:rPr>
              <w:t>Lerma</w:t>
            </w:r>
          </w:p>
        </w:tc>
        <w:tc>
          <w:tcPr>
            <w:tcW w:w="2025" w:type="dxa"/>
          </w:tcPr>
          <w:p>
            <w:pPr>
              <w:pStyle w:val="TableParagraph"/>
              <w:spacing w:line="206" w:lineRule="exact"/>
              <w:ind w:left="766" w:right="758"/>
              <w:jc w:val="center"/>
              <w:rPr>
                <w:sz w:val="18"/>
              </w:rPr>
            </w:pPr>
            <w:r>
              <w:rPr>
                <w:sz w:val="18"/>
              </w:rPr>
              <w:t>289</w:t>
            </w:r>
          </w:p>
        </w:tc>
        <w:tc>
          <w:tcPr>
            <w:tcW w:w="1737" w:type="dxa"/>
          </w:tcPr>
          <w:p>
            <w:pPr>
              <w:pStyle w:val="TableParagraph"/>
              <w:spacing w:line="206" w:lineRule="exact"/>
              <w:ind w:left="622" w:right="614"/>
              <w:jc w:val="center"/>
              <w:rPr>
                <w:sz w:val="18"/>
              </w:rPr>
            </w:pPr>
            <w:r>
              <w:rPr>
                <w:sz w:val="18"/>
              </w:rPr>
              <w:t>677</w:t>
            </w:r>
          </w:p>
        </w:tc>
        <w:tc>
          <w:tcPr>
            <w:tcW w:w="1730" w:type="dxa"/>
          </w:tcPr>
          <w:p>
            <w:pPr>
              <w:pStyle w:val="TableParagraph"/>
              <w:spacing w:line="206" w:lineRule="exact"/>
              <w:jc w:val="center"/>
              <w:rPr>
                <w:sz w:val="18"/>
              </w:rPr>
            </w:pPr>
            <w:r>
              <w:rPr>
                <w:w w:val="102"/>
                <w:sz w:val="18"/>
              </w:rPr>
              <w:t>6</w:t>
            </w:r>
          </w:p>
        </w:tc>
        <w:tc>
          <w:tcPr>
            <w:tcW w:w="1737" w:type="dxa"/>
          </w:tcPr>
          <w:p>
            <w:pPr>
              <w:pStyle w:val="TableParagraph"/>
              <w:spacing w:line="206" w:lineRule="exact"/>
              <w:ind w:left="622" w:right="608"/>
              <w:jc w:val="center"/>
              <w:rPr>
                <w:sz w:val="18"/>
              </w:rPr>
            </w:pPr>
            <w:r>
              <w:rPr>
                <w:sz w:val="18"/>
              </w:rPr>
              <w:t>8.3</w:t>
            </w:r>
          </w:p>
        </w:tc>
      </w:tr>
      <w:tr>
        <w:trPr>
          <w:trHeight w:val="224" w:hRule="exact"/>
        </w:trPr>
        <w:tc>
          <w:tcPr>
            <w:tcW w:w="1833" w:type="dxa"/>
          </w:tcPr>
          <w:p>
            <w:pPr>
              <w:pStyle w:val="TableParagraph"/>
              <w:spacing w:line="206" w:lineRule="exact"/>
              <w:ind w:left="112"/>
              <w:rPr>
                <w:sz w:val="18"/>
              </w:rPr>
            </w:pPr>
            <w:r>
              <w:rPr>
                <w:sz w:val="18"/>
              </w:rPr>
              <w:t>Ocoyoacac</w:t>
            </w:r>
          </w:p>
        </w:tc>
        <w:tc>
          <w:tcPr>
            <w:tcW w:w="2025" w:type="dxa"/>
          </w:tcPr>
          <w:p>
            <w:pPr>
              <w:pStyle w:val="TableParagraph"/>
              <w:spacing w:line="206" w:lineRule="exact"/>
              <w:ind w:left="766" w:right="758"/>
              <w:jc w:val="center"/>
              <w:rPr>
                <w:sz w:val="18"/>
              </w:rPr>
            </w:pPr>
            <w:r>
              <w:rPr>
                <w:sz w:val="18"/>
              </w:rPr>
              <w:t>148</w:t>
            </w:r>
          </w:p>
        </w:tc>
        <w:tc>
          <w:tcPr>
            <w:tcW w:w="1737" w:type="dxa"/>
          </w:tcPr>
          <w:p>
            <w:pPr>
              <w:pStyle w:val="TableParagraph"/>
              <w:spacing w:line="206" w:lineRule="exact"/>
              <w:ind w:left="622" w:right="614"/>
              <w:jc w:val="center"/>
              <w:rPr>
                <w:sz w:val="18"/>
              </w:rPr>
            </w:pPr>
            <w:r>
              <w:rPr>
                <w:sz w:val="18"/>
              </w:rPr>
              <w:t>326</w:t>
            </w:r>
          </w:p>
        </w:tc>
        <w:tc>
          <w:tcPr>
            <w:tcW w:w="1730" w:type="dxa"/>
          </w:tcPr>
          <w:p>
            <w:pPr>
              <w:pStyle w:val="TableParagraph"/>
              <w:spacing w:line="206" w:lineRule="exact"/>
              <w:jc w:val="center"/>
              <w:rPr>
                <w:sz w:val="18"/>
              </w:rPr>
            </w:pPr>
            <w:r>
              <w:rPr>
                <w:w w:val="102"/>
                <w:sz w:val="18"/>
              </w:rPr>
              <w:t>3</w:t>
            </w:r>
          </w:p>
        </w:tc>
        <w:tc>
          <w:tcPr>
            <w:tcW w:w="1737" w:type="dxa"/>
          </w:tcPr>
          <w:p>
            <w:pPr>
              <w:pStyle w:val="TableParagraph"/>
              <w:spacing w:line="206" w:lineRule="exact"/>
              <w:ind w:left="622" w:right="608"/>
              <w:jc w:val="center"/>
              <w:rPr>
                <w:sz w:val="18"/>
              </w:rPr>
            </w:pPr>
            <w:r>
              <w:rPr>
                <w:sz w:val="18"/>
              </w:rPr>
              <w:t>4.0</w:t>
            </w:r>
          </w:p>
        </w:tc>
      </w:tr>
      <w:tr>
        <w:trPr>
          <w:trHeight w:val="216" w:hRule="exact"/>
        </w:trPr>
        <w:tc>
          <w:tcPr>
            <w:tcW w:w="1833" w:type="dxa"/>
          </w:tcPr>
          <w:p>
            <w:pPr>
              <w:pStyle w:val="TableParagraph"/>
              <w:spacing w:line="199" w:lineRule="exact"/>
              <w:ind w:left="112"/>
              <w:rPr>
                <w:sz w:val="18"/>
              </w:rPr>
            </w:pPr>
            <w:r>
              <w:rPr>
                <w:sz w:val="18"/>
              </w:rPr>
              <w:t>Almoloya de Juárez</w:t>
            </w:r>
          </w:p>
        </w:tc>
        <w:tc>
          <w:tcPr>
            <w:tcW w:w="2025" w:type="dxa"/>
          </w:tcPr>
          <w:p>
            <w:pPr>
              <w:pStyle w:val="TableParagraph"/>
              <w:spacing w:line="199" w:lineRule="exact"/>
              <w:ind w:left="766" w:right="758"/>
              <w:jc w:val="center"/>
              <w:rPr>
                <w:sz w:val="18"/>
              </w:rPr>
            </w:pPr>
            <w:r>
              <w:rPr>
                <w:sz w:val="18"/>
              </w:rPr>
              <w:t>210</w:t>
            </w:r>
          </w:p>
        </w:tc>
        <w:tc>
          <w:tcPr>
            <w:tcW w:w="1737" w:type="dxa"/>
          </w:tcPr>
          <w:p>
            <w:pPr>
              <w:pStyle w:val="TableParagraph"/>
              <w:spacing w:line="199" w:lineRule="exact"/>
              <w:ind w:left="622" w:right="614"/>
              <w:jc w:val="center"/>
              <w:rPr>
                <w:sz w:val="18"/>
              </w:rPr>
            </w:pPr>
            <w:r>
              <w:rPr>
                <w:sz w:val="18"/>
              </w:rPr>
              <w:t>182</w:t>
            </w:r>
          </w:p>
        </w:tc>
        <w:tc>
          <w:tcPr>
            <w:tcW w:w="1730" w:type="dxa"/>
          </w:tcPr>
          <w:p>
            <w:pPr>
              <w:pStyle w:val="TableParagraph"/>
              <w:spacing w:line="199" w:lineRule="exact"/>
              <w:jc w:val="center"/>
              <w:rPr>
                <w:sz w:val="18"/>
              </w:rPr>
            </w:pPr>
            <w:r>
              <w:rPr>
                <w:w w:val="102"/>
                <w:sz w:val="18"/>
              </w:rPr>
              <w:t>4</w:t>
            </w:r>
          </w:p>
        </w:tc>
        <w:tc>
          <w:tcPr>
            <w:tcW w:w="1737" w:type="dxa"/>
          </w:tcPr>
          <w:p>
            <w:pPr>
              <w:pStyle w:val="TableParagraph"/>
              <w:spacing w:line="199" w:lineRule="exact"/>
              <w:ind w:left="622" w:right="608"/>
              <w:jc w:val="center"/>
              <w:rPr>
                <w:sz w:val="18"/>
              </w:rPr>
            </w:pPr>
            <w:r>
              <w:rPr>
                <w:sz w:val="18"/>
              </w:rPr>
              <w:t>2.2</w:t>
            </w:r>
          </w:p>
        </w:tc>
      </w:tr>
      <w:tr>
        <w:trPr>
          <w:trHeight w:val="216" w:hRule="exact"/>
        </w:trPr>
        <w:tc>
          <w:tcPr>
            <w:tcW w:w="1833" w:type="dxa"/>
          </w:tcPr>
          <w:p>
            <w:pPr>
              <w:pStyle w:val="TableParagraph"/>
              <w:spacing w:line="198" w:lineRule="exact"/>
              <w:ind w:left="112"/>
              <w:rPr>
                <w:sz w:val="18"/>
              </w:rPr>
            </w:pPr>
            <w:r>
              <w:rPr>
                <w:sz w:val="18"/>
              </w:rPr>
              <w:t>Xonacatlán</w:t>
            </w:r>
          </w:p>
        </w:tc>
        <w:tc>
          <w:tcPr>
            <w:tcW w:w="2025" w:type="dxa"/>
          </w:tcPr>
          <w:p>
            <w:pPr>
              <w:pStyle w:val="TableParagraph"/>
              <w:spacing w:line="198" w:lineRule="exact"/>
              <w:ind w:left="761" w:right="761"/>
              <w:jc w:val="center"/>
              <w:rPr>
                <w:sz w:val="18"/>
              </w:rPr>
            </w:pPr>
            <w:r>
              <w:rPr>
                <w:sz w:val="18"/>
              </w:rPr>
              <w:t>75</w:t>
            </w:r>
          </w:p>
        </w:tc>
        <w:tc>
          <w:tcPr>
            <w:tcW w:w="1737" w:type="dxa"/>
          </w:tcPr>
          <w:p>
            <w:pPr>
              <w:pStyle w:val="TableParagraph"/>
              <w:spacing w:line="198" w:lineRule="exact"/>
              <w:ind w:left="622" w:right="614"/>
              <w:jc w:val="center"/>
              <w:rPr>
                <w:sz w:val="18"/>
              </w:rPr>
            </w:pPr>
            <w:r>
              <w:rPr>
                <w:sz w:val="18"/>
              </w:rPr>
              <w:t>188</w:t>
            </w:r>
          </w:p>
        </w:tc>
        <w:tc>
          <w:tcPr>
            <w:tcW w:w="1730" w:type="dxa"/>
          </w:tcPr>
          <w:p>
            <w:pPr>
              <w:pStyle w:val="TableParagraph"/>
              <w:spacing w:line="198" w:lineRule="exact"/>
              <w:jc w:val="center"/>
              <w:rPr>
                <w:sz w:val="18"/>
              </w:rPr>
            </w:pPr>
            <w:r>
              <w:rPr>
                <w:w w:val="102"/>
                <w:sz w:val="18"/>
              </w:rPr>
              <w:t>2</w:t>
            </w:r>
          </w:p>
        </w:tc>
        <w:tc>
          <w:tcPr>
            <w:tcW w:w="1737" w:type="dxa"/>
          </w:tcPr>
          <w:p>
            <w:pPr>
              <w:pStyle w:val="TableParagraph"/>
              <w:spacing w:line="198" w:lineRule="exact"/>
              <w:ind w:left="622" w:right="608"/>
              <w:jc w:val="center"/>
              <w:rPr>
                <w:sz w:val="18"/>
              </w:rPr>
            </w:pPr>
            <w:r>
              <w:rPr>
                <w:sz w:val="18"/>
              </w:rPr>
              <w:t>2.3</w:t>
            </w:r>
          </w:p>
        </w:tc>
      </w:tr>
      <w:tr>
        <w:trPr>
          <w:trHeight w:val="216" w:hRule="exact"/>
        </w:trPr>
        <w:tc>
          <w:tcPr>
            <w:tcW w:w="1833" w:type="dxa"/>
          </w:tcPr>
          <w:p>
            <w:pPr>
              <w:pStyle w:val="TableParagraph"/>
              <w:spacing w:line="198" w:lineRule="exact"/>
              <w:ind w:left="112"/>
              <w:rPr>
                <w:sz w:val="18"/>
              </w:rPr>
            </w:pPr>
            <w:r>
              <w:rPr>
                <w:sz w:val="18"/>
              </w:rPr>
              <w:t>Calimaya</w:t>
            </w:r>
          </w:p>
        </w:tc>
        <w:tc>
          <w:tcPr>
            <w:tcW w:w="2025" w:type="dxa"/>
          </w:tcPr>
          <w:p>
            <w:pPr>
              <w:pStyle w:val="TableParagraph"/>
              <w:spacing w:line="198" w:lineRule="exact"/>
              <w:ind w:left="766" w:right="758"/>
              <w:jc w:val="center"/>
              <w:rPr>
                <w:sz w:val="18"/>
              </w:rPr>
            </w:pPr>
            <w:r>
              <w:rPr>
                <w:sz w:val="18"/>
              </w:rPr>
              <w:t>195</w:t>
            </w:r>
          </w:p>
        </w:tc>
        <w:tc>
          <w:tcPr>
            <w:tcW w:w="1737" w:type="dxa"/>
          </w:tcPr>
          <w:p>
            <w:pPr>
              <w:pStyle w:val="TableParagraph"/>
              <w:spacing w:line="198" w:lineRule="exact"/>
              <w:ind w:left="622" w:right="614"/>
              <w:jc w:val="center"/>
              <w:rPr>
                <w:sz w:val="18"/>
              </w:rPr>
            </w:pPr>
            <w:r>
              <w:rPr>
                <w:sz w:val="18"/>
              </w:rPr>
              <w:t>250</w:t>
            </w:r>
          </w:p>
        </w:tc>
        <w:tc>
          <w:tcPr>
            <w:tcW w:w="1730" w:type="dxa"/>
          </w:tcPr>
          <w:p>
            <w:pPr>
              <w:pStyle w:val="TableParagraph"/>
              <w:spacing w:line="198" w:lineRule="exact"/>
              <w:jc w:val="center"/>
              <w:rPr>
                <w:sz w:val="18"/>
              </w:rPr>
            </w:pPr>
            <w:r>
              <w:rPr>
                <w:w w:val="102"/>
                <w:sz w:val="18"/>
              </w:rPr>
              <w:t>4</w:t>
            </w:r>
          </w:p>
        </w:tc>
        <w:tc>
          <w:tcPr>
            <w:tcW w:w="1737" w:type="dxa"/>
          </w:tcPr>
          <w:p>
            <w:pPr>
              <w:pStyle w:val="TableParagraph"/>
              <w:spacing w:line="198" w:lineRule="exact"/>
              <w:ind w:left="622" w:right="608"/>
              <w:jc w:val="center"/>
              <w:rPr>
                <w:sz w:val="18"/>
              </w:rPr>
            </w:pPr>
            <w:r>
              <w:rPr>
                <w:sz w:val="18"/>
              </w:rPr>
              <w:t>3.1</w:t>
            </w:r>
          </w:p>
        </w:tc>
      </w:tr>
      <w:tr>
        <w:trPr>
          <w:trHeight w:val="216" w:hRule="exact"/>
        </w:trPr>
        <w:tc>
          <w:tcPr>
            <w:tcW w:w="1833" w:type="dxa"/>
          </w:tcPr>
          <w:p>
            <w:pPr>
              <w:pStyle w:val="TableParagraph"/>
              <w:spacing w:line="198" w:lineRule="exact"/>
              <w:ind w:left="112"/>
              <w:rPr>
                <w:sz w:val="18"/>
              </w:rPr>
            </w:pPr>
            <w:r>
              <w:rPr>
                <w:sz w:val="18"/>
              </w:rPr>
              <w:t>Mexicaltzingo</w:t>
            </w:r>
          </w:p>
        </w:tc>
        <w:tc>
          <w:tcPr>
            <w:tcW w:w="2025" w:type="dxa"/>
          </w:tcPr>
          <w:p>
            <w:pPr>
              <w:pStyle w:val="TableParagraph"/>
              <w:spacing w:line="198" w:lineRule="exact"/>
              <w:ind w:left="761" w:right="761"/>
              <w:jc w:val="center"/>
              <w:rPr>
                <w:sz w:val="18"/>
              </w:rPr>
            </w:pPr>
            <w:r>
              <w:rPr>
                <w:sz w:val="18"/>
              </w:rPr>
              <w:t>31</w:t>
            </w:r>
          </w:p>
        </w:tc>
        <w:tc>
          <w:tcPr>
            <w:tcW w:w="1737" w:type="dxa"/>
          </w:tcPr>
          <w:p>
            <w:pPr>
              <w:pStyle w:val="TableParagraph"/>
              <w:spacing w:line="198" w:lineRule="exact"/>
              <w:ind w:left="616" w:right="616"/>
              <w:jc w:val="center"/>
              <w:rPr>
                <w:sz w:val="18"/>
              </w:rPr>
            </w:pPr>
            <w:r>
              <w:rPr>
                <w:sz w:val="18"/>
              </w:rPr>
              <w:t>64</w:t>
            </w:r>
          </w:p>
        </w:tc>
        <w:tc>
          <w:tcPr>
            <w:tcW w:w="1730" w:type="dxa"/>
          </w:tcPr>
          <w:p>
            <w:pPr>
              <w:pStyle w:val="TableParagraph"/>
              <w:spacing w:line="198" w:lineRule="exact"/>
              <w:jc w:val="center"/>
              <w:rPr>
                <w:sz w:val="18"/>
              </w:rPr>
            </w:pPr>
            <w:r>
              <w:rPr>
                <w:w w:val="102"/>
                <w:sz w:val="18"/>
              </w:rPr>
              <w:t>1</w:t>
            </w:r>
          </w:p>
        </w:tc>
        <w:tc>
          <w:tcPr>
            <w:tcW w:w="1737" w:type="dxa"/>
          </w:tcPr>
          <w:p>
            <w:pPr>
              <w:pStyle w:val="TableParagraph"/>
              <w:spacing w:line="198" w:lineRule="exact"/>
              <w:ind w:left="622" w:right="608"/>
              <w:jc w:val="center"/>
              <w:rPr>
                <w:sz w:val="18"/>
              </w:rPr>
            </w:pPr>
            <w:r>
              <w:rPr>
                <w:sz w:val="18"/>
              </w:rPr>
              <w:t>0.8</w:t>
            </w:r>
          </w:p>
        </w:tc>
      </w:tr>
      <w:tr>
        <w:trPr>
          <w:trHeight w:val="216" w:hRule="exact"/>
        </w:trPr>
        <w:tc>
          <w:tcPr>
            <w:tcW w:w="1833" w:type="dxa"/>
            <w:tcBorders>
              <w:bottom w:val="single" w:sz="3" w:space="0" w:color="000000"/>
            </w:tcBorders>
          </w:tcPr>
          <w:p>
            <w:pPr>
              <w:pStyle w:val="TableParagraph"/>
              <w:spacing w:line="198" w:lineRule="exact"/>
              <w:ind w:left="112"/>
              <w:rPr>
                <w:sz w:val="18"/>
              </w:rPr>
            </w:pPr>
            <w:r>
              <w:rPr>
                <w:sz w:val="18"/>
              </w:rPr>
              <w:t>Chapultepec</w:t>
            </w:r>
          </w:p>
        </w:tc>
        <w:tc>
          <w:tcPr>
            <w:tcW w:w="2025" w:type="dxa"/>
            <w:tcBorders>
              <w:bottom w:val="single" w:sz="3" w:space="0" w:color="000000"/>
            </w:tcBorders>
          </w:tcPr>
          <w:p>
            <w:pPr>
              <w:pStyle w:val="TableParagraph"/>
              <w:spacing w:line="198" w:lineRule="exact"/>
              <w:ind w:left="761" w:right="761"/>
              <w:jc w:val="center"/>
              <w:rPr>
                <w:sz w:val="18"/>
              </w:rPr>
            </w:pPr>
            <w:r>
              <w:rPr>
                <w:sz w:val="18"/>
              </w:rPr>
              <w:t>19</w:t>
            </w:r>
          </w:p>
        </w:tc>
        <w:tc>
          <w:tcPr>
            <w:tcW w:w="1737" w:type="dxa"/>
            <w:tcBorders>
              <w:bottom w:val="single" w:sz="3" w:space="0" w:color="000000"/>
            </w:tcBorders>
          </w:tcPr>
          <w:p>
            <w:pPr>
              <w:pStyle w:val="TableParagraph"/>
              <w:spacing w:line="198" w:lineRule="exact"/>
              <w:ind w:left="616" w:right="616"/>
              <w:jc w:val="center"/>
              <w:rPr>
                <w:sz w:val="18"/>
              </w:rPr>
            </w:pPr>
            <w:r>
              <w:rPr>
                <w:sz w:val="18"/>
              </w:rPr>
              <w:t>24</w:t>
            </w:r>
          </w:p>
        </w:tc>
        <w:tc>
          <w:tcPr>
            <w:tcW w:w="1730" w:type="dxa"/>
            <w:tcBorders>
              <w:bottom w:val="single" w:sz="3" w:space="0" w:color="000000"/>
            </w:tcBorders>
          </w:tcPr>
          <w:p>
            <w:pPr>
              <w:pStyle w:val="TableParagraph"/>
              <w:spacing w:line="198" w:lineRule="exact"/>
              <w:ind w:left="689" w:right="683"/>
              <w:jc w:val="center"/>
              <w:rPr>
                <w:sz w:val="18"/>
              </w:rPr>
            </w:pPr>
            <w:r>
              <w:rPr>
                <w:sz w:val="18"/>
              </w:rPr>
              <w:t>0.4</w:t>
            </w:r>
          </w:p>
        </w:tc>
        <w:tc>
          <w:tcPr>
            <w:tcW w:w="1737" w:type="dxa"/>
            <w:tcBorders>
              <w:bottom w:val="single" w:sz="3" w:space="0" w:color="000000"/>
            </w:tcBorders>
          </w:tcPr>
          <w:p>
            <w:pPr>
              <w:pStyle w:val="TableParagraph"/>
              <w:spacing w:line="198" w:lineRule="exact"/>
              <w:ind w:left="622" w:right="608"/>
              <w:jc w:val="center"/>
              <w:rPr>
                <w:sz w:val="18"/>
              </w:rPr>
            </w:pPr>
            <w:r>
              <w:rPr>
                <w:sz w:val="18"/>
              </w:rPr>
              <w:t>0.3</w:t>
            </w:r>
          </w:p>
        </w:tc>
      </w:tr>
      <w:tr>
        <w:trPr>
          <w:trHeight w:val="216" w:hRule="exact"/>
        </w:trPr>
        <w:tc>
          <w:tcPr>
            <w:tcW w:w="1833" w:type="dxa"/>
            <w:tcBorders>
              <w:top w:val="single" w:sz="3" w:space="0" w:color="000000"/>
            </w:tcBorders>
          </w:tcPr>
          <w:p>
            <w:pPr>
              <w:pStyle w:val="TableParagraph"/>
              <w:spacing w:line="198" w:lineRule="exact"/>
              <w:ind w:left="112"/>
              <w:rPr>
                <w:sz w:val="18"/>
              </w:rPr>
            </w:pPr>
            <w:r>
              <w:rPr>
                <w:sz w:val="18"/>
              </w:rPr>
              <w:t>Otzolotepec</w:t>
            </w:r>
          </w:p>
        </w:tc>
        <w:tc>
          <w:tcPr>
            <w:tcW w:w="2025" w:type="dxa"/>
            <w:tcBorders>
              <w:top w:val="single" w:sz="3" w:space="0" w:color="000000"/>
            </w:tcBorders>
          </w:tcPr>
          <w:p>
            <w:pPr>
              <w:pStyle w:val="TableParagraph"/>
              <w:spacing w:line="198" w:lineRule="exact"/>
              <w:ind w:left="766" w:right="758"/>
              <w:jc w:val="center"/>
              <w:rPr>
                <w:sz w:val="18"/>
              </w:rPr>
            </w:pPr>
            <w:r>
              <w:rPr>
                <w:sz w:val="18"/>
              </w:rPr>
              <w:t>114</w:t>
            </w:r>
          </w:p>
        </w:tc>
        <w:tc>
          <w:tcPr>
            <w:tcW w:w="1737" w:type="dxa"/>
            <w:tcBorders>
              <w:top w:val="single" w:sz="3" w:space="0" w:color="000000"/>
            </w:tcBorders>
          </w:tcPr>
          <w:p>
            <w:pPr>
              <w:pStyle w:val="TableParagraph"/>
              <w:spacing w:line="198" w:lineRule="exact"/>
              <w:ind w:left="622" w:right="614"/>
              <w:jc w:val="center"/>
              <w:rPr>
                <w:sz w:val="18"/>
              </w:rPr>
            </w:pPr>
            <w:r>
              <w:rPr>
                <w:sz w:val="18"/>
              </w:rPr>
              <w:t>347</w:t>
            </w:r>
          </w:p>
        </w:tc>
        <w:tc>
          <w:tcPr>
            <w:tcW w:w="1730" w:type="dxa"/>
            <w:tcBorders>
              <w:top w:val="single" w:sz="3" w:space="0" w:color="000000"/>
            </w:tcBorders>
          </w:tcPr>
          <w:p>
            <w:pPr>
              <w:pStyle w:val="TableParagraph"/>
              <w:spacing w:line="198" w:lineRule="exact"/>
              <w:jc w:val="center"/>
              <w:rPr>
                <w:sz w:val="18"/>
              </w:rPr>
            </w:pPr>
            <w:r>
              <w:rPr>
                <w:w w:val="102"/>
                <w:sz w:val="18"/>
              </w:rPr>
              <w:t>2</w:t>
            </w:r>
          </w:p>
        </w:tc>
        <w:tc>
          <w:tcPr>
            <w:tcW w:w="1737" w:type="dxa"/>
            <w:tcBorders>
              <w:top w:val="single" w:sz="3" w:space="0" w:color="000000"/>
            </w:tcBorders>
          </w:tcPr>
          <w:p>
            <w:pPr>
              <w:pStyle w:val="TableParagraph"/>
              <w:spacing w:line="198" w:lineRule="exact"/>
              <w:ind w:left="622" w:right="608"/>
              <w:jc w:val="center"/>
              <w:rPr>
                <w:sz w:val="18"/>
              </w:rPr>
            </w:pPr>
            <w:r>
              <w:rPr>
                <w:sz w:val="18"/>
              </w:rPr>
              <w:t>4.2</w:t>
            </w:r>
          </w:p>
        </w:tc>
      </w:tr>
      <w:tr>
        <w:trPr>
          <w:trHeight w:val="224" w:hRule="exact"/>
        </w:trPr>
        <w:tc>
          <w:tcPr>
            <w:tcW w:w="1833" w:type="dxa"/>
          </w:tcPr>
          <w:p>
            <w:pPr>
              <w:pStyle w:val="TableParagraph"/>
              <w:spacing w:line="206" w:lineRule="exact"/>
              <w:ind w:left="112"/>
              <w:rPr>
                <w:sz w:val="18"/>
              </w:rPr>
            </w:pPr>
            <w:r>
              <w:rPr>
                <w:sz w:val="18"/>
              </w:rPr>
              <w:t>Subtotal</w:t>
            </w:r>
          </w:p>
        </w:tc>
        <w:tc>
          <w:tcPr>
            <w:tcW w:w="2025" w:type="dxa"/>
          </w:tcPr>
          <w:p>
            <w:pPr>
              <w:pStyle w:val="TableParagraph"/>
              <w:spacing w:line="206" w:lineRule="exact"/>
              <w:ind w:left="766" w:right="761"/>
              <w:jc w:val="center"/>
              <w:rPr>
                <w:sz w:val="18"/>
              </w:rPr>
            </w:pPr>
            <w:r>
              <w:rPr>
                <w:sz w:val="18"/>
              </w:rPr>
              <w:t>4,860</w:t>
            </w:r>
          </w:p>
        </w:tc>
        <w:tc>
          <w:tcPr>
            <w:tcW w:w="1737" w:type="dxa"/>
          </w:tcPr>
          <w:p>
            <w:pPr>
              <w:pStyle w:val="TableParagraph"/>
              <w:spacing w:line="206" w:lineRule="exact"/>
              <w:ind w:left="622" w:right="616"/>
              <w:jc w:val="center"/>
              <w:rPr>
                <w:sz w:val="18"/>
              </w:rPr>
            </w:pPr>
            <w:r>
              <w:rPr>
                <w:sz w:val="18"/>
              </w:rPr>
              <w:t>8,187</w:t>
            </w:r>
          </w:p>
        </w:tc>
        <w:tc>
          <w:tcPr>
            <w:tcW w:w="1730" w:type="dxa"/>
          </w:tcPr>
          <w:p>
            <w:pPr>
              <w:pStyle w:val="TableParagraph"/>
              <w:spacing w:line="206" w:lineRule="exact"/>
              <w:ind w:left="698" w:right="683"/>
              <w:jc w:val="center"/>
              <w:rPr>
                <w:sz w:val="18"/>
              </w:rPr>
            </w:pPr>
            <w:r>
              <w:rPr>
                <w:sz w:val="18"/>
              </w:rPr>
              <w:t>100</w:t>
            </w:r>
          </w:p>
        </w:tc>
        <w:tc>
          <w:tcPr>
            <w:tcW w:w="1737" w:type="dxa"/>
          </w:tcPr>
          <w:p>
            <w:pPr>
              <w:pStyle w:val="TableParagraph"/>
              <w:spacing w:line="206" w:lineRule="exact"/>
              <w:ind w:left="622" w:right="599"/>
              <w:jc w:val="center"/>
              <w:rPr>
                <w:sz w:val="18"/>
              </w:rPr>
            </w:pPr>
            <w:r>
              <w:rPr>
                <w:sz w:val="18"/>
              </w:rPr>
              <w:t>100</w:t>
            </w:r>
          </w:p>
        </w:tc>
      </w:tr>
    </w:tbl>
    <w:p>
      <w:pPr>
        <w:pStyle w:val="BodyText"/>
        <w:spacing w:before="6"/>
        <w:rPr>
          <w:sz w:val="17"/>
        </w:rPr>
      </w:pPr>
    </w:p>
    <w:p>
      <w:pPr>
        <w:pStyle w:val="BodyText"/>
        <w:spacing w:before="69"/>
        <w:ind w:left="2819" w:right="204"/>
      </w:pPr>
      <w:r>
        <w:rPr/>
        <w:t>Fuente: INEGI, 2004; INEGI, 2009</w:t>
      </w:r>
    </w:p>
    <w:p>
      <w:pPr>
        <w:pStyle w:val="BodyText"/>
        <w:spacing w:before="9"/>
        <w:rPr>
          <w:sz w:val="35"/>
        </w:rPr>
      </w:pPr>
    </w:p>
    <w:p>
      <w:pPr>
        <w:pStyle w:val="BodyText"/>
        <w:spacing w:line="362" w:lineRule="auto" w:before="1"/>
        <w:ind w:left="225" w:right="213"/>
        <w:jc w:val="both"/>
      </w:pPr>
      <w:r>
        <w:rPr/>
        <w:t>Es importante señalar que los sectores industriales considerados de observancia federal en el ámbito de la contaminación del aire, están el químico, farmacéutico, vidrio,  automotriz  y  textil,  particularmente  debido  a  que  en  sus  procesos   de</w:t>
      </w:r>
    </w:p>
    <w:p>
      <w:pPr>
        <w:spacing w:after="0" w:line="362" w:lineRule="auto"/>
        <w:jc w:val="both"/>
        <w:sectPr>
          <w:pgSz w:w="12240" w:h="15840"/>
          <w:pgMar w:header="0" w:footer="1001" w:top="1360" w:bottom="1200" w:left="1480" w:right="1480"/>
        </w:sectPr>
      </w:pPr>
    </w:p>
    <w:p>
      <w:pPr>
        <w:pStyle w:val="BodyText"/>
        <w:spacing w:line="360" w:lineRule="auto" w:before="48"/>
        <w:ind w:left="105" w:right="116"/>
        <w:jc w:val="both"/>
      </w:pPr>
      <w:r>
        <w:rPr/>
        <w:t>producción utilizan materias primas de alto riesgo para el ambiente. Es importante señalar que de acuerdo con el inventario de emisiones del Estado de México, que el sector automotriz y el vidrio reportan el mayor porcentaje de contribución de Partículas en la zona de estudio.</w:t>
      </w:r>
    </w:p>
    <w:p>
      <w:pPr>
        <w:pStyle w:val="BodyText"/>
        <w:spacing w:before="10"/>
      </w:pPr>
    </w:p>
    <w:p>
      <w:pPr>
        <w:pStyle w:val="BodyText"/>
        <w:spacing w:line="360" w:lineRule="auto"/>
        <w:ind w:left="105" w:right="112"/>
        <w:jc w:val="both"/>
      </w:pPr>
      <w:r>
        <w:rPr/>
        <w:t>En materia de normatividad de aire, se cuenta con varios instrumentos jurídicos que permiten prevenir y controlar la contaminación atmosférica. Entre ellos están: </w:t>
      </w:r>
      <w:hyperlink r:id="rId31">
        <w:r>
          <w:rPr/>
          <w:t>Ley General del Equilibrio Ecológico y la Protección al Ambiente</w:t>
        </w:r>
      </w:hyperlink>
      <w:r>
        <w:rPr/>
        <w:t>; </w:t>
      </w:r>
      <w:hyperlink r:id="rId32">
        <w:r>
          <w:rPr/>
          <w:t>Reglamento en</w:t>
        </w:r>
      </w:hyperlink>
      <w:r>
        <w:rPr/>
        <w:t> </w:t>
      </w:r>
      <w:hyperlink r:id="rId32">
        <w:r>
          <w:rPr/>
          <w:t>materia de prevención y control de la contaminación atmosférica</w:t>
        </w:r>
      </w:hyperlink>
      <w:r>
        <w:rPr/>
        <w:t>; </w:t>
      </w:r>
      <w:hyperlink r:id="rId33">
        <w:r>
          <w:rPr/>
          <w:t>Normas Oficiales</w:t>
        </w:r>
      </w:hyperlink>
      <w:r>
        <w:rPr/>
        <w:t> </w:t>
      </w:r>
      <w:hyperlink r:id="rId33">
        <w:r>
          <w:rPr/>
          <w:t>Mexicanas sobre</w:t>
        </w:r>
      </w:hyperlink>
      <w:r>
        <w:rPr/>
        <w:t>: </w:t>
      </w:r>
      <w:hyperlink r:id="rId34">
        <w:r>
          <w:rPr/>
          <w:t>Fuentes fijas</w:t>
        </w:r>
      </w:hyperlink>
      <w:r>
        <w:rPr/>
        <w:t>; </w:t>
      </w:r>
      <w:hyperlink r:id="rId35">
        <w:r>
          <w:rPr/>
          <w:t>Fuentes móviles</w:t>
        </w:r>
      </w:hyperlink>
      <w:r>
        <w:rPr/>
        <w:t>, calidad de los combustibles, calidad del aire y monitoreo.</w:t>
      </w:r>
    </w:p>
    <w:p>
      <w:pPr>
        <w:pStyle w:val="BodyText"/>
        <w:spacing w:before="10"/>
      </w:pPr>
    </w:p>
    <w:p>
      <w:pPr>
        <w:pStyle w:val="BodyText"/>
        <w:spacing w:line="360" w:lineRule="auto"/>
        <w:ind w:left="105" w:right="116"/>
        <w:jc w:val="both"/>
      </w:pPr>
      <w:r>
        <w:rPr/>
        <w:t>La SEMARNAT ha emitido las Normas Oficiales Mexicanas (NOM) que regulan las emisiones de contaminantes provenientes de fuentes fijas (como por ejemplo, la industria química, la industria del vestido, la industria mineral metálica, etc.) y fuentes móviles (como por ejemplo, autos particulares, camiones, etc.); dichas normas están dirigidas a restringir a ciertos niveles las emisiones de óxidos de azufre, óxido de nitrógeno, partículas, compuestos orgánicos volátiles y monóxido de carbono. También establece la normatividad que regula la calidad de los combustibles y establece los requerimientos técnicos de los métodos empleados para medir los contaminantes más comunes en el aire.</w:t>
      </w:r>
    </w:p>
    <w:p>
      <w:pPr>
        <w:pStyle w:val="BodyText"/>
        <w:spacing w:before="2"/>
      </w:pPr>
    </w:p>
    <w:p>
      <w:pPr>
        <w:spacing w:before="0"/>
        <w:ind w:left="105" w:right="0" w:firstLine="0"/>
        <w:jc w:val="both"/>
        <w:rPr>
          <w:b/>
          <w:sz w:val="24"/>
        </w:rPr>
      </w:pPr>
      <w:r>
        <w:rPr>
          <w:b/>
          <w:sz w:val="24"/>
        </w:rPr>
        <w:t>Para las fuentes fijas:</w:t>
      </w:r>
    </w:p>
    <w:p>
      <w:pPr>
        <w:pStyle w:val="BodyText"/>
        <w:rPr>
          <w:b/>
        </w:rPr>
      </w:pPr>
    </w:p>
    <w:p>
      <w:pPr>
        <w:pStyle w:val="BodyText"/>
        <w:spacing w:line="362" w:lineRule="auto" w:before="144"/>
        <w:ind w:left="105" w:right="118"/>
        <w:jc w:val="both"/>
      </w:pPr>
      <w:r>
        <w:rPr>
          <w:u w:val="single"/>
        </w:rPr>
        <w:t>NOM-039-SEMARNAT-1993, q</w:t>
      </w:r>
      <w:r>
        <w:rPr/>
        <w:t>ue establece los niveles máximos permisibles de emisión a la atmósfera de bióxido y trióxido de azufre y neblinas de ácido sulfúrico, en plantas productoras de ácido sulfúrico.</w:t>
      </w:r>
    </w:p>
    <w:p>
      <w:pPr>
        <w:pStyle w:val="BodyText"/>
        <w:spacing w:before="10"/>
        <w:rPr>
          <w:sz w:val="23"/>
        </w:rPr>
      </w:pPr>
    </w:p>
    <w:p>
      <w:pPr>
        <w:pStyle w:val="BodyText"/>
        <w:spacing w:line="362" w:lineRule="auto" w:before="1"/>
        <w:ind w:left="105" w:right="105"/>
        <w:jc w:val="both"/>
      </w:pPr>
      <w:r>
        <w:rPr>
          <w:u w:val="single"/>
        </w:rPr>
        <w:t>NOM-O40-SEMARNAT-1993: </w:t>
      </w:r>
      <w:r>
        <w:rPr/>
        <w:t>Que establece los niveles máximos permisibles de emisión a la atmósfera de partículas sólidas, así como los requisitos de control de emisiones fugitivas, provenientes de las fuentes fijas dedicadas a la fabricación de cemento</w:t>
      </w:r>
    </w:p>
    <w:p>
      <w:pPr>
        <w:spacing w:after="0" w:line="362" w:lineRule="auto"/>
        <w:jc w:val="both"/>
        <w:sectPr>
          <w:footerReference w:type="default" r:id="rId30"/>
          <w:pgSz w:w="12240" w:h="15840"/>
          <w:pgMar w:footer="1001" w:header="0" w:top="1360" w:bottom="1200" w:left="1600" w:right="1580"/>
        </w:sectPr>
      </w:pPr>
    </w:p>
    <w:p>
      <w:pPr>
        <w:pStyle w:val="BodyText"/>
        <w:spacing w:line="362" w:lineRule="auto" w:before="48"/>
        <w:ind w:left="105" w:right="120"/>
        <w:jc w:val="both"/>
      </w:pPr>
      <w:r>
        <w:rPr>
          <w:u w:val="single"/>
        </w:rPr>
        <w:t>NOM-043-SEMARNAT-1993: </w:t>
      </w:r>
      <w:r>
        <w:rPr/>
        <w:t>Que establece los niveles máximos permisibles de emisión a la atmósfera de partículas sólidas provenientes de fuentes fijas.</w:t>
      </w:r>
    </w:p>
    <w:p>
      <w:pPr>
        <w:pStyle w:val="BodyText"/>
        <w:spacing w:before="7"/>
      </w:pPr>
    </w:p>
    <w:p>
      <w:pPr>
        <w:pStyle w:val="BodyText"/>
        <w:spacing w:line="360" w:lineRule="auto" w:before="1"/>
        <w:ind w:left="105" w:right="102"/>
        <w:jc w:val="both"/>
      </w:pPr>
      <w:r>
        <w:rPr>
          <w:u w:val="single"/>
        </w:rPr>
        <w:t>NOM-046-SEMARNAT-1993: </w:t>
      </w:r>
      <w:r>
        <w:rPr/>
        <w:t>Que establece los niveles máximos permisibles de emisión a la atmósfera de bióxido de azufre, neblinas de trióxido de azufre y ácido sulfúrico, provenientes </w:t>
      </w:r>
      <w:r>
        <w:rPr>
          <w:spacing w:val="5"/>
        </w:rPr>
        <w:t>de </w:t>
      </w:r>
      <w:r>
        <w:rPr/>
        <w:t>procesos de producción de ácido  dodecilbencensulfónico </w:t>
      </w:r>
      <w:r>
        <w:rPr>
          <w:spacing w:val="-3"/>
        </w:rPr>
        <w:t>en </w:t>
      </w:r>
      <w:r>
        <w:rPr/>
        <w:t>fuentes</w:t>
      </w:r>
      <w:r>
        <w:rPr>
          <w:spacing w:val="-17"/>
        </w:rPr>
        <w:t> </w:t>
      </w:r>
      <w:r>
        <w:rPr/>
        <w:t>fijas.</w:t>
      </w:r>
    </w:p>
    <w:p>
      <w:pPr>
        <w:pStyle w:val="BodyText"/>
        <w:spacing w:before="10"/>
      </w:pPr>
    </w:p>
    <w:p>
      <w:pPr>
        <w:pStyle w:val="BodyText"/>
        <w:spacing w:line="360" w:lineRule="auto"/>
        <w:ind w:left="105" w:right="120"/>
        <w:jc w:val="both"/>
      </w:pPr>
      <w:r>
        <w:rPr>
          <w:u w:val="single"/>
        </w:rPr>
        <w:t>NOM-085-SEMARNAT-2011: </w:t>
      </w:r>
      <w:r>
        <w:rPr/>
        <w:t>Que establece los niveles máximos permisibles de emisión a la atmósfera de humos, partículas suspendidas totales, bióxidos de azufre y óxidos de nitrógeno y los requisitos y condiciones para la operación de los equipos de calentamiento indirecto por combustión, así como los niveles máximos permisibles de emisión de bióxido de azufre en los equipos de calentamiento directo por combustión.</w:t>
      </w:r>
    </w:p>
    <w:p>
      <w:pPr>
        <w:pStyle w:val="BodyText"/>
        <w:spacing w:before="10"/>
      </w:pPr>
    </w:p>
    <w:p>
      <w:pPr>
        <w:pStyle w:val="BodyText"/>
        <w:spacing w:line="362" w:lineRule="auto"/>
        <w:ind w:left="105" w:right="119"/>
        <w:jc w:val="both"/>
      </w:pPr>
      <w:r>
        <w:rPr>
          <w:u w:val="single"/>
        </w:rPr>
        <w:t>NOM-097-SEMARNAT-1995: </w:t>
      </w:r>
      <w:r>
        <w:rPr/>
        <w:t>Que establece los límites máximos permisibles de emisión a la atmósfera de material particulado y óxidos de nitrógeno en los procesos de fabricación de vidrio en el país.</w:t>
      </w:r>
    </w:p>
    <w:p>
      <w:pPr>
        <w:pStyle w:val="BodyText"/>
        <w:spacing w:before="11"/>
        <w:rPr>
          <w:sz w:val="23"/>
        </w:rPr>
      </w:pPr>
    </w:p>
    <w:p>
      <w:pPr>
        <w:pStyle w:val="BodyText"/>
        <w:spacing w:line="362" w:lineRule="auto"/>
        <w:ind w:left="105" w:right="120"/>
        <w:jc w:val="both"/>
      </w:pPr>
      <w:r>
        <w:rPr>
          <w:u w:val="single"/>
        </w:rPr>
        <w:t>NOM-105-SEMARNAT-1996: </w:t>
      </w:r>
      <w:r>
        <w:rPr/>
        <w:t>Que establece los niveles máximos permisibles de emisiones a la atmósfera de partículas sólidas totales y compuestos de azufre reducido total provenientes de los procesos de recuperación de químicos de las plantas de fabricación de celulosa.</w:t>
      </w:r>
    </w:p>
    <w:p>
      <w:pPr>
        <w:pStyle w:val="BodyText"/>
        <w:spacing w:before="11"/>
        <w:rPr>
          <w:sz w:val="23"/>
        </w:rPr>
      </w:pPr>
    </w:p>
    <w:p>
      <w:pPr>
        <w:pStyle w:val="BodyText"/>
        <w:spacing w:line="360" w:lineRule="auto"/>
        <w:ind w:left="105" w:right="119"/>
        <w:jc w:val="both"/>
      </w:pPr>
      <w:r>
        <w:rPr>
          <w:u w:val="single"/>
        </w:rPr>
        <w:t>NOM-121-SEMARNAT-1997: </w:t>
      </w:r>
      <w:r>
        <w:rPr/>
        <w:t>Que establece los límites máximos permisibles de emisión a la atmósfera </w:t>
      </w:r>
      <w:r>
        <w:rPr>
          <w:spacing w:val="5"/>
        </w:rPr>
        <w:t>de </w:t>
      </w:r>
      <w:r>
        <w:rPr/>
        <w:t>compuestos orgánicos volátiles (COV’s) provenientes  de las operaciones de recubrimiento de carrocerías nuevas </w:t>
      </w:r>
      <w:r>
        <w:rPr>
          <w:spacing w:val="-3"/>
        </w:rPr>
        <w:t>en </w:t>
      </w:r>
      <w:r>
        <w:rPr/>
        <w:t>planta de automóviles, unidades de </w:t>
      </w:r>
      <w:r>
        <w:rPr>
          <w:spacing w:val="3"/>
        </w:rPr>
        <w:t>uso </w:t>
      </w:r>
      <w:r>
        <w:rPr/>
        <w:t>múltiple, de pasajeros y utilitarios; carga y camiones ligeros, así como </w:t>
      </w:r>
      <w:r>
        <w:rPr>
          <w:spacing w:val="-3"/>
        </w:rPr>
        <w:t>el </w:t>
      </w:r>
      <w:r>
        <w:rPr/>
        <w:t>método para calcular sus</w:t>
      </w:r>
      <w:r>
        <w:rPr>
          <w:spacing w:val="-18"/>
        </w:rPr>
        <w:t> </w:t>
      </w:r>
      <w:r>
        <w:rPr/>
        <w:t>emisiones,</w:t>
      </w:r>
    </w:p>
    <w:p>
      <w:pPr>
        <w:pStyle w:val="BodyText"/>
        <w:spacing w:before="10"/>
      </w:pPr>
    </w:p>
    <w:p>
      <w:pPr>
        <w:pStyle w:val="BodyText"/>
        <w:spacing w:line="362" w:lineRule="auto"/>
        <w:ind w:left="105" w:right="119"/>
        <w:jc w:val="both"/>
      </w:pPr>
      <w:r>
        <w:rPr>
          <w:u w:val="single"/>
        </w:rPr>
        <w:t>NOM-123-SEMARNAT-1998: </w:t>
      </w:r>
      <w:r>
        <w:rPr/>
        <w:t>Que establece el contenido máximo permisible de compuestos orgánicos volátiles (COV’s), en la fabricación de pinturas de secado al</w:t>
      </w:r>
    </w:p>
    <w:p>
      <w:pPr>
        <w:spacing w:after="0" w:line="362" w:lineRule="auto"/>
        <w:jc w:val="both"/>
        <w:sectPr>
          <w:footerReference w:type="default" r:id="rId36"/>
          <w:pgSz w:w="12240" w:h="15840"/>
          <w:pgMar w:footer="1001" w:header="0" w:top="1360" w:bottom="1200" w:left="1600" w:right="1580"/>
          <w:pgNumType w:start="61"/>
        </w:sectPr>
      </w:pPr>
    </w:p>
    <w:p>
      <w:pPr>
        <w:pStyle w:val="BodyText"/>
        <w:spacing w:line="362" w:lineRule="auto" w:before="48"/>
        <w:ind w:left="225" w:right="224"/>
        <w:jc w:val="both"/>
      </w:pPr>
      <w:r>
        <w:rPr/>
        <w:t>aire base disolvente para uso doméstico y los procedimientos para la determinación del contenido de los mismos en pinturas y recubrimientos</w:t>
      </w:r>
    </w:p>
    <w:p>
      <w:pPr>
        <w:pStyle w:val="BodyText"/>
        <w:spacing w:before="1"/>
        <w:rPr>
          <w:sz w:val="25"/>
        </w:rPr>
      </w:pPr>
    </w:p>
    <w:p>
      <w:pPr>
        <w:pStyle w:val="Heading3"/>
        <w:numPr>
          <w:ilvl w:val="2"/>
          <w:numId w:val="13"/>
        </w:numPr>
        <w:tabs>
          <w:tab w:pos="818" w:val="left" w:leader="none"/>
        </w:tabs>
        <w:spacing w:line="240" w:lineRule="auto" w:before="0" w:after="0"/>
        <w:ind w:left="817" w:right="0" w:hanging="592"/>
        <w:jc w:val="both"/>
      </w:pPr>
      <w:bookmarkStart w:name="_bookmark42" w:id="70"/>
      <w:bookmarkEnd w:id="70"/>
      <w:r>
        <w:rPr>
          <w:b w:val="0"/>
        </w:rPr>
      </w:r>
      <w:bookmarkStart w:name="_bookmark42" w:id="71"/>
      <w:bookmarkEnd w:id="71"/>
      <w:r>
        <w:rPr>
          <w:color w:val="4F81BC"/>
        </w:rPr>
        <w:t>F</w:t>
      </w:r>
      <w:r>
        <w:rPr>
          <w:color w:val="4F81BC"/>
        </w:rPr>
        <w:t>uentes</w:t>
      </w:r>
      <w:r>
        <w:rPr>
          <w:color w:val="4F81BC"/>
          <w:spacing w:val="-7"/>
        </w:rPr>
        <w:t> </w:t>
      </w:r>
      <w:r>
        <w:rPr>
          <w:color w:val="4F81BC"/>
        </w:rPr>
        <w:t>móviles:</w:t>
      </w:r>
    </w:p>
    <w:p>
      <w:pPr>
        <w:pStyle w:val="BodyText"/>
        <w:spacing w:before="8"/>
        <w:rPr>
          <w:rFonts w:ascii="Cambria"/>
          <w:b/>
          <w:sz w:val="26"/>
        </w:rPr>
      </w:pPr>
    </w:p>
    <w:p>
      <w:pPr>
        <w:pStyle w:val="BodyText"/>
        <w:spacing w:line="360" w:lineRule="auto" w:before="1"/>
        <w:ind w:left="225" w:right="207"/>
        <w:jc w:val="both"/>
      </w:pPr>
      <w:r>
        <w:rPr/>
        <w:t>Se comprende como todo equipo y maquinaria no fijos, con motores de combustión y similares, que con motivo de su operación generen o puedan  generar emisiones contaminantes a la atmósfera, las cuales incluyen a los automóviles, camionetas, camiones de carga y </w:t>
      </w:r>
      <w:r>
        <w:rPr>
          <w:spacing w:val="-3"/>
        </w:rPr>
        <w:t>el </w:t>
      </w:r>
      <w:r>
        <w:rPr/>
        <w:t>transporte público </w:t>
      </w:r>
      <w:r>
        <w:rPr>
          <w:spacing w:val="-3"/>
        </w:rPr>
        <w:t>en </w:t>
      </w:r>
      <w:r>
        <w:rPr/>
        <w:t>general. (DOF,</w:t>
      </w:r>
      <w:r>
        <w:rPr>
          <w:spacing w:val="-2"/>
        </w:rPr>
        <w:t> </w:t>
      </w:r>
      <w:r>
        <w:rPr/>
        <w:t>1998).</w:t>
      </w:r>
    </w:p>
    <w:p>
      <w:pPr>
        <w:pStyle w:val="BodyText"/>
        <w:spacing w:before="10"/>
      </w:pPr>
    </w:p>
    <w:p>
      <w:pPr>
        <w:pStyle w:val="BodyText"/>
        <w:spacing w:after="5"/>
        <w:ind w:left="673" w:right="204"/>
      </w:pPr>
      <w:r>
        <w:rPr/>
        <w:t>Cuadro 7. Automóviles y camiones de pasajeros registrados en circulación</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09"/>
        <w:gridCol w:w="1129"/>
        <w:gridCol w:w="1273"/>
        <w:gridCol w:w="1241"/>
        <w:gridCol w:w="936"/>
        <w:gridCol w:w="1033"/>
        <w:gridCol w:w="1241"/>
      </w:tblGrid>
      <w:tr>
        <w:trPr>
          <w:trHeight w:val="216" w:hRule="exact"/>
        </w:trPr>
        <w:tc>
          <w:tcPr>
            <w:tcW w:w="2209" w:type="dxa"/>
          </w:tcPr>
          <w:p>
            <w:pPr/>
          </w:p>
        </w:tc>
        <w:tc>
          <w:tcPr>
            <w:tcW w:w="3643" w:type="dxa"/>
            <w:gridSpan w:val="3"/>
          </w:tcPr>
          <w:p>
            <w:pPr>
              <w:pStyle w:val="TableParagraph"/>
              <w:spacing w:line="206" w:lineRule="exact"/>
              <w:ind w:left="104"/>
              <w:rPr>
                <w:sz w:val="18"/>
              </w:rPr>
            </w:pPr>
            <w:r>
              <w:rPr>
                <w:sz w:val="18"/>
              </w:rPr>
              <w:t>Automóviles</w:t>
            </w:r>
          </w:p>
        </w:tc>
        <w:tc>
          <w:tcPr>
            <w:tcW w:w="3210" w:type="dxa"/>
            <w:gridSpan w:val="3"/>
          </w:tcPr>
          <w:p>
            <w:pPr>
              <w:pStyle w:val="TableParagraph"/>
              <w:spacing w:line="206" w:lineRule="exact"/>
              <w:ind w:left="103"/>
              <w:rPr>
                <w:sz w:val="18"/>
              </w:rPr>
            </w:pPr>
            <w:r>
              <w:rPr>
                <w:sz w:val="18"/>
              </w:rPr>
              <w:t>Camiones  de pasajeros</w:t>
            </w:r>
          </w:p>
        </w:tc>
      </w:tr>
      <w:tr>
        <w:trPr>
          <w:trHeight w:val="840" w:hRule="exact"/>
        </w:trPr>
        <w:tc>
          <w:tcPr>
            <w:tcW w:w="2209" w:type="dxa"/>
          </w:tcPr>
          <w:p>
            <w:pPr/>
          </w:p>
        </w:tc>
        <w:tc>
          <w:tcPr>
            <w:tcW w:w="1129" w:type="dxa"/>
          </w:tcPr>
          <w:p>
            <w:pPr>
              <w:pStyle w:val="TableParagraph"/>
              <w:spacing w:line="206" w:lineRule="exact"/>
              <w:ind w:left="104"/>
              <w:rPr>
                <w:sz w:val="18"/>
              </w:rPr>
            </w:pPr>
            <w:r>
              <w:rPr>
                <w:sz w:val="18"/>
              </w:rPr>
              <w:t>1990</w:t>
            </w:r>
          </w:p>
        </w:tc>
        <w:tc>
          <w:tcPr>
            <w:tcW w:w="1273" w:type="dxa"/>
          </w:tcPr>
          <w:p>
            <w:pPr>
              <w:pStyle w:val="TableParagraph"/>
              <w:spacing w:line="206" w:lineRule="exact"/>
              <w:ind w:left="104"/>
              <w:rPr>
                <w:sz w:val="18"/>
              </w:rPr>
            </w:pPr>
            <w:r>
              <w:rPr>
                <w:sz w:val="18"/>
              </w:rPr>
              <w:t>2013</w:t>
            </w:r>
          </w:p>
        </w:tc>
        <w:tc>
          <w:tcPr>
            <w:tcW w:w="1241" w:type="dxa"/>
          </w:tcPr>
          <w:p>
            <w:pPr>
              <w:pStyle w:val="TableParagraph"/>
              <w:spacing w:line="237" w:lineRule="auto" w:before="1"/>
              <w:ind w:left="104"/>
              <w:rPr>
                <w:sz w:val="18"/>
              </w:rPr>
            </w:pPr>
            <w:r>
              <w:rPr>
                <w:sz w:val="18"/>
              </w:rPr>
              <w:t>Tasa crecimiento media  anual</w:t>
            </w:r>
          </w:p>
          <w:p>
            <w:pPr>
              <w:pStyle w:val="TableParagraph"/>
              <w:spacing w:before="1"/>
              <w:ind w:left="104"/>
              <w:rPr>
                <w:sz w:val="18"/>
              </w:rPr>
            </w:pPr>
            <w:r>
              <w:rPr>
                <w:w w:val="102"/>
                <w:sz w:val="18"/>
              </w:rPr>
              <w:t>%</w:t>
            </w:r>
          </w:p>
        </w:tc>
        <w:tc>
          <w:tcPr>
            <w:tcW w:w="936" w:type="dxa"/>
          </w:tcPr>
          <w:p>
            <w:pPr>
              <w:pStyle w:val="TableParagraph"/>
              <w:spacing w:line="206" w:lineRule="exact"/>
              <w:ind w:left="103"/>
              <w:rPr>
                <w:sz w:val="18"/>
              </w:rPr>
            </w:pPr>
            <w:r>
              <w:rPr>
                <w:sz w:val="18"/>
              </w:rPr>
              <w:t>1990</w:t>
            </w:r>
          </w:p>
        </w:tc>
        <w:tc>
          <w:tcPr>
            <w:tcW w:w="1033" w:type="dxa"/>
          </w:tcPr>
          <w:p>
            <w:pPr>
              <w:pStyle w:val="TableParagraph"/>
              <w:spacing w:line="206" w:lineRule="exact"/>
              <w:ind w:left="104"/>
              <w:rPr>
                <w:sz w:val="18"/>
              </w:rPr>
            </w:pPr>
            <w:r>
              <w:rPr>
                <w:sz w:val="18"/>
              </w:rPr>
              <w:t>2013</w:t>
            </w:r>
          </w:p>
        </w:tc>
        <w:tc>
          <w:tcPr>
            <w:tcW w:w="1241" w:type="dxa"/>
          </w:tcPr>
          <w:p>
            <w:pPr>
              <w:pStyle w:val="TableParagraph"/>
              <w:spacing w:line="237" w:lineRule="auto" w:before="1"/>
              <w:ind w:left="112"/>
              <w:rPr>
                <w:sz w:val="18"/>
              </w:rPr>
            </w:pPr>
            <w:r>
              <w:rPr>
                <w:sz w:val="18"/>
              </w:rPr>
              <w:t>Tasa crecimiento media  anual</w:t>
            </w:r>
          </w:p>
          <w:p>
            <w:pPr>
              <w:pStyle w:val="TableParagraph"/>
              <w:spacing w:before="1"/>
              <w:ind w:left="112"/>
              <w:rPr>
                <w:sz w:val="18"/>
              </w:rPr>
            </w:pPr>
            <w:r>
              <w:rPr>
                <w:w w:val="102"/>
                <w:sz w:val="18"/>
              </w:rPr>
              <w:t>%</w:t>
            </w:r>
          </w:p>
        </w:tc>
      </w:tr>
      <w:tr>
        <w:trPr>
          <w:trHeight w:val="216" w:hRule="exact"/>
        </w:trPr>
        <w:tc>
          <w:tcPr>
            <w:tcW w:w="2209" w:type="dxa"/>
          </w:tcPr>
          <w:p>
            <w:pPr>
              <w:pStyle w:val="TableParagraph"/>
              <w:spacing w:line="198" w:lineRule="exact"/>
              <w:ind w:left="112"/>
              <w:rPr>
                <w:sz w:val="18"/>
              </w:rPr>
            </w:pPr>
            <w:r>
              <w:rPr>
                <w:sz w:val="18"/>
              </w:rPr>
              <w:t>Chapultepec</w:t>
            </w:r>
          </w:p>
        </w:tc>
        <w:tc>
          <w:tcPr>
            <w:tcW w:w="1129" w:type="dxa"/>
          </w:tcPr>
          <w:p>
            <w:pPr>
              <w:pStyle w:val="TableParagraph"/>
              <w:spacing w:line="198" w:lineRule="exact"/>
              <w:ind w:left="104"/>
              <w:rPr>
                <w:sz w:val="18"/>
              </w:rPr>
            </w:pPr>
            <w:r>
              <w:rPr>
                <w:sz w:val="18"/>
              </w:rPr>
              <w:t>N/D</w:t>
            </w:r>
          </w:p>
        </w:tc>
        <w:tc>
          <w:tcPr>
            <w:tcW w:w="1273" w:type="dxa"/>
          </w:tcPr>
          <w:p>
            <w:pPr>
              <w:pStyle w:val="TableParagraph"/>
              <w:spacing w:line="198" w:lineRule="exact"/>
              <w:ind w:left="104"/>
              <w:rPr>
                <w:sz w:val="18"/>
              </w:rPr>
            </w:pPr>
            <w:r>
              <w:rPr>
                <w:sz w:val="18"/>
              </w:rPr>
              <w:t>6001</w:t>
            </w:r>
          </w:p>
        </w:tc>
        <w:tc>
          <w:tcPr>
            <w:tcW w:w="1241" w:type="dxa"/>
          </w:tcPr>
          <w:p>
            <w:pPr>
              <w:pStyle w:val="TableParagraph"/>
              <w:spacing w:line="198" w:lineRule="exact"/>
              <w:ind w:left="104"/>
              <w:rPr>
                <w:sz w:val="18"/>
              </w:rPr>
            </w:pPr>
            <w:r>
              <w:rPr>
                <w:sz w:val="18"/>
              </w:rPr>
              <w:t>N/A</w:t>
            </w:r>
          </w:p>
        </w:tc>
        <w:tc>
          <w:tcPr>
            <w:tcW w:w="936" w:type="dxa"/>
          </w:tcPr>
          <w:p>
            <w:pPr>
              <w:pStyle w:val="TableParagraph"/>
              <w:spacing w:line="198" w:lineRule="exact"/>
              <w:ind w:left="103"/>
              <w:rPr>
                <w:sz w:val="18"/>
              </w:rPr>
            </w:pPr>
            <w:r>
              <w:rPr>
                <w:sz w:val="18"/>
              </w:rPr>
              <w:t>N/D</w:t>
            </w:r>
          </w:p>
        </w:tc>
        <w:tc>
          <w:tcPr>
            <w:tcW w:w="1033" w:type="dxa"/>
          </w:tcPr>
          <w:p>
            <w:pPr>
              <w:pStyle w:val="TableParagraph"/>
              <w:spacing w:line="198" w:lineRule="exact"/>
              <w:ind w:left="104"/>
              <w:rPr>
                <w:sz w:val="18"/>
              </w:rPr>
            </w:pPr>
            <w:r>
              <w:rPr>
                <w:sz w:val="18"/>
              </w:rPr>
              <w:t>N/D</w:t>
            </w:r>
          </w:p>
        </w:tc>
        <w:tc>
          <w:tcPr>
            <w:tcW w:w="1241" w:type="dxa"/>
          </w:tcPr>
          <w:p>
            <w:pPr>
              <w:pStyle w:val="TableParagraph"/>
              <w:spacing w:line="198" w:lineRule="exact"/>
              <w:ind w:left="112"/>
              <w:rPr>
                <w:sz w:val="18"/>
              </w:rPr>
            </w:pPr>
            <w:r>
              <w:rPr>
                <w:sz w:val="18"/>
              </w:rPr>
              <w:t>N/A</w:t>
            </w:r>
          </w:p>
        </w:tc>
      </w:tr>
      <w:tr>
        <w:trPr>
          <w:trHeight w:val="216" w:hRule="exact"/>
        </w:trPr>
        <w:tc>
          <w:tcPr>
            <w:tcW w:w="2209" w:type="dxa"/>
          </w:tcPr>
          <w:p>
            <w:pPr>
              <w:pStyle w:val="TableParagraph"/>
              <w:spacing w:line="206" w:lineRule="exact"/>
              <w:ind w:left="112"/>
              <w:rPr>
                <w:sz w:val="18"/>
              </w:rPr>
            </w:pPr>
            <w:r>
              <w:rPr>
                <w:sz w:val="18"/>
              </w:rPr>
              <w:t>Calimaya</w:t>
            </w:r>
          </w:p>
        </w:tc>
        <w:tc>
          <w:tcPr>
            <w:tcW w:w="1129" w:type="dxa"/>
          </w:tcPr>
          <w:p>
            <w:pPr>
              <w:pStyle w:val="TableParagraph"/>
              <w:spacing w:line="206" w:lineRule="exact"/>
              <w:ind w:left="104"/>
              <w:rPr>
                <w:sz w:val="18"/>
              </w:rPr>
            </w:pPr>
            <w:r>
              <w:rPr>
                <w:sz w:val="18"/>
              </w:rPr>
              <w:t>N/D</w:t>
            </w:r>
          </w:p>
        </w:tc>
        <w:tc>
          <w:tcPr>
            <w:tcW w:w="1273" w:type="dxa"/>
          </w:tcPr>
          <w:p>
            <w:pPr>
              <w:pStyle w:val="TableParagraph"/>
              <w:spacing w:line="206" w:lineRule="exact"/>
              <w:ind w:left="104"/>
              <w:rPr>
                <w:sz w:val="18"/>
              </w:rPr>
            </w:pPr>
            <w:r>
              <w:rPr>
                <w:sz w:val="18"/>
              </w:rPr>
              <w:t>1186</w:t>
            </w:r>
          </w:p>
        </w:tc>
        <w:tc>
          <w:tcPr>
            <w:tcW w:w="1241" w:type="dxa"/>
          </w:tcPr>
          <w:p>
            <w:pPr>
              <w:pStyle w:val="TableParagraph"/>
              <w:spacing w:line="206" w:lineRule="exact"/>
              <w:ind w:left="104"/>
              <w:rPr>
                <w:sz w:val="18"/>
              </w:rPr>
            </w:pPr>
            <w:r>
              <w:rPr>
                <w:sz w:val="18"/>
              </w:rPr>
              <w:t>N/A</w:t>
            </w:r>
          </w:p>
        </w:tc>
        <w:tc>
          <w:tcPr>
            <w:tcW w:w="936" w:type="dxa"/>
          </w:tcPr>
          <w:p>
            <w:pPr>
              <w:pStyle w:val="TableParagraph"/>
              <w:spacing w:line="206" w:lineRule="exact"/>
              <w:ind w:left="103"/>
              <w:rPr>
                <w:sz w:val="18"/>
              </w:rPr>
            </w:pPr>
            <w:r>
              <w:rPr>
                <w:sz w:val="18"/>
              </w:rPr>
              <w:t>N/D</w:t>
            </w:r>
          </w:p>
        </w:tc>
        <w:tc>
          <w:tcPr>
            <w:tcW w:w="1033" w:type="dxa"/>
          </w:tcPr>
          <w:p>
            <w:pPr>
              <w:pStyle w:val="TableParagraph"/>
              <w:spacing w:line="206" w:lineRule="exact"/>
              <w:ind w:left="104"/>
              <w:rPr>
                <w:sz w:val="18"/>
              </w:rPr>
            </w:pPr>
            <w:r>
              <w:rPr>
                <w:sz w:val="18"/>
              </w:rPr>
              <w:t>13</w:t>
            </w:r>
          </w:p>
        </w:tc>
        <w:tc>
          <w:tcPr>
            <w:tcW w:w="1241" w:type="dxa"/>
          </w:tcPr>
          <w:p>
            <w:pPr>
              <w:pStyle w:val="TableParagraph"/>
              <w:spacing w:line="206" w:lineRule="exact"/>
              <w:ind w:left="112"/>
              <w:rPr>
                <w:sz w:val="18"/>
              </w:rPr>
            </w:pPr>
            <w:r>
              <w:rPr>
                <w:sz w:val="18"/>
              </w:rPr>
              <w:t>N/A</w:t>
            </w:r>
          </w:p>
        </w:tc>
      </w:tr>
      <w:tr>
        <w:trPr>
          <w:trHeight w:val="320" w:hRule="exact"/>
        </w:trPr>
        <w:tc>
          <w:tcPr>
            <w:tcW w:w="2209" w:type="dxa"/>
          </w:tcPr>
          <w:p>
            <w:pPr>
              <w:pStyle w:val="TableParagraph"/>
              <w:spacing w:line="206" w:lineRule="exact"/>
              <w:ind w:left="112"/>
              <w:rPr>
                <w:sz w:val="18"/>
              </w:rPr>
            </w:pPr>
            <w:r>
              <w:rPr>
                <w:sz w:val="18"/>
              </w:rPr>
              <w:t>Lerma</w:t>
            </w:r>
          </w:p>
        </w:tc>
        <w:tc>
          <w:tcPr>
            <w:tcW w:w="1129" w:type="dxa"/>
          </w:tcPr>
          <w:p>
            <w:pPr>
              <w:pStyle w:val="TableParagraph"/>
              <w:spacing w:line="206" w:lineRule="exact"/>
              <w:ind w:left="104"/>
              <w:rPr>
                <w:sz w:val="18"/>
              </w:rPr>
            </w:pPr>
            <w:r>
              <w:rPr>
                <w:sz w:val="18"/>
              </w:rPr>
              <w:t>2,456</w:t>
            </w:r>
          </w:p>
        </w:tc>
        <w:tc>
          <w:tcPr>
            <w:tcW w:w="1273" w:type="dxa"/>
          </w:tcPr>
          <w:p>
            <w:pPr>
              <w:pStyle w:val="TableParagraph"/>
              <w:spacing w:line="206" w:lineRule="exact"/>
              <w:ind w:left="104"/>
              <w:rPr>
                <w:sz w:val="18"/>
              </w:rPr>
            </w:pPr>
            <w:r>
              <w:rPr>
                <w:sz w:val="18"/>
              </w:rPr>
              <w:t>25,233</w:t>
            </w:r>
          </w:p>
        </w:tc>
        <w:tc>
          <w:tcPr>
            <w:tcW w:w="1241" w:type="dxa"/>
          </w:tcPr>
          <w:p>
            <w:pPr>
              <w:pStyle w:val="TableParagraph"/>
              <w:spacing w:line="206" w:lineRule="exact"/>
              <w:ind w:right="432"/>
              <w:jc w:val="right"/>
              <w:rPr>
                <w:sz w:val="18"/>
              </w:rPr>
            </w:pPr>
            <w:r>
              <w:rPr>
                <w:sz w:val="18"/>
              </w:rPr>
              <w:t>10.6</w:t>
            </w:r>
          </w:p>
        </w:tc>
        <w:tc>
          <w:tcPr>
            <w:tcW w:w="936" w:type="dxa"/>
          </w:tcPr>
          <w:p>
            <w:pPr>
              <w:pStyle w:val="TableParagraph"/>
              <w:spacing w:line="206" w:lineRule="exact"/>
              <w:ind w:left="103"/>
              <w:rPr>
                <w:sz w:val="18"/>
              </w:rPr>
            </w:pPr>
            <w:r>
              <w:rPr>
                <w:w w:val="102"/>
                <w:sz w:val="18"/>
              </w:rPr>
              <w:t>9</w:t>
            </w:r>
          </w:p>
        </w:tc>
        <w:tc>
          <w:tcPr>
            <w:tcW w:w="1033" w:type="dxa"/>
          </w:tcPr>
          <w:p>
            <w:pPr>
              <w:pStyle w:val="TableParagraph"/>
              <w:spacing w:line="206" w:lineRule="exact"/>
              <w:ind w:left="104"/>
              <w:rPr>
                <w:sz w:val="18"/>
              </w:rPr>
            </w:pPr>
            <w:r>
              <w:rPr>
                <w:sz w:val="18"/>
              </w:rPr>
              <w:t>44</w:t>
            </w:r>
          </w:p>
        </w:tc>
        <w:tc>
          <w:tcPr>
            <w:tcW w:w="1241" w:type="dxa"/>
          </w:tcPr>
          <w:p>
            <w:pPr>
              <w:pStyle w:val="TableParagraph"/>
              <w:spacing w:line="206" w:lineRule="exact"/>
              <w:ind w:left="112"/>
              <w:rPr>
                <w:sz w:val="18"/>
              </w:rPr>
            </w:pPr>
            <w:r>
              <w:rPr>
                <w:sz w:val="18"/>
              </w:rPr>
              <w:t>7.1</w:t>
            </w:r>
          </w:p>
        </w:tc>
      </w:tr>
      <w:tr>
        <w:trPr>
          <w:trHeight w:val="329" w:hRule="exact"/>
        </w:trPr>
        <w:tc>
          <w:tcPr>
            <w:tcW w:w="2209" w:type="dxa"/>
          </w:tcPr>
          <w:p>
            <w:pPr>
              <w:pStyle w:val="TableParagraph"/>
              <w:spacing w:line="207" w:lineRule="exact"/>
              <w:ind w:left="112"/>
              <w:rPr>
                <w:sz w:val="18"/>
              </w:rPr>
            </w:pPr>
            <w:r>
              <w:rPr>
                <w:sz w:val="18"/>
              </w:rPr>
              <w:t>Metepec</w:t>
            </w:r>
          </w:p>
        </w:tc>
        <w:tc>
          <w:tcPr>
            <w:tcW w:w="1129" w:type="dxa"/>
          </w:tcPr>
          <w:p>
            <w:pPr>
              <w:pStyle w:val="TableParagraph"/>
              <w:spacing w:line="207" w:lineRule="exact"/>
              <w:ind w:left="104"/>
              <w:rPr>
                <w:sz w:val="18"/>
              </w:rPr>
            </w:pPr>
            <w:r>
              <w:rPr>
                <w:sz w:val="18"/>
              </w:rPr>
              <w:t>9,528</w:t>
            </w:r>
          </w:p>
        </w:tc>
        <w:tc>
          <w:tcPr>
            <w:tcW w:w="1273" w:type="dxa"/>
          </w:tcPr>
          <w:p>
            <w:pPr>
              <w:pStyle w:val="TableParagraph"/>
              <w:spacing w:line="207" w:lineRule="exact"/>
              <w:ind w:left="104"/>
              <w:rPr>
                <w:sz w:val="18"/>
              </w:rPr>
            </w:pPr>
            <w:r>
              <w:rPr>
                <w:sz w:val="18"/>
              </w:rPr>
              <w:t>89,864</w:t>
            </w:r>
          </w:p>
        </w:tc>
        <w:tc>
          <w:tcPr>
            <w:tcW w:w="1241" w:type="dxa"/>
          </w:tcPr>
          <w:p>
            <w:pPr>
              <w:pStyle w:val="TableParagraph"/>
              <w:spacing w:line="207" w:lineRule="exact"/>
              <w:ind w:right="432"/>
              <w:jc w:val="right"/>
              <w:rPr>
                <w:sz w:val="18"/>
              </w:rPr>
            </w:pPr>
            <w:r>
              <w:rPr>
                <w:sz w:val="18"/>
              </w:rPr>
              <w:t>10.2</w:t>
            </w:r>
          </w:p>
        </w:tc>
        <w:tc>
          <w:tcPr>
            <w:tcW w:w="936" w:type="dxa"/>
          </w:tcPr>
          <w:p>
            <w:pPr>
              <w:pStyle w:val="TableParagraph"/>
              <w:spacing w:line="207" w:lineRule="exact"/>
              <w:ind w:left="103"/>
              <w:rPr>
                <w:sz w:val="18"/>
              </w:rPr>
            </w:pPr>
            <w:r>
              <w:rPr>
                <w:sz w:val="18"/>
              </w:rPr>
              <w:t>39</w:t>
            </w:r>
          </w:p>
        </w:tc>
        <w:tc>
          <w:tcPr>
            <w:tcW w:w="1033" w:type="dxa"/>
          </w:tcPr>
          <w:p>
            <w:pPr>
              <w:pStyle w:val="TableParagraph"/>
              <w:spacing w:line="207" w:lineRule="exact"/>
              <w:ind w:left="104"/>
              <w:rPr>
                <w:sz w:val="18"/>
              </w:rPr>
            </w:pPr>
            <w:r>
              <w:rPr>
                <w:sz w:val="18"/>
              </w:rPr>
              <w:t>33</w:t>
            </w:r>
          </w:p>
        </w:tc>
        <w:tc>
          <w:tcPr>
            <w:tcW w:w="1241" w:type="dxa"/>
          </w:tcPr>
          <w:p>
            <w:pPr>
              <w:pStyle w:val="TableParagraph"/>
              <w:spacing w:line="207" w:lineRule="exact"/>
              <w:ind w:left="112"/>
              <w:rPr>
                <w:sz w:val="18"/>
              </w:rPr>
            </w:pPr>
            <w:r>
              <w:rPr>
                <w:sz w:val="18"/>
              </w:rPr>
              <w:t>-0.72</w:t>
            </w:r>
          </w:p>
        </w:tc>
      </w:tr>
      <w:tr>
        <w:trPr>
          <w:trHeight w:val="320" w:hRule="exact"/>
        </w:trPr>
        <w:tc>
          <w:tcPr>
            <w:tcW w:w="2209" w:type="dxa"/>
          </w:tcPr>
          <w:p>
            <w:pPr>
              <w:pStyle w:val="TableParagraph"/>
              <w:spacing w:line="198" w:lineRule="exact"/>
              <w:ind w:left="112"/>
              <w:rPr>
                <w:sz w:val="18"/>
              </w:rPr>
            </w:pPr>
            <w:r>
              <w:rPr>
                <w:sz w:val="18"/>
              </w:rPr>
              <w:t>San Mateo Atenco</w:t>
            </w:r>
          </w:p>
        </w:tc>
        <w:tc>
          <w:tcPr>
            <w:tcW w:w="1129" w:type="dxa"/>
          </w:tcPr>
          <w:p>
            <w:pPr>
              <w:pStyle w:val="TableParagraph"/>
              <w:spacing w:line="198" w:lineRule="exact"/>
              <w:ind w:left="104"/>
              <w:rPr>
                <w:sz w:val="18"/>
              </w:rPr>
            </w:pPr>
            <w:r>
              <w:rPr>
                <w:sz w:val="18"/>
              </w:rPr>
              <w:t>2,146</w:t>
            </w:r>
          </w:p>
        </w:tc>
        <w:tc>
          <w:tcPr>
            <w:tcW w:w="1273" w:type="dxa"/>
          </w:tcPr>
          <w:p>
            <w:pPr>
              <w:pStyle w:val="TableParagraph"/>
              <w:spacing w:line="198" w:lineRule="exact"/>
              <w:ind w:left="104"/>
              <w:rPr>
                <w:sz w:val="18"/>
              </w:rPr>
            </w:pPr>
            <w:r>
              <w:rPr>
                <w:sz w:val="18"/>
              </w:rPr>
              <w:t>14,528</w:t>
            </w:r>
          </w:p>
        </w:tc>
        <w:tc>
          <w:tcPr>
            <w:tcW w:w="1241" w:type="dxa"/>
          </w:tcPr>
          <w:p>
            <w:pPr>
              <w:pStyle w:val="TableParagraph"/>
              <w:spacing w:line="198" w:lineRule="exact"/>
              <w:ind w:right="488"/>
              <w:jc w:val="right"/>
              <w:rPr>
                <w:sz w:val="18"/>
              </w:rPr>
            </w:pPr>
            <w:r>
              <w:rPr>
                <w:sz w:val="18"/>
              </w:rPr>
              <w:t>8.6</w:t>
            </w:r>
          </w:p>
        </w:tc>
        <w:tc>
          <w:tcPr>
            <w:tcW w:w="936" w:type="dxa"/>
          </w:tcPr>
          <w:p>
            <w:pPr>
              <w:pStyle w:val="TableParagraph"/>
              <w:spacing w:line="198" w:lineRule="exact"/>
              <w:ind w:left="103"/>
              <w:rPr>
                <w:sz w:val="18"/>
              </w:rPr>
            </w:pPr>
            <w:r>
              <w:rPr>
                <w:w w:val="102"/>
                <w:sz w:val="18"/>
              </w:rPr>
              <w:t>9</w:t>
            </w:r>
          </w:p>
        </w:tc>
        <w:tc>
          <w:tcPr>
            <w:tcW w:w="1033" w:type="dxa"/>
          </w:tcPr>
          <w:p>
            <w:pPr>
              <w:pStyle w:val="TableParagraph"/>
              <w:spacing w:line="198" w:lineRule="exact"/>
              <w:ind w:left="104"/>
              <w:rPr>
                <w:sz w:val="18"/>
              </w:rPr>
            </w:pPr>
            <w:r>
              <w:rPr>
                <w:w w:val="102"/>
                <w:sz w:val="18"/>
              </w:rPr>
              <w:t>6</w:t>
            </w:r>
          </w:p>
        </w:tc>
        <w:tc>
          <w:tcPr>
            <w:tcW w:w="1241" w:type="dxa"/>
          </w:tcPr>
          <w:p>
            <w:pPr>
              <w:pStyle w:val="TableParagraph"/>
              <w:spacing w:line="198" w:lineRule="exact"/>
              <w:ind w:left="112"/>
              <w:rPr>
                <w:sz w:val="18"/>
              </w:rPr>
            </w:pPr>
            <w:r>
              <w:rPr>
                <w:sz w:val="18"/>
              </w:rPr>
              <w:t>-1.74</w:t>
            </w:r>
          </w:p>
        </w:tc>
      </w:tr>
      <w:tr>
        <w:trPr>
          <w:trHeight w:val="528" w:hRule="exact"/>
        </w:trPr>
        <w:tc>
          <w:tcPr>
            <w:tcW w:w="2209" w:type="dxa"/>
          </w:tcPr>
          <w:p>
            <w:pPr>
              <w:pStyle w:val="TableParagraph"/>
              <w:spacing w:line="198" w:lineRule="exact"/>
              <w:ind w:left="112"/>
              <w:rPr>
                <w:sz w:val="18"/>
              </w:rPr>
            </w:pPr>
            <w:r>
              <w:rPr>
                <w:sz w:val="18"/>
              </w:rPr>
              <w:t>San Antonio la Isla</w:t>
            </w:r>
          </w:p>
        </w:tc>
        <w:tc>
          <w:tcPr>
            <w:tcW w:w="1129" w:type="dxa"/>
          </w:tcPr>
          <w:p>
            <w:pPr>
              <w:pStyle w:val="TableParagraph"/>
              <w:spacing w:line="198" w:lineRule="exact"/>
              <w:ind w:left="104"/>
              <w:rPr>
                <w:sz w:val="18"/>
              </w:rPr>
            </w:pPr>
            <w:r>
              <w:rPr>
                <w:sz w:val="18"/>
              </w:rPr>
              <w:t>N/D</w:t>
            </w:r>
          </w:p>
        </w:tc>
        <w:tc>
          <w:tcPr>
            <w:tcW w:w="1273" w:type="dxa"/>
          </w:tcPr>
          <w:p>
            <w:pPr>
              <w:pStyle w:val="TableParagraph"/>
              <w:spacing w:line="198" w:lineRule="exact"/>
              <w:ind w:left="104"/>
              <w:rPr>
                <w:sz w:val="18"/>
              </w:rPr>
            </w:pPr>
            <w:r>
              <w:rPr>
                <w:sz w:val="18"/>
              </w:rPr>
              <w:t>2189</w:t>
            </w:r>
          </w:p>
        </w:tc>
        <w:tc>
          <w:tcPr>
            <w:tcW w:w="1241" w:type="dxa"/>
          </w:tcPr>
          <w:p>
            <w:pPr>
              <w:pStyle w:val="TableParagraph"/>
              <w:spacing w:line="198" w:lineRule="exact"/>
              <w:ind w:left="104"/>
              <w:rPr>
                <w:sz w:val="18"/>
              </w:rPr>
            </w:pPr>
            <w:r>
              <w:rPr>
                <w:sz w:val="18"/>
              </w:rPr>
              <w:t>N/D</w:t>
            </w:r>
          </w:p>
        </w:tc>
        <w:tc>
          <w:tcPr>
            <w:tcW w:w="936" w:type="dxa"/>
          </w:tcPr>
          <w:p>
            <w:pPr>
              <w:pStyle w:val="TableParagraph"/>
              <w:spacing w:line="198" w:lineRule="exact"/>
              <w:ind w:left="103"/>
              <w:rPr>
                <w:sz w:val="18"/>
              </w:rPr>
            </w:pPr>
            <w:r>
              <w:rPr>
                <w:sz w:val="18"/>
              </w:rPr>
              <w:t>N/D</w:t>
            </w:r>
          </w:p>
        </w:tc>
        <w:tc>
          <w:tcPr>
            <w:tcW w:w="1033" w:type="dxa"/>
          </w:tcPr>
          <w:p>
            <w:pPr>
              <w:pStyle w:val="TableParagraph"/>
              <w:spacing w:line="198" w:lineRule="exact"/>
              <w:ind w:left="104"/>
              <w:rPr>
                <w:sz w:val="18"/>
              </w:rPr>
            </w:pPr>
            <w:r>
              <w:rPr>
                <w:sz w:val="18"/>
              </w:rPr>
              <w:t>N/D</w:t>
            </w:r>
          </w:p>
        </w:tc>
        <w:tc>
          <w:tcPr>
            <w:tcW w:w="1241" w:type="dxa"/>
          </w:tcPr>
          <w:p>
            <w:pPr>
              <w:pStyle w:val="TableParagraph"/>
              <w:spacing w:line="198" w:lineRule="exact"/>
              <w:ind w:left="112"/>
              <w:rPr>
                <w:sz w:val="18"/>
              </w:rPr>
            </w:pPr>
            <w:r>
              <w:rPr>
                <w:sz w:val="18"/>
              </w:rPr>
              <w:t>N/A</w:t>
            </w:r>
          </w:p>
        </w:tc>
      </w:tr>
      <w:tr>
        <w:trPr>
          <w:trHeight w:val="320" w:hRule="exact"/>
        </w:trPr>
        <w:tc>
          <w:tcPr>
            <w:tcW w:w="2209" w:type="dxa"/>
          </w:tcPr>
          <w:p>
            <w:pPr>
              <w:pStyle w:val="TableParagraph"/>
              <w:spacing w:line="198" w:lineRule="exact"/>
              <w:ind w:left="112"/>
              <w:rPr>
                <w:sz w:val="18"/>
              </w:rPr>
            </w:pPr>
            <w:r>
              <w:rPr>
                <w:sz w:val="18"/>
              </w:rPr>
              <w:t>Toluca</w:t>
            </w:r>
          </w:p>
        </w:tc>
        <w:tc>
          <w:tcPr>
            <w:tcW w:w="1129" w:type="dxa"/>
          </w:tcPr>
          <w:p>
            <w:pPr>
              <w:pStyle w:val="TableParagraph"/>
              <w:spacing w:line="198" w:lineRule="exact"/>
              <w:ind w:left="104"/>
              <w:rPr>
                <w:sz w:val="18"/>
              </w:rPr>
            </w:pPr>
            <w:r>
              <w:rPr>
                <w:sz w:val="18"/>
              </w:rPr>
              <w:t>98,314</w:t>
            </w:r>
          </w:p>
        </w:tc>
        <w:tc>
          <w:tcPr>
            <w:tcW w:w="1273" w:type="dxa"/>
          </w:tcPr>
          <w:p>
            <w:pPr>
              <w:pStyle w:val="TableParagraph"/>
              <w:spacing w:line="198" w:lineRule="exact"/>
              <w:ind w:left="104"/>
              <w:rPr>
                <w:sz w:val="18"/>
              </w:rPr>
            </w:pPr>
            <w:r>
              <w:rPr>
                <w:sz w:val="18"/>
              </w:rPr>
              <w:t>268,596</w:t>
            </w:r>
          </w:p>
        </w:tc>
        <w:tc>
          <w:tcPr>
            <w:tcW w:w="1241" w:type="dxa"/>
          </w:tcPr>
          <w:p>
            <w:pPr>
              <w:pStyle w:val="TableParagraph"/>
              <w:spacing w:line="198" w:lineRule="exact"/>
              <w:ind w:right="488"/>
              <w:jc w:val="right"/>
              <w:rPr>
                <w:sz w:val="18"/>
              </w:rPr>
            </w:pPr>
            <w:r>
              <w:rPr>
                <w:sz w:val="18"/>
              </w:rPr>
              <w:t>4.4</w:t>
            </w:r>
          </w:p>
        </w:tc>
        <w:tc>
          <w:tcPr>
            <w:tcW w:w="936" w:type="dxa"/>
          </w:tcPr>
          <w:p>
            <w:pPr>
              <w:pStyle w:val="TableParagraph"/>
              <w:spacing w:line="198" w:lineRule="exact"/>
              <w:ind w:left="103"/>
              <w:rPr>
                <w:sz w:val="18"/>
              </w:rPr>
            </w:pPr>
            <w:r>
              <w:rPr>
                <w:sz w:val="18"/>
              </w:rPr>
              <w:t>3,467</w:t>
            </w:r>
          </w:p>
        </w:tc>
        <w:tc>
          <w:tcPr>
            <w:tcW w:w="1033" w:type="dxa"/>
          </w:tcPr>
          <w:p>
            <w:pPr>
              <w:pStyle w:val="TableParagraph"/>
              <w:spacing w:line="198" w:lineRule="exact"/>
              <w:ind w:left="104"/>
              <w:rPr>
                <w:sz w:val="18"/>
              </w:rPr>
            </w:pPr>
            <w:r>
              <w:rPr>
                <w:sz w:val="18"/>
              </w:rPr>
              <w:t>533</w:t>
            </w:r>
          </w:p>
        </w:tc>
        <w:tc>
          <w:tcPr>
            <w:tcW w:w="1241" w:type="dxa"/>
          </w:tcPr>
          <w:p>
            <w:pPr>
              <w:pStyle w:val="TableParagraph"/>
              <w:spacing w:line="198" w:lineRule="exact"/>
              <w:ind w:left="112"/>
              <w:rPr>
                <w:sz w:val="18"/>
              </w:rPr>
            </w:pPr>
            <w:r>
              <w:rPr>
                <w:sz w:val="18"/>
              </w:rPr>
              <w:t>-7.8</w:t>
            </w:r>
          </w:p>
        </w:tc>
      </w:tr>
      <w:tr>
        <w:trPr>
          <w:trHeight w:val="320" w:hRule="exact"/>
        </w:trPr>
        <w:tc>
          <w:tcPr>
            <w:tcW w:w="2209" w:type="dxa"/>
          </w:tcPr>
          <w:p>
            <w:pPr>
              <w:pStyle w:val="TableParagraph"/>
              <w:spacing w:line="198" w:lineRule="exact"/>
              <w:ind w:left="112"/>
              <w:rPr>
                <w:sz w:val="18"/>
              </w:rPr>
            </w:pPr>
            <w:r>
              <w:rPr>
                <w:sz w:val="18"/>
              </w:rPr>
              <w:t>Ocoyoacac</w:t>
            </w:r>
          </w:p>
        </w:tc>
        <w:tc>
          <w:tcPr>
            <w:tcW w:w="1129" w:type="dxa"/>
          </w:tcPr>
          <w:p>
            <w:pPr>
              <w:pStyle w:val="TableParagraph"/>
              <w:spacing w:line="198" w:lineRule="exact"/>
              <w:ind w:left="104"/>
              <w:rPr>
                <w:sz w:val="18"/>
              </w:rPr>
            </w:pPr>
            <w:r>
              <w:rPr>
                <w:sz w:val="18"/>
              </w:rPr>
              <w:t>N/D</w:t>
            </w:r>
          </w:p>
        </w:tc>
        <w:tc>
          <w:tcPr>
            <w:tcW w:w="1273" w:type="dxa"/>
          </w:tcPr>
          <w:p>
            <w:pPr>
              <w:pStyle w:val="TableParagraph"/>
              <w:spacing w:line="198" w:lineRule="exact"/>
              <w:ind w:left="104"/>
              <w:rPr>
                <w:sz w:val="18"/>
              </w:rPr>
            </w:pPr>
            <w:r>
              <w:rPr>
                <w:sz w:val="18"/>
              </w:rPr>
              <w:t>9885</w:t>
            </w:r>
          </w:p>
        </w:tc>
        <w:tc>
          <w:tcPr>
            <w:tcW w:w="1241" w:type="dxa"/>
          </w:tcPr>
          <w:p>
            <w:pPr>
              <w:pStyle w:val="TableParagraph"/>
              <w:spacing w:line="198" w:lineRule="exact"/>
              <w:ind w:right="460"/>
              <w:jc w:val="right"/>
              <w:rPr>
                <w:sz w:val="18"/>
              </w:rPr>
            </w:pPr>
            <w:r>
              <w:rPr>
                <w:sz w:val="18"/>
              </w:rPr>
              <w:t>N/A</w:t>
            </w:r>
          </w:p>
        </w:tc>
        <w:tc>
          <w:tcPr>
            <w:tcW w:w="936" w:type="dxa"/>
          </w:tcPr>
          <w:p>
            <w:pPr>
              <w:pStyle w:val="TableParagraph"/>
              <w:spacing w:line="198" w:lineRule="exact"/>
              <w:ind w:left="103"/>
              <w:rPr>
                <w:sz w:val="18"/>
              </w:rPr>
            </w:pPr>
            <w:r>
              <w:rPr>
                <w:sz w:val="18"/>
              </w:rPr>
              <w:t>N/D</w:t>
            </w:r>
          </w:p>
        </w:tc>
        <w:tc>
          <w:tcPr>
            <w:tcW w:w="1033" w:type="dxa"/>
          </w:tcPr>
          <w:p>
            <w:pPr>
              <w:pStyle w:val="TableParagraph"/>
              <w:spacing w:line="198" w:lineRule="exact"/>
              <w:ind w:left="104"/>
              <w:rPr>
                <w:sz w:val="18"/>
              </w:rPr>
            </w:pPr>
            <w:r>
              <w:rPr>
                <w:w w:val="102"/>
                <w:sz w:val="18"/>
              </w:rPr>
              <w:t>4</w:t>
            </w:r>
          </w:p>
        </w:tc>
        <w:tc>
          <w:tcPr>
            <w:tcW w:w="1241" w:type="dxa"/>
          </w:tcPr>
          <w:p>
            <w:pPr>
              <w:pStyle w:val="TableParagraph"/>
              <w:spacing w:line="198" w:lineRule="exact"/>
              <w:ind w:left="112"/>
              <w:rPr>
                <w:sz w:val="18"/>
              </w:rPr>
            </w:pPr>
            <w:r>
              <w:rPr>
                <w:sz w:val="18"/>
              </w:rPr>
              <w:t>N/A</w:t>
            </w:r>
          </w:p>
        </w:tc>
      </w:tr>
      <w:tr>
        <w:trPr>
          <w:trHeight w:val="321" w:hRule="exact"/>
        </w:trPr>
        <w:tc>
          <w:tcPr>
            <w:tcW w:w="2209" w:type="dxa"/>
          </w:tcPr>
          <w:p>
            <w:pPr>
              <w:pStyle w:val="TableParagraph"/>
              <w:spacing w:line="198" w:lineRule="exact"/>
              <w:ind w:left="112"/>
              <w:rPr>
                <w:sz w:val="18"/>
              </w:rPr>
            </w:pPr>
            <w:r>
              <w:rPr>
                <w:sz w:val="18"/>
              </w:rPr>
              <w:t>Xonacatlán</w:t>
            </w:r>
          </w:p>
        </w:tc>
        <w:tc>
          <w:tcPr>
            <w:tcW w:w="1129" w:type="dxa"/>
          </w:tcPr>
          <w:p>
            <w:pPr>
              <w:pStyle w:val="TableParagraph"/>
              <w:spacing w:line="198" w:lineRule="exact"/>
              <w:ind w:left="104"/>
              <w:rPr>
                <w:sz w:val="18"/>
              </w:rPr>
            </w:pPr>
            <w:r>
              <w:rPr>
                <w:sz w:val="18"/>
              </w:rPr>
              <w:t>N/D</w:t>
            </w:r>
          </w:p>
        </w:tc>
        <w:tc>
          <w:tcPr>
            <w:tcW w:w="1273" w:type="dxa"/>
          </w:tcPr>
          <w:p>
            <w:pPr>
              <w:pStyle w:val="TableParagraph"/>
              <w:spacing w:line="198" w:lineRule="exact"/>
              <w:ind w:left="104"/>
              <w:rPr>
                <w:sz w:val="18"/>
              </w:rPr>
            </w:pPr>
            <w:r>
              <w:rPr>
                <w:sz w:val="18"/>
              </w:rPr>
              <w:t>6148</w:t>
            </w:r>
          </w:p>
        </w:tc>
        <w:tc>
          <w:tcPr>
            <w:tcW w:w="1241" w:type="dxa"/>
          </w:tcPr>
          <w:p>
            <w:pPr>
              <w:pStyle w:val="TableParagraph"/>
              <w:spacing w:line="198" w:lineRule="exact"/>
              <w:ind w:right="460"/>
              <w:jc w:val="right"/>
              <w:rPr>
                <w:sz w:val="18"/>
              </w:rPr>
            </w:pPr>
            <w:r>
              <w:rPr>
                <w:sz w:val="18"/>
              </w:rPr>
              <w:t>N/A</w:t>
            </w:r>
          </w:p>
        </w:tc>
        <w:tc>
          <w:tcPr>
            <w:tcW w:w="936" w:type="dxa"/>
          </w:tcPr>
          <w:p>
            <w:pPr>
              <w:pStyle w:val="TableParagraph"/>
              <w:spacing w:line="198" w:lineRule="exact"/>
              <w:ind w:left="103"/>
              <w:rPr>
                <w:sz w:val="18"/>
              </w:rPr>
            </w:pPr>
            <w:r>
              <w:rPr>
                <w:sz w:val="18"/>
              </w:rPr>
              <w:t>N/D</w:t>
            </w:r>
          </w:p>
        </w:tc>
        <w:tc>
          <w:tcPr>
            <w:tcW w:w="1033" w:type="dxa"/>
          </w:tcPr>
          <w:p>
            <w:pPr>
              <w:pStyle w:val="TableParagraph"/>
              <w:spacing w:line="198" w:lineRule="exact"/>
              <w:ind w:left="104"/>
              <w:rPr>
                <w:sz w:val="18"/>
              </w:rPr>
            </w:pPr>
            <w:r>
              <w:rPr>
                <w:sz w:val="18"/>
              </w:rPr>
              <w:t>N/D</w:t>
            </w:r>
          </w:p>
        </w:tc>
        <w:tc>
          <w:tcPr>
            <w:tcW w:w="1241" w:type="dxa"/>
          </w:tcPr>
          <w:p>
            <w:pPr>
              <w:pStyle w:val="TableParagraph"/>
              <w:spacing w:line="198" w:lineRule="exact"/>
              <w:ind w:left="112"/>
              <w:rPr>
                <w:sz w:val="18"/>
              </w:rPr>
            </w:pPr>
            <w:r>
              <w:rPr>
                <w:sz w:val="18"/>
              </w:rPr>
              <w:t>N/A</w:t>
            </w:r>
          </w:p>
        </w:tc>
      </w:tr>
      <w:tr>
        <w:trPr>
          <w:trHeight w:val="320" w:hRule="exact"/>
        </w:trPr>
        <w:tc>
          <w:tcPr>
            <w:tcW w:w="2209" w:type="dxa"/>
          </w:tcPr>
          <w:p>
            <w:pPr>
              <w:pStyle w:val="TableParagraph"/>
              <w:spacing w:line="198" w:lineRule="exact"/>
              <w:ind w:left="112"/>
              <w:rPr>
                <w:sz w:val="18"/>
              </w:rPr>
            </w:pPr>
            <w:r>
              <w:rPr>
                <w:sz w:val="18"/>
              </w:rPr>
              <w:t>Zinacantepec</w:t>
            </w:r>
          </w:p>
        </w:tc>
        <w:tc>
          <w:tcPr>
            <w:tcW w:w="1129" w:type="dxa"/>
          </w:tcPr>
          <w:p>
            <w:pPr>
              <w:pStyle w:val="TableParagraph"/>
              <w:spacing w:line="198" w:lineRule="exact"/>
              <w:ind w:left="104"/>
              <w:rPr>
                <w:sz w:val="18"/>
              </w:rPr>
            </w:pPr>
            <w:r>
              <w:rPr>
                <w:sz w:val="18"/>
              </w:rPr>
              <w:t>2,342</w:t>
            </w:r>
          </w:p>
        </w:tc>
        <w:tc>
          <w:tcPr>
            <w:tcW w:w="1273" w:type="dxa"/>
          </w:tcPr>
          <w:p>
            <w:pPr>
              <w:pStyle w:val="TableParagraph"/>
              <w:spacing w:line="198" w:lineRule="exact"/>
              <w:ind w:left="104"/>
              <w:rPr>
                <w:sz w:val="18"/>
              </w:rPr>
            </w:pPr>
            <w:r>
              <w:rPr>
                <w:sz w:val="18"/>
              </w:rPr>
              <w:t>22,334</w:t>
            </w:r>
          </w:p>
        </w:tc>
        <w:tc>
          <w:tcPr>
            <w:tcW w:w="1241" w:type="dxa"/>
          </w:tcPr>
          <w:p>
            <w:pPr>
              <w:pStyle w:val="TableParagraph"/>
              <w:spacing w:line="198" w:lineRule="exact"/>
              <w:ind w:right="432"/>
              <w:jc w:val="right"/>
              <w:rPr>
                <w:sz w:val="18"/>
              </w:rPr>
            </w:pPr>
            <w:r>
              <w:rPr>
                <w:sz w:val="18"/>
              </w:rPr>
              <w:t>10.3</w:t>
            </w:r>
          </w:p>
        </w:tc>
        <w:tc>
          <w:tcPr>
            <w:tcW w:w="936" w:type="dxa"/>
          </w:tcPr>
          <w:p>
            <w:pPr>
              <w:pStyle w:val="TableParagraph"/>
              <w:spacing w:line="198" w:lineRule="exact"/>
              <w:ind w:left="103"/>
              <w:rPr>
                <w:sz w:val="18"/>
              </w:rPr>
            </w:pPr>
            <w:r>
              <w:rPr>
                <w:sz w:val="18"/>
              </w:rPr>
              <w:t>16</w:t>
            </w:r>
          </w:p>
        </w:tc>
        <w:tc>
          <w:tcPr>
            <w:tcW w:w="1033" w:type="dxa"/>
          </w:tcPr>
          <w:p>
            <w:pPr>
              <w:pStyle w:val="TableParagraph"/>
              <w:spacing w:line="198" w:lineRule="exact"/>
              <w:ind w:left="104"/>
              <w:rPr>
                <w:sz w:val="18"/>
              </w:rPr>
            </w:pPr>
            <w:r>
              <w:rPr>
                <w:sz w:val="18"/>
              </w:rPr>
              <w:t>17</w:t>
            </w:r>
          </w:p>
        </w:tc>
        <w:tc>
          <w:tcPr>
            <w:tcW w:w="1241" w:type="dxa"/>
          </w:tcPr>
          <w:p>
            <w:pPr>
              <w:pStyle w:val="TableParagraph"/>
              <w:spacing w:line="198" w:lineRule="exact"/>
              <w:ind w:left="112"/>
              <w:rPr>
                <w:sz w:val="18"/>
              </w:rPr>
            </w:pPr>
            <w:r>
              <w:rPr>
                <w:sz w:val="18"/>
              </w:rPr>
              <w:t>0.26</w:t>
            </w:r>
          </w:p>
        </w:tc>
      </w:tr>
      <w:tr>
        <w:trPr>
          <w:trHeight w:val="320" w:hRule="exact"/>
        </w:trPr>
        <w:tc>
          <w:tcPr>
            <w:tcW w:w="2209" w:type="dxa"/>
          </w:tcPr>
          <w:p>
            <w:pPr>
              <w:pStyle w:val="TableParagraph"/>
              <w:spacing w:line="198" w:lineRule="exact"/>
              <w:ind w:left="112"/>
              <w:rPr>
                <w:sz w:val="18"/>
              </w:rPr>
            </w:pPr>
            <w:r>
              <w:rPr>
                <w:sz w:val="18"/>
              </w:rPr>
              <w:t>Subtotal</w:t>
            </w:r>
          </w:p>
        </w:tc>
        <w:tc>
          <w:tcPr>
            <w:tcW w:w="1129" w:type="dxa"/>
          </w:tcPr>
          <w:p>
            <w:pPr>
              <w:pStyle w:val="TableParagraph"/>
              <w:spacing w:before="95"/>
              <w:ind w:left="104"/>
              <w:rPr>
                <w:sz w:val="18"/>
              </w:rPr>
            </w:pPr>
            <w:r>
              <w:rPr>
                <w:sz w:val="18"/>
              </w:rPr>
              <w:t>114,786</w:t>
            </w:r>
          </w:p>
        </w:tc>
        <w:tc>
          <w:tcPr>
            <w:tcW w:w="1273" w:type="dxa"/>
          </w:tcPr>
          <w:p>
            <w:pPr>
              <w:pStyle w:val="TableParagraph"/>
              <w:spacing w:before="95"/>
              <w:ind w:left="104"/>
              <w:rPr>
                <w:sz w:val="18"/>
              </w:rPr>
            </w:pPr>
            <w:r>
              <w:rPr>
                <w:sz w:val="18"/>
              </w:rPr>
              <w:t>420,555</w:t>
            </w:r>
          </w:p>
        </w:tc>
        <w:tc>
          <w:tcPr>
            <w:tcW w:w="1241" w:type="dxa"/>
          </w:tcPr>
          <w:p>
            <w:pPr>
              <w:pStyle w:val="TableParagraph"/>
              <w:spacing w:line="198" w:lineRule="exact"/>
              <w:ind w:right="488"/>
              <w:jc w:val="right"/>
              <w:rPr>
                <w:sz w:val="18"/>
              </w:rPr>
            </w:pPr>
            <w:r>
              <w:rPr>
                <w:sz w:val="18"/>
              </w:rPr>
              <w:t>5.8</w:t>
            </w:r>
          </w:p>
        </w:tc>
        <w:tc>
          <w:tcPr>
            <w:tcW w:w="936" w:type="dxa"/>
          </w:tcPr>
          <w:p>
            <w:pPr>
              <w:pStyle w:val="TableParagraph"/>
              <w:spacing w:before="95"/>
              <w:ind w:left="103"/>
              <w:rPr>
                <w:sz w:val="18"/>
              </w:rPr>
            </w:pPr>
            <w:r>
              <w:rPr>
                <w:sz w:val="18"/>
              </w:rPr>
              <w:t>3,540</w:t>
            </w:r>
          </w:p>
        </w:tc>
        <w:tc>
          <w:tcPr>
            <w:tcW w:w="1033" w:type="dxa"/>
          </w:tcPr>
          <w:p>
            <w:pPr>
              <w:pStyle w:val="TableParagraph"/>
              <w:spacing w:before="95"/>
              <w:ind w:left="104"/>
              <w:rPr>
                <w:sz w:val="18"/>
              </w:rPr>
            </w:pPr>
            <w:r>
              <w:rPr>
                <w:sz w:val="18"/>
              </w:rPr>
              <w:t>633</w:t>
            </w:r>
          </w:p>
        </w:tc>
        <w:tc>
          <w:tcPr>
            <w:tcW w:w="1241" w:type="dxa"/>
          </w:tcPr>
          <w:p>
            <w:pPr>
              <w:pStyle w:val="TableParagraph"/>
              <w:spacing w:line="198" w:lineRule="exact"/>
              <w:ind w:left="112"/>
              <w:rPr>
                <w:sz w:val="18"/>
              </w:rPr>
            </w:pPr>
            <w:r>
              <w:rPr>
                <w:sz w:val="18"/>
              </w:rPr>
              <w:t>-7.2</w:t>
            </w:r>
          </w:p>
        </w:tc>
      </w:tr>
      <w:tr>
        <w:trPr>
          <w:trHeight w:val="320" w:hRule="exact"/>
        </w:trPr>
        <w:tc>
          <w:tcPr>
            <w:tcW w:w="2209" w:type="dxa"/>
          </w:tcPr>
          <w:p>
            <w:pPr>
              <w:pStyle w:val="TableParagraph"/>
              <w:spacing w:line="198" w:lineRule="exact"/>
              <w:ind w:left="112"/>
              <w:rPr>
                <w:sz w:val="18"/>
              </w:rPr>
            </w:pPr>
            <w:r>
              <w:rPr>
                <w:sz w:val="18"/>
              </w:rPr>
              <w:t>Estatal</w:t>
            </w:r>
          </w:p>
        </w:tc>
        <w:tc>
          <w:tcPr>
            <w:tcW w:w="1129" w:type="dxa"/>
          </w:tcPr>
          <w:p>
            <w:pPr>
              <w:pStyle w:val="TableParagraph"/>
              <w:spacing w:line="198" w:lineRule="exact"/>
              <w:ind w:left="104"/>
              <w:rPr>
                <w:sz w:val="18"/>
              </w:rPr>
            </w:pPr>
            <w:r>
              <w:rPr>
                <w:sz w:val="18"/>
              </w:rPr>
              <w:t>707,268</w:t>
            </w:r>
          </w:p>
        </w:tc>
        <w:tc>
          <w:tcPr>
            <w:tcW w:w="1273" w:type="dxa"/>
          </w:tcPr>
          <w:p>
            <w:pPr>
              <w:pStyle w:val="TableParagraph"/>
              <w:spacing w:line="198" w:lineRule="exact"/>
              <w:ind w:left="104"/>
              <w:rPr>
                <w:sz w:val="18"/>
              </w:rPr>
            </w:pPr>
            <w:r>
              <w:rPr>
                <w:sz w:val="18"/>
              </w:rPr>
              <w:t>3,630,343</w:t>
            </w:r>
          </w:p>
        </w:tc>
        <w:tc>
          <w:tcPr>
            <w:tcW w:w="1241" w:type="dxa"/>
          </w:tcPr>
          <w:p>
            <w:pPr>
              <w:pStyle w:val="TableParagraph"/>
              <w:spacing w:line="198" w:lineRule="exact"/>
              <w:ind w:right="488"/>
              <w:jc w:val="right"/>
              <w:rPr>
                <w:sz w:val="18"/>
              </w:rPr>
            </w:pPr>
            <w:r>
              <w:rPr>
                <w:sz w:val="18"/>
              </w:rPr>
              <w:t>7.3</w:t>
            </w:r>
          </w:p>
        </w:tc>
        <w:tc>
          <w:tcPr>
            <w:tcW w:w="936" w:type="dxa"/>
          </w:tcPr>
          <w:p>
            <w:pPr>
              <w:pStyle w:val="TableParagraph"/>
              <w:spacing w:line="198" w:lineRule="exact"/>
              <w:ind w:left="103"/>
              <w:rPr>
                <w:sz w:val="18"/>
              </w:rPr>
            </w:pPr>
            <w:r>
              <w:rPr>
                <w:sz w:val="18"/>
              </w:rPr>
              <w:t>9,741</w:t>
            </w:r>
          </w:p>
        </w:tc>
        <w:tc>
          <w:tcPr>
            <w:tcW w:w="1033" w:type="dxa"/>
          </w:tcPr>
          <w:p>
            <w:pPr>
              <w:pStyle w:val="TableParagraph"/>
              <w:spacing w:line="198" w:lineRule="exact"/>
              <w:ind w:left="104"/>
              <w:rPr>
                <w:sz w:val="18"/>
              </w:rPr>
            </w:pPr>
            <w:r>
              <w:rPr>
                <w:sz w:val="18"/>
              </w:rPr>
              <w:t>17,499</w:t>
            </w:r>
          </w:p>
        </w:tc>
        <w:tc>
          <w:tcPr>
            <w:tcW w:w="1241" w:type="dxa"/>
          </w:tcPr>
          <w:p>
            <w:pPr>
              <w:pStyle w:val="TableParagraph"/>
              <w:spacing w:line="198" w:lineRule="exact"/>
              <w:ind w:left="112"/>
              <w:rPr>
                <w:sz w:val="18"/>
              </w:rPr>
            </w:pPr>
            <w:r>
              <w:rPr>
                <w:sz w:val="18"/>
              </w:rPr>
              <w:t>2.5</w:t>
            </w:r>
          </w:p>
        </w:tc>
      </w:tr>
    </w:tbl>
    <w:p>
      <w:pPr>
        <w:pStyle w:val="BodyText"/>
        <w:spacing w:line="267" w:lineRule="exact"/>
        <w:ind w:left="1986" w:right="204"/>
      </w:pPr>
      <w:r>
        <w:rPr/>
        <w:t>Fuente: INEGI 2015. Banco de Información INEGI</w:t>
      </w:r>
    </w:p>
    <w:p>
      <w:pPr>
        <w:pStyle w:val="BodyText"/>
      </w:pPr>
    </w:p>
    <w:p>
      <w:pPr>
        <w:pStyle w:val="BodyText"/>
        <w:spacing w:before="4"/>
      </w:pPr>
    </w:p>
    <w:p>
      <w:pPr>
        <w:pStyle w:val="BodyText"/>
        <w:spacing w:line="360" w:lineRule="auto"/>
        <w:ind w:left="225" w:right="199"/>
        <w:jc w:val="both"/>
      </w:pPr>
      <w:r>
        <w:rPr/>
        <w:t>Los municipios que conforman la zona urbana propiamente, </w:t>
      </w:r>
      <w:r>
        <w:rPr>
          <w:spacing w:val="-3"/>
        </w:rPr>
        <w:t>en el </w:t>
      </w:r>
      <w:r>
        <w:rPr/>
        <w:t>período </w:t>
      </w:r>
      <w:r>
        <w:rPr>
          <w:spacing w:val="2"/>
        </w:rPr>
        <w:t>1990- </w:t>
      </w:r>
      <w:r>
        <w:rPr/>
        <w:t>2013, </w:t>
      </w:r>
      <w:r>
        <w:rPr>
          <w:spacing w:val="-3"/>
        </w:rPr>
        <w:t>muestran </w:t>
      </w:r>
      <w:r>
        <w:rPr/>
        <w:t>aumento significativo y tasas de crecimiento medio anual desbordantes de los automóviles </w:t>
      </w:r>
      <w:r>
        <w:rPr>
          <w:spacing w:val="-3"/>
        </w:rPr>
        <w:t>en </w:t>
      </w:r>
      <w:r>
        <w:rPr/>
        <w:t>circulación, destaca </w:t>
      </w:r>
      <w:r>
        <w:rPr>
          <w:spacing w:val="-3"/>
        </w:rPr>
        <w:t>el </w:t>
      </w:r>
      <w:r>
        <w:rPr/>
        <w:t>municipio de Toluca con 64% de las existencias </w:t>
      </w:r>
      <w:r>
        <w:rPr>
          <w:spacing w:val="-3"/>
        </w:rPr>
        <w:t>en el </w:t>
      </w:r>
      <w:r>
        <w:rPr/>
        <w:t>año </w:t>
      </w:r>
      <w:r>
        <w:rPr>
          <w:spacing w:val="2"/>
        </w:rPr>
        <w:t>2013, </w:t>
      </w:r>
      <w:r>
        <w:rPr/>
        <w:t>seguido por Metepec. Aunque </w:t>
      </w:r>
      <w:r>
        <w:rPr>
          <w:spacing w:val="-3"/>
        </w:rPr>
        <w:t>en el </w:t>
      </w:r>
      <w:r>
        <w:rPr/>
        <w:t>decremento del número de camiones de pasajeros </w:t>
      </w:r>
      <w:r>
        <w:rPr>
          <w:spacing w:val="3"/>
        </w:rPr>
        <w:t>se </w:t>
      </w:r>
      <w:r>
        <w:rPr/>
        <w:t>aprecia la iniciativa de ordenamiento del transporte, la observación directa, permite señalar que la </w:t>
      </w:r>
      <w:r>
        <w:rPr>
          <w:spacing w:val="29"/>
        </w:rPr>
        <w:t> </w:t>
      </w:r>
      <w:r>
        <w:rPr>
          <w:spacing w:val="-3"/>
        </w:rPr>
        <w:t>mayor</w:t>
      </w:r>
    </w:p>
    <w:p>
      <w:pPr>
        <w:spacing w:after="0" w:line="360" w:lineRule="auto"/>
        <w:jc w:val="both"/>
        <w:sectPr>
          <w:pgSz w:w="12240" w:h="15840"/>
          <w:pgMar w:header="0" w:footer="1001" w:top="1360" w:bottom="1200" w:left="1480" w:right="1480"/>
        </w:sectPr>
      </w:pPr>
    </w:p>
    <w:p>
      <w:pPr>
        <w:pStyle w:val="BodyText"/>
        <w:spacing w:line="362" w:lineRule="auto" w:before="48"/>
        <w:ind w:left="105" w:right="122"/>
        <w:jc w:val="both"/>
      </w:pPr>
      <w:r>
        <w:rPr/>
        <w:t>parte de las unidades son viejas y es común que la defectuosa combustión de las gasolinas y diésel, emiten grandes cantidades de gases.</w:t>
      </w:r>
    </w:p>
    <w:p>
      <w:pPr>
        <w:pStyle w:val="BodyText"/>
        <w:spacing w:before="7"/>
      </w:pPr>
    </w:p>
    <w:p>
      <w:pPr>
        <w:pStyle w:val="BodyText"/>
        <w:spacing w:line="355" w:lineRule="auto" w:before="1"/>
        <w:ind w:left="105" w:right="112"/>
        <w:jc w:val="both"/>
      </w:pPr>
      <w:r>
        <w:rPr/>
        <w:t>Al respecto, la normatividad aplicable a las fuentes móviles, comprende nueve normas específicas, entre ellas, las siguientes(SEMARNAT, 2012)</w:t>
      </w:r>
    </w:p>
    <w:p>
      <w:pPr>
        <w:pStyle w:val="BodyText"/>
        <w:spacing w:before="4"/>
        <w:rPr>
          <w:sz w:val="25"/>
        </w:rPr>
      </w:pPr>
    </w:p>
    <w:p>
      <w:pPr>
        <w:pStyle w:val="BodyText"/>
        <w:spacing w:line="362" w:lineRule="auto"/>
        <w:ind w:left="105" w:right="117"/>
        <w:jc w:val="both"/>
      </w:pPr>
      <w:r>
        <w:rPr>
          <w:u w:val="single"/>
        </w:rPr>
        <w:t>NOM-041-SEMARNAT-2014: E</w:t>
      </w:r>
      <w:r>
        <w:rPr/>
        <w:t>stablece los límites máximos permisibles de emisión de gases contaminantes provenientes del escape de los vehículos automotores en circulación que usan gasolina como combustible.</w:t>
      </w:r>
    </w:p>
    <w:p>
      <w:pPr>
        <w:pStyle w:val="BodyText"/>
        <w:spacing w:before="11"/>
        <w:rPr>
          <w:sz w:val="23"/>
        </w:rPr>
      </w:pPr>
    </w:p>
    <w:p>
      <w:pPr>
        <w:pStyle w:val="BodyText"/>
        <w:spacing w:line="360" w:lineRule="auto"/>
        <w:ind w:left="105" w:right="115"/>
        <w:jc w:val="both"/>
      </w:pPr>
      <w:r>
        <w:rPr>
          <w:u w:val="single"/>
        </w:rPr>
        <w:t>NOM-042-SEMARNAT-2003</w:t>
      </w:r>
      <w:r>
        <w:rPr/>
        <w:t>: Establece los límites máximos permisibles  de emisión de hidrocarburos no quemados, monóxido de carbono, óxidos </w:t>
      </w:r>
      <w:r>
        <w:rPr>
          <w:spacing w:val="5"/>
        </w:rPr>
        <w:t>de </w:t>
      </w:r>
      <w:r>
        <w:rPr/>
        <w:t>nitrógeno y partículas suspendidas provenientes del escape de vehículos automotores nuevos </w:t>
      </w:r>
      <w:r>
        <w:rPr>
          <w:spacing w:val="-3"/>
        </w:rPr>
        <w:t>en </w:t>
      </w:r>
      <w:r>
        <w:rPr/>
        <w:t>planta, así como </w:t>
      </w:r>
      <w:r>
        <w:rPr>
          <w:spacing w:val="5"/>
        </w:rPr>
        <w:t>de </w:t>
      </w:r>
      <w:r>
        <w:rPr/>
        <w:t>hidrocarburos evaporativos provenientes del sistema </w:t>
      </w:r>
      <w:r>
        <w:rPr>
          <w:spacing w:val="5"/>
        </w:rPr>
        <w:t>de </w:t>
      </w:r>
      <w:r>
        <w:rPr/>
        <w:t>combustible que usan gasolina, gas licuado de petróleo, gas natural y diésel de los mismos, con peso bruto vehicular que no exceda los 3,856</w:t>
      </w:r>
      <w:r>
        <w:rPr>
          <w:spacing w:val="-14"/>
        </w:rPr>
        <w:t> </w:t>
      </w:r>
      <w:r>
        <w:rPr/>
        <w:t>kilogramos.</w:t>
      </w:r>
    </w:p>
    <w:p>
      <w:pPr>
        <w:pStyle w:val="BodyText"/>
        <w:spacing w:before="10"/>
      </w:pPr>
    </w:p>
    <w:p>
      <w:pPr>
        <w:pStyle w:val="BodyText"/>
        <w:spacing w:line="360" w:lineRule="auto"/>
        <w:ind w:left="105" w:right="111"/>
        <w:jc w:val="both"/>
      </w:pPr>
      <w:r>
        <w:rPr>
          <w:u w:val="single"/>
        </w:rPr>
        <w:t>NOM-044-SEMARNAT-2006: </w:t>
      </w:r>
      <w:r>
        <w:rPr/>
        <w:t>Que establece los niveles máximos permisibles de emisión de hidrocarburos, monóxido de carbono, óxidos de nitrógeno, partículas suspendidas totales y opacidad de humo provenientes del escape de motores nuevos que usan diésel como combustible y que se utilizaran para la propulsión de vehículos automotores con peso bruto vehicular mayor de 3,857 kilogramos.</w:t>
      </w:r>
    </w:p>
    <w:p>
      <w:pPr>
        <w:pStyle w:val="BodyText"/>
        <w:spacing w:before="2"/>
      </w:pPr>
    </w:p>
    <w:p>
      <w:pPr>
        <w:pStyle w:val="BodyText"/>
        <w:spacing w:line="362" w:lineRule="auto"/>
        <w:ind w:left="105" w:right="120"/>
        <w:jc w:val="both"/>
      </w:pPr>
      <w:r>
        <w:rPr>
          <w:u w:val="single"/>
        </w:rPr>
        <w:t>NOM-045-SEMARNAT-2006: </w:t>
      </w:r>
      <w:r>
        <w:rPr/>
        <w:t>Que establece los niveles máximos permisibles de opacidad del humo proveniente del escape de vehículos automotores en circulación que usan diésel o mezclas que incluyan diésel como combustible.</w:t>
      </w:r>
    </w:p>
    <w:p>
      <w:pPr>
        <w:pStyle w:val="BodyText"/>
        <w:spacing w:before="7"/>
      </w:pPr>
    </w:p>
    <w:p>
      <w:pPr>
        <w:pStyle w:val="BodyText"/>
        <w:spacing w:line="360" w:lineRule="auto"/>
        <w:ind w:left="105" w:right="107"/>
        <w:jc w:val="both"/>
      </w:pPr>
      <w:r>
        <w:rPr>
          <w:u w:val="single"/>
        </w:rPr>
        <w:t>NOM-047-SEMARNAT-2014: </w:t>
      </w:r>
      <w:r>
        <w:rPr/>
        <w:t>Que establece las características del equipo y </w:t>
      </w:r>
      <w:r>
        <w:rPr>
          <w:spacing w:val="-3"/>
        </w:rPr>
        <w:t>el </w:t>
      </w:r>
      <w:r>
        <w:rPr/>
        <w:t>procedimiento de medición para la verificación de los niveles de emisión de contaminantes, provenientes de los vehículos automotores </w:t>
      </w:r>
      <w:r>
        <w:rPr>
          <w:spacing w:val="-3"/>
        </w:rPr>
        <w:t>en </w:t>
      </w:r>
      <w:r>
        <w:rPr/>
        <w:t>circulación </w:t>
      </w:r>
      <w:r>
        <w:rPr>
          <w:spacing w:val="2"/>
        </w:rPr>
        <w:t>que  </w:t>
      </w:r>
      <w:r>
        <w:rPr/>
        <w:t>usan gasolina, gas licuado de petróleo, gas natural u otros combustibles</w:t>
      </w:r>
      <w:r>
        <w:rPr>
          <w:spacing w:val="-40"/>
        </w:rPr>
        <w:t> </w:t>
      </w:r>
      <w:r>
        <w:rPr/>
        <w:t>alternos.</w:t>
      </w:r>
    </w:p>
    <w:p>
      <w:pPr>
        <w:spacing w:after="0" w:line="360" w:lineRule="auto"/>
        <w:jc w:val="both"/>
        <w:sectPr>
          <w:pgSz w:w="12240" w:h="15840"/>
          <w:pgMar w:header="0" w:footer="1001" w:top="1360" w:bottom="1200" w:left="1600" w:right="1580"/>
        </w:sectPr>
      </w:pPr>
    </w:p>
    <w:p>
      <w:pPr>
        <w:pStyle w:val="BodyText"/>
        <w:spacing w:line="360" w:lineRule="auto" w:before="48"/>
        <w:ind w:left="105" w:right="112"/>
        <w:jc w:val="both"/>
      </w:pPr>
      <w:r>
        <w:rPr>
          <w:u w:val="single"/>
        </w:rPr>
        <w:t>NOM-048-SEMARNAT-1993: </w:t>
      </w:r>
      <w:r>
        <w:rPr/>
        <w:t>Que establece los niveles máximos permisibles de emisión de hidrocarburos, monóxido de carbono y humo, provenientes del escape de las motocicletas en circulación que utilizan gasolina o mezcla de gasolina- aceite como combustible.</w:t>
      </w:r>
    </w:p>
    <w:p>
      <w:pPr>
        <w:pStyle w:val="BodyText"/>
        <w:spacing w:before="10"/>
      </w:pPr>
    </w:p>
    <w:p>
      <w:pPr>
        <w:pStyle w:val="BodyText"/>
        <w:spacing w:line="360" w:lineRule="auto"/>
        <w:ind w:left="105" w:right="120"/>
        <w:jc w:val="both"/>
      </w:pPr>
      <w:r>
        <w:rPr>
          <w:u w:val="single"/>
        </w:rPr>
        <w:t>NOM-049-SEMARNAT-1993: </w:t>
      </w:r>
      <w:r>
        <w:rPr/>
        <w:t>Que establece las características del equipo y el procedimiento de medición, para la verificación de los niveles de emisión de gases contaminantes, provenientes de las motocicletas en circulación que usan gasolina o mezcla de gasolina-aceite como combustible.</w:t>
      </w:r>
    </w:p>
    <w:p>
      <w:pPr>
        <w:pStyle w:val="BodyText"/>
        <w:spacing w:before="10"/>
      </w:pPr>
    </w:p>
    <w:p>
      <w:pPr>
        <w:pStyle w:val="BodyText"/>
        <w:spacing w:line="360" w:lineRule="auto"/>
        <w:ind w:left="105" w:right="117"/>
        <w:jc w:val="both"/>
      </w:pPr>
      <w:r>
        <w:rPr>
          <w:u w:val="single"/>
        </w:rPr>
        <w:t>NOM-050-SEMARNAT-1993: </w:t>
      </w:r>
      <w:r>
        <w:rPr/>
        <w:t>Que establece los niveles máximos permisibles de emisión de gases contaminantes provenientes del escape de los vehículos automotores en circulación que usan gas licuado de petróleo, gas natural u otros combustibles alternos como combustible.</w:t>
      </w:r>
    </w:p>
    <w:p>
      <w:pPr>
        <w:pStyle w:val="BodyText"/>
        <w:spacing w:before="10"/>
      </w:pPr>
    </w:p>
    <w:p>
      <w:pPr>
        <w:pStyle w:val="BodyText"/>
        <w:spacing w:line="360" w:lineRule="auto"/>
        <w:ind w:left="105" w:right="111"/>
        <w:jc w:val="both"/>
      </w:pPr>
      <w:r>
        <w:rPr>
          <w:u w:val="single"/>
        </w:rPr>
        <w:t>NOM-076-SEMARNAT-2012: </w:t>
      </w:r>
      <w:r>
        <w:rPr/>
        <w:t>Que establece los niveles máximos permisibles de emisión de hidrocarburos no quemados, monóxido de carbono y óxidos de nitrógeno provenientes del escape, así como de hidrocarburos evaporativos provenientes del sistema de combustible, que usan gasolina, gas licuado de petróleo, gas natural y otros combustibles alternos y que se utilizaran para la propulsión de vehículos automotores, con peso bruto vehicular mayor de 3,857 kilogramos nuevos en planta.</w:t>
      </w:r>
    </w:p>
    <w:p>
      <w:pPr>
        <w:pStyle w:val="BodyText"/>
        <w:spacing w:before="2"/>
      </w:pPr>
    </w:p>
    <w:p>
      <w:pPr>
        <w:pStyle w:val="BodyText"/>
        <w:spacing w:line="360" w:lineRule="auto"/>
        <w:ind w:left="105" w:right="100"/>
        <w:jc w:val="both"/>
      </w:pPr>
      <w:r>
        <w:rPr/>
        <w:t>El inventario de emisiones de la Zona Metropolitana del Valle de Toluca 2008, menciona que las fuentes contribuyen con 931.9 toneladas al año de partículas, equivalente al 10.7% de las emisiones totales. De las cuales  el  transporte de carga contribuye con el 54.53% y el de pasajeros con el 33.3% mientras que el 14.4% corresponde a los vehículos particulares(EDOMEX, 2012b). No obstante que el Programa de Verificación Obligatoria del Estado de México, exige a los transportes de carga y de pasajeros cumplir con la verificación de las unidades, la observación permite señalar que en general carecen de las calcomanías que certifican el cumplimiento de este requisito.</w:t>
      </w:r>
    </w:p>
    <w:p>
      <w:pPr>
        <w:spacing w:after="0" w:line="360" w:lineRule="auto"/>
        <w:jc w:val="both"/>
        <w:sectPr>
          <w:pgSz w:w="12240" w:h="15840"/>
          <w:pgMar w:header="0" w:footer="1001" w:top="1360" w:bottom="1200" w:left="1600" w:right="1580"/>
        </w:sectPr>
      </w:pPr>
    </w:p>
    <w:p>
      <w:pPr>
        <w:pStyle w:val="Heading2"/>
        <w:spacing w:before="50"/>
      </w:pPr>
      <w:bookmarkStart w:name="_bookmark43" w:id="72"/>
      <w:bookmarkEnd w:id="72"/>
      <w:r>
        <w:rPr>
          <w:b w:val="0"/>
        </w:rPr>
      </w:r>
      <w:r>
        <w:rPr>
          <w:color w:val="4F81BC"/>
        </w:rPr>
        <w:t>2.2. Artículo de Investigación</w:t>
      </w:r>
    </w:p>
    <w:p>
      <w:pPr>
        <w:pStyle w:val="BodyText"/>
        <w:spacing w:before="8"/>
        <w:rPr>
          <w:rFonts w:ascii="Cambria"/>
          <w:b/>
          <w:sz w:val="27"/>
        </w:rPr>
      </w:pPr>
    </w:p>
    <w:p>
      <w:pPr>
        <w:spacing w:line="360" w:lineRule="auto" w:before="0"/>
        <w:ind w:left="105" w:right="711" w:firstLine="0"/>
        <w:jc w:val="both"/>
        <w:rPr>
          <w:sz w:val="24"/>
        </w:rPr>
      </w:pPr>
      <w:r>
        <w:rPr>
          <w:sz w:val="24"/>
        </w:rPr>
        <w:t>Como parte de los resultados obtenidos en la presente investigación se desarrolló el Artículo de Investigación intitulado </w:t>
      </w:r>
      <w:r>
        <w:rPr>
          <w:b/>
          <w:i/>
          <w:sz w:val="24"/>
        </w:rPr>
        <w:t>“Modelación espacial de partículas </w:t>
      </w:r>
      <w:r>
        <w:rPr>
          <w:b/>
          <w:i/>
          <w:sz w:val="24"/>
        </w:rPr>
        <w:t>suspendidas (pm10) ciudad de Toluca, México, 2011-2013” </w:t>
      </w:r>
      <w:r>
        <w:rPr>
          <w:sz w:val="24"/>
        </w:rPr>
        <w:t>enviado a la revista Luna Azul de la Universidad de Caldas Colombia, indizada en Directory of Open Access Journals, Index Copernicus Journals Master List, Publindex,  Cab Abstracts, Lantin Index y Redalyc,   con registro ISSN- 1909-2474.</w:t>
      </w:r>
    </w:p>
    <w:p>
      <w:pPr>
        <w:pStyle w:val="BodyText"/>
        <w:spacing w:before="2"/>
      </w:pPr>
    </w:p>
    <w:p>
      <w:pPr>
        <w:pStyle w:val="BodyText"/>
        <w:spacing w:line="362" w:lineRule="auto"/>
        <w:ind w:left="105" w:right="715"/>
        <w:jc w:val="both"/>
      </w:pPr>
      <w:r>
        <w:rPr/>
        <w:t>El artículo </w:t>
      </w:r>
      <w:r>
        <w:rPr>
          <w:spacing w:val="2"/>
        </w:rPr>
        <w:t>fue </w:t>
      </w:r>
      <w:r>
        <w:rPr/>
        <w:t>enviado </w:t>
      </w:r>
      <w:r>
        <w:rPr>
          <w:spacing w:val="-3"/>
        </w:rPr>
        <w:t>el </w:t>
      </w:r>
      <w:r>
        <w:rPr>
          <w:spacing w:val="2"/>
        </w:rPr>
        <w:t>día </w:t>
      </w:r>
      <w:r>
        <w:rPr/>
        <w:t>20 de mayo </w:t>
      </w:r>
      <w:r>
        <w:rPr>
          <w:spacing w:val="5"/>
        </w:rPr>
        <w:t>de </w:t>
      </w:r>
      <w:r>
        <w:rPr/>
        <w:t>2015, y recibido </w:t>
      </w:r>
      <w:r>
        <w:rPr>
          <w:spacing w:val="-3"/>
        </w:rPr>
        <w:t>el </w:t>
      </w:r>
      <w:r>
        <w:rPr/>
        <w:t>día 21 de mayo </w:t>
      </w:r>
      <w:r>
        <w:rPr>
          <w:spacing w:val="5"/>
        </w:rPr>
        <w:t>de </w:t>
      </w:r>
      <w:r>
        <w:rPr/>
        <w:t>2015, considerándose pertinente para continuar </w:t>
      </w:r>
      <w:r>
        <w:rPr>
          <w:spacing w:val="-3"/>
        </w:rPr>
        <w:t>el </w:t>
      </w:r>
      <w:r>
        <w:rPr/>
        <w:t>proceso editorial. A  continuación</w:t>
      </w:r>
      <w:r>
        <w:rPr>
          <w:spacing w:val="-3"/>
        </w:rPr>
        <w:t> </w:t>
      </w:r>
      <w:r>
        <w:rPr/>
        <w:t>se</w:t>
      </w:r>
      <w:r>
        <w:rPr>
          <w:spacing w:val="-11"/>
        </w:rPr>
        <w:t> </w:t>
      </w:r>
      <w:r>
        <w:rPr/>
        <w:t>presentan</w:t>
      </w:r>
      <w:r>
        <w:rPr>
          <w:spacing w:val="-3"/>
        </w:rPr>
        <w:t> </w:t>
      </w:r>
      <w:r>
        <w:rPr/>
        <w:t>los</w:t>
      </w:r>
      <w:r>
        <w:rPr>
          <w:spacing w:val="-5"/>
        </w:rPr>
        <w:t> </w:t>
      </w:r>
      <w:r>
        <w:rPr/>
        <w:t>correos</w:t>
      </w:r>
      <w:r>
        <w:rPr>
          <w:spacing w:val="3"/>
        </w:rPr>
        <w:t> </w:t>
      </w:r>
      <w:r>
        <w:rPr/>
        <w:t>recibidos</w:t>
      </w:r>
      <w:r>
        <w:rPr>
          <w:spacing w:val="-5"/>
        </w:rPr>
        <w:t> </w:t>
      </w:r>
      <w:r>
        <w:rPr/>
        <w:t>por</w:t>
      </w:r>
      <w:r>
        <w:rPr>
          <w:spacing w:val="3"/>
        </w:rPr>
        <w:t> </w:t>
      </w:r>
      <w:r>
        <w:rPr/>
        <w:t>parte</w:t>
      </w:r>
      <w:r>
        <w:rPr>
          <w:spacing w:val="-11"/>
        </w:rPr>
        <w:t> </w:t>
      </w:r>
      <w:r>
        <w:rPr>
          <w:spacing w:val="5"/>
        </w:rPr>
        <w:t>de</w:t>
      </w:r>
      <w:r>
        <w:rPr>
          <w:spacing w:val="-11"/>
        </w:rPr>
        <w:t> </w:t>
      </w:r>
      <w:r>
        <w:rPr/>
        <w:t>la</w:t>
      </w:r>
      <w:r>
        <w:rPr>
          <w:spacing w:val="-3"/>
        </w:rPr>
        <w:t> </w:t>
      </w:r>
      <w:r>
        <w:rPr/>
        <w:t>Revista</w:t>
      </w:r>
      <w:r>
        <w:rPr>
          <w:spacing w:val="-11"/>
        </w:rPr>
        <w:t> </w:t>
      </w:r>
      <w:r>
        <w:rPr/>
        <w:t>Luna</w:t>
      </w:r>
      <w:r>
        <w:rPr>
          <w:spacing w:val="-3"/>
        </w:rPr>
        <w:t> </w:t>
      </w:r>
      <w:r>
        <w:rPr/>
        <w:t>Azul.</w:t>
      </w:r>
    </w:p>
    <w:p>
      <w:pPr>
        <w:pStyle w:val="BodyText"/>
        <w:spacing w:before="7"/>
      </w:pPr>
    </w:p>
    <w:p>
      <w:pPr>
        <w:pStyle w:val="BodyText"/>
        <w:ind w:left="3163"/>
      </w:pPr>
      <w:r>
        <w:rPr/>
        <w:t>Figura 11. Carta de envío</w:t>
      </w:r>
    </w:p>
    <w:p>
      <w:pPr>
        <w:pStyle w:val="BodyText"/>
        <w:spacing w:before="10"/>
        <w:rPr>
          <w:sz w:val="17"/>
        </w:rPr>
      </w:pPr>
      <w:r>
        <w:rPr/>
        <w:drawing>
          <wp:anchor distT="0" distB="0" distL="0" distR="0" allowOverlap="1" layoutInCell="1" locked="0" behindDoc="0" simplePos="0" relativeHeight="1288">
            <wp:simplePos x="0" y="0"/>
            <wp:positionH relativeFrom="page">
              <wp:posOffset>1080135</wp:posOffset>
            </wp:positionH>
            <wp:positionV relativeFrom="paragraph">
              <wp:posOffset>155410</wp:posOffset>
            </wp:positionV>
            <wp:extent cx="5933599" cy="3019234"/>
            <wp:effectExtent l="0" t="0" r="0" b="0"/>
            <wp:wrapTopAndBottom/>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37" cstate="print"/>
                    <a:stretch>
                      <a:fillRect/>
                    </a:stretch>
                  </pic:blipFill>
                  <pic:spPr>
                    <a:xfrm>
                      <a:off x="0" y="0"/>
                      <a:ext cx="5933599" cy="3019234"/>
                    </a:xfrm>
                    <a:prstGeom prst="rect">
                      <a:avLst/>
                    </a:prstGeom>
                  </pic:spPr>
                </pic:pic>
              </a:graphicData>
            </a:graphic>
          </wp:anchor>
        </w:drawing>
      </w:r>
    </w:p>
    <w:p>
      <w:pPr>
        <w:spacing w:after="0"/>
        <w:rPr>
          <w:sz w:val="17"/>
        </w:rPr>
        <w:sectPr>
          <w:pgSz w:w="12240" w:h="15840"/>
          <w:pgMar w:header="0" w:footer="1001" w:top="1360" w:bottom="1200" w:left="1600" w:right="980"/>
        </w:sectPr>
      </w:pPr>
    </w:p>
    <w:p>
      <w:pPr>
        <w:spacing w:before="25"/>
        <w:ind w:left="105" w:right="0" w:firstLine="0"/>
        <w:jc w:val="left"/>
        <w:rPr>
          <w:rFonts w:ascii="Segoe UI" w:hAnsi="Segoe UI"/>
          <w:b/>
          <w:sz w:val="20"/>
        </w:rPr>
      </w:pPr>
      <w:r>
        <w:rPr>
          <w:rFonts w:ascii="Segoe UI" w:hAnsi="Segoe UI"/>
          <w:b/>
          <w:w w:val="105"/>
          <w:sz w:val="20"/>
        </w:rPr>
        <w:t>Acuse de envío de artículo</w:t>
      </w:r>
    </w:p>
    <w:p>
      <w:pPr>
        <w:pStyle w:val="BodyText"/>
        <w:spacing w:before="1"/>
        <w:rPr>
          <w:rFonts w:ascii="Segoe UI"/>
          <w:b/>
          <w:sz w:val="22"/>
        </w:rPr>
      </w:pPr>
    </w:p>
    <w:p>
      <w:pPr>
        <w:spacing w:before="0"/>
        <w:ind w:left="105" w:right="0" w:firstLine="0"/>
        <w:jc w:val="left"/>
        <w:rPr>
          <w:rFonts w:ascii="Segoe UI" w:hAnsi="Segoe UI"/>
          <w:sz w:val="20"/>
        </w:rPr>
      </w:pPr>
      <w:r>
        <w:rPr>
          <w:rFonts w:ascii="Segoe UI" w:hAnsi="Segoe UI"/>
          <w:w w:val="105"/>
          <w:sz w:val="20"/>
        </w:rPr>
        <w:t>Luz Elena Sepúlveda Gallego (lesga@une.net.co)</w:t>
      </w:r>
    </w:p>
    <w:p>
      <w:pPr>
        <w:spacing w:before="3"/>
        <w:ind w:left="105" w:right="0" w:firstLine="0"/>
        <w:jc w:val="left"/>
        <w:rPr>
          <w:rFonts w:ascii="Segoe UI"/>
          <w:sz w:val="18"/>
        </w:rPr>
      </w:pPr>
      <w:r>
        <w:rPr>
          <w:rFonts w:ascii="Segoe UI"/>
          <w:sz w:val="18"/>
        </w:rPr>
        <w:t>21/05/2015</w:t>
      </w:r>
    </w:p>
    <w:p>
      <w:pPr>
        <w:spacing w:before="1"/>
        <w:ind w:left="105" w:right="0" w:firstLine="0"/>
        <w:jc w:val="left"/>
        <w:rPr>
          <w:rFonts w:ascii="Segoe UI" w:hAnsi="Segoe UI"/>
          <w:sz w:val="18"/>
        </w:rPr>
      </w:pPr>
      <w:r>
        <w:rPr>
          <w:rFonts w:ascii="Segoe UI" w:hAnsi="Segoe UI"/>
          <w:sz w:val="18"/>
        </w:rPr>
        <w:t>Para: 'Hugo Ernesto Sánchez Muñoz'</w:t>
      </w:r>
    </w:p>
    <w:p>
      <w:pPr>
        <w:pStyle w:val="BodyText"/>
        <w:rPr>
          <w:rFonts w:ascii="Segoe UI"/>
          <w:sz w:val="18"/>
        </w:rPr>
      </w:pPr>
    </w:p>
    <w:p>
      <w:pPr>
        <w:spacing w:line="264" w:lineRule="exact" w:before="0"/>
        <w:ind w:left="105" w:right="476" w:firstLine="0"/>
        <w:jc w:val="left"/>
        <w:rPr>
          <w:rFonts w:ascii="Calibri" w:hAnsi="Calibri"/>
          <w:sz w:val="22"/>
        </w:rPr>
      </w:pPr>
      <w:r>
        <w:rPr>
          <w:rFonts w:ascii="Calibri" w:hAnsi="Calibri"/>
          <w:sz w:val="22"/>
        </w:rPr>
        <w:t>Buenos días, enviaré su artículo a evaluación de pertinencia y, cuando tenga respuesta, le informaré lo  correspondiente.</w:t>
      </w:r>
    </w:p>
    <w:p>
      <w:pPr>
        <w:spacing w:line="264" w:lineRule="exact" w:before="8"/>
        <w:ind w:left="105" w:right="6785" w:firstLine="0"/>
        <w:jc w:val="left"/>
        <w:rPr>
          <w:rFonts w:ascii="Calibri"/>
          <w:sz w:val="22"/>
        </w:rPr>
      </w:pPr>
      <w:r>
        <w:rPr>
          <w:rFonts w:ascii="Calibri"/>
          <w:sz w:val="22"/>
        </w:rPr>
        <w:t>Gracias por escribir. Hasta pronto.</w:t>
      </w:r>
    </w:p>
    <w:p>
      <w:pPr>
        <w:pStyle w:val="BodyText"/>
        <w:spacing w:before="1"/>
        <w:rPr>
          <w:rFonts w:ascii="Calibri"/>
          <w:sz w:val="22"/>
        </w:rPr>
      </w:pPr>
    </w:p>
    <w:p>
      <w:pPr>
        <w:spacing w:line="240" w:lineRule="auto" w:before="0"/>
        <w:ind w:left="105" w:right="5522" w:firstLine="48"/>
        <w:jc w:val="left"/>
        <w:rPr>
          <w:rFonts w:ascii="Verdana" w:hAnsi="Verdana"/>
          <w:i/>
          <w:sz w:val="20"/>
        </w:rPr>
      </w:pPr>
      <w:r>
        <w:rPr>
          <w:rFonts w:ascii="Verdana" w:hAnsi="Verdana"/>
          <w:i/>
          <w:sz w:val="22"/>
        </w:rPr>
        <w:t>Luz Elena Sepúlveda Gallego </w:t>
      </w:r>
      <w:r>
        <w:rPr>
          <w:rFonts w:ascii="Verdana" w:hAnsi="Verdana"/>
          <w:i/>
          <w:sz w:val="20"/>
        </w:rPr>
        <w:t>MD. Epid. Mg. Educ. Dra. USal. Profesora Titular</w:t>
      </w:r>
    </w:p>
    <w:p>
      <w:pPr>
        <w:spacing w:line="232" w:lineRule="exact" w:before="12"/>
        <w:ind w:left="105" w:right="5522" w:firstLine="0"/>
        <w:jc w:val="left"/>
        <w:rPr>
          <w:rFonts w:ascii="Verdana" w:hAnsi="Verdana"/>
          <w:i/>
          <w:sz w:val="20"/>
        </w:rPr>
      </w:pPr>
      <w:r>
        <w:rPr>
          <w:rFonts w:ascii="Verdana" w:hAnsi="Verdana"/>
          <w:i/>
          <w:w w:val="105"/>
          <w:sz w:val="20"/>
        </w:rPr>
        <w:t>Universidad</w:t>
      </w:r>
      <w:r>
        <w:rPr>
          <w:rFonts w:ascii="Verdana" w:hAnsi="Verdana"/>
          <w:i/>
          <w:spacing w:val="-36"/>
          <w:w w:val="105"/>
          <w:sz w:val="20"/>
        </w:rPr>
        <w:t> </w:t>
      </w:r>
      <w:r>
        <w:rPr>
          <w:rFonts w:ascii="Verdana" w:hAnsi="Verdana"/>
          <w:i/>
          <w:w w:val="105"/>
          <w:sz w:val="20"/>
        </w:rPr>
        <w:t>de</w:t>
      </w:r>
      <w:r>
        <w:rPr>
          <w:rFonts w:ascii="Verdana" w:hAnsi="Verdana"/>
          <w:i/>
          <w:spacing w:val="-30"/>
          <w:w w:val="105"/>
          <w:sz w:val="20"/>
        </w:rPr>
        <w:t> </w:t>
      </w:r>
      <w:r>
        <w:rPr>
          <w:rFonts w:ascii="Verdana" w:hAnsi="Verdana"/>
          <w:i/>
          <w:w w:val="105"/>
          <w:sz w:val="20"/>
        </w:rPr>
        <w:t>Caldas</w:t>
      </w:r>
      <w:r>
        <w:rPr>
          <w:rFonts w:ascii="Verdana" w:hAnsi="Verdana"/>
          <w:i/>
          <w:spacing w:val="-33"/>
          <w:w w:val="105"/>
          <w:sz w:val="20"/>
        </w:rPr>
        <w:t> </w:t>
      </w:r>
      <w:r>
        <w:rPr>
          <w:rFonts w:ascii="Trebuchet MS" w:hAnsi="Trebuchet MS"/>
          <w:i/>
          <w:w w:val="105"/>
          <w:sz w:val="20"/>
        </w:rPr>
        <w:t>–</w:t>
      </w:r>
      <w:r>
        <w:rPr>
          <w:rFonts w:ascii="Trebuchet MS" w:hAnsi="Trebuchet MS"/>
          <w:i/>
          <w:spacing w:val="-19"/>
          <w:w w:val="105"/>
          <w:sz w:val="20"/>
        </w:rPr>
        <w:t> </w:t>
      </w:r>
      <w:r>
        <w:rPr>
          <w:rFonts w:ascii="Verdana" w:hAnsi="Verdana"/>
          <w:i/>
          <w:w w:val="105"/>
          <w:sz w:val="20"/>
        </w:rPr>
        <w:t>Colombia </w:t>
      </w:r>
      <w:r>
        <w:rPr>
          <w:rFonts w:ascii="Verdana" w:hAnsi="Verdana"/>
          <w:i/>
          <w:w w:val="105"/>
          <w:sz w:val="20"/>
        </w:rPr>
        <w:t>Editora</w:t>
      </w:r>
      <w:r>
        <w:rPr>
          <w:rFonts w:ascii="Verdana" w:hAnsi="Verdana"/>
          <w:i/>
          <w:spacing w:val="-34"/>
          <w:w w:val="105"/>
          <w:sz w:val="20"/>
        </w:rPr>
        <w:t> </w:t>
      </w:r>
      <w:r>
        <w:rPr>
          <w:rFonts w:ascii="Verdana" w:hAnsi="Verdana"/>
          <w:i/>
          <w:w w:val="105"/>
          <w:sz w:val="20"/>
        </w:rPr>
        <w:t>Revista</w:t>
      </w:r>
      <w:r>
        <w:rPr>
          <w:rFonts w:ascii="Verdana" w:hAnsi="Verdana"/>
          <w:i/>
          <w:spacing w:val="-34"/>
          <w:w w:val="105"/>
          <w:sz w:val="20"/>
        </w:rPr>
        <w:t> </w:t>
      </w:r>
      <w:r>
        <w:rPr>
          <w:rFonts w:ascii="Verdana" w:hAnsi="Verdana"/>
          <w:i/>
          <w:spacing w:val="-3"/>
          <w:w w:val="105"/>
          <w:sz w:val="20"/>
        </w:rPr>
        <w:t>Luna</w:t>
      </w:r>
      <w:r>
        <w:rPr>
          <w:rFonts w:ascii="Verdana" w:hAnsi="Verdana"/>
          <w:i/>
          <w:spacing w:val="-34"/>
          <w:w w:val="105"/>
          <w:sz w:val="20"/>
        </w:rPr>
        <w:t> </w:t>
      </w:r>
      <w:r>
        <w:rPr>
          <w:rFonts w:ascii="Verdana" w:hAnsi="Verdana"/>
          <w:i/>
          <w:spacing w:val="-3"/>
          <w:w w:val="105"/>
          <w:sz w:val="20"/>
        </w:rPr>
        <w:t>Azul</w:t>
      </w:r>
    </w:p>
    <w:p>
      <w:pPr>
        <w:spacing w:line="228" w:lineRule="exact" w:before="0"/>
        <w:ind w:left="105" w:right="0" w:firstLine="0"/>
        <w:jc w:val="left"/>
        <w:rPr>
          <w:rFonts w:ascii="Verdana"/>
          <w:i/>
          <w:sz w:val="20"/>
        </w:rPr>
      </w:pPr>
      <w:r>
        <w:rPr>
          <w:rFonts w:ascii="Verdana"/>
          <w:i/>
          <w:sz w:val="20"/>
        </w:rPr>
        <w:t>Tel: 313 685 7800</w:t>
      </w:r>
    </w:p>
    <w:p>
      <w:pPr>
        <w:pStyle w:val="BodyText"/>
        <w:rPr>
          <w:rFonts w:ascii="Verdana"/>
          <w:i/>
          <w:sz w:val="20"/>
        </w:rPr>
      </w:pPr>
    </w:p>
    <w:p>
      <w:pPr>
        <w:pStyle w:val="BodyText"/>
        <w:rPr>
          <w:rFonts w:ascii="Verdana"/>
          <w:i/>
          <w:sz w:val="23"/>
        </w:rPr>
      </w:pPr>
    </w:p>
    <w:p>
      <w:pPr>
        <w:spacing w:before="1"/>
        <w:ind w:left="105" w:right="0" w:firstLine="0"/>
        <w:jc w:val="left"/>
        <w:rPr>
          <w:rFonts w:ascii="Segoe UI" w:hAnsi="Segoe UI"/>
          <w:b/>
          <w:sz w:val="21"/>
        </w:rPr>
      </w:pPr>
      <w:r>
        <w:rPr>
          <w:rFonts w:ascii="Segoe UI" w:hAnsi="Segoe UI"/>
          <w:b/>
          <w:sz w:val="20"/>
        </w:rPr>
        <w:t>N</w:t>
      </w:r>
      <w:r>
        <w:rPr>
          <w:rFonts w:ascii="Segoe UI" w:hAnsi="Segoe UI"/>
          <w:b/>
          <w:sz w:val="21"/>
        </w:rPr>
        <w:t>otificación de la </w:t>
      </w:r>
      <w:r>
        <w:rPr>
          <w:rFonts w:ascii="Segoe UI" w:hAnsi="Segoe UI"/>
          <w:b/>
          <w:sz w:val="20"/>
        </w:rPr>
        <w:t>p</w:t>
      </w:r>
      <w:r>
        <w:rPr>
          <w:rFonts w:ascii="Segoe UI" w:hAnsi="Segoe UI"/>
          <w:b/>
          <w:sz w:val="21"/>
        </w:rPr>
        <w:t>erti</w:t>
      </w:r>
      <w:r>
        <w:rPr>
          <w:rFonts w:ascii="Segoe UI" w:hAnsi="Segoe UI"/>
          <w:b/>
          <w:sz w:val="20"/>
        </w:rPr>
        <w:t>n</w:t>
      </w:r>
      <w:r>
        <w:rPr>
          <w:rFonts w:ascii="Segoe UI" w:hAnsi="Segoe UI"/>
          <w:b/>
          <w:sz w:val="21"/>
        </w:rPr>
        <w:t>encia del artículo par</w:t>
      </w:r>
      <w:r>
        <w:rPr>
          <w:rFonts w:ascii="Segoe UI" w:hAnsi="Segoe UI"/>
          <w:b/>
          <w:sz w:val="20"/>
        </w:rPr>
        <w:t>a </w:t>
      </w:r>
      <w:r>
        <w:rPr>
          <w:rFonts w:ascii="Segoe UI" w:hAnsi="Segoe UI"/>
          <w:b/>
          <w:sz w:val="21"/>
        </w:rPr>
        <w:t>su evaluación</w:t>
      </w:r>
    </w:p>
    <w:p>
      <w:pPr>
        <w:spacing w:before="68"/>
        <w:ind w:left="105" w:right="0" w:firstLine="0"/>
        <w:jc w:val="left"/>
        <w:rPr>
          <w:rFonts w:ascii="Segoe UI" w:hAnsi="Segoe UI"/>
          <w:sz w:val="20"/>
        </w:rPr>
      </w:pPr>
      <w:r>
        <w:rPr>
          <w:rFonts w:ascii="Segoe UI" w:hAnsi="Segoe UI"/>
          <w:w w:val="105"/>
          <w:sz w:val="20"/>
        </w:rPr>
        <w:t>Luz Elena Sepúlveda Gallego (lesga@une.net.co)</w:t>
      </w:r>
    </w:p>
    <w:p>
      <w:pPr>
        <w:spacing w:before="67"/>
        <w:ind w:left="105" w:right="0" w:firstLine="0"/>
        <w:jc w:val="left"/>
        <w:rPr>
          <w:rFonts w:ascii="Segoe UI"/>
          <w:sz w:val="18"/>
        </w:rPr>
      </w:pPr>
      <w:r>
        <w:rPr>
          <w:rFonts w:ascii="Segoe UI"/>
          <w:sz w:val="18"/>
        </w:rPr>
        <w:t>25/05/2015</w:t>
      </w:r>
    </w:p>
    <w:p>
      <w:pPr>
        <w:spacing w:before="16"/>
        <w:ind w:left="105" w:right="0" w:firstLine="0"/>
        <w:jc w:val="left"/>
        <w:rPr>
          <w:rFonts w:ascii="Segoe UI" w:hAnsi="Segoe UI"/>
          <w:sz w:val="18"/>
        </w:rPr>
      </w:pPr>
      <w:r>
        <w:rPr>
          <w:rFonts w:ascii="Segoe UI" w:hAnsi="Segoe UI"/>
          <w:sz w:val="18"/>
        </w:rPr>
        <w:t>Para: 'Hugo Ernesto Sánchez Muñoz'</w:t>
      </w:r>
    </w:p>
    <w:p>
      <w:pPr>
        <w:pStyle w:val="BodyText"/>
        <w:spacing w:before="4"/>
        <w:rPr>
          <w:rFonts w:ascii="Segoe UI"/>
          <w:sz w:val="20"/>
        </w:rPr>
      </w:pPr>
    </w:p>
    <w:p>
      <w:pPr>
        <w:spacing w:line="416" w:lineRule="exact" w:before="0"/>
        <w:ind w:left="105" w:right="3903" w:firstLine="0"/>
        <w:jc w:val="left"/>
        <w:rPr>
          <w:rFonts w:ascii="Cambria"/>
          <w:sz w:val="36"/>
        </w:rPr>
      </w:pPr>
      <w:r>
        <w:rPr>
          <w:rFonts w:ascii="Cambria"/>
          <w:sz w:val="36"/>
        </w:rPr>
        <w:t>UNIVERSIDAD DE CALDAS REVISTA LUNA AZUL</w:t>
      </w:r>
    </w:p>
    <w:p>
      <w:pPr>
        <w:spacing w:line="266" w:lineRule="exact" w:before="268"/>
        <w:ind w:left="105" w:right="0" w:firstLine="0"/>
        <w:jc w:val="left"/>
        <w:rPr>
          <w:rFonts w:ascii="Calibri"/>
          <w:b/>
          <w:i/>
          <w:sz w:val="22"/>
        </w:rPr>
      </w:pPr>
      <w:r>
        <w:rPr>
          <w:rFonts w:ascii="Calibri"/>
          <w:b/>
          <w:i/>
          <w:sz w:val="22"/>
        </w:rPr>
        <w:t>Cordial saludo.</w:t>
      </w:r>
    </w:p>
    <w:p>
      <w:pPr>
        <w:spacing w:line="242" w:lineRule="auto" w:before="0"/>
        <w:ind w:left="105" w:right="117" w:firstLine="0"/>
        <w:jc w:val="both"/>
        <w:rPr>
          <w:rFonts w:ascii="Calibri" w:hAnsi="Calibri"/>
          <w:b/>
          <w:i/>
          <w:sz w:val="22"/>
        </w:rPr>
      </w:pPr>
      <w:r>
        <w:rPr>
          <w:rFonts w:ascii="Calibri" w:hAnsi="Calibri"/>
          <w:b/>
          <w:i/>
          <w:sz w:val="22"/>
        </w:rPr>
        <w:t>Una vez avalada la pertinencia del artículo y para continuar con el proceso editorial </w:t>
      </w:r>
      <w:r>
        <w:rPr>
          <w:rFonts w:ascii="Calibri" w:hAnsi="Calibri"/>
          <w:b/>
          <w:i/>
          <w:sz w:val="22"/>
        </w:rPr>
        <w:t>correspondiente, se hace necesario el envío del nombre de tres potenciales evaluadores con sus respectivas direcciones de correo electrónico; los potenciales evaluadores deben tener un nivel educativo igual o superior a los autores y laborar en instituciones diferentes a las de los mismos. Idealmente al menos uno de los evaluadores debe tener nacionalidad diferente a la  colombiana.</w:t>
      </w:r>
    </w:p>
    <w:p>
      <w:pPr>
        <w:pStyle w:val="BodyText"/>
        <w:spacing w:before="11"/>
        <w:rPr>
          <w:rFonts w:ascii="Calibri"/>
          <w:b/>
          <w:i/>
          <w:sz w:val="21"/>
        </w:rPr>
      </w:pPr>
    </w:p>
    <w:p>
      <w:pPr>
        <w:tabs>
          <w:tab w:pos="704" w:val="left" w:leader="none"/>
          <w:tab w:pos="1951" w:val="left" w:leader="none"/>
          <w:tab w:pos="2838" w:val="left" w:leader="none"/>
          <w:tab w:pos="4045" w:val="left" w:leader="none"/>
          <w:tab w:pos="4613" w:val="left" w:leader="none"/>
          <w:tab w:pos="6028" w:val="left" w:leader="none"/>
          <w:tab w:pos="6627" w:val="left" w:leader="none"/>
          <w:tab w:pos="7163" w:val="left" w:leader="none"/>
          <w:tab w:pos="8170" w:val="left" w:leader="none"/>
          <w:tab w:pos="8770" w:val="left" w:leader="none"/>
        </w:tabs>
        <w:spacing w:line="237" w:lineRule="auto" w:before="0"/>
        <w:ind w:left="105" w:right="119" w:firstLine="0"/>
        <w:jc w:val="left"/>
        <w:rPr>
          <w:rFonts w:ascii="Calibri" w:hAnsi="Calibri"/>
          <w:b/>
          <w:i/>
          <w:sz w:val="22"/>
        </w:rPr>
      </w:pPr>
      <w:r>
        <w:rPr>
          <w:rFonts w:ascii="Calibri" w:hAnsi="Calibri"/>
          <w:b/>
          <w:i/>
          <w:sz w:val="22"/>
        </w:rPr>
        <w:t>También se </w:t>
      </w:r>
      <w:r>
        <w:rPr>
          <w:rFonts w:ascii="Calibri" w:hAnsi="Calibri"/>
          <w:b/>
          <w:i/>
          <w:spacing w:val="-3"/>
          <w:sz w:val="22"/>
        </w:rPr>
        <w:t>requiere </w:t>
      </w:r>
      <w:r>
        <w:rPr>
          <w:rFonts w:ascii="Calibri" w:hAnsi="Calibri"/>
          <w:b/>
          <w:i/>
          <w:sz w:val="22"/>
        </w:rPr>
        <w:t>el envío de la hoja de </w:t>
      </w:r>
      <w:r>
        <w:rPr>
          <w:rFonts w:ascii="Calibri" w:hAnsi="Calibri"/>
          <w:b/>
          <w:i/>
          <w:spacing w:val="-3"/>
          <w:sz w:val="22"/>
        </w:rPr>
        <w:t>vida </w:t>
      </w:r>
      <w:r>
        <w:rPr>
          <w:rFonts w:ascii="Calibri" w:hAnsi="Calibri"/>
          <w:b/>
          <w:i/>
          <w:sz w:val="22"/>
        </w:rPr>
        <w:t>del autor, la lista de </w:t>
      </w:r>
      <w:r>
        <w:rPr>
          <w:rFonts w:ascii="Calibri" w:hAnsi="Calibri"/>
          <w:b/>
          <w:i/>
          <w:spacing w:val="-3"/>
          <w:sz w:val="22"/>
        </w:rPr>
        <w:t>chequeo </w:t>
      </w:r>
      <w:r>
        <w:rPr>
          <w:rFonts w:ascii="Calibri" w:hAnsi="Calibri"/>
          <w:b/>
          <w:i/>
          <w:sz w:val="22"/>
        </w:rPr>
        <w:t>y la carta </w:t>
      </w:r>
      <w:r>
        <w:rPr>
          <w:rFonts w:ascii="Calibri" w:hAnsi="Calibri"/>
          <w:b/>
          <w:i/>
          <w:spacing w:val="-4"/>
          <w:sz w:val="22"/>
        </w:rPr>
        <w:t>de </w:t>
      </w:r>
      <w:r>
        <w:rPr>
          <w:rFonts w:ascii="Calibri" w:hAnsi="Calibri"/>
          <w:b/>
          <w:i/>
          <w:sz w:val="22"/>
        </w:rPr>
        <w:t>cesión </w:t>
      </w:r>
      <w:r>
        <w:rPr>
          <w:rFonts w:ascii="Calibri" w:hAnsi="Calibri"/>
          <w:b/>
          <w:i/>
          <w:sz w:val="22"/>
        </w:rPr>
        <w:t>de</w:t>
        <w:tab/>
        <w:t>derechos,</w:t>
        <w:tab/>
        <w:t>cuyos</w:t>
        <w:tab/>
        <w:t>formatos</w:t>
        <w:tab/>
        <w:t>se</w:t>
        <w:tab/>
        <w:t>encuentran</w:t>
        <w:tab/>
      </w:r>
      <w:r>
        <w:rPr>
          <w:rFonts w:ascii="Calibri" w:hAnsi="Calibri"/>
          <w:b/>
          <w:i/>
          <w:spacing w:val="-4"/>
          <w:sz w:val="22"/>
        </w:rPr>
        <w:t>en</w:t>
        <w:tab/>
        <w:t>la</w:t>
        <w:tab/>
      </w:r>
      <w:r>
        <w:rPr>
          <w:rFonts w:ascii="Calibri" w:hAnsi="Calibri"/>
          <w:b/>
          <w:i/>
          <w:sz w:val="22"/>
        </w:rPr>
        <w:t>página</w:t>
        <w:tab/>
      </w:r>
      <w:r>
        <w:rPr>
          <w:rFonts w:ascii="Calibri" w:hAnsi="Calibri"/>
          <w:b/>
          <w:i/>
          <w:spacing w:val="-4"/>
          <w:sz w:val="22"/>
        </w:rPr>
        <w:t>de</w:t>
        <w:tab/>
        <w:t>la </w:t>
      </w:r>
      <w:r>
        <w:rPr>
          <w:rFonts w:ascii="Calibri" w:hAnsi="Calibri"/>
          <w:b/>
          <w:i/>
          <w:spacing w:val="-3"/>
          <w:sz w:val="22"/>
        </w:rPr>
        <w:t>revista</w:t>
      </w:r>
      <w:hyperlink r:id="rId38">
        <w:r>
          <w:rPr>
            <w:rFonts w:ascii="Calibri" w:hAnsi="Calibri"/>
            <w:b/>
            <w:i/>
            <w:spacing w:val="-3"/>
            <w:sz w:val="22"/>
          </w:rPr>
          <w:t>:</w:t>
        </w:r>
        <w:r>
          <w:rPr>
            <w:rFonts w:ascii="Calibri" w:hAnsi="Calibri"/>
            <w:b/>
            <w:i/>
            <w:spacing w:val="-3"/>
            <w:sz w:val="22"/>
            <w:u w:val="single"/>
          </w:rPr>
          <w:t>http://lunazul.ucaldas.edu.co/index.php?option=com_content&amp;task=view&amp;id=16&amp;Itemi</w:t>
        </w:r>
      </w:hyperlink>
      <w:r>
        <w:rPr>
          <w:rFonts w:ascii="Calibri" w:hAnsi="Calibri"/>
          <w:b/>
          <w:i/>
          <w:spacing w:val="-3"/>
          <w:sz w:val="22"/>
          <w:u w:val="single"/>
        </w:rPr>
        <w:t> </w:t>
      </w:r>
      <w:hyperlink r:id="rId38">
        <w:r>
          <w:rPr>
            <w:rFonts w:ascii="Calibri" w:hAnsi="Calibri"/>
            <w:b/>
            <w:i/>
            <w:sz w:val="22"/>
            <w:u w:val="single"/>
          </w:rPr>
          <w:t>d=34</w:t>
        </w:r>
      </w:hyperlink>
    </w:p>
    <w:p>
      <w:pPr>
        <w:spacing w:line="242" w:lineRule="auto" w:before="4"/>
        <w:ind w:left="105" w:right="3294" w:firstLine="0"/>
        <w:jc w:val="left"/>
        <w:rPr>
          <w:rFonts w:ascii="Calibri" w:hAnsi="Calibri"/>
          <w:b/>
          <w:i/>
          <w:sz w:val="22"/>
        </w:rPr>
      </w:pPr>
      <w:r>
        <w:rPr>
          <w:rFonts w:ascii="Calibri" w:hAnsi="Calibri"/>
          <w:b/>
          <w:i/>
          <w:sz w:val="22"/>
        </w:rPr>
        <w:t>Sin más por el momento, quedo a la espera de la información. </w:t>
      </w:r>
      <w:r>
        <w:rPr>
          <w:rFonts w:ascii="Calibri" w:hAnsi="Calibri"/>
          <w:b/>
          <w:i/>
          <w:sz w:val="22"/>
        </w:rPr>
        <w:t>Hasta pronto,</w:t>
      </w:r>
    </w:p>
    <w:p>
      <w:pPr>
        <w:spacing w:line="292" w:lineRule="exact" w:before="0"/>
        <w:ind w:left="153" w:right="0" w:firstLine="0"/>
        <w:jc w:val="left"/>
        <w:rPr>
          <w:rFonts w:ascii="Palatino Linotype" w:hAnsi="Palatino Linotype"/>
          <w:i/>
          <w:sz w:val="22"/>
        </w:rPr>
      </w:pPr>
      <w:r>
        <w:rPr>
          <w:rFonts w:ascii="Palatino Linotype" w:hAnsi="Palatino Linotype"/>
          <w:i/>
          <w:w w:val="130"/>
          <w:sz w:val="22"/>
        </w:rPr>
        <w:t>Luz </w:t>
      </w:r>
      <w:r>
        <w:rPr>
          <w:rFonts w:ascii="Palatino Linotype" w:hAnsi="Palatino Linotype"/>
          <w:i/>
          <w:spacing w:val="-3"/>
          <w:w w:val="130"/>
          <w:sz w:val="22"/>
        </w:rPr>
        <w:t>Elena Sepúlveda</w:t>
      </w:r>
      <w:r>
        <w:rPr>
          <w:rFonts w:ascii="Palatino Linotype" w:hAnsi="Palatino Linotype"/>
          <w:i/>
          <w:spacing w:val="51"/>
          <w:w w:val="130"/>
          <w:sz w:val="22"/>
        </w:rPr>
        <w:t> </w:t>
      </w:r>
      <w:r>
        <w:rPr>
          <w:rFonts w:ascii="Palatino Linotype" w:hAnsi="Palatino Linotype"/>
          <w:i/>
          <w:spacing w:val="-3"/>
          <w:w w:val="130"/>
          <w:sz w:val="22"/>
        </w:rPr>
        <w:t>Gallego</w:t>
      </w:r>
    </w:p>
    <w:p>
      <w:pPr>
        <w:spacing w:line="240" w:lineRule="auto" w:before="13"/>
        <w:ind w:left="105" w:right="5104" w:firstLine="0"/>
        <w:jc w:val="left"/>
        <w:rPr>
          <w:rFonts w:ascii="Calibri"/>
          <w:sz w:val="22"/>
        </w:rPr>
      </w:pPr>
      <w:r>
        <w:rPr>
          <w:rFonts w:ascii="Calibri"/>
          <w:sz w:val="22"/>
        </w:rPr>
        <w:t>MD., Epid., Mg. Educ., Dra. U. Sal. Profesora Titular Universidad de Caldas Editora Revista Luna Azul</w:t>
      </w:r>
    </w:p>
    <w:p>
      <w:pPr>
        <w:spacing w:line="264" w:lineRule="exact" w:before="0"/>
        <w:ind w:left="105" w:right="0" w:firstLine="0"/>
        <w:jc w:val="left"/>
        <w:rPr>
          <w:rFonts w:ascii="Calibri"/>
          <w:sz w:val="22"/>
        </w:rPr>
      </w:pPr>
      <w:r>
        <w:rPr>
          <w:rFonts w:ascii="Calibri"/>
          <w:sz w:val="22"/>
        </w:rPr>
        <w:t>Tel: 313 685 7800</w:t>
      </w:r>
    </w:p>
    <w:p>
      <w:pPr>
        <w:spacing w:after="0" w:line="264" w:lineRule="exact"/>
        <w:jc w:val="left"/>
        <w:rPr>
          <w:rFonts w:ascii="Calibri"/>
          <w:sz w:val="22"/>
        </w:rPr>
        <w:sectPr>
          <w:pgSz w:w="12240" w:h="15840"/>
          <w:pgMar w:header="0" w:footer="1001" w:top="1400" w:bottom="1200" w:left="1600" w:right="1580"/>
        </w:sectPr>
      </w:pPr>
    </w:p>
    <w:p>
      <w:pPr>
        <w:spacing w:line="604" w:lineRule="auto" w:before="49"/>
        <w:ind w:left="287" w:right="302" w:firstLine="0"/>
        <w:jc w:val="center"/>
        <w:rPr>
          <w:rFonts w:ascii="Times New Roman" w:hAnsi="Times New Roman"/>
          <w:b/>
          <w:sz w:val="24"/>
        </w:rPr>
      </w:pPr>
      <w:r>
        <w:rPr>
          <w:rFonts w:ascii="Times New Roman" w:hAnsi="Times New Roman"/>
          <w:b/>
          <w:sz w:val="24"/>
        </w:rPr>
        <w:t>MODELACIÓN ESPACIAL DE PARTICULAS SUSPENDIDAS (PM10) CIUDAD DE TOLUCA, MÉXICO, 2011-2013</w:t>
      </w:r>
    </w:p>
    <w:p>
      <w:pPr>
        <w:pStyle w:val="BodyText"/>
        <w:rPr>
          <w:rFonts w:ascii="Times New Roman"/>
          <w:b/>
        </w:rPr>
      </w:pPr>
    </w:p>
    <w:p>
      <w:pPr>
        <w:pStyle w:val="BodyText"/>
        <w:rPr>
          <w:rFonts w:ascii="Times New Roman"/>
          <w:b/>
        </w:rPr>
      </w:pPr>
    </w:p>
    <w:p>
      <w:pPr>
        <w:spacing w:before="153"/>
        <w:ind w:left="105" w:right="0" w:firstLine="0"/>
        <w:jc w:val="both"/>
        <w:rPr>
          <w:rFonts w:ascii="Times New Roman" w:hAnsi="Times New Roman"/>
          <w:b/>
          <w:sz w:val="24"/>
        </w:rPr>
      </w:pPr>
      <w:r>
        <w:rPr>
          <w:rFonts w:ascii="Times New Roman" w:hAnsi="Times New Roman"/>
          <w:b/>
          <w:sz w:val="24"/>
        </w:rPr>
        <w:t>Tipo de artículo: investigación científica</w:t>
      </w: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11"/>
        <w:rPr>
          <w:rFonts w:ascii="Times New Roman"/>
          <w:b/>
          <w:sz w:val="21"/>
        </w:rPr>
      </w:pPr>
    </w:p>
    <w:p>
      <w:pPr>
        <w:pStyle w:val="BodyText"/>
        <w:spacing w:line="331" w:lineRule="auto"/>
        <w:ind w:left="285" w:right="296"/>
        <w:jc w:val="center"/>
        <w:rPr>
          <w:sz w:val="16"/>
        </w:rPr>
      </w:pPr>
      <w:r>
        <w:rPr/>
        <w:t>Hugo Ernesto Sánchez Muñoz</w:t>
      </w:r>
      <w:r>
        <w:rPr>
          <w:position w:val="11"/>
          <w:sz w:val="16"/>
        </w:rPr>
        <w:t>i</w:t>
      </w:r>
      <w:r>
        <w:rPr/>
        <w:t>; María Estela Orozco Hernández</w:t>
      </w:r>
      <w:r>
        <w:rPr>
          <w:position w:val="11"/>
          <w:sz w:val="16"/>
        </w:rPr>
        <w:t>ii</w:t>
      </w:r>
      <w:r>
        <w:rPr/>
        <w:t>, Víctor Pacheco</w:t>
      </w:r>
      <w:r>
        <w:rPr>
          <w:position w:val="11"/>
          <w:sz w:val="16"/>
        </w:rPr>
        <w:t>iii</w:t>
      </w:r>
      <w:r>
        <w:rPr/>
        <w:t>; María Eugenia Valdez Pérez</w:t>
      </w:r>
      <w:r>
        <w:rPr>
          <w:position w:val="11"/>
          <w:sz w:val="16"/>
        </w:rPr>
        <w:t>iv</w:t>
      </w:r>
    </w:p>
    <w:p>
      <w:pPr>
        <w:pStyle w:val="BodyText"/>
        <w:rPr>
          <w:sz w:val="28"/>
        </w:rPr>
      </w:pPr>
    </w:p>
    <w:p>
      <w:pPr>
        <w:pStyle w:val="BodyText"/>
        <w:rPr>
          <w:sz w:val="28"/>
        </w:rPr>
      </w:pPr>
    </w:p>
    <w:p>
      <w:pPr>
        <w:pStyle w:val="BodyText"/>
        <w:spacing w:before="3"/>
        <w:rPr>
          <w:sz w:val="30"/>
        </w:rPr>
      </w:pPr>
    </w:p>
    <w:p>
      <w:pPr>
        <w:spacing w:before="1"/>
        <w:ind w:left="105" w:right="0" w:firstLine="0"/>
        <w:jc w:val="both"/>
        <w:rPr>
          <w:b/>
          <w:sz w:val="24"/>
        </w:rPr>
      </w:pPr>
      <w:r>
        <w:rPr>
          <w:b/>
          <w:sz w:val="24"/>
        </w:rPr>
        <w:t>Resumen</w:t>
      </w:r>
    </w:p>
    <w:p>
      <w:pPr>
        <w:pStyle w:val="BodyText"/>
        <w:rPr>
          <w:b/>
        </w:rPr>
      </w:pPr>
    </w:p>
    <w:p>
      <w:pPr>
        <w:pStyle w:val="BodyText"/>
        <w:spacing w:line="360" w:lineRule="auto" w:before="144"/>
        <w:ind w:left="105" w:right="103"/>
        <w:jc w:val="both"/>
      </w:pPr>
      <w:r>
        <w:rPr/>
        <w:t>En esta investigación se identifican los patrones espaciales </w:t>
      </w:r>
      <w:r>
        <w:rPr>
          <w:spacing w:val="5"/>
        </w:rPr>
        <w:t>de </w:t>
      </w:r>
      <w:r>
        <w:rPr/>
        <w:t>las partículas suspendidas (PM10) </w:t>
      </w:r>
      <w:r>
        <w:rPr>
          <w:spacing w:val="-3"/>
        </w:rPr>
        <w:t>en </w:t>
      </w:r>
      <w:r>
        <w:rPr/>
        <w:t>la ciudad de Toluca, </w:t>
      </w:r>
      <w:r>
        <w:rPr>
          <w:spacing w:val="-3"/>
        </w:rPr>
        <w:t>en el </w:t>
      </w:r>
      <w:r>
        <w:rPr/>
        <w:t>periodo </w:t>
      </w:r>
      <w:r>
        <w:rPr>
          <w:spacing w:val="2"/>
        </w:rPr>
        <w:t>2011-2013, </w:t>
      </w:r>
      <w:r>
        <w:rPr/>
        <w:t>la información se obtuvo de la Red Automática de Monitoreo Atmosférico de Toluca (RAMAT), la modelación se realizó a través del módulo Geostatical Analyst integrado a </w:t>
      </w:r>
      <w:r>
        <w:rPr>
          <w:spacing w:val="5"/>
        </w:rPr>
        <w:t>la </w:t>
      </w:r>
      <w:r>
        <w:rPr/>
        <w:t>plataforma del software Arcgis 10.1. Los modelos espaciales indican que la calidad del aire </w:t>
      </w:r>
      <w:r>
        <w:rPr>
          <w:spacing w:val="3"/>
        </w:rPr>
        <w:t>se </w:t>
      </w:r>
      <w:r>
        <w:rPr/>
        <w:t>mantendrá de mala a regular, por ello </w:t>
      </w:r>
      <w:r>
        <w:rPr>
          <w:spacing w:val="-3"/>
        </w:rPr>
        <w:t>es </w:t>
      </w:r>
      <w:r>
        <w:rPr/>
        <w:t>necesario avanzar </w:t>
      </w:r>
      <w:r>
        <w:rPr>
          <w:spacing w:val="-3"/>
        </w:rPr>
        <w:t>en </w:t>
      </w:r>
      <w:r>
        <w:rPr/>
        <w:t>la cultura </w:t>
      </w:r>
      <w:r>
        <w:rPr>
          <w:spacing w:val="5"/>
        </w:rPr>
        <w:t>de </w:t>
      </w:r>
      <w:r>
        <w:rPr/>
        <w:t>la prevención a través de un programa de alerta temprana, que informe a </w:t>
      </w:r>
      <w:r>
        <w:rPr>
          <w:spacing w:val="5"/>
        </w:rPr>
        <w:t>la </w:t>
      </w:r>
      <w:r>
        <w:rPr/>
        <w:t>población sobre los riesgos que se presentan </w:t>
      </w:r>
      <w:r>
        <w:rPr>
          <w:spacing w:val="-3"/>
        </w:rPr>
        <w:t>en </w:t>
      </w:r>
      <w:r>
        <w:rPr/>
        <w:t>las épocas seca y cálida del </w:t>
      </w:r>
      <w:r>
        <w:rPr>
          <w:spacing w:val="-3"/>
        </w:rPr>
        <w:t>año, </w:t>
      </w:r>
      <w:r>
        <w:rPr/>
        <w:t>y las medidas de atención </w:t>
      </w:r>
      <w:r>
        <w:rPr>
          <w:spacing w:val="-3"/>
        </w:rPr>
        <w:t>en </w:t>
      </w:r>
      <w:r>
        <w:rPr/>
        <w:t>condiciones </w:t>
      </w:r>
      <w:r>
        <w:rPr>
          <w:spacing w:val="5"/>
        </w:rPr>
        <w:t>de </w:t>
      </w:r>
      <w:r>
        <w:rPr/>
        <w:t>contingencia</w:t>
      </w:r>
      <w:r>
        <w:rPr>
          <w:spacing w:val="-18"/>
        </w:rPr>
        <w:t> </w:t>
      </w:r>
      <w:r>
        <w:rPr/>
        <w:t>atmosférica.</w:t>
      </w:r>
    </w:p>
    <w:p>
      <w:pPr>
        <w:pStyle w:val="BodyText"/>
        <w:spacing w:before="2"/>
      </w:pPr>
    </w:p>
    <w:p>
      <w:pPr>
        <w:pStyle w:val="BodyText"/>
        <w:spacing w:line="362" w:lineRule="auto"/>
        <w:ind w:left="105" w:right="121"/>
        <w:jc w:val="both"/>
      </w:pPr>
      <w:r>
        <w:rPr>
          <w:b/>
        </w:rPr>
        <w:t>Palabras clave: </w:t>
      </w:r>
      <w:r>
        <w:rPr/>
        <w:t>modelación espacial, partículas suspendidas PM10, calidad del aire, contingencia atmosférica.</w:t>
      </w:r>
    </w:p>
    <w:p>
      <w:pPr>
        <w:spacing w:after="0" w:line="362" w:lineRule="auto"/>
        <w:jc w:val="both"/>
        <w:sectPr>
          <w:pgSz w:w="12240" w:h="15840"/>
          <w:pgMar w:header="0" w:footer="1001" w:top="1360" w:bottom="1200" w:left="1600" w:right="1580"/>
        </w:sectPr>
      </w:pPr>
    </w:p>
    <w:p>
      <w:pPr>
        <w:spacing w:before="48"/>
        <w:ind w:left="105" w:right="0" w:firstLine="0"/>
        <w:jc w:val="both"/>
        <w:rPr>
          <w:b/>
          <w:sz w:val="24"/>
        </w:rPr>
      </w:pPr>
      <w:r>
        <w:rPr>
          <w:b/>
          <w:sz w:val="24"/>
        </w:rPr>
        <w:t>Abstract</w:t>
      </w:r>
    </w:p>
    <w:p>
      <w:pPr>
        <w:pStyle w:val="BodyText"/>
        <w:rPr>
          <w:b/>
        </w:rPr>
      </w:pPr>
    </w:p>
    <w:p>
      <w:pPr>
        <w:pStyle w:val="BodyText"/>
        <w:rPr>
          <w:b/>
        </w:rPr>
      </w:pPr>
    </w:p>
    <w:p>
      <w:pPr>
        <w:pStyle w:val="BodyText"/>
        <w:rPr>
          <w:b/>
        </w:rPr>
      </w:pPr>
    </w:p>
    <w:p>
      <w:pPr>
        <w:pStyle w:val="BodyText"/>
        <w:spacing w:before="1"/>
        <w:rPr>
          <w:b/>
          <w:sz w:val="25"/>
        </w:rPr>
      </w:pPr>
    </w:p>
    <w:p>
      <w:pPr>
        <w:pStyle w:val="BodyText"/>
        <w:spacing w:line="360" w:lineRule="auto"/>
        <w:ind w:left="105" w:right="121"/>
        <w:jc w:val="both"/>
      </w:pPr>
      <w:r>
        <w:rPr/>
        <w:t>In this research the spatial patterns of suspended particles (PM10) are identified in Toluca city since 2011 to 2013, information was obtained from automatic air quality monitoring network (RAMAT), modeling was performed using the module Geostatical Analyst integrated integrated software platform Arc Gis 10.1. Spatial models indicate that air quality will remain poor to regulate, so it is necessary to advance the culture of prevention through early warning program, to inform the public about the risks that arise in the dry and warm seasons, and care measures under atmospheric contingency.</w:t>
      </w:r>
    </w:p>
    <w:p>
      <w:pPr>
        <w:pStyle w:val="BodyText"/>
      </w:pPr>
    </w:p>
    <w:p>
      <w:pPr>
        <w:pStyle w:val="BodyText"/>
      </w:pPr>
    </w:p>
    <w:p>
      <w:pPr>
        <w:pStyle w:val="BodyText"/>
      </w:pPr>
    </w:p>
    <w:p>
      <w:pPr>
        <w:pStyle w:val="BodyText"/>
        <w:spacing w:line="362" w:lineRule="auto" w:before="146"/>
        <w:ind w:left="105" w:right="119"/>
        <w:jc w:val="both"/>
      </w:pPr>
      <w:r>
        <w:rPr>
          <w:b/>
        </w:rPr>
        <w:t>Key words: </w:t>
      </w:r>
      <w:r>
        <w:rPr/>
        <w:t>Sapatial models, suspended particles (PM10), air quality, atmospheric contingency.</w:t>
      </w:r>
    </w:p>
    <w:p>
      <w:pPr>
        <w:spacing w:after="0" w:line="362" w:lineRule="auto"/>
        <w:jc w:val="both"/>
        <w:sectPr>
          <w:pgSz w:w="12240" w:h="15840"/>
          <w:pgMar w:header="0" w:footer="1001" w:top="1360" w:bottom="1200" w:left="1600" w:right="1580"/>
        </w:sectPr>
      </w:pPr>
    </w:p>
    <w:p>
      <w:pPr>
        <w:spacing w:before="48"/>
        <w:ind w:left="105" w:right="0" w:firstLine="0"/>
        <w:jc w:val="both"/>
        <w:rPr>
          <w:b/>
          <w:sz w:val="24"/>
        </w:rPr>
      </w:pPr>
      <w:r>
        <w:rPr>
          <w:b/>
          <w:sz w:val="24"/>
        </w:rPr>
        <w:t>Introducción</w:t>
      </w:r>
    </w:p>
    <w:p>
      <w:pPr>
        <w:pStyle w:val="BodyText"/>
        <w:rPr>
          <w:b/>
        </w:rPr>
      </w:pPr>
    </w:p>
    <w:p>
      <w:pPr>
        <w:pStyle w:val="BodyText"/>
        <w:spacing w:line="360" w:lineRule="auto" w:before="144"/>
        <w:ind w:left="105" w:right="113"/>
        <w:jc w:val="both"/>
      </w:pPr>
      <w:r>
        <w:rPr/>
        <w:t>La Organización Mundial de la Salud (OMS) advierte que la exposición a la contaminación atmosférica </w:t>
      </w:r>
      <w:r>
        <w:rPr>
          <w:spacing w:val="-3"/>
        </w:rPr>
        <w:t>es </w:t>
      </w:r>
      <w:r>
        <w:rPr/>
        <w:t>un factor de riesgo que aumenta la morbilidad de la población y la probabilidad para desarrollar enfermedades cardiacas y respiratorias, estas han ocasionado la muerte a 1.5 millones </w:t>
      </w:r>
      <w:r>
        <w:rPr>
          <w:spacing w:val="5"/>
        </w:rPr>
        <w:t>de </w:t>
      </w:r>
      <w:r>
        <w:rPr/>
        <w:t>personas </w:t>
      </w:r>
      <w:r>
        <w:rPr>
          <w:spacing w:val="-3"/>
        </w:rPr>
        <w:t>en </w:t>
      </w:r>
      <w:r>
        <w:rPr/>
        <w:t>un año (Martuzzi </w:t>
      </w:r>
      <w:r>
        <w:rPr>
          <w:spacing w:val="-3"/>
        </w:rPr>
        <w:t>et </w:t>
      </w:r>
      <w:r>
        <w:rPr/>
        <w:t>al., </w:t>
      </w:r>
      <w:r>
        <w:rPr>
          <w:spacing w:val="2"/>
        </w:rPr>
        <w:t>2006). </w:t>
      </w:r>
      <w:r>
        <w:rPr/>
        <w:t>En México, 38,000 fallecimientos atribuidos a la contaminación atmosférica, representan 0.5% de los </w:t>
      </w:r>
      <w:r>
        <w:rPr>
          <w:spacing w:val="-3"/>
        </w:rPr>
        <w:t>casos </w:t>
      </w:r>
      <w:r>
        <w:rPr/>
        <w:t>reportados por  la OMS, las causas de las pérdidas humanas se identifican </w:t>
      </w:r>
      <w:r>
        <w:rPr>
          <w:spacing w:val="-3"/>
        </w:rPr>
        <w:t>en </w:t>
      </w:r>
      <w:r>
        <w:rPr/>
        <w:t>la concentración de partículas suspendidas totales (PM10 Y PM2.5) </w:t>
      </w:r>
      <w:r>
        <w:rPr>
          <w:spacing w:val="-3"/>
        </w:rPr>
        <w:t>en </w:t>
      </w:r>
      <w:r>
        <w:rPr>
          <w:spacing w:val="5"/>
        </w:rPr>
        <w:t>la </w:t>
      </w:r>
      <w:r>
        <w:rPr/>
        <w:t>fracción respirable y la exposición de la población </w:t>
      </w:r>
      <w:r>
        <w:rPr>
          <w:spacing w:val="-3"/>
        </w:rPr>
        <w:t>en </w:t>
      </w:r>
      <w:r>
        <w:rPr/>
        <w:t>las principales zonas metropolitanas de las ciudades de México, Guadalajara, Monterrey, Puebla y Toluca (INE,</w:t>
      </w:r>
      <w:r>
        <w:rPr>
          <w:spacing w:val="-19"/>
        </w:rPr>
        <w:t> </w:t>
      </w:r>
      <w:r>
        <w:rPr/>
        <w:t>2011).</w:t>
      </w:r>
    </w:p>
    <w:p>
      <w:pPr>
        <w:pStyle w:val="BodyText"/>
        <w:spacing w:before="2"/>
      </w:pPr>
    </w:p>
    <w:p>
      <w:pPr>
        <w:pStyle w:val="BodyText"/>
        <w:spacing w:line="360" w:lineRule="auto"/>
        <w:ind w:left="105" w:right="105"/>
        <w:jc w:val="both"/>
      </w:pPr>
      <w:r>
        <w:rPr/>
        <w:t>En </w:t>
      </w:r>
      <w:r>
        <w:rPr>
          <w:spacing w:val="-3"/>
        </w:rPr>
        <w:t>este </w:t>
      </w:r>
      <w:r>
        <w:rPr/>
        <w:t>conjunto la zona metropolitana de la ciudad de Toluca (ZMCT) presenta </w:t>
      </w:r>
      <w:r>
        <w:rPr>
          <w:spacing w:val="-3"/>
        </w:rPr>
        <w:t>altos </w:t>
      </w:r>
      <w:r>
        <w:rPr/>
        <w:t>niveles de contaminación atmosférica y en las últimas décadas este  problema se ha agudizado por </w:t>
      </w:r>
      <w:r>
        <w:rPr>
          <w:spacing w:val="-3"/>
        </w:rPr>
        <w:t>el </w:t>
      </w:r>
      <w:r>
        <w:rPr/>
        <w:t>incremento del parque vehicular, la intensificación de las actividades agrícolas y las actividades extractivas que se desarrollan </w:t>
      </w:r>
      <w:r>
        <w:rPr>
          <w:spacing w:val="-3"/>
        </w:rPr>
        <w:t>en </w:t>
      </w:r>
      <w:r>
        <w:rPr/>
        <w:t>los bordes de la zona urbana. La problemática Identifica las concentraciones de Ozono (O3), partículas menores a 10 micras (PM10). En </w:t>
      </w:r>
      <w:r>
        <w:rPr>
          <w:spacing w:val="-3"/>
        </w:rPr>
        <w:t>el  </w:t>
      </w:r>
      <w:r>
        <w:rPr/>
        <w:t>año 2009 las concentraciones de PM10, </w:t>
      </w:r>
      <w:r>
        <w:rPr>
          <w:spacing w:val="-3"/>
        </w:rPr>
        <w:t>en </w:t>
      </w:r>
      <w:r>
        <w:rPr/>
        <w:t>154 días rebasaron </w:t>
      </w:r>
      <w:r>
        <w:rPr>
          <w:spacing w:val="-3"/>
        </w:rPr>
        <w:t>el </w:t>
      </w:r>
      <w:r>
        <w:rPr/>
        <w:t>límite permitido de 75 (mcg/m3) establecido </w:t>
      </w:r>
      <w:r>
        <w:rPr>
          <w:spacing w:val="-3"/>
        </w:rPr>
        <w:t>en </w:t>
      </w:r>
      <w:r>
        <w:rPr/>
        <w:t>la Norma Oficial Mexicana-025-SSA1-2014(Salud, 2014), </w:t>
      </w:r>
      <w:r>
        <w:rPr>
          <w:spacing w:val="-3"/>
        </w:rPr>
        <w:t>en </w:t>
      </w:r>
      <w:r>
        <w:rPr/>
        <w:t>febrero del año 2013, aumentaron las emisiones de PM10 y </w:t>
      </w:r>
      <w:r>
        <w:rPr>
          <w:spacing w:val="-3"/>
        </w:rPr>
        <w:t>el </w:t>
      </w:r>
      <w:r>
        <w:rPr/>
        <w:t>índice metropolitano </w:t>
      </w:r>
      <w:r>
        <w:rPr>
          <w:spacing w:val="5"/>
        </w:rPr>
        <w:t>de </w:t>
      </w:r>
      <w:r>
        <w:rPr/>
        <w:t>calidad del aire (IMECA), pasó de 100 a 144 puntos (Contrerás, 2013).</w:t>
      </w:r>
    </w:p>
    <w:p>
      <w:pPr>
        <w:pStyle w:val="BodyText"/>
        <w:spacing w:before="10"/>
      </w:pPr>
    </w:p>
    <w:p>
      <w:pPr>
        <w:pStyle w:val="BodyText"/>
        <w:spacing w:line="360" w:lineRule="auto"/>
        <w:ind w:left="105" w:right="104"/>
        <w:jc w:val="both"/>
      </w:pPr>
      <w:r>
        <w:rPr/>
        <w:t>En un estudio que analizó una serie temporal de ocho </w:t>
      </w:r>
      <w:r>
        <w:rPr>
          <w:spacing w:val="-3"/>
        </w:rPr>
        <w:t>años </w:t>
      </w:r>
      <w:r>
        <w:rPr/>
        <w:t>(1998-2005) y </w:t>
      </w:r>
      <w:r>
        <w:rPr>
          <w:spacing w:val="3"/>
        </w:rPr>
        <w:t>se  </w:t>
      </w:r>
      <w:r>
        <w:rPr/>
        <w:t>aplicó </w:t>
      </w:r>
      <w:r>
        <w:rPr>
          <w:spacing w:val="-3"/>
        </w:rPr>
        <w:t>el </w:t>
      </w:r>
      <w:r>
        <w:rPr/>
        <w:t>método estadístico </w:t>
      </w:r>
      <w:r>
        <w:rPr>
          <w:spacing w:val="5"/>
        </w:rPr>
        <w:t>de </w:t>
      </w:r>
      <w:r>
        <w:rPr/>
        <w:t>valores extremos, los valores </w:t>
      </w:r>
      <w:r>
        <w:rPr>
          <w:spacing w:val="5"/>
        </w:rPr>
        <w:t>de </w:t>
      </w:r>
      <w:r>
        <w:rPr/>
        <w:t>predicción estimados, identificaron que </w:t>
      </w:r>
      <w:r>
        <w:rPr>
          <w:spacing w:val="-3"/>
        </w:rPr>
        <w:t>en el </w:t>
      </w:r>
      <w:r>
        <w:rPr/>
        <w:t>año 2000, la concentración de contaminantes  fue superior a </w:t>
      </w:r>
      <w:r>
        <w:rPr>
          <w:spacing w:val="5"/>
        </w:rPr>
        <w:t>la </w:t>
      </w:r>
      <w:r>
        <w:rPr/>
        <w:t>permitida por la Norma Oficial Mexicana-SSA1-1993 (2005), la que </w:t>
      </w:r>
      <w:r>
        <w:rPr>
          <w:spacing w:val="-3"/>
        </w:rPr>
        <w:t>en </w:t>
      </w:r>
      <w:r>
        <w:rPr/>
        <w:t>contraste con </w:t>
      </w:r>
      <w:r>
        <w:rPr>
          <w:spacing w:val="5"/>
        </w:rPr>
        <w:t>la </w:t>
      </w:r>
      <w:r>
        <w:rPr/>
        <w:t>modificación publicada </w:t>
      </w:r>
      <w:r>
        <w:rPr>
          <w:spacing w:val="-3"/>
        </w:rPr>
        <w:t>en </w:t>
      </w:r>
      <w:r>
        <w:rPr/>
        <w:t>2014, establecía </w:t>
      </w:r>
      <w:r>
        <w:rPr>
          <w:spacing w:val="5"/>
        </w:rPr>
        <w:t>la </w:t>
      </w:r>
      <w:r>
        <w:rPr/>
        <w:t>concentración máxima permisible de 120(mcg/m3) por un periodo de 24 horas. La predicción   del   estudio,   indico   que   de   continuar   con   </w:t>
      </w:r>
      <w:r>
        <w:rPr>
          <w:spacing w:val="-3"/>
        </w:rPr>
        <w:t>esta   </w:t>
      </w:r>
      <w:r>
        <w:rPr/>
        <w:t>tendencia,  </w:t>
      </w:r>
      <w:r>
        <w:rPr>
          <w:spacing w:val="36"/>
        </w:rPr>
        <w:t> </w:t>
      </w:r>
      <w:r>
        <w:rPr/>
        <w:t>las</w:t>
      </w:r>
    </w:p>
    <w:p>
      <w:pPr>
        <w:spacing w:after="0" w:line="360" w:lineRule="auto"/>
        <w:jc w:val="both"/>
        <w:sectPr>
          <w:pgSz w:w="12240" w:h="15840"/>
          <w:pgMar w:header="0" w:footer="1001" w:top="1360" w:bottom="1200" w:left="1600" w:right="1580"/>
        </w:sectPr>
      </w:pPr>
    </w:p>
    <w:p>
      <w:pPr>
        <w:pStyle w:val="BodyText"/>
        <w:spacing w:line="362" w:lineRule="auto" w:before="48"/>
        <w:ind w:left="105" w:right="114"/>
        <w:jc w:val="both"/>
      </w:pPr>
      <w:r>
        <w:rPr/>
        <w:t>concentraciones serían altas y frecuentes en los años posteriores, particularmente en dirección suroeste-noreste y sur-noreste de la ZMCT (R. Flores, Jesús Hernán et al., 2010).</w:t>
      </w:r>
    </w:p>
    <w:p>
      <w:pPr>
        <w:pStyle w:val="BodyText"/>
        <w:spacing w:before="11"/>
        <w:rPr>
          <w:sz w:val="23"/>
        </w:rPr>
      </w:pPr>
    </w:p>
    <w:p>
      <w:pPr>
        <w:pStyle w:val="BodyText"/>
        <w:spacing w:line="360" w:lineRule="auto"/>
        <w:ind w:left="105" w:right="116"/>
        <w:jc w:val="both"/>
      </w:pPr>
      <w:r>
        <w:rPr/>
        <w:t>En </w:t>
      </w:r>
      <w:r>
        <w:rPr>
          <w:spacing w:val="-3"/>
        </w:rPr>
        <w:t>el </w:t>
      </w:r>
      <w:r>
        <w:rPr/>
        <w:t>mismo período </w:t>
      </w:r>
      <w:r>
        <w:rPr>
          <w:spacing w:val="3"/>
        </w:rPr>
        <w:t>se </w:t>
      </w:r>
      <w:r>
        <w:rPr/>
        <w:t>aplicó </w:t>
      </w:r>
      <w:r>
        <w:rPr>
          <w:spacing w:val="-3"/>
        </w:rPr>
        <w:t>el </w:t>
      </w:r>
      <w:r>
        <w:rPr/>
        <w:t>análisis univariante, los resultados indican que la </w:t>
      </w:r>
      <w:r>
        <w:rPr>
          <w:spacing w:val="-3"/>
        </w:rPr>
        <w:t>mayor </w:t>
      </w:r>
      <w:r>
        <w:rPr/>
        <w:t>concentración de partículas suspendidas ocurre </w:t>
      </w:r>
      <w:r>
        <w:rPr>
          <w:spacing w:val="-3"/>
        </w:rPr>
        <w:t>en </w:t>
      </w:r>
      <w:r>
        <w:rPr/>
        <w:t>los meses </w:t>
      </w:r>
      <w:r>
        <w:rPr>
          <w:spacing w:val="5"/>
        </w:rPr>
        <w:t>de </w:t>
      </w:r>
      <w:r>
        <w:rPr/>
        <w:t>febrero a abril y la máxima concentración </w:t>
      </w:r>
      <w:r>
        <w:rPr>
          <w:spacing w:val="3"/>
        </w:rPr>
        <w:t>se </w:t>
      </w:r>
      <w:r>
        <w:rPr/>
        <w:t>presenta </w:t>
      </w:r>
      <w:r>
        <w:rPr>
          <w:spacing w:val="-3"/>
        </w:rPr>
        <w:t>en el </w:t>
      </w:r>
      <w:r>
        <w:rPr/>
        <w:t>norte </w:t>
      </w:r>
      <w:r>
        <w:rPr>
          <w:spacing w:val="5"/>
        </w:rPr>
        <w:t>de la </w:t>
      </w:r>
      <w:r>
        <w:rPr/>
        <w:t>ZMCT, está condición se atribuye a la dirección del viento (Morelos Martínez, 2009). Romero &amp; Reyes (2013) analizaron los factores meteorológicos y </w:t>
      </w:r>
      <w:r>
        <w:rPr>
          <w:spacing w:val="5"/>
        </w:rPr>
        <w:t>la </w:t>
      </w:r>
      <w:r>
        <w:rPr/>
        <w:t>dinámica de los vientos, los resultados identifican partículas de origen industrial, carbón, azufre, vanadio y níquel, partículas compuestas por aluminio, oxígeno y sílice provenientes de la erosión de las tierras y entre otros componentes de origen orgánico, polen, esporas, fragmentos </w:t>
      </w:r>
      <w:r>
        <w:rPr>
          <w:spacing w:val="5"/>
        </w:rPr>
        <w:t>de </w:t>
      </w:r>
      <w:r>
        <w:rPr/>
        <w:t>insectos y ameba, concluyeron que la </w:t>
      </w:r>
      <w:r>
        <w:rPr>
          <w:spacing w:val="-3"/>
        </w:rPr>
        <w:t>mayor </w:t>
      </w:r>
      <w:r>
        <w:rPr/>
        <w:t>concentración de partículas suspendidas se presenta </w:t>
      </w:r>
      <w:r>
        <w:rPr>
          <w:spacing w:val="-3"/>
        </w:rPr>
        <w:t>al </w:t>
      </w:r>
      <w:r>
        <w:rPr/>
        <w:t>norte de la ZMCT. Los referentes evidencian </w:t>
      </w:r>
      <w:r>
        <w:rPr>
          <w:spacing w:val="-3"/>
        </w:rPr>
        <w:t>el </w:t>
      </w:r>
      <w:r>
        <w:rPr/>
        <w:t>enfoque reactivo de las enfermedades que </w:t>
      </w:r>
      <w:r>
        <w:rPr>
          <w:spacing w:val="3"/>
        </w:rPr>
        <w:t>se </w:t>
      </w:r>
      <w:r>
        <w:rPr/>
        <w:t>producen por la exposición de la población a la contaminación y </w:t>
      </w:r>
      <w:r>
        <w:rPr>
          <w:spacing w:val="-3"/>
        </w:rPr>
        <w:t>el </w:t>
      </w:r>
      <w:r>
        <w:rPr/>
        <w:t>consecuente deceso de los afectados, sin embargo las causas y consecuencias de la contaminación </w:t>
      </w:r>
      <w:r>
        <w:rPr>
          <w:spacing w:val="-3"/>
        </w:rPr>
        <w:t>en el </w:t>
      </w:r>
      <w:r>
        <w:rPr/>
        <w:t>largo plazo, aún </w:t>
      </w:r>
      <w:r>
        <w:rPr>
          <w:spacing w:val="-3"/>
        </w:rPr>
        <w:t>en </w:t>
      </w:r>
      <w:r>
        <w:rPr/>
        <w:t>están </w:t>
      </w:r>
      <w:r>
        <w:rPr>
          <w:spacing w:val="-3"/>
        </w:rPr>
        <w:t>en </w:t>
      </w:r>
      <w:r>
        <w:rPr/>
        <w:t>ciernes. Por otro lado, los estudios específicos advierten la magnitud del problema </w:t>
      </w:r>
      <w:r>
        <w:rPr>
          <w:spacing w:val="-3"/>
        </w:rPr>
        <w:t>en </w:t>
      </w:r>
      <w:r>
        <w:rPr>
          <w:spacing w:val="5"/>
        </w:rPr>
        <w:t>la </w:t>
      </w:r>
      <w:r>
        <w:rPr/>
        <w:t>zona </w:t>
      </w:r>
      <w:r>
        <w:rPr>
          <w:spacing w:val="-3"/>
        </w:rPr>
        <w:t>en </w:t>
      </w:r>
      <w:r>
        <w:rPr/>
        <w:t>estudio, destacan </w:t>
      </w:r>
      <w:r>
        <w:rPr>
          <w:spacing w:val="5"/>
        </w:rPr>
        <w:t>la </w:t>
      </w:r>
      <w:r>
        <w:rPr/>
        <w:t>importancia de contar con series de datos continuas y completas, </w:t>
      </w:r>
      <w:r>
        <w:rPr>
          <w:spacing w:val="4"/>
        </w:rPr>
        <w:t>así </w:t>
      </w:r>
      <w:r>
        <w:rPr/>
        <w:t>como la selección de los métodos, las herramientas y las variables de análisis para </w:t>
      </w:r>
      <w:r>
        <w:rPr>
          <w:spacing w:val="-3"/>
        </w:rPr>
        <w:t>el </w:t>
      </w:r>
      <w:r>
        <w:rPr/>
        <w:t>tratamiento de la información. Esta investigación identifica los patrones espaciales de las partículas suspendidas (PM10) </w:t>
      </w:r>
      <w:r>
        <w:rPr>
          <w:spacing w:val="-3"/>
        </w:rPr>
        <w:t>en </w:t>
      </w:r>
      <w:r>
        <w:rPr/>
        <w:t>la ciudad de Toluca, </w:t>
      </w:r>
      <w:r>
        <w:rPr>
          <w:spacing w:val="-3"/>
        </w:rPr>
        <w:t>en el </w:t>
      </w:r>
      <w:r>
        <w:rPr/>
        <w:t>periodo </w:t>
      </w:r>
      <w:r>
        <w:rPr>
          <w:spacing w:val="2"/>
        </w:rPr>
        <w:t>2011-2013 </w:t>
      </w:r>
      <w:r>
        <w:rPr/>
        <w:t>y propone algunas estrategias básicas que pretenden coadyuvar </w:t>
      </w:r>
      <w:r>
        <w:rPr>
          <w:spacing w:val="-3"/>
        </w:rPr>
        <w:t>en el </w:t>
      </w:r>
      <w:r>
        <w:rPr/>
        <w:t>mejoramiento de la habitabilidad</w:t>
      </w:r>
      <w:r>
        <w:rPr>
          <w:spacing w:val="-13"/>
        </w:rPr>
        <w:t> </w:t>
      </w:r>
      <w:r>
        <w:rPr/>
        <w:t>urbana.</w:t>
      </w:r>
    </w:p>
    <w:p>
      <w:pPr>
        <w:spacing w:after="0" w:line="360" w:lineRule="auto"/>
        <w:jc w:val="both"/>
        <w:sectPr>
          <w:footerReference w:type="default" r:id="rId39"/>
          <w:pgSz w:w="12240" w:h="15840"/>
          <w:pgMar w:footer="1001" w:header="0" w:top="1360" w:bottom="1200" w:left="1600" w:right="1580"/>
        </w:sectPr>
      </w:pPr>
    </w:p>
    <w:p>
      <w:pPr>
        <w:spacing w:before="48"/>
        <w:ind w:left="225" w:right="0" w:firstLine="0"/>
        <w:jc w:val="both"/>
        <w:rPr>
          <w:b/>
          <w:sz w:val="24"/>
        </w:rPr>
      </w:pPr>
      <w:r>
        <w:rPr>
          <w:b/>
          <w:sz w:val="24"/>
        </w:rPr>
        <w:t>Materiales y métodos</w:t>
      </w:r>
    </w:p>
    <w:p>
      <w:pPr>
        <w:pStyle w:val="BodyText"/>
        <w:spacing w:before="5"/>
        <w:rPr>
          <w:b/>
          <w:sz w:val="33"/>
        </w:rPr>
      </w:pPr>
    </w:p>
    <w:p>
      <w:pPr>
        <w:pStyle w:val="BodyText"/>
        <w:spacing w:line="360" w:lineRule="auto"/>
        <w:ind w:left="225" w:right="202"/>
        <w:jc w:val="both"/>
      </w:pPr>
      <w:r>
        <w:rPr/>
        <w:t>La ZMCT se localiza entre los </w:t>
      </w:r>
      <w:r>
        <w:rPr>
          <w:spacing w:val="2"/>
        </w:rPr>
        <w:t>19</w:t>
      </w:r>
      <w:r>
        <w:rPr>
          <w:spacing w:val="2"/>
          <w:position w:val="11"/>
          <w:sz w:val="16"/>
        </w:rPr>
        <w:t>o</w:t>
      </w:r>
      <w:r>
        <w:rPr>
          <w:spacing w:val="2"/>
        </w:rPr>
        <w:t>02’ </w:t>
      </w:r>
      <w:r>
        <w:rPr/>
        <w:t>y 19</w:t>
      </w:r>
      <w:r>
        <w:rPr>
          <w:position w:val="11"/>
          <w:sz w:val="16"/>
        </w:rPr>
        <w:t>o</w:t>
      </w:r>
      <w:r>
        <w:rPr/>
        <w:t>32’ de latitud norte y los </w:t>
      </w:r>
      <w:r>
        <w:rPr>
          <w:spacing w:val="2"/>
        </w:rPr>
        <w:t>99</w:t>
      </w:r>
      <w:r>
        <w:rPr>
          <w:spacing w:val="2"/>
          <w:position w:val="11"/>
          <w:sz w:val="16"/>
        </w:rPr>
        <w:t>o</w:t>
      </w:r>
      <w:r>
        <w:rPr>
          <w:spacing w:val="2"/>
        </w:rPr>
        <w:t>19’ </w:t>
      </w:r>
      <w:r>
        <w:rPr/>
        <w:t>y 99</w:t>
      </w:r>
      <w:r>
        <w:rPr>
          <w:position w:val="11"/>
          <w:sz w:val="16"/>
        </w:rPr>
        <w:t>o</w:t>
      </w:r>
      <w:r>
        <w:rPr/>
        <w:t>56’ de longitud oeste, comprende veintidós municipios y una población de 1, </w:t>
      </w:r>
      <w:r>
        <w:rPr>
          <w:spacing w:val="2"/>
        </w:rPr>
        <w:t>662,679 </w:t>
      </w:r>
      <w:r>
        <w:rPr/>
        <w:t>habitantes (INEGI, 2010). La zona específica de estudio se acota </w:t>
      </w:r>
      <w:r>
        <w:rPr>
          <w:spacing w:val="-3"/>
        </w:rPr>
        <w:t>al </w:t>
      </w:r>
      <w:r>
        <w:rPr/>
        <w:t>área de influencia de las estaciones de monitoreo atmosférico ubicadas </w:t>
      </w:r>
      <w:r>
        <w:rPr>
          <w:spacing w:val="-3"/>
        </w:rPr>
        <w:t>en </w:t>
      </w:r>
      <w:r>
        <w:rPr/>
        <w:t>la ciudad de Toluca, Metepec y San Mateo Atenco. Las estaciones están ubicadas </w:t>
      </w:r>
      <w:r>
        <w:rPr>
          <w:spacing w:val="-3"/>
        </w:rPr>
        <w:t>en </w:t>
      </w:r>
      <w:r>
        <w:rPr/>
        <w:t>la zona urbana, a excepción de la estación de San Cristóbal Huichotitlán, localizada </w:t>
      </w:r>
      <w:r>
        <w:rPr>
          <w:spacing w:val="-3"/>
        </w:rPr>
        <w:t>en  </w:t>
      </w:r>
      <w:r>
        <w:rPr/>
        <w:t>una zona semiurbana con actividad agrícola (Ver cuadro</w:t>
      </w:r>
      <w:r>
        <w:rPr>
          <w:spacing w:val="-35"/>
        </w:rPr>
        <w:t> </w:t>
      </w:r>
      <w:r>
        <w:rPr/>
        <w:t>1).</w:t>
      </w:r>
    </w:p>
    <w:p>
      <w:pPr>
        <w:pStyle w:val="BodyText"/>
        <w:spacing w:before="10"/>
      </w:pPr>
    </w:p>
    <w:p>
      <w:pPr>
        <w:pStyle w:val="BodyText"/>
        <w:spacing w:after="13"/>
        <w:ind w:left="1586" w:right="204"/>
      </w:pPr>
      <w:r>
        <w:rPr/>
        <w:t>Cuadro 1. Características de las estaciones de monitoreo</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49"/>
        <w:gridCol w:w="993"/>
        <w:gridCol w:w="992"/>
        <w:gridCol w:w="1137"/>
        <w:gridCol w:w="1272"/>
        <w:gridCol w:w="3419"/>
      </w:tblGrid>
      <w:tr>
        <w:trPr>
          <w:trHeight w:val="472" w:hRule="exact"/>
        </w:trPr>
        <w:tc>
          <w:tcPr>
            <w:tcW w:w="1249" w:type="dxa"/>
            <w:tcBorders>
              <w:left w:val="single" w:sz="3" w:space="0" w:color="000000"/>
              <w:bottom w:val="single" w:sz="3" w:space="0" w:color="000000"/>
              <w:right w:val="single" w:sz="3" w:space="0" w:color="000000"/>
            </w:tcBorders>
          </w:tcPr>
          <w:p>
            <w:pPr>
              <w:pStyle w:val="TableParagraph"/>
              <w:spacing w:line="158" w:lineRule="exact"/>
              <w:ind w:left="112"/>
              <w:rPr>
                <w:b/>
                <w:sz w:val="14"/>
              </w:rPr>
            </w:pPr>
            <w:r>
              <w:rPr>
                <w:b/>
                <w:w w:val="105"/>
                <w:sz w:val="14"/>
              </w:rPr>
              <w:t>ESTACIÓN</w:t>
            </w:r>
          </w:p>
        </w:tc>
        <w:tc>
          <w:tcPr>
            <w:tcW w:w="993" w:type="dxa"/>
            <w:tcBorders>
              <w:left w:val="single" w:sz="3" w:space="0" w:color="000000"/>
              <w:bottom w:val="single" w:sz="3" w:space="0" w:color="000000"/>
              <w:right w:val="single" w:sz="3" w:space="0" w:color="000000"/>
            </w:tcBorders>
          </w:tcPr>
          <w:p>
            <w:pPr>
              <w:pStyle w:val="TableParagraph"/>
              <w:spacing w:line="158" w:lineRule="exact"/>
              <w:ind w:left="104"/>
              <w:rPr>
                <w:b/>
                <w:sz w:val="14"/>
              </w:rPr>
            </w:pPr>
            <w:r>
              <w:rPr>
                <w:b/>
                <w:w w:val="105"/>
                <w:sz w:val="14"/>
              </w:rPr>
              <w:t>ABREV.</w:t>
            </w:r>
          </w:p>
        </w:tc>
        <w:tc>
          <w:tcPr>
            <w:tcW w:w="992" w:type="dxa"/>
            <w:tcBorders>
              <w:left w:val="single" w:sz="3" w:space="0" w:color="000000"/>
              <w:bottom w:val="single" w:sz="3" w:space="0" w:color="000000"/>
              <w:right w:val="single" w:sz="3" w:space="0" w:color="000000"/>
            </w:tcBorders>
          </w:tcPr>
          <w:p>
            <w:pPr>
              <w:pStyle w:val="TableParagraph"/>
              <w:spacing w:line="158" w:lineRule="exact"/>
              <w:ind w:left="104"/>
              <w:rPr>
                <w:b/>
                <w:sz w:val="14"/>
              </w:rPr>
            </w:pPr>
            <w:r>
              <w:rPr>
                <w:b/>
                <w:w w:val="105"/>
                <w:sz w:val="14"/>
              </w:rPr>
              <w:t>ZONA</w:t>
            </w:r>
          </w:p>
        </w:tc>
        <w:tc>
          <w:tcPr>
            <w:tcW w:w="1137" w:type="dxa"/>
            <w:tcBorders>
              <w:left w:val="single" w:sz="3" w:space="0" w:color="000000"/>
              <w:bottom w:val="single" w:sz="3" w:space="0" w:color="000000"/>
              <w:right w:val="single" w:sz="3" w:space="0" w:color="000000"/>
            </w:tcBorders>
          </w:tcPr>
          <w:p>
            <w:pPr>
              <w:pStyle w:val="TableParagraph"/>
              <w:spacing w:line="158" w:lineRule="exact"/>
              <w:ind w:left="59" w:right="170"/>
              <w:jc w:val="center"/>
              <w:rPr>
                <w:sz w:val="14"/>
              </w:rPr>
            </w:pPr>
            <w:r>
              <w:rPr>
                <w:w w:val="105"/>
                <w:sz w:val="14"/>
              </w:rPr>
              <w:t>Longitud (W)</w:t>
            </w:r>
          </w:p>
        </w:tc>
        <w:tc>
          <w:tcPr>
            <w:tcW w:w="1272" w:type="dxa"/>
            <w:tcBorders>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Latitud (N)</w:t>
            </w:r>
          </w:p>
        </w:tc>
        <w:tc>
          <w:tcPr>
            <w:tcW w:w="3419" w:type="dxa"/>
            <w:tcBorders>
              <w:left w:val="single" w:sz="3" w:space="0" w:color="000000"/>
              <w:bottom w:val="single" w:sz="3" w:space="0" w:color="000000"/>
              <w:right w:val="single" w:sz="3" w:space="0" w:color="000000"/>
            </w:tcBorders>
          </w:tcPr>
          <w:p>
            <w:pPr>
              <w:pStyle w:val="TableParagraph"/>
              <w:spacing w:line="158" w:lineRule="exact"/>
              <w:ind w:left="104"/>
              <w:rPr>
                <w:b/>
                <w:sz w:val="14"/>
              </w:rPr>
            </w:pPr>
            <w:r>
              <w:rPr>
                <w:b/>
                <w:sz w:val="14"/>
              </w:rPr>
              <w:t>UBICACIÓN FISICA</w:t>
            </w:r>
          </w:p>
        </w:tc>
      </w:tr>
      <w:tr>
        <w:trPr>
          <w:trHeight w:val="976"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12"/>
              <w:rPr>
                <w:sz w:val="14"/>
              </w:rPr>
            </w:pPr>
            <w:r>
              <w:rPr>
                <w:w w:val="105"/>
                <w:sz w:val="14"/>
              </w:rPr>
              <w:t>1.Oxtotitlán</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OX</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CENTRO</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41’ 0.56’’</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17’ 0.40’’</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62" w:lineRule="auto"/>
              <w:ind w:left="104" w:right="96"/>
              <w:jc w:val="both"/>
              <w:rPr>
                <w:sz w:val="14"/>
              </w:rPr>
            </w:pPr>
            <w:r>
              <w:rPr>
                <w:w w:val="105"/>
                <w:sz w:val="14"/>
              </w:rPr>
              <w:t>Calle Lago Caimanero </w:t>
            </w:r>
            <w:r>
              <w:rPr>
                <w:spacing w:val="-3"/>
                <w:w w:val="105"/>
                <w:sz w:val="14"/>
              </w:rPr>
              <w:t>No. 500 esq. Laguna </w:t>
            </w:r>
            <w:r>
              <w:rPr>
                <w:w w:val="105"/>
                <w:sz w:val="14"/>
              </w:rPr>
              <w:t>de la Asunción, </w:t>
            </w:r>
            <w:r>
              <w:rPr>
                <w:spacing w:val="-3"/>
                <w:w w:val="105"/>
                <w:sz w:val="14"/>
              </w:rPr>
              <w:t>Col. </w:t>
            </w:r>
            <w:r>
              <w:rPr>
                <w:w w:val="105"/>
                <w:sz w:val="14"/>
              </w:rPr>
              <w:t>Nueva Oxtotitlán, (dentro de la Escuela </w:t>
            </w:r>
            <w:r>
              <w:rPr>
                <w:spacing w:val="-3"/>
                <w:w w:val="105"/>
                <w:sz w:val="14"/>
              </w:rPr>
              <w:t>Primaria "Carmen Serdán"), </w:t>
            </w:r>
            <w:r>
              <w:rPr>
                <w:w w:val="105"/>
                <w:sz w:val="14"/>
              </w:rPr>
              <w:t>C.P. 50100, Toluca, </w:t>
            </w:r>
            <w:r>
              <w:rPr>
                <w:spacing w:val="-3"/>
                <w:w w:val="105"/>
                <w:sz w:val="14"/>
              </w:rPr>
              <w:t>Méx.</w:t>
            </w:r>
          </w:p>
        </w:tc>
      </w:tr>
      <w:tr>
        <w:trPr>
          <w:trHeight w:val="977"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12"/>
              <w:rPr>
                <w:sz w:val="14"/>
              </w:rPr>
            </w:pPr>
            <w:r>
              <w:rPr>
                <w:sz w:val="14"/>
              </w:rPr>
              <w:t>2.Toluca Centro</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CE</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CENTRO</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39’ 23.1’’</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16’ 41.1’’</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62" w:lineRule="auto"/>
              <w:ind w:left="104" w:right="96"/>
              <w:jc w:val="both"/>
              <w:rPr>
                <w:sz w:val="14"/>
              </w:rPr>
            </w:pPr>
            <w:r>
              <w:rPr>
                <w:w w:val="105"/>
                <w:sz w:val="14"/>
              </w:rPr>
              <w:t>Calle </w:t>
            </w:r>
            <w:r>
              <w:rPr>
                <w:spacing w:val="-3"/>
                <w:w w:val="105"/>
                <w:sz w:val="14"/>
              </w:rPr>
              <w:t>Mariano </w:t>
            </w:r>
            <w:r>
              <w:rPr>
                <w:w w:val="105"/>
                <w:sz w:val="14"/>
              </w:rPr>
              <w:t>Matamoros No. </w:t>
            </w:r>
            <w:r>
              <w:rPr>
                <w:spacing w:val="-3"/>
                <w:w w:val="105"/>
                <w:sz w:val="14"/>
              </w:rPr>
              <w:t>1000 esq. </w:t>
            </w:r>
            <w:r>
              <w:rPr>
                <w:w w:val="105"/>
                <w:sz w:val="14"/>
              </w:rPr>
              <w:t>Venustiano</w:t>
            </w:r>
            <w:r>
              <w:rPr>
                <w:spacing w:val="-16"/>
                <w:w w:val="105"/>
                <w:sz w:val="14"/>
              </w:rPr>
              <w:t> </w:t>
            </w:r>
            <w:r>
              <w:rPr>
                <w:w w:val="105"/>
                <w:sz w:val="14"/>
              </w:rPr>
              <w:t>Carranza,</w:t>
            </w:r>
            <w:r>
              <w:rPr>
                <w:spacing w:val="-16"/>
                <w:w w:val="105"/>
                <w:sz w:val="14"/>
              </w:rPr>
              <w:t> </w:t>
            </w:r>
            <w:r>
              <w:rPr>
                <w:w w:val="105"/>
                <w:sz w:val="14"/>
              </w:rPr>
              <w:t>Col.</w:t>
            </w:r>
            <w:r>
              <w:rPr>
                <w:spacing w:val="-16"/>
                <w:w w:val="105"/>
                <w:sz w:val="14"/>
              </w:rPr>
              <w:t> </w:t>
            </w:r>
            <w:r>
              <w:rPr>
                <w:w w:val="105"/>
                <w:sz w:val="14"/>
              </w:rPr>
              <w:t>Universidad</w:t>
            </w:r>
            <w:r>
              <w:rPr>
                <w:spacing w:val="-16"/>
                <w:w w:val="105"/>
                <w:sz w:val="14"/>
              </w:rPr>
              <w:t> </w:t>
            </w:r>
            <w:r>
              <w:rPr>
                <w:w w:val="105"/>
                <w:sz w:val="14"/>
              </w:rPr>
              <w:t>(dentro</w:t>
            </w:r>
            <w:r>
              <w:rPr>
                <w:spacing w:val="-12"/>
                <w:w w:val="105"/>
                <w:sz w:val="14"/>
              </w:rPr>
              <w:t> </w:t>
            </w:r>
            <w:r>
              <w:rPr>
                <w:spacing w:val="-3"/>
                <w:w w:val="105"/>
                <w:sz w:val="14"/>
              </w:rPr>
              <w:t>del </w:t>
            </w:r>
            <w:r>
              <w:rPr>
                <w:w w:val="105"/>
                <w:sz w:val="14"/>
              </w:rPr>
              <w:t>Gimnasio "Profr. Guillermo Ortega Vargas" </w:t>
            </w:r>
            <w:r>
              <w:rPr>
                <w:spacing w:val="-5"/>
                <w:w w:val="105"/>
                <w:sz w:val="14"/>
              </w:rPr>
              <w:t>de </w:t>
            </w:r>
            <w:r>
              <w:rPr>
                <w:w w:val="105"/>
                <w:sz w:val="14"/>
              </w:rPr>
              <w:t>la UAEM),</w:t>
            </w:r>
            <w:r>
              <w:rPr>
                <w:spacing w:val="-18"/>
                <w:w w:val="105"/>
                <w:sz w:val="14"/>
              </w:rPr>
              <w:t> </w:t>
            </w:r>
            <w:r>
              <w:rPr>
                <w:spacing w:val="-3"/>
                <w:w w:val="105"/>
                <w:sz w:val="14"/>
              </w:rPr>
              <w:t>C.P.</w:t>
            </w:r>
            <w:r>
              <w:rPr>
                <w:spacing w:val="-18"/>
                <w:w w:val="105"/>
                <w:sz w:val="14"/>
              </w:rPr>
              <w:t> </w:t>
            </w:r>
            <w:r>
              <w:rPr>
                <w:w w:val="105"/>
                <w:sz w:val="14"/>
              </w:rPr>
              <w:t>50130,</w:t>
            </w:r>
            <w:r>
              <w:rPr>
                <w:spacing w:val="-28"/>
                <w:w w:val="105"/>
                <w:sz w:val="14"/>
              </w:rPr>
              <w:t> </w:t>
            </w:r>
            <w:r>
              <w:rPr>
                <w:w w:val="105"/>
                <w:sz w:val="14"/>
              </w:rPr>
              <w:t>Toluca,</w:t>
            </w:r>
            <w:r>
              <w:rPr>
                <w:spacing w:val="-23"/>
                <w:w w:val="105"/>
                <w:sz w:val="14"/>
              </w:rPr>
              <w:t> </w:t>
            </w:r>
            <w:r>
              <w:rPr>
                <w:spacing w:val="-3"/>
                <w:w w:val="105"/>
                <w:sz w:val="14"/>
              </w:rPr>
              <w:t>Méx.</w:t>
            </w:r>
          </w:p>
        </w:tc>
      </w:tr>
      <w:tr>
        <w:trPr>
          <w:trHeight w:val="976"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12"/>
              <w:rPr>
                <w:sz w:val="14"/>
              </w:rPr>
            </w:pPr>
            <w:r>
              <w:rPr>
                <w:w w:val="105"/>
                <w:sz w:val="14"/>
              </w:rPr>
              <w:t>3.Metepec</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MT</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SUR</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35’ 42.7’’</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16’ 12.7’’</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jc w:val="both"/>
              <w:rPr>
                <w:sz w:val="14"/>
              </w:rPr>
            </w:pPr>
            <w:r>
              <w:rPr>
                <w:w w:val="105"/>
                <w:sz w:val="14"/>
              </w:rPr>
              <w:t>Calle Manzana No. 20, entre las calles de Manuel</w:t>
            </w:r>
          </w:p>
          <w:p>
            <w:pPr>
              <w:pStyle w:val="TableParagraph"/>
              <w:spacing w:line="364" w:lineRule="auto" w:before="79"/>
              <w:ind w:left="104" w:right="96"/>
              <w:jc w:val="both"/>
              <w:rPr>
                <w:sz w:val="14"/>
              </w:rPr>
            </w:pPr>
            <w:r>
              <w:rPr>
                <w:w w:val="105"/>
                <w:sz w:val="14"/>
              </w:rPr>
              <w:t>J.</w:t>
            </w:r>
            <w:r>
              <w:rPr>
                <w:spacing w:val="-8"/>
                <w:w w:val="105"/>
                <w:sz w:val="14"/>
              </w:rPr>
              <w:t> </w:t>
            </w:r>
            <w:r>
              <w:rPr>
                <w:w w:val="105"/>
                <w:sz w:val="14"/>
              </w:rPr>
              <w:t>Clouthier</w:t>
            </w:r>
            <w:r>
              <w:rPr>
                <w:spacing w:val="-8"/>
                <w:w w:val="105"/>
                <w:sz w:val="14"/>
              </w:rPr>
              <w:t> </w:t>
            </w:r>
            <w:r>
              <w:rPr>
                <w:w w:val="105"/>
                <w:sz w:val="14"/>
              </w:rPr>
              <w:t>y</w:t>
            </w:r>
            <w:r>
              <w:rPr>
                <w:spacing w:val="-13"/>
                <w:w w:val="105"/>
                <w:sz w:val="14"/>
              </w:rPr>
              <w:t> </w:t>
            </w:r>
            <w:r>
              <w:rPr>
                <w:w w:val="105"/>
                <w:sz w:val="14"/>
              </w:rPr>
              <w:t>calle</w:t>
            </w:r>
            <w:r>
              <w:rPr>
                <w:spacing w:val="-13"/>
                <w:w w:val="105"/>
                <w:sz w:val="14"/>
              </w:rPr>
              <w:t> </w:t>
            </w:r>
            <w:r>
              <w:rPr>
                <w:w w:val="105"/>
                <w:sz w:val="14"/>
              </w:rPr>
              <w:t>Mango,</w:t>
            </w:r>
            <w:r>
              <w:rPr>
                <w:spacing w:val="-13"/>
                <w:w w:val="105"/>
                <w:sz w:val="14"/>
              </w:rPr>
              <w:t> </w:t>
            </w:r>
            <w:r>
              <w:rPr>
                <w:w w:val="105"/>
                <w:sz w:val="14"/>
              </w:rPr>
              <w:t>Col.</w:t>
            </w:r>
            <w:r>
              <w:rPr>
                <w:spacing w:val="-8"/>
                <w:w w:val="105"/>
                <w:sz w:val="14"/>
              </w:rPr>
              <w:t> </w:t>
            </w:r>
            <w:r>
              <w:rPr>
                <w:spacing w:val="-3"/>
                <w:w w:val="105"/>
                <w:sz w:val="14"/>
              </w:rPr>
              <w:t>Izcalli</w:t>
            </w:r>
            <w:r>
              <w:rPr>
                <w:spacing w:val="-7"/>
                <w:w w:val="105"/>
                <w:sz w:val="14"/>
              </w:rPr>
              <w:t> </w:t>
            </w:r>
            <w:r>
              <w:rPr>
                <w:spacing w:val="-3"/>
                <w:w w:val="105"/>
                <w:sz w:val="14"/>
              </w:rPr>
              <w:t>Cuauhtémoc </w:t>
            </w:r>
            <w:r>
              <w:rPr>
                <w:spacing w:val="-5"/>
                <w:w w:val="105"/>
                <w:sz w:val="14"/>
              </w:rPr>
              <w:t>V, </w:t>
            </w:r>
            <w:r>
              <w:rPr>
                <w:w w:val="105"/>
                <w:sz w:val="14"/>
              </w:rPr>
              <w:t>(en el parque Ecológico) C.P. 52176, </w:t>
            </w:r>
            <w:r>
              <w:rPr>
                <w:spacing w:val="-3"/>
                <w:w w:val="105"/>
                <w:sz w:val="14"/>
              </w:rPr>
              <w:t>Metepec, Méx.</w:t>
            </w:r>
          </w:p>
        </w:tc>
      </w:tr>
      <w:tr>
        <w:trPr>
          <w:trHeight w:val="977"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12"/>
              <w:rPr>
                <w:sz w:val="14"/>
              </w:rPr>
            </w:pPr>
            <w:r>
              <w:rPr>
                <w:w w:val="105"/>
                <w:sz w:val="14"/>
              </w:rPr>
              <w:t>4.Ceboruco</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CB</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SUR</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38’ 44.6’’</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15’ 37.1’’</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62" w:lineRule="auto"/>
              <w:ind w:left="104" w:right="96"/>
              <w:jc w:val="both"/>
              <w:rPr>
                <w:sz w:val="14"/>
              </w:rPr>
            </w:pPr>
            <w:r>
              <w:rPr>
                <w:w w:val="105"/>
                <w:sz w:val="14"/>
              </w:rPr>
              <w:t>Calle </w:t>
            </w:r>
            <w:r>
              <w:rPr>
                <w:spacing w:val="-3"/>
                <w:w w:val="105"/>
                <w:sz w:val="14"/>
              </w:rPr>
              <w:t>Ceboruco No. </w:t>
            </w:r>
            <w:r>
              <w:rPr>
                <w:w w:val="105"/>
                <w:sz w:val="14"/>
              </w:rPr>
              <w:t>914, </w:t>
            </w:r>
            <w:r>
              <w:rPr>
                <w:spacing w:val="-3"/>
                <w:w w:val="105"/>
                <w:sz w:val="14"/>
              </w:rPr>
              <w:t>esq. </w:t>
            </w:r>
            <w:r>
              <w:rPr>
                <w:w w:val="105"/>
                <w:sz w:val="14"/>
              </w:rPr>
              <w:t>Heriberto Enríquez, Col. </w:t>
            </w:r>
            <w:r>
              <w:rPr>
                <w:spacing w:val="-3"/>
                <w:w w:val="105"/>
                <w:sz w:val="14"/>
              </w:rPr>
              <w:t>Azteca, </w:t>
            </w:r>
            <w:r>
              <w:rPr>
                <w:w w:val="105"/>
                <w:sz w:val="14"/>
              </w:rPr>
              <w:t>(dentro de la </w:t>
            </w:r>
            <w:r>
              <w:rPr>
                <w:spacing w:val="-3"/>
                <w:w w:val="105"/>
                <w:sz w:val="14"/>
              </w:rPr>
              <w:t>Preparatoria </w:t>
            </w:r>
            <w:r>
              <w:rPr>
                <w:w w:val="105"/>
                <w:sz w:val="14"/>
              </w:rPr>
              <w:t>No. 5 "Dr. Angel María </w:t>
            </w:r>
            <w:r>
              <w:rPr>
                <w:spacing w:val="-3"/>
                <w:w w:val="105"/>
                <w:sz w:val="14"/>
              </w:rPr>
              <w:t>Garibay" </w:t>
            </w:r>
            <w:r>
              <w:rPr>
                <w:w w:val="105"/>
                <w:sz w:val="14"/>
              </w:rPr>
              <w:t>de la UAEM), C.P. 50640, Toluca, </w:t>
            </w:r>
            <w:r>
              <w:rPr>
                <w:spacing w:val="-3"/>
                <w:w w:val="105"/>
                <w:sz w:val="14"/>
              </w:rPr>
              <w:t>Méx.</w:t>
            </w:r>
          </w:p>
        </w:tc>
      </w:tr>
      <w:tr>
        <w:trPr>
          <w:trHeight w:val="976"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tabs>
                <w:tab w:pos="751" w:val="left" w:leader="none"/>
              </w:tabs>
              <w:spacing w:line="357" w:lineRule="auto"/>
              <w:ind w:left="112" w:right="95"/>
              <w:rPr>
                <w:sz w:val="14"/>
              </w:rPr>
            </w:pPr>
            <w:r>
              <w:rPr>
                <w:w w:val="105"/>
                <w:sz w:val="14"/>
              </w:rPr>
              <w:t>5.San</w:t>
              <w:tab/>
            </w:r>
            <w:r>
              <w:rPr>
                <w:spacing w:val="-2"/>
                <w:sz w:val="14"/>
              </w:rPr>
              <w:t>Mateo </w:t>
            </w:r>
            <w:r>
              <w:rPr>
                <w:w w:val="105"/>
                <w:sz w:val="14"/>
              </w:rPr>
              <w:t>Atenco</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SM</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SUR</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32’ 30.0’’</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16’ 49.5’’</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62" w:lineRule="auto"/>
              <w:ind w:left="104" w:right="96"/>
              <w:jc w:val="both"/>
              <w:rPr>
                <w:sz w:val="14"/>
              </w:rPr>
            </w:pPr>
            <w:r>
              <w:rPr>
                <w:spacing w:val="-3"/>
                <w:w w:val="105"/>
                <w:sz w:val="14"/>
              </w:rPr>
              <w:t>Av. </w:t>
            </w:r>
            <w:r>
              <w:rPr>
                <w:w w:val="105"/>
                <w:sz w:val="14"/>
              </w:rPr>
              <w:t>Hacienda </w:t>
            </w:r>
            <w:r>
              <w:rPr>
                <w:spacing w:val="-5"/>
                <w:w w:val="105"/>
                <w:sz w:val="14"/>
              </w:rPr>
              <w:t>de </w:t>
            </w:r>
            <w:r>
              <w:rPr>
                <w:w w:val="105"/>
                <w:sz w:val="14"/>
              </w:rPr>
              <w:t>Tres Marías No. 260, Col. Santa Elena, (dentro de </w:t>
            </w:r>
            <w:r>
              <w:rPr>
                <w:spacing w:val="-3"/>
                <w:w w:val="105"/>
                <w:sz w:val="14"/>
              </w:rPr>
              <w:t>las instalaciones </w:t>
            </w:r>
            <w:r>
              <w:rPr>
                <w:w w:val="105"/>
                <w:sz w:val="14"/>
              </w:rPr>
              <w:t>del tanque elevado de </w:t>
            </w:r>
            <w:r>
              <w:rPr>
                <w:spacing w:val="-4"/>
                <w:w w:val="105"/>
                <w:sz w:val="14"/>
              </w:rPr>
              <w:t>OPDAPAS) </w:t>
            </w:r>
            <w:r>
              <w:rPr>
                <w:w w:val="105"/>
                <w:sz w:val="14"/>
              </w:rPr>
              <w:t>C.P. 52100, </w:t>
            </w:r>
            <w:r>
              <w:rPr>
                <w:spacing w:val="-3"/>
                <w:w w:val="105"/>
                <w:sz w:val="14"/>
              </w:rPr>
              <w:t>San </w:t>
            </w:r>
            <w:r>
              <w:rPr>
                <w:w w:val="105"/>
                <w:sz w:val="14"/>
              </w:rPr>
              <w:t>Mateo Atenco, </w:t>
            </w:r>
            <w:r>
              <w:rPr>
                <w:spacing w:val="-3"/>
                <w:w w:val="105"/>
                <w:sz w:val="14"/>
              </w:rPr>
              <w:t>Méx.</w:t>
            </w:r>
          </w:p>
        </w:tc>
      </w:tr>
      <w:tr>
        <w:trPr>
          <w:trHeight w:val="1457"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12"/>
              <w:rPr>
                <w:sz w:val="14"/>
              </w:rPr>
            </w:pPr>
            <w:r>
              <w:rPr>
                <w:w w:val="105"/>
                <w:sz w:val="14"/>
              </w:rPr>
              <w:t>6.Aeropuerto</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AP</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NORTE</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67" w:right="170"/>
              <w:jc w:val="center"/>
              <w:rPr>
                <w:sz w:val="14"/>
              </w:rPr>
            </w:pPr>
            <w:r>
              <w:rPr>
                <w:w w:val="105"/>
                <w:sz w:val="14"/>
              </w:rPr>
              <w:t>99° 34’ 26.3’’</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line="158" w:lineRule="exact"/>
              <w:ind w:left="104"/>
              <w:rPr>
                <w:sz w:val="14"/>
              </w:rPr>
            </w:pPr>
            <w:r>
              <w:rPr>
                <w:w w:val="105"/>
                <w:sz w:val="14"/>
              </w:rPr>
              <w:t>19° 20’ 4.41’’</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60" w:lineRule="auto"/>
              <w:ind w:left="104" w:right="96"/>
              <w:jc w:val="both"/>
              <w:rPr>
                <w:sz w:val="14"/>
              </w:rPr>
            </w:pPr>
            <w:r>
              <w:rPr>
                <w:w w:val="105"/>
                <w:sz w:val="14"/>
              </w:rPr>
              <w:t>Calle Enedino </w:t>
            </w:r>
            <w:r>
              <w:rPr>
                <w:spacing w:val="-3"/>
                <w:w w:val="105"/>
                <w:sz w:val="14"/>
              </w:rPr>
              <w:t>arevalo </w:t>
            </w:r>
            <w:r>
              <w:rPr>
                <w:w w:val="105"/>
                <w:sz w:val="14"/>
              </w:rPr>
              <w:t>Alanis s/n, esq. Boulevard Miguel </w:t>
            </w:r>
            <w:r>
              <w:rPr>
                <w:spacing w:val="-3"/>
                <w:w w:val="105"/>
                <w:sz w:val="14"/>
              </w:rPr>
              <w:t>Alemán, </w:t>
            </w:r>
            <w:r>
              <w:rPr>
                <w:w w:val="105"/>
                <w:sz w:val="14"/>
              </w:rPr>
              <w:t>Parque Industrial </w:t>
            </w:r>
            <w:r>
              <w:rPr>
                <w:spacing w:val="-3"/>
                <w:w w:val="105"/>
                <w:sz w:val="14"/>
              </w:rPr>
              <w:t>Exportec </w:t>
            </w:r>
            <w:r>
              <w:rPr>
                <w:spacing w:val="-6"/>
                <w:w w:val="105"/>
                <w:sz w:val="14"/>
              </w:rPr>
              <w:t>II, </w:t>
            </w:r>
            <w:r>
              <w:rPr>
                <w:w w:val="105"/>
                <w:sz w:val="14"/>
              </w:rPr>
              <w:t>San Pedro Totoltepec, (dentro de las </w:t>
            </w:r>
            <w:r>
              <w:rPr>
                <w:spacing w:val="-3"/>
                <w:w w:val="105"/>
                <w:sz w:val="14"/>
              </w:rPr>
              <w:t>instalaciones del </w:t>
            </w:r>
            <w:r>
              <w:rPr>
                <w:w w:val="105"/>
                <w:sz w:val="14"/>
              </w:rPr>
              <w:t>Centro </w:t>
            </w:r>
            <w:r>
              <w:rPr>
                <w:spacing w:val="-3"/>
                <w:w w:val="105"/>
                <w:sz w:val="14"/>
              </w:rPr>
              <w:t>Nacional </w:t>
            </w:r>
            <w:r>
              <w:rPr>
                <w:spacing w:val="-5"/>
                <w:w w:val="105"/>
                <w:sz w:val="14"/>
              </w:rPr>
              <w:t>de </w:t>
            </w:r>
            <w:r>
              <w:rPr>
                <w:spacing w:val="-3"/>
                <w:w w:val="105"/>
                <w:sz w:val="14"/>
              </w:rPr>
              <w:t>Capacitación </w:t>
            </w:r>
            <w:r>
              <w:rPr>
                <w:w w:val="105"/>
                <w:sz w:val="14"/>
              </w:rPr>
              <w:t>y Adiestramiento de la Cruz Roja Mexicana), C.P.54080, Toluca, </w:t>
            </w:r>
            <w:r>
              <w:rPr>
                <w:spacing w:val="-3"/>
                <w:w w:val="105"/>
                <w:sz w:val="14"/>
              </w:rPr>
              <w:t>Méx.</w:t>
            </w:r>
          </w:p>
        </w:tc>
      </w:tr>
      <w:tr>
        <w:trPr>
          <w:trHeight w:val="984" w:hRule="exact"/>
        </w:trPr>
        <w:tc>
          <w:tcPr>
            <w:tcW w:w="1249" w:type="dxa"/>
            <w:tcBorders>
              <w:top w:val="single" w:sz="3" w:space="0" w:color="000000"/>
              <w:left w:val="single" w:sz="3" w:space="0" w:color="000000"/>
              <w:bottom w:val="single" w:sz="3" w:space="0" w:color="000000"/>
              <w:right w:val="single" w:sz="3" w:space="0" w:color="000000"/>
            </w:tcBorders>
          </w:tcPr>
          <w:p>
            <w:pPr>
              <w:pStyle w:val="TableParagraph"/>
              <w:spacing w:line="357" w:lineRule="auto" w:before="4"/>
              <w:ind w:left="112"/>
              <w:rPr>
                <w:sz w:val="14"/>
              </w:rPr>
            </w:pPr>
            <w:r>
              <w:rPr>
                <w:w w:val="105"/>
                <w:sz w:val="14"/>
              </w:rPr>
              <w:t>7.San Cristóbal Huichochitlán</w:t>
            </w:r>
          </w:p>
        </w:tc>
        <w:tc>
          <w:tcPr>
            <w:tcW w:w="993" w:type="dxa"/>
            <w:tcBorders>
              <w:top w:val="single" w:sz="3" w:space="0" w:color="000000"/>
              <w:left w:val="single" w:sz="3" w:space="0" w:color="000000"/>
              <w:bottom w:val="single" w:sz="3" w:space="0" w:color="000000"/>
              <w:right w:val="single" w:sz="3" w:space="0" w:color="000000"/>
            </w:tcBorders>
          </w:tcPr>
          <w:p>
            <w:pPr>
              <w:pStyle w:val="TableParagraph"/>
              <w:spacing w:before="4"/>
              <w:ind w:left="104"/>
              <w:rPr>
                <w:sz w:val="14"/>
              </w:rPr>
            </w:pPr>
            <w:r>
              <w:rPr>
                <w:w w:val="105"/>
                <w:sz w:val="14"/>
              </w:rPr>
              <w:t>SC</w:t>
            </w:r>
          </w:p>
        </w:tc>
        <w:tc>
          <w:tcPr>
            <w:tcW w:w="992" w:type="dxa"/>
            <w:tcBorders>
              <w:top w:val="single" w:sz="3" w:space="0" w:color="000000"/>
              <w:left w:val="single" w:sz="3" w:space="0" w:color="000000"/>
              <w:bottom w:val="single" w:sz="3" w:space="0" w:color="000000"/>
              <w:right w:val="single" w:sz="3" w:space="0" w:color="000000"/>
            </w:tcBorders>
          </w:tcPr>
          <w:p>
            <w:pPr>
              <w:pStyle w:val="TableParagraph"/>
              <w:spacing w:before="4"/>
              <w:ind w:left="104"/>
              <w:rPr>
                <w:sz w:val="14"/>
              </w:rPr>
            </w:pPr>
            <w:r>
              <w:rPr>
                <w:w w:val="105"/>
                <w:sz w:val="14"/>
              </w:rPr>
              <w:t>NORTE</w:t>
            </w:r>
          </w:p>
        </w:tc>
        <w:tc>
          <w:tcPr>
            <w:tcW w:w="1137" w:type="dxa"/>
            <w:tcBorders>
              <w:top w:val="single" w:sz="3" w:space="0" w:color="000000"/>
              <w:left w:val="single" w:sz="3" w:space="0" w:color="000000"/>
              <w:bottom w:val="single" w:sz="3" w:space="0" w:color="000000"/>
              <w:right w:val="single" w:sz="3" w:space="0" w:color="000000"/>
            </w:tcBorders>
          </w:tcPr>
          <w:p>
            <w:pPr>
              <w:pStyle w:val="TableParagraph"/>
              <w:spacing w:before="4"/>
              <w:ind w:left="67" w:right="170"/>
              <w:jc w:val="center"/>
              <w:rPr>
                <w:sz w:val="14"/>
              </w:rPr>
            </w:pPr>
            <w:r>
              <w:rPr>
                <w:w w:val="105"/>
                <w:sz w:val="14"/>
              </w:rPr>
              <w:t>99° 38’ 3.44’’</w:t>
            </w:r>
          </w:p>
        </w:tc>
        <w:tc>
          <w:tcPr>
            <w:tcW w:w="1272" w:type="dxa"/>
            <w:tcBorders>
              <w:top w:val="single" w:sz="3" w:space="0" w:color="000000"/>
              <w:left w:val="single" w:sz="3" w:space="0" w:color="000000"/>
              <w:bottom w:val="single" w:sz="3" w:space="0" w:color="000000"/>
              <w:right w:val="single" w:sz="3" w:space="0" w:color="000000"/>
            </w:tcBorders>
          </w:tcPr>
          <w:p>
            <w:pPr>
              <w:pStyle w:val="TableParagraph"/>
              <w:spacing w:before="4"/>
              <w:ind w:left="104"/>
              <w:rPr>
                <w:sz w:val="14"/>
              </w:rPr>
            </w:pPr>
            <w:r>
              <w:rPr>
                <w:w w:val="105"/>
                <w:sz w:val="14"/>
              </w:rPr>
              <w:t>19° 19’ 38.0’’</w:t>
            </w:r>
          </w:p>
        </w:tc>
        <w:tc>
          <w:tcPr>
            <w:tcW w:w="3419" w:type="dxa"/>
            <w:tcBorders>
              <w:top w:val="single" w:sz="3" w:space="0" w:color="000000"/>
              <w:left w:val="single" w:sz="3" w:space="0" w:color="000000"/>
              <w:bottom w:val="single" w:sz="3" w:space="0" w:color="000000"/>
              <w:right w:val="single" w:sz="3" w:space="0" w:color="000000"/>
            </w:tcBorders>
          </w:tcPr>
          <w:p>
            <w:pPr>
              <w:pStyle w:val="TableParagraph"/>
              <w:spacing w:line="357" w:lineRule="auto" w:before="4"/>
              <w:ind w:left="104" w:right="94"/>
              <w:jc w:val="both"/>
              <w:rPr>
                <w:sz w:val="14"/>
              </w:rPr>
            </w:pPr>
            <w:r>
              <w:rPr>
                <w:w w:val="105"/>
                <w:sz w:val="14"/>
              </w:rPr>
              <w:t>Calle Paseo de la Luz s/n esq. Manuel Hinojosa Giles, San Cristóbal Huichochitlán, (dentro de la Escuela Primaria "Manuel Hinojosa Giles"), C.P. 50100, Toluca, Méx.</w:t>
            </w:r>
          </w:p>
        </w:tc>
      </w:tr>
    </w:tbl>
    <w:p>
      <w:pPr>
        <w:pStyle w:val="BodyText"/>
        <w:spacing w:before="6"/>
        <w:rPr>
          <w:sz w:val="17"/>
        </w:rPr>
      </w:pPr>
    </w:p>
    <w:p>
      <w:pPr>
        <w:pStyle w:val="BodyText"/>
        <w:spacing w:line="355" w:lineRule="auto" w:before="70"/>
        <w:ind w:left="3555" w:right="204" w:hanging="3331"/>
      </w:pPr>
      <w:r>
        <w:rPr/>
        <w:t>Fuente: Elaboración propia con base en Red Automática de Monitoreo Atmosférico del Toluca (RAMAT)</w:t>
      </w:r>
    </w:p>
    <w:p>
      <w:pPr>
        <w:spacing w:after="0" w:line="355" w:lineRule="auto"/>
        <w:sectPr>
          <w:footerReference w:type="default" r:id="rId40"/>
          <w:pgSz w:w="12240" w:h="15840"/>
          <w:pgMar w:footer="1001" w:header="0" w:top="1360" w:bottom="1200" w:left="1480" w:right="1480"/>
          <w:pgNumType w:start="71"/>
        </w:sectPr>
      </w:pPr>
    </w:p>
    <w:p>
      <w:pPr>
        <w:pStyle w:val="BodyText"/>
        <w:spacing w:line="360" w:lineRule="auto" w:before="48"/>
        <w:ind w:left="105" w:right="115"/>
        <w:jc w:val="both"/>
      </w:pPr>
      <w:r>
        <w:rPr/>
        <w:t>En el estudio se retoma el ciclo metodológico de (Sibato &amp; Yudego, 2004), estos autores describen de forma sencilla, los pasos a seguir para realizar estimaciones de fenómenos ambientales, entre estos, se tiene la recopilación de la información básica; análisis exploratorio de la información, la selección del método para el tratamiento y análisis de la información, finalmente los resultados.</w:t>
      </w:r>
    </w:p>
    <w:p>
      <w:pPr>
        <w:pStyle w:val="BodyText"/>
        <w:spacing w:before="10"/>
      </w:pPr>
    </w:p>
    <w:p>
      <w:pPr>
        <w:spacing w:before="0"/>
        <w:ind w:left="105" w:right="0" w:firstLine="0"/>
        <w:jc w:val="both"/>
        <w:rPr>
          <w:b/>
          <w:sz w:val="24"/>
        </w:rPr>
      </w:pPr>
      <w:r>
        <w:rPr>
          <w:b/>
          <w:sz w:val="24"/>
        </w:rPr>
        <w:t>Información básica</w:t>
      </w:r>
    </w:p>
    <w:p>
      <w:pPr>
        <w:pStyle w:val="BodyText"/>
        <w:rPr>
          <w:b/>
        </w:rPr>
      </w:pPr>
    </w:p>
    <w:p>
      <w:pPr>
        <w:pStyle w:val="BodyText"/>
        <w:spacing w:line="360" w:lineRule="auto" w:before="144"/>
        <w:ind w:left="105" w:right="117"/>
        <w:jc w:val="both"/>
      </w:pPr>
      <w:r>
        <w:rPr/>
        <w:t>La información se obtuvo de la Red Automática de Monitoreo Atmosférico de Toluca (RAMAT), la medición de las partículas suspendidas se realiza cada hora, los 365 días del año e incluye la dirección y velocidad del viento, temperatura, precipitación y humedad relativa, el tamaño de las partículas (PM10 y Pm2.5) y no registra datos sobre la composición y origen de las mismas.</w:t>
      </w:r>
    </w:p>
    <w:p>
      <w:pPr>
        <w:pStyle w:val="BodyText"/>
        <w:spacing w:before="2"/>
      </w:pPr>
    </w:p>
    <w:p>
      <w:pPr>
        <w:pStyle w:val="BodyText"/>
        <w:spacing w:line="360" w:lineRule="auto"/>
        <w:ind w:left="105" w:right="123"/>
        <w:jc w:val="both"/>
      </w:pPr>
      <w:r>
        <w:rPr/>
        <w:t>En general, las PM10 se componen de partículas primarias emitidas a la atmósfera, tanto por los fenómenos naturales (incendios forestales o emisiones volcánicas), como por las actividades humanas (labores agrícolas o de construcción, polvo de caminos de terracería, quema residencial de leña o actividades industriales(CCA, 2008).</w:t>
      </w:r>
    </w:p>
    <w:p>
      <w:pPr>
        <w:pStyle w:val="BodyText"/>
        <w:spacing w:before="9"/>
      </w:pPr>
    </w:p>
    <w:p>
      <w:pPr>
        <w:pStyle w:val="BodyText"/>
        <w:spacing w:line="360" w:lineRule="auto"/>
        <w:ind w:left="105" w:right="112"/>
        <w:jc w:val="both"/>
      </w:pPr>
      <w:r>
        <w:rPr/>
        <w:t>Los efectos ambientales de las partículas suspendidas se manifiestan en la disminución de la visibilidad, la interferencia en el funcionamiento de los ciclos químicos de los nutrientes en los suelos y las aguas superficiales, y afectan el metabolismo y la superficie foliar de las plantas (Martuzzi et al., 2006). Las partículas gruesas (PM &lt; 10 μm) pueden estar compuestas por metales, polvo, carbón orgánico, sal marina, nitratos, polen y esporas, y las partículas finas (PM  &lt;</w:t>
      </w:r>
    </w:p>
    <w:p>
      <w:pPr>
        <w:pStyle w:val="BodyText"/>
        <w:spacing w:line="357" w:lineRule="auto" w:before="6"/>
        <w:ind w:left="105" w:right="123"/>
        <w:jc w:val="both"/>
      </w:pPr>
      <w:r>
        <w:rPr/>
        <w:t>2.5 μm), compuestas por sulfatos, nitratos, amonio, carbón mineral, carbón orgánico y metales provenientes principalmente de la actividad industrial y los vehículos automotores (Ul-Saufie et al., 2013).</w:t>
      </w:r>
    </w:p>
    <w:p>
      <w:pPr>
        <w:pStyle w:val="BodyText"/>
        <w:spacing w:before="1"/>
        <w:rPr>
          <w:sz w:val="25"/>
        </w:rPr>
      </w:pPr>
    </w:p>
    <w:p>
      <w:pPr>
        <w:pStyle w:val="BodyText"/>
        <w:spacing w:line="357" w:lineRule="auto"/>
        <w:ind w:left="105" w:right="119"/>
        <w:jc w:val="both"/>
      </w:pPr>
      <w:r>
        <w:rPr/>
        <w:t>El criterio básico para el monitoreo de la calidad del aire en zonas urbanas, es la presencia de partículas suspendidas totales en fracción respirable PM10 y PM2.5. El  tamaño de las  partículas  condiciona su  comportamiento en  la atmósfera,  las</w:t>
      </w:r>
    </w:p>
    <w:p>
      <w:pPr>
        <w:spacing w:after="0" w:line="357" w:lineRule="auto"/>
        <w:jc w:val="both"/>
        <w:sectPr>
          <w:pgSz w:w="12240" w:h="15840"/>
          <w:pgMar w:header="0" w:footer="1001" w:top="1360" w:bottom="1200" w:left="1600" w:right="1580"/>
        </w:sectPr>
      </w:pPr>
    </w:p>
    <w:p>
      <w:pPr>
        <w:pStyle w:val="BodyText"/>
        <w:spacing w:line="362" w:lineRule="auto" w:before="48"/>
        <w:ind w:left="105" w:right="118"/>
        <w:jc w:val="both"/>
      </w:pPr>
      <w:r>
        <w:rPr/>
        <w:t>finas se mantienen suspendidas durante largos periodos y viajan cientos de kilómetros; las gruesas no se sostienen en el aire mucho tiempo porque tienden a depositarse cerca de su lugar de origen.</w:t>
      </w:r>
    </w:p>
    <w:p>
      <w:pPr>
        <w:pStyle w:val="BodyText"/>
        <w:spacing w:before="11"/>
        <w:rPr>
          <w:sz w:val="23"/>
        </w:rPr>
      </w:pPr>
    </w:p>
    <w:p>
      <w:pPr>
        <w:pStyle w:val="BodyText"/>
        <w:spacing w:line="360" w:lineRule="auto"/>
        <w:ind w:left="105" w:right="123"/>
        <w:jc w:val="both"/>
      </w:pPr>
      <w:r>
        <w:rPr/>
        <w:t>Si bien tanto las PM10 como las PM2.5, pueden </w:t>
      </w:r>
      <w:r>
        <w:rPr>
          <w:spacing w:val="-3"/>
        </w:rPr>
        <w:t>tener </w:t>
      </w:r>
      <w:r>
        <w:rPr/>
        <w:t>origen orgánico e inorgánico, las primeras son asociadas principalmente a las actividades relacionadas con los procesos erosivos naturales y </w:t>
      </w:r>
      <w:r>
        <w:rPr>
          <w:spacing w:val="5"/>
        </w:rPr>
        <w:t>de </w:t>
      </w:r>
      <w:r>
        <w:rPr/>
        <w:t>los procesos erosivos resultantes de los usos </w:t>
      </w:r>
      <w:r>
        <w:rPr>
          <w:spacing w:val="3"/>
        </w:rPr>
        <w:t>de </w:t>
      </w:r>
      <w:r>
        <w:rPr/>
        <w:t>suelo (agricultura, minería, etc.), por ello para la presente investigación se seleccionó las PM10, partiendo del supuesto, que </w:t>
      </w:r>
      <w:r>
        <w:rPr>
          <w:spacing w:val="-3"/>
        </w:rPr>
        <w:t>el </w:t>
      </w:r>
      <w:r>
        <w:rPr/>
        <w:t>origen de estas </w:t>
      </w:r>
      <w:r>
        <w:rPr>
          <w:spacing w:val="-3"/>
        </w:rPr>
        <w:t>es </w:t>
      </w:r>
      <w:r>
        <w:rPr/>
        <w:t>resultado principalmente de </w:t>
      </w:r>
      <w:r>
        <w:rPr>
          <w:spacing w:val="5"/>
        </w:rPr>
        <w:t>la </w:t>
      </w:r>
      <w:r>
        <w:rPr/>
        <w:t>actividad agrícola, minera y los procesos erosivos presentes </w:t>
      </w:r>
      <w:r>
        <w:rPr>
          <w:spacing w:val="-3"/>
        </w:rPr>
        <w:t>en </w:t>
      </w:r>
      <w:r>
        <w:rPr/>
        <w:t>la zona </w:t>
      </w:r>
      <w:r>
        <w:rPr>
          <w:spacing w:val="2"/>
        </w:rPr>
        <w:t>sur </w:t>
      </w:r>
      <w:r>
        <w:rPr/>
        <w:t>de la</w:t>
      </w:r>
      <w:r>
        <w:rPr>
          <w:spacing w:val="-17"/>
        </w:rPr>
        <w:t> </w:t>
      </w:r>
      <w:r>
        <w:rPr/>
        <w:t>región.</w:t>
      </w:r>
    </w:p>
    <w:p>
      <w:pPr>
        <w:pStyle w:val="BodyText"/>
        <w:spacing w:before="10"/>
      </w:pPr>
    </w:p>
    <w:p>
      <w:pPr>
        <w:spacing w:before="0"/>
        <w:ind w:left="105" w:right="0" w:firstLine="0"/>
        <w:jc w:val="both"/>
        <w:rPr>
          <w:b/>
          <w:sz w:val="24"/>
        </w:rPr>
      </w:pPr>
      <w:r>
        <w:rPr>
          <w:b/>
          <w:sz w:val="24"/>
        </w:rPr>
        <w:t>Exploración de la información</w:t>
      </w:r>
    </w:p>
    <w:p>
      <w:pPr>
        <w:pStyle w:val="BodyText"/>
        <w:spacing w:before="9"/>
        <w:rPr>
          <w:b/>
          <w:sz w:val="35"/>
        </w:rPr>
      </w:pPr>
    </w:p>
    <w:p>
      <w:pPr>
        <w:pStyle w:val="BodyText"/>
        <w:spacing w:line="360" w:lineRule="auto" w:before="1"/>
        <w:ind w:left="105" w:right="110"/>
        <w:jc w:val="both"/>
      </w:pPr>
      <w:r>
        <w:rPr/>
        <w:t>Inicialmente se realizó la exploración de las serie de datos 1998-2013, en este procedimiento se identificó vacío de información en el periodo 2006-2010, dado que la discontinuidad de la información podría afectar el análisis (Sibato &amp; Yudego, 2004) y NOM-025-SSA1-2014,), se determinó que la serie de datos 2011-2013 contaba con la continuidad requerida para el estudio (90%), posteriormente se realizó la estandarización de la información a través de la eliminación de los valores nulos, cálculo del valor promedio máximo por día y valor promedio relativo. La base de datos quedo conformada por los valores máximos anuales y promedio del periodo.</w:t>
      </w:r>
    </w:p>
    <w:p>
      <w:pPr>
        <w:pStyle w:val="BodyText"/>
        <w:spacing w:before="10"/>
      </w:pPr>
    </w:p>
    <w:p>
      <w:pPr>
        <w:spacing w:before="0"/>
        <w:ind w:left="105" w:right="0" w:firstLine="0"/>
        <w:jc w:val="both"/>
        <w:rPr>
          <w:b/>
          <w:sz w:val="24"/>
        </w:rPr>
      </w:pPr>
      <w:r>
        <w:rPr>
          <w:b/>
          <w:sz w:val="24"/>
        </w:rPr>
        <w:t>Métodos para tratar la información</w:t>
      </w:r>
    </w:p>
    <w:p>
      <w:pPr>
        <w:pStyle w:val="BodyText"/>
        <w:rPr>
          <w:b/>
        </w:rPr>
      </w:pPr>
    </w:p>
    <w:p>
      <w:pPr>
        <w:pStyle w:val="BodyText"/>
        <w:spacing w:line="360" w:lineRule="auto" w:before="144"/>
        <w:ind w:left="105" w:right="105"/>
        <w:jc w:val="both"/>
      </w:pPr>
      <w:r>
        <w:rPr/>
        <w:t>La modelación espacial de las partículas PM10 se realizó con la propuesta de (Najera Cedillo, Márquez Argúa, Rubén, &amp; Corona, 2005). A través del módulo Geostatical Analyst integrado a la plataforma del software Arcgis 10.1.; aplicamos el método determinista IDW y el método estocástico Kriging ordinario. El primer método utiliza pocos parámetros de decisión, la interpolación es sencilla y permite la comparación.</w:t>
      </w:r>
    </w:p>
    <w:p>
      <w:pPr>
        <w:spacing w:after="0" w:line="360" w:lineRule="auto"/>
        <w:jc w:val="both"/>
        <w:sectPr>
          <w:pgSz w:w="12240" w:h="15840"/>
          <w:pgMar w:header="0" w:footer="1001" w:top="1360" w:bottom="1200" w:left="1600" w:right="1580"/>
        </w:sectPr>
      </w:pPr>
    </w:p>
    <w:p>
      <w:pPr>
        <w:pStyle w:val="BodyText"/>
        <w:spacing w:line="360" w:lineRule="auto" w:before="48"/>
        <w:ind w:left="105" w:right="126"/>
        <w:jc w:val="both"/>
      </w:pPr>
      <w:r>
        <w:rPr/>
        <w:t>En </w:t>
      </w:r>
      <w:r>
        <w:rPr>
          <w:spacing w:val="-3"/>
        </w:rPr>
        <w:t>el </w:t>
      </w:r>
      <w:r>
        <w:rPr/>
        <w:t>proceso </w:t>
      </w:r>
      <w:r>
        <w:rPr>
          <w:spacing w:val="3"/>
        </w:rPr>
        <w:t>se </w:t>
      </w:r>
      <w:r>
        <w:rPr/>
        <w:t>determinan los valores mediante la ponderación lineal de un conjunto de puntos de observación, estos se incorporan </w:t>
      </w:r>
      <w:r>
        <w:rPr>
          <w:spacing w:val="-3"/>
        </w:rPr>
        <w:t>en </w:t>
      </w:r>
      <w:r>
        <w:rPr/>
        <w:t>la interpolación, de </w:t>
      </w:r>
      <w:r>
        <w:rPr>
          <w:spacing w:val="-3"/>
        </w:rPr>
        <w:t>tal </w:t>
      </w:r>
      <w:r>
        <w:rPr/>
        <w:t>manera que la influencia de un punto con relación a otro declina con la distancia de un nuevo punto. Cada punto muestreado recibe un peso, a partir del cual declinan los </w:t>
      </w:r>
      <w:r>
        <w:rPr>
          <w:spacing w:val="-3"/>
        </w:rPr>
        <w:t>valores </w:t>
      </w:r>
      <w:r>
        <w:rPr/>
        <w:t>a medida que aumenta la distancia de los puntos estimados, entre mayor sea </w:t>
      </w:r>
      <w:r>
        <w:rPr>
          <w:spacing w:val="-3"/>
        </w:rPr>
        <w:t>el </w:t>
      </w:r>
      <w:r>
        <w:rPr/>
        <w:t>peso, </w:t>
      </w:r>
      <w:r>
        <w:rPr>
          <w:spacing w:val="-3"/>
        </w:rPr>
        <w:t>el </w:t>
      </w:r>
      <w:r>
        <w:rPr/>
        <w:t>valor de los puntos estimados será más cercano </w:t>
      </w:r>
      <w:r>
        <w:rPr>
          <w:spacing w:val="-3"/>
        </w:rPr>
        <w:t>al </w:t>
      </w:r>
      <w:r>
        <w:rPr/>
        <w:t>valor </w:t>
      </w:r>
      <w:r>
        <w:rPr>
          <w:spacing w:val="5"/>
        </w:rPr>
        <w:t>de </w:t>
      </w:r>
      <w:r>
        <w:rPr/>
        <w:t>observación (Barón, 2003); (Díaz Viera,</w:t>
      </w:r>
      <w:r>
        <w:rPr>
          <w:spacing w:val="-27"/>
        </w:rPr>
        <w:t> </w:t>
      </w:r>
      <w:r>
        <w:rPr/>
        <w:t>2002).</w:t>
      </w:r>
    </w:p>
    <w:p>
      <w:pPr>
        <w:pStyle w:val="BodyText"/>
        <w:spacing w:before="2"/>
      </w:pPr>
    </w:p>
    <w:p>
      <w:pPr>
        <w:pStyle w:val="BodyText"/>
        <w:spacing w:line="360" w:lineRule="auto"/>
        <w:ind w:left="105" w:right="115"/>
        <w:jc w:val="both"/>
      </w:pPr>
      <w:r>
        <w:rPr/>
        <w:t>El segundo método utiliza la media de </w:t>
      </w:r>
      <w:r>
        <w:rPr>
          <w:spacing w:val="5"/>
        </w:rPr>
        <w:t>la </w:t>
      </w:r>
      <w:r>
        <w:rPr/>
        <w:t>muestra y </w:t>
      </w:r>
      <w:r>
        <w:rPr>
          <w:spacing w:val="3"/>
        </w:rPr>
        <w:t>se </w:t>
      </w:r>
      <w:r>
        <w:rPr/>
        <w:t>asume que la variable medida </w:t>
      </w:r>
      <w:r>
        <w:rPr>
          <w:spacing w:val="-3"/>
        </w:rPr>
        <w:t>es </w:t>
      </w:r>
      <w:r>
        <w:rPr/>
        <w:t>estacionaria, el error de predicción </w:t>
      </w:r>
      <w:r>
        <w:rPr>
          <w:spacing w:val="-3"/>
        </w:rPr>
        <w:t>es </w:t>
      </w:r>
      <w:r>
        <w:rPr/>
        <w:t>menor, ofrece un indicador insesgado de una característica desconocida, permite obtener un valor  aproximado de un atributo </w:t>
      </w:r>
      <w:r>
        <w:rPr>
          <w:spacing w:val="-3"/>
        </w:rPr>
        <w:t>en </w:t>
      </w:r>
      <w:r>
        <w:rPr/>
        <w:t>un sitio no muestreado a partir de puntos localizados dentro de la misma área o región e incorpora los efectos de variabilidad aleatoria (Díaz Viera,</w:t>
      </w:r>
      <w:r>
        <w:rPr>
          <w:spacing w:val="-2"/>
        </w:rPr>
        <w:t> </w:t>
      </w:r>
      <w:r>
        <w:rPr/>
        <w:t>2002).</w:t>
      </w:r>
    </w:p>
    <w:p>
      <w:pPr>
        <w:pStyle w:val="BodyText"/>
        <w:spacing w:before="10"/>
      </w:pPr>
    </w:p>
    <w:p>
      <w:pPr>
        <w:pStyle w:val="BodyText"/>
        <w:spacing w:line="360" w:lineRule="auto"/>
        <w:ind w:left="105" w:right="116"/>
        <w:jc w:val="both"/>
      </w:pPr>
      <w:r>
        <w:rPr/>
        <w:t>Este método utiliza un subconjunto de puntos de observación, localizados cerca del punto estimado, el valor se estima a partir del supuesto de la variación espacial de cualquier variable geológica, hidrológica o climatológica, la variación se representa en semivariogramas, para establecer la correlación espacial entre los puntos muestreados en una área, la correlación espacial se comprende como la función de la distancia y la dirección entre estos.</w:t>
      </w:r>
    </w:p>
    <w:p>
      <w:pPr>
        <w:pStyle w:val="BodyText"/>
        <w:spacing w:before="2"/>
      </w:pPr>
    </w:p>
    <w:p>
      <w:pPr>
        <w:pStyle w:val="BodyText"/>
        <w:spacing w:line="360" w:lineRule="auto"/>
        <w:ind w:left="105" w:right="115"/>
        <w:jc w:val="both"/>
      </w:pPr>
      <w:r>
        <w:rPr/>
        <w:t>Los procesos estocásticos espacio temporales, pueden ser caracterizados mediante funciones aleatorias Z (x,t ) que varían </w:t>
      </w:r>
      <w:r>
        <w:rPr>
          <w:spacing w:val="-3"/>
        </w:rPr>
        <w:t>en el </w:t>
      </w:r>
      <w:r>
        <w:rPr/>
        <w:t>espacio, </w:t>
      </w:r>
      <w:r>
        <w:rPr>
          <w:spacing w:val="-3"/>
        </w:rPr>
        <w:t>es </w:t>
      </w:r>
      <w:r>
        <w:rPr/>
        <w:t>decir dependen de  la  posición  x</w:t>
      </w:r>
      <w:r>
        <w:rPr>
          <w:rFonts w:ascii="Cambria Math" w:hAnsi="Cambria Math" w:eastAsia="Cambria Math"/>
        </w:rPr>
        <w:t>∈</w:t>
      </w:r>
      <w:r>
        <w:rPr/>
        <w:t>�3  y  del  tiempo  t  .  Dicho  de  otra  manera,  a  cada  punto del espacio-tiempo (x,t ) le  hacemos  corresponder  una  variable  aleatoria  Z (Díaz Viera,   2002).   Los   métodos   estocásticos   </w:t>
      </w:r>
      <w:r>
        <w:rPr>
          <w:spacing w:val="3"/>
        </w:rPr>
        <w:t>se  </w:t>
      </w:r>
      <w:r>
        <w:rPr/>
        <w:t>centran   </w:t>
      </w:r>
      <w:r>
        <w:rPr>
          <w:spacing w:val="-3"/>
        </w:rPr>
        <w:t>en   </w:t>
      </w:r>
      <w:r>
        <w:rPr/>
        <w:t>la   carencia de un conocimiento exacto de </w:t>
      </w:r>
      <w:r>
        <w:rPr>
          <w:spacing w:val="5"/>
        </w:rPr>
        <w:t>la </w:t>
      </w:r>
      <w:r>
        <w:rPr/>
        <w:t>realidad, la información se encuentra fragmentada, con mínima cantidad de puntos muéstrales y se presentan imprecisiones </w:t>
      </w:r>
      <w:r>
        <w:rPr>
          <w:spacing w:val="-3"/>
        </w:rPr>
        <w:t>en  </w:t>
      </w:r>
      <w:r>
        <w:rPr/>
        <w:t>las dispersión de las variables, sin embargo, </w:t>
      </w:r>
      <w:r>
        <w:rPr>
          <w:spacing w:val="-3"/>
        </w:rPr>
        <w:t>el </w:t>
      </w:r>
      <w:r>
        <w:rPr/>
        <w:t>método de Kriging ordinario </w:t>
      </w:r>
      <w:r>
        <w:rPr>
          <w:spacing w:val="-3"/>
        </w:rPr>
        <w:t>es </w:t>
      </w:r>
      <w:r>
        <w:rPr/>
        <w:t>robusto y </w:t>
      </w:r>
      <w:r>
        <w:rPr>
          <w:spacing w:val="-3"/>
        </w:rPr>
        <w:t>el </w:t>
      </w:r>
      <w:r>
        <w:rPr/>
        <w:t>más utilizado </w:t>
      </w:r>
      <w:r>
        <w:rPr>
          <w:spacing w:val="-3"/>
        </w:rPr>
        <w:t>en </w:t>
      </w:r>
      <w:r>
        <w:rPr/>
        <w:t>los análisis ambientales (Vitoriano,</w:t>
      </w:r>
      <w:r>
        <w:rPr>
          <w:spacing w:val="3"/>
        </w:rPr>
        <w:t> </w:t>
      </w:r>
      <w:r>
        <w:rPr/>
        <w:t>2012).</w:t>
      </w:r>
    </w:p>
    <w:p>
      <w:pPr>
        <w:spacing w:after="0" w:line="360" w:lineRule="auto"/>
        <w:jc w:val="both"/>
        <w:sectPr>
          <w:pgSz w:w="12240" w:h="15840"/>
          <w:pgMar w:header="0" w:footer="1001" w:top="1360" w:bottom="1200" w:left="1600" w:right="1580"/>
        </w:sectPr>
      </w:pPr>
    </w:p>
    <w:p>
      <w:pPr>
        <w:spacing w:before="48"/>
        <w:ind w:left="105" w:right="0" w:firstLine="0"/>
        <w:jc w:val="both"/>
        <w:rPr>
          <w:b/>
          <w:sz w:val="24"/>
        </w:rPr>
      </w:pPr>
      <w:r>
        <w:rPr>
          <w:b/>
          <w:sz w:val="24"/>
        </w:rPr>
        <w:t>Resultados</w:t>
      </w:r>
    </w:p>
    <w:p>
      <w:pPr>
        <w:pStyle w:val="BodyText"/>
        <w:rPr>
          <w:b/>
        </w:rPr>
      </w:pPr>
    </w:p>
    <w:p>
      <w:pPr>
        <w:pStyle w:val="BodyText"/>
        <w:spacing w:line="360" w:lineRule="auto" w:before="144"/>
        <w:ind w:left="105" w:right="112"/>
        <w:jc w:val="both"/>
      </w:pPr>
      <w:r>
        <w:rPr/>
        <w:t>El paisaje que rodea la ZMCT se caracteriza por elevaciones, valles, barrancos y lomeríos con diferentes altitudes que van de los 2400 msnm en su punto más bajo a los 4680 msnm. La parte central presenta planicies para la actividad agrícola, los asentamientos humanos y en ella se ubican las estaciones de monitoreo, presenta una altitud de 2600 y los 2900 msnm, prevalece el clima templado subhúmedo con lluvias en verano (C(w2)(w)b(i’)g), verano fresco y lluvioso con poca oscilación térmica (Ver figura 1).</w:t>
      </w:r>
    </w:p>
    <w:p>
      <w:pPr>
        <w:pStyle w:val="BodyText"/>
        <w:spacing w:before="10"/>
      </w:pPr>
    </w:p>
    <w:p>
      <w:pPr>
        <w:pStyle w:val="BodyText"/>
        <w:ind w:left="286" w:right="302"/>
        <w:jc w:val="center"/>
      </w:pPr>
      <w:r>
        <w:rPr/>
        <w:t>Figura 1. Zona de Estudio</w:t>
      </w:r>
    </w:p>
    <w:p>
      <w:pPr>
        <w:pStyle w:val="BodyText"/>
        <w:spacing w:before="6"/>
        <w:rPr>
          <w:sz w:val="21"/>
        </w:rPr>
      </w:pPr>
      <w:r>
        <w:rPr/>
        <w:drawing>
          <wp:anchor distT="0" distB="0" distL="0" distR="0" allowOverlap="1" layoutInCell="1" locked="0" behindDoc="0" simplePos="0" relativeHeight="1312">
            <wp:simplePos x="0" y="0"/>
            <wp:positionH relativeFrom="page">
              <wp:posOffset>2253360</wp:posOffset>
            </wp:positionH>
            <wp:positionV relativeFrom="paragraph">
              <wp:posOffset>182334</wp:posOffset>
            </wp:positionV>
            <wp:extent cx="3292265" cy="3365373"/>
            <wp:effectExtent l="0" t="0" r="0" b="0"/>
            <wp:wrapTopAndBottom/>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41" cstate="print"/>
                    <a:stretch>
                      <a:fillRect/>
                    </a:stretch>
                  </pic:blipFill>
                  <pic:spPr>
                    <a:xfrm>
                      <a:off x="0" y="0"/>
                      <a:ext cx="3292265" cy="3365373"/>
                    </a:xfrm>
                    <a:prstGeom prst="rect">
                      <a:avLst/>
                    </a:prstGeom>
                  </pic:spPr>
                </pic:pic>
              </a:graphicData>
            </a:graphic>
          </wp:anchor>
        </w:drawing>
      </w:r>
    </w:p>
    <w:p>
      <w:pPr>
        <w:pStyle w:val="BodyText"/>
        <w:spacing w:before="10"/>
        <w:rPr>
          <w:sz w:val="29"/>
        </w:rPr>
      </w:pPr>
    </w:p>
    <w:p>
      <w:pPr>
        <w:pStyle w:val="BodyText"/>
        <w:ind w:left="286" w:right="302"/>
        <w:jc w:val="center"/>
      </w:pPr>
      <w:r>
        <w:rPr/>
        <w:t>Fuente: Elaboración propia</w:t>
      </w:r>
    </w:p>
    <w:p>
      <w:pPr>
        <w:pStyle w:val="BodyText"/>
      </w:pPr>
    </w:p>
    <w:p>
      <w:pPr>
        <w:pStyle w:val="BodyText"/>
        <w:spacing w:line="360" w:lineRule="auto"/>
        <w:ind w:left="105" w:right="114"/>
        <w:jc w:val="both"/>
      </w:pPr>
      <w:r>
        <w:rPr/>
        <w:t>Esta zona comprende las áreas urbanas consolidadas de Toluca, Metepec y San Mateo Atenco. El microclima urbano </w:t>
      </w:r>
      <w:r>
        <w:rPr>
          <w:spacing w:val="3"/>
        </w:rPr>
        <w:t>se ve </w:t>
      </w:r>
      <w:r>
        <w:rPr/>
        <w:t>afectado por la ausencia de vegetación y cuerpos de agua, </w:t>
      </w:r>
      <w:r>
        <w:rPr>
          <w:spacing w:val="-3"/>
        </w:rPr>
        <w:t>el </w:t>
      </w:r>
      <w:r>
        <w:rPr/>
        <w:t>asfalto y otros materiales de construcción absorben energía e inciden </w:t>
      </w:r>
      <w:r>
        <w:rPr>
          <w:spacing w:val="-3"/>
        </w:rPr>
        <w:t>en </w:t>
      </w:r>
      <w:r>
        <w:rPr/>
        <w:t>un aumento </w:t>
      </w:r>
      <w:r>
        <w:rPr>
          <w:spacing w:val="-3"/>
        </w:rPr>
        <w:t>en </w:t>
      </w:r>
      <w:r>
        <w:rPr/>
        <w:t>la temperatura, </w:t>
      </w:r>
      <w:r>
        <w:rPr>
          <w:spacing w:val="-3"/>
        </w:rPr>
        <w:t>el </w:t>
      </w:r>
      <w:r>
        <w:rPr/>
        <w:t>aire caliente atrae la brisa del área circundante, lo que genera </w:t>
      </w:r>
      <w:r>
        <w:rPr>
          <w:spacing w:val="-3"/>
        </w:rPr>
        <w:t>el </w:t>
      </w:r>
      <w:r>
        <w:rPr/>
        <w:t>efecto invernadero </w:t>
      </w:r>
      <w:r>
        <w:rPr>
          <w:spacing w:val="3"/>
        </w:rPr>
        <w:t>local </w:t>
      </w:r>
      <w:r>
        <w:rPr/>
        <w:t>que puede verse contrabalanceado por la reflexión de la radiación solar que generan las </w:t>
      </w:r>
      <w:r>
        <w:rPr>
          <w:spacing w:val="65"/>
        </w:rPr>
        <w:t> </w:t>
      </w:r>
      <w:r>
        <w:rPr/>
        <w:t>partículas</w:t>
      </w:r>
    </w:p>
    <w:p>
      <w:pPr>
        <w:spacing w:after="0" w:line="360" w:lineRule="auto"/>
        <w:jc w:val="both"/>
        <w:sectPr>
          <w:pgSz w:w="12240" w:h="15840"/>
          <w:pgMar w:header="0" w:footer="1001" w:top="1360" w:bottom="1200" w:left="1600" w:right="1580"/>
        </w:sectPr>
      </w:pPr>
    </w:p>
    <w:p>
      <w:pPr>
        <w:pStyle w:val="BodyText"/>
        <w:spacing w:line="360" w:lineRule="auto" w:before="48"/>
        <w:ind w:left="105" w:right="117"/>
        <w:jc w:val="both"/>
      </w:pPr>
      <w:r>
        <w:rPr/>
        <w:t>en suspensión (Manahan, 2011). Los cambios estacionales de la temperatura ambiente, la precipitación, la humedad relativa, la velocidad y la dirección de los vientos, influyen en la dispersión, la concentración y deposición de las partículas suspendidas, lo cual incide en la formación de áreas con diferentes niveles de calidad de aire.</w:t>
      </w:r>
    </w:p>
    <w:p>
      <w:pPr>
        <w:pStyle w:val="BodyText"/>
        <w:spacing w:before="10"/>
      </w:pPr>
    </w:p>
    <w:p>
      <w:pPr>
        <w:spacing w:before="0"/>
        <w:ind w:left="105" w:right="0" w:firstLine="0"/>
        <w:jc w:val="both"/>
        <w:rPr>
          <w:b/>
          <w:sz w:val="24"/>
        </w:rPr>
      </w:pPr>
      <w:r>
        <w:rPr>
          <w:b/>
          <w:sz w:val="24"/>
        </w:rPr>
        <w:t>Temperatura</w:t>
      </w:r>
    </w:p>
    <w:p>
      <w:pPr>
        <w:pStyle w:val="BodyText"/>
        <w:rPr>
          <w:b/>
        </w:rPr>
      </w:pPr>
    </w:p>
    <w:p>
      <w:pPr>
        <w:pStyle w:val="BodyText"/>
        <w:spacing w:before="144"/>
        <w:ind w:left="160"/>
        <w:jc w:val="both"/>
      </w:pPr>
      <w:r>
        <w:rPr/>
        <w:t>En la zona la temperatura presenta oscilación a lo largo del año, desciende  hasta</w:t>
      </w:r>
    </w:p>
    <w:p>
      <w:pPr>
        <w:pStyle w:val="BodyText"/>
        <w:spacing w:line="362" w:lineRule="auto" w:before="97"/>
        <w:ind w:left="160" w:right="119"/>
        <w:jc w:val="both"/>
      </w:pPr>
      <w:r>
        <w:rPr/>
        <w:t>-5</w:t>
      </w:r>
      <w:r>
        <w:rPr>
          <w:position w:val="11"/>
          <w:sz w:val="16"/>
        </w:rPr>
        <w:t>o</w:t>
      </w:r>
      <w:r>
        <w:rPr/>
        <w:t>C y alcanza máximas de 22 °C. Las temperaturas más bajas </w:t>
      </w:r>
      <w:r>
        <w:rPr>
          <w:spacing w:val="10"/>
        </w:rPr>
        <w:t>se </w:t>
      </w:r>
      <w:r>
        <w:rPr/>
        <w:t>registran </w:t>
      </w:r>
      <w:r>
        <w:rPr>
          <w:spacing w:val="-3"/>
        </w:rPr>
        <w:t>en </w:t>
      </w:r>
      <w:r>
        <w:rPr/>
        <w:t>invierno (Diciembre a febrero), aumentan progresivamente </w:t>
      </w:r>
      <w:r>
        <w:rPr>
          <w:spacing w:val="-3"/>
        </w:rPr>
        <w:t>en </w:t>
      </w:r>
      <w:r>
        <w:rPr/>
        <w:t>marzo y los valores más </w:t>
      </w:r>
      <w:r>
        <w:rPr>
          <w:spacing w:val="-3"/>
        </w:rPr>
        <w:t>altos en el </w:t>
      </w:r>
      <w:r>
        <w:rPr/>
        <w:t>verano (julio), para luego descender </w:t>
      </w:r>
      <w:r>
        <w:rPr>
          <w:spacing w:val="-3"/>
        </w:rPr>
        <w:t>en el </w:t>
      </w:r>
      <w:r>
        <w:rPr/>
        <w:t>mes </w:t>
      </w:r>
      <w:r>
        <w:rPr>
          <w:spacing w:val="5"/>
        </w:rPr>
        <w:t>de </w:t>
      </w:r>
      <w:r>
        <w:rPr/>
        <w:t>septiembre.  (Ver figura</w:t>
      </w:r>
      <w:r>
        <w:rPr>
          <w:spacing w:val="-13"/>
        </w:rPr>
        <w:t> </w:t>
      </w:r>
      <w:r>
        <w:rPr/>
        <w:t>2).</w:t>
      </w:r>
    </w:p>
    <w:p>
      <w:pPr>
        <w:pStyle w:val="BodyText"/>
        <w:spacing w:before="11"/>
        <w:rPr>
          <w:sz w:val="23"/>
        </w:rPr>
      </w:pPr>
    </w:p>
    <w:p>
      <w:pPr>
        <w:pStyle w:val="BodyText"/>
        <w:ind w:left="285" w:right="237"/>
        <w:jc w:val="center"/>
      </w:pPr>
      <w:r>
        <w:rPr/>
        <w:t>Figura 2. Comparativo de los factores meteorológicos, 2000, 2005 y 2013</w:t>
      </w:r>
    </w:p>
    <w:p>
      <w:pPr>
        <w:pStyle w:val="BodyText"/>
        <w:rPr>
          <w:sz w:val="20"/>
        </w:rPr>
      </w:pPr>
    </w:p>
    <w:p>
      <w:pPr>
        <w:pStyle w:val="BodyText"/>
        <w:spacing w:before="6"/>
        <w:rPr>
          <w:sz w:val="14"/>
        </w:rPr>
      </w:pPr>
      <w:r>
        <w:rPr/>
        <w:drawing>
          <wp:anchor distT="0" distB="0" distL="0" distR="0" allowOverlap="1" layoutInCell="1" locked="0" behindDoc="0" simplePos="0" relativeHeight="1336">
            <wp:simplePos x="0" y="0"/>
            <wp:positionH relativeFrom="page">
              <wp:posOffset>1153591</wp:posOffset>
            </wp:positionH>
            <wp:positionV relativeFrom="paragraph">
              <wp:posOffset>131967</wp:posOffset>
            </wp:positionV>
            <wp:extent cx="2635380" cy="1704784"/>
            <wp:effectExtent l="0" t="0" r="0" b="0"/>
            <wp:wrapTopAndBottom/>
            <wp:docPr id="23" name="image18.png" descr=""/>
            <wp:cNvGraphicFramePr>
              <a:graphicFrameLocks noChangeAspect="1"/>
            </wp:cNvGraphicFramePr>
            <a:graphic>
              <a:graphicData uri="http://schemas.openxmlformats.org/drawingml/2006/picture">
                <pic:pic>
                  <pic:nvPicPr>
                    <pic:cNvPr id="24" name="image18.png"/>
                    <pic:cNvPicPr/>
                  </pic:nvPicPr>
                  <pic:blipFill>
                    <a:blip r:embed="rId42" cstate="print"/>
                    <a:stretch>
                      <a:fillRect/>
                    </a:stretch>
                  </pic:blipFill>
                  <pic:spPr>
                    <a:xfrm>
                      <a:off x="0" y="0"/>
                      <a:ext cx="2635380" cy="1704784"/>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3844237</wp:posOffset>
            </wp:positionH>
            <wp:positionV relativeFrom="paragraph">
              <wp:posOffset>131332</wp:posOffset>
            </wp:positionV>
            <wp:extent cx="2611117" cy="1690211"/>
            <wp:effectExtent l="0" t="0" r="0" b="0"/>
            <wp:wrapTopAndBottom/>
            <wp:docPr id="25" name="image19.png" descr=""/>
            <wp:cNvGraphicFramePr>
              <a:graphicFrameLocks noChangeAspect="1"/>
            </wp:cNvGraphicFramePr>
            <a:graphic>
              <a:graphicData uri="http://schemas.openxmlformats.org/drawingml/2006/picture">
                <pic:pic>
                  <pic:nvPicPr>
                    <pic:cNvPr id="26" name="image19.png"/>
                    <pic:cNvPicPr/>
                  </pic:nvPicPr>
                  <pic:blipFill>
                    <a:blip r:embed="rId43" cstate="print"/>
                    <a:stretch>
                      <a:fillRect/>
                    </a:stretch>
                  </pic:blipFill>
                  <pic:spPr>
                    <a:xfrm>
                      <a:off x="0" y="0"/>
                      <a:ext cx="2611117" cy="1690211"/>
                    </a:xfrm>
                    <a:prstGeom prst="rect">
                      <a:avLst/>
                    </a:prstGeom>
                  </pic:spPr>
                </pic:pic>
              </a:graphicData>
            </a:graphic>
          </wp:anchor>
        </w:drawing>
      </w:r>
    </w:p>
    <w:p>
      <w:pPr>
        <w:pStyle w:val="BodyText"/>
        <w:spacing w:before="9"/>
        <w:rPr>
          <w:sz w:val="6"/>
        </w:rPr>
      </w:pPr>
    </w:p>
    <w:p>
      <w:pPr>
        <w:spacing w:line="240" w:lineRule="auto"/>
        <w:ind w:left="217" w:right="0" w:firstLine="0"/>
        <w:rPr>
          <w:sz w:val="20"/>
        </w:rPr>
      </w:pPr>
      <w:r>
        <w:rPr>
          <w:sz w:val="20"/>
        </w:rPr>
        <w:drawing>
          <wp:inline distT="0" distB="0" distL="0" distR="0">
            <wp:extent cx="2633941" cy="1709927"/>
            <wp:effectExtent l="0" t="0" r="0" b="0"/>
            <wp:docPr id="27" name="image20.png" descr=""/>
            <wp:cNvGraphicFramePr>
              <a:graphicFrameLocks noChangeAspect="1"/>
            </wp:cNvGraphicFramePr>
            <a:graphic>
              <a:graphicData uri="http://schemas.openxmlformats.org/drawingml/2006/picture">
                <pic:pic>
                  <pic:nvPicPr>
                    <pic:cNvPr id="28" name="image20.png"/>
                    <pic:cNvPicPr/>
                  </pic:nvPicPr>
                  <pic:blipFill>
                    <a:blip r:embed="rId44" cstate="print"/>
                    <a:stretch>
                      <a:fillRect/>
                    </a:stretch>
                  </pic:blipFill>
                  <pic:spPr>
                    <a:xfrm>
                      <a:off x="0" y="0"/>
                      <a:ext cx="2633941" cy="1709927"/>
                    </a:xfrm>
                    <a:prstGeom prst="rect">
                      <a:avLst/>
                    </a:prstGeom>
                  </pic:spPr>
                </pic:pic>
              </a:graphicData>
            </a:graphic>
          </wp:inline>
        </w:drawing>
      </w:r>
      <w:r>
        <w:rPr>
          <w:sz w:val="20"/>
        </w:rPr>
      </w:r>
      <w:r>
        <w:rPr>
          <w:rFonts w:ascii="Times New Roman"/>
          <w:spacing w:val="59"/>
          <w:sz w:val="20"/>
        </w:rPr>
        <w:t> </w:t>
      </w:r>
      <w:r>
        <w:rPr>
          <w:spacing w:val="59"/>
          <w:sz w:val="20"/>
        </w:rPr>
        <w:drawing>
          <wp:inline distT="0" distB="0" distL="0" distR="0">
            <wp:extent cx="2633941" cy="1709927"/>
            <wp:effectExtent l="0" t="0" r="0" b="0"/>
            <wp:docPr id="29" name="image21.png" descr=""/>
            <wp:cNvGraphicFramePr>
              <a:graphicFrameLocks noChangeAspect="1"/>
            </wp:cNvGraphicFramePr>
            <a:graphic>
              <a:graphicData uri="http://schemas.openxmlformats.org/drawingml/2006/picture">
                <pic:pic>
                  <pic:nvPicPr>
                    <pic:cNvPr id="30" name="image21.png"/>
                    <pic:cNvPicPr/>
                  </pic:nvPicPr>
                  <pic:blipFill>
                    <a:blip r:embed="rId45" cstate="print"/>
                    <a:stretch>
                      <a:fillRect/>
                    </a:stretch>
                  </pic:blipFill>
                  <pic:spPr>
                    <a:xfrm>
                      <a:off x="0" y="0"/>
                      <a:ext cx="2633941" cy="1709927"/>
                    </a:xfrm>
                    <a:prstGeom prst="rect">
                      <a:avLst/>
                    </a:prstGeom>
                  </pic:spPr>
                </pic:pic>
              </a:graphicData>
            </a:graphic>
          </wp:inline>
        </w:drawing>
      </w:r>
      <w:r>
        <w:rPr>
          <w:spacing w:val="59"/>
          <w:sz w:val="20"/>
        </w:rPr>
      </w:r>
    </w:p>
    <w:p>
      <w:pPr>
        <w:pStyle w:val="BodyText"/>
        <w:spacing w:before="20"/>
        <w:ind w:left="306" w:right="302"/>
        <w:jc w:val="center"/>
      </w:pPr>
      <w:r>
        <w:rPr/>
        <w:t>Fuente: Elaboración propia a partir de datos RAMAT 1998-2013</w:t>
      </w:r>
    </w:p>
    <w:p>
      <w:pPr>
        <w:pStyle w:val="BodyText"/>
      </w:pPr>
    </w:p>
    <w:p>
      <w:pPr>
        <w:pStyle w:val="BodyText"/>
        <w:spacing w:line="362" w:lineRule="auto" w:before="144"/>
        <w:ind w:left="105" w:right="128"/>
        <w:jc w:val="both"/>
      </w:pPr>
      <w:r>
        <w:rPr/>
        <w:t>A medida que la temperatura aumenta los gases se vuelven volátiles, permitiendo su dispersión con facilidad. En ocasiones se forman capas frías por debajo de</w:t>
      </w:r>
    </w:p>
    <w:p>
      <w:pPr>
        <w:spacing w:after="0" w:line="362" w:lineRule="auto"/>
        <w:jc w:val="both"/>
        <w:sectPr>
          <w:pgSz w:w="12240" w:h="15840"/>
          <w:pgMar w:header="0" w:footer="1001" w:top="1360" w:bottom="1200" w:left="1600" w:right="1580"/>
        </w:sectPr>
      </w:pPr>
    </w:p>
    <w:p>
      <w:pPr>
        <w:pStyle w:val="BodyText"/>
        <w:spacing w:line="360" w:lineRule="auto" w:before="48"/>
        <w:ind w:left="105" w:right="120"/>
        <w:jc w:val="both"/>
      </w:pPr>
      <w:r>
        <w:rPr/>
        <w:t>capas con mayor temperatura, lo que da lugar a la inversión térmica, aquella que impide la circulación vertical del aire, encerrando los contaminantes en áreas localizadas, la disminución en la temperatura y la inversión térmica ocasiona que las partículas suspendidas, permanezcan por mayor tiempo en la atmósfera generando la formación de una capa de color pardo (Manahan, 2011).</w:t>
      </w:r>
    </w:p>
    <w:p>
      <w:pPr>
        <w:pStyle w:val="BodyText"/>
        <w:spacing w:before="10"/>
      </w:pPr>
    </w:p>
    <w:p>
      <w:pPr>
        <w:spacing w:before="0"/>
        <w:ind w:left="105" w:right="0" w:firstLine="0"/>
        <w:jc w:val="both"/>
        <w:rPr>
          <w:b/>
          <w:sz w:val="24"/>
        </w:rPr>
      </w:pPr>
      <w:r>
        <w:rPr>
          <w:b/>
          <w:sz w:val="24"/>
        </w:rPr>
        <w:t>Precipitación</w:t>
      </w:r>
    </w:p>
    <w:p>
      <w:pPr>
        <w:pStyle w:val="BodyText"/>
        <w:rPr>
          <w:b/>
        </w:rPr>
      </w:pPr>
    </w:p>
    <w:p>
      <w:pPr>
        <w:pStyle w:val="BodyText"/>
        <w:spacing w:line="360" w:lineRule="auto" w:before="144"/>
        <w:ind w:left="105" w:right="110"/>
        <w:jc w:val="both"/>
      </w:pPr>
      <w:r>
        <w:rPr/>
        <w:t>En abril inicia la temporada de lluvias y </w:t>
      </w:r>
      <w:r>
        <w:rPr>
          <w:spacing w:val="-3"/>
        </w:rPr>
        <w:t>en </w:t>
      </w:r>
      <w:r>
        <w:rPr/>
        <w:t>los meses </w:t>
      </w:r>
      <w:r>
        <w:rPr>
          <w:spacing w:val="5"/>
        </w:rPr>
        <w:t>de </w:t>
      </w:r>
      <w:r>
        <w:rPr/>
        <w:t>junio a septiembre  ocurren los mayores niveles de precipitación, descienden </w:t>
      </w:r>
      <w:r>
        <w:rPr>
          <w:spacing w:val="-3"/>
        </w:rPr>
        <w:t>en el </w:t>
      </w:r>
      <w:r>
        <w:rPr/>
        <w:t>mes de octubre, registrándose periodos sin lluvias o sequía de noviembre a febrero. La </w:t>
      </w:r>
      <w:r>
        <w:rPr>
          <w:spacing w:val="3"/>
        </w:rPr>
        <w:t>lluvia </w:t>
      </w:r>
      <w:r>
        <w:rPr/>
        <w:t>tiene un efecto de limpieza </w:t>
      </w:r>
      <w:r>
        <w:rPr>
          <w:spacing w:val="-3"/>
        </w:rPr>
        <w:t>en </w:t>
      </w:r>
      <w:r>
        <w:rPr/>
        <w:t>la atmosfera, las partículas suspendidas, sobre </w:t>
      </w:r>
      <w:r>
        <w:rPr>
          <w:spacing w:val="2"/>
        </w:rPr>
        <w:t>todo </w:t>
      </w:r>
      <w:r>
        <w:rPr/>
        <w:t>las de origen natural se eliminan por retención y arrastre </w:t>
      </w:r>
      <w:r>
        <w:rPr>
          <w:spacing w:val="-3"/>
        </w:rPr>
        <w:t>en </w:t>
      </w:r>
      <w:r>
        <w:rPr/>
        <w:t>las gotas. Existe fuerte correlación entre los niveles de precipitación y las concentraciones de partículas, a medida que los niveles de precipitación </w:t>
      </w:r>
      <w:r>
        <w:rPr>
          <w:spacing w:val="-3"/>
        </w:rPr>
        <w:t>aumentan </w:t>
      </w:r>
      <w:r>
        <w:rPr/>
        <w:t>las concentraciones de partículas disminuyen, </w:t>
      </w:r>
      <w:r>
        <w:rPr>
          <w:spacing w:val="-3"/>
        </w:rPr>
        <w:t>en </w:t>
      </w:r>
      <w:r>
        <w:rPr/>
        <w:t>las ciudades durante la temporada seca del año, los niveles contaminación aumentan, mientras que </w:t>
      </w:r>
      <w:r>
        <w:rPr>
          <w:spacing w:val="-3"/>
        </w:rPr>
        <w:t>en </w:t>
      </w:r>
      <w:r>
        <w:rPr/>
        <w:t>los periodos de lluvia disminuyen. Este proceso de arrastre que ejerce la precipitación </w:t>
      </w:r>
      <w:r>
        <w:rPr>
          <w:spacing w:val="-3"/>
        </w:rPr>
        <w:t>es </w:t>
      </w:r>
      <w:r>
        <w:rPr/>
        <w:t>denominado “below-cloud scavenging” o “deposición húmeda” (Silva,</w:t>
      </w:r>
      <w:r>
        <w:rPr>
          <w:spacing w:val="-12"/>
        </w:rPr>
        <w:t> </w:t>
      </w:r>
      <w:r>
        <w:rPr/>
        <w:t>2007).</w:t>
      </w:r>
    </w:p>
    <w:p>
      <w:pPr>
        <w:pStyle w:val="BodyText"/>
        <w:spacing w:before="10"/>
      </w:pPr>
    </w:p>
    <w:p>
      <w:pPr>
        <w:spacing w:before="0"/>
        <w:ind w:left="105" w:right="0" w:firstLine="0"/>
        <w:jc w:val="both"/>
        <w:rPr>
          <w:b/>
          <w:sz w:val="24"/>
        </w:rPr>
      </w:pPr>
      <w:r>
        <w:rPr>
          <w:b/>
          <w:sz w:val="24"/>
        </w:rPr>
        <w:t>Humedad Relativa</w:t>
      </w:r>
    </w:p>
    <w:p>
      <w:pPr>
        <w:pStyle w:val="BodyText"/>
        <w:rPr>
          <w:b/>
        </w:rPr>
      </w:pPr>
    </w:p>
    <w:p>
      <w:pPr>
        <w:pStyle w:val="BodyText"/>
        <w:spacing w:line="360" w:lineRule="auto" w:before="144"/>
        <w:ind w:left="105" w:right="117"/>
        <w:jc w:val="both"/>
      </w:pPr>
      <w:r>
        <w:rPr/>
        <w:t>La humedad relativa describe </w:t>
      </w:r>
      <w:r>
        <w:rPr>
          <w:spacing w:val="5"/>
        </w:rPr>
        <w:t>la </w:t>
      </w:r>
      <w:r>
        <w:rPr/>
        <w:t>cantidad </w:t>
      </w:r>
      <w:r>
        <w:rPr>
          <w:spacing w:val="5"/>
        </w:rPr>
        <w:t>de </w:t>
      </w:r>
      <w:r>
        <w:rPr/>
        <w:t>vapor de agua presente </w:t>
      </w:r>
      <w:r>
        <w:rPr>
          <w:spacing w:val="-3"/>
        </w:rPr>
        <w:t>en </w:t>
      </w:r>
      <w:r>
        <w:rPr/>
        <w:t>relación a la máxima que </w:t>
      </w:r>
      <w:r>
        <w:rPr>
          <w:spacing w:val="-3"/>
        </w:rPr>
        <w:t>el </w:t>
      </w:r>
      <w:r>
        <w:rPr/>
        <w:t>aire puede contener a la misma temperatura </w:t>
      </w:r>
      <w:r>
        <w:rPr>
          <w:spacing w:val="-3"/>
        </w:rPr>
        <w:t>en </w:t>
      </w:r>
      <w:r>
        <w:rPr/>
        <w:t>términos de porcentaje. En la zona de estudio se presenta la mayor humedad relativa </w:t>
      </w:r>
      <w:r>
        <w:rPr>
          <w:spacing w:val="-3"/>
        </w:rPr>
        <w:t>en </w:t>
      </w:r>
      <w:r>
        <w:rPr/>
        <w:t>los </w:t>
      </w:r>
      <w:r>
        <w:rPr>
          <w:spacing w:val="-3"/>
        </w:rPr>
        <w:t>meses </w:t>
      </w:r>
      <w:r>
        <w:rPr>
          <w:spacing w:val="5"/>
        </w:rPr>
        <w:t>de </w:t>
      </w:r>
      <w:r>
        <w:rPr/>
        <w:t>junio a octubre (Superior a 70%) y </w:t>
      </w:r>
      <w:r>
        <w:rPr>
          <w:spacing w:val="-3"/>
        </w:rPr>
        <w:t>es </w:t>
      </w:r>
      <w:r>
        <w:rPr/>
        <w:t>coincidente con los altos niveles de precipitación. En los meses </w:t>
      </w:r>
      <w:r>
        <w:rPr>
          <w:spacing w:val="5"/>
        </w:rPr>
        <w:t>de </w:t>
      </w:r>
      <w:r>
        <w:rPr/>
        <w:t>febrero a abril se tiene la menor humedad relativa, un nivel por debajo de 40%. La humedad relativa desciende </w:t>
      </w:r>
      <w:r>
        <w:rPr>
          <w:spacing w:val="-3"/>
        </w:rPr>
        <w:t>en </w:t>
      </w:r>
      <w:r>
        <w:rPr/>
        <w:t>noviembre y mantiene nivel similar hasta enero, para descender drásticamente </w:t>
      </w:r>
      <w:r>
        <w:rPr>
          <w:spacing w:val="-3"/>
        </w:rPr>
        <w:t>en</w:t>
      </w:r>
      <w:r>
        <w:rPr>
          <w:spacing w:val="-34"/>
        </w:rPr>
        <w:t> </w:t>
      </w:r>
      <w:r>
        <w:rPr/>
        <w:t>febrero.</w:t>
      </w:r>
    </w:p>
    <w:p>
      <w:pPr>
        <w:pStyle w:val="BodyText"/>
        <w:spacing w:before="10"/>
      </w:pPr>
    </w:p>
    <w:p>
      <w:pPr>
        <w:pStyle w:val="BodyText"/>
        <w:spacing w:line="357" w:lineRule="auto"/>
        <w:ind w:left="105" w:right="102"/>
        <w:jc w:val="both"/>
      </w:pPr>
      <w:r>
        <w:rPr/>
        <w:t>El aumento en la humedad relativa puede influir en la dispersión de los contaminantes y las reacciones que entre estos se generan (Manahan, 2011). Una atmosfera con mayor humedad relativa facilita la eliminación y deposición de los</w:t>
      </w:r>
    </w:p>
    <w:p>
      <w:pPr>
        <w:spacing w:after="0" w:line="357" w:lineRule="auto"/>
        <w:jc w:val="both"/>
        <w:sectPr>
          <w:pgSz w:w="12240" w:h="15840"/>
          <w:pgMar w:header="0" w:footer="1001" w:top="1360" w:bottom="1200" w:left="1600" w:right="1580"/>
        </w:sectPr>
      </w:pPr>
    </w:p>
    <w:p>
      <w:pPr>
        <w:pStyle w:val="BodyText"/>
        <w:spacing w:line="360" w:lineRule="auto" w:before="48"/>
        <w:ind w:left="105" w:right="140"/>
        <w:jc w:val="both"/>
      </w:pPr>
      <w:r>
        <w:rPr/>
        <w:t>contaminantes por “in cloud scavening” (barrido dentro de la nube), las partículas que actúan como núcleos de condensación permiten la formación de gotas de lluvia y quedan atrapadas dentro de la nube, desplazándose con las nubes o precipitando dentro de las gotas de lluvia (Silva, 2007). El aumento en la humedad ocasiona la deposición y acumulación de partículas de polvo u otros materiales en sitios específicos.</w:t>
      </w:r>
    </w:p>
    <w:p>
      <w:pPr>
        <w:pStyle w:val="BodyText"/>
        <w:spacing w:before="10"/>
      </w:pPr>
    </w:p>
    <w:p>
      <w:pPr>
        <w:spacing w:before="0"/>
        <w:ind w:left="105" w:right="0" w:firstLine="0"/>
        <w:jc w:val="both"/>
        <w:rPr>
          <w:b/>
          <w:sz w:val="24"/>
        </w:rPr>
      </w:pPr>
      <w:r>
        <w:rPr>
          <w:b/>
          <w:sz w:val="24"/>
        </w:rPr>
        <w:t>Velocidad y dirección de los vientos</w:t>
      </w:r>
    </w:p>
    <w:p>
      <w:pPr>
        <w:pStyle w:val="BodyText"/>
        <w:spacing w:before="10"/>
        <w:rPr>
          <w:b/>
          <w:sz w:val="35"/>
        </w:rPr>
      </w:pPr>
    </w:p>
    <w:p>
      <w:pPr>
        <w:pStyle w:val="BodyText"/>
        <w:spacing w:line="360" w:lineRule="auto"/>
        <w:ind w:left="105" w:right="116"/>
        <w:jc w:val="both"/>
      </w:pPr>
      <w:r>
        <w:rPr/>
        <w:t>La información de las siete estaciones de monitoreo, indica que la velocidad del viento varía entre 1.3 y 2 km/hr, la mayor velocidad se registra </w:t>
      </w:r>
      <w:r>
        <w:rPr>
          <w:spacing w:val="-3"/>
        </w:rPr>
        <w:t>en </w:t>
      </w:r>
      <w:r>
        <w:rPr/>
        <w:t>las estaciones Aeropuerto y San Cristóbal Huichotitlán, </w:t>
      </w:r>
      <w:r>
        <w:rPr>
          <w:spacing w:val="-3"/>
        </w:rPr>
        <w:t>estas </w:t>
      </w:r>
      <w:r>
        <w:rPr>
          <w:spacing w:val="3"/>
        </w:rPr>
        <w:t>se </w:t>
      </w:r>
      <w:r>
        <w:rPr/>
        <w:t>encuentran </w:t>
      </w:r>
      <w:r>
        <w:rPr>
          <w:spacing w:val="-3"/>
        </w:rPr>
        <w:t>en </w:t>
      </w:r>
      <w:r>
        <w:rPr/>
        <w:t>áreas abiertas y con baja densidad de urbanización. A lo largo del año </w:t>
      </w:r>
      <w:r>
        <w:rPr>
          <w:spacing w:val="-3"/>
        </w:rPr>
        <w:t>en </w:t>
      </w:r>
      <w:r>
        <w:rPr/>
        <w:t>los meses de febrero y marzo aumenta considerablemente </w:t>
      </w:r>
      <w:r>
        <w:rPr>
          <w:spacing w:val="5"/>
        </w:rPr>
        <w:t>la </w:t>
      </w:r>
      <w:r>
        <w:rPr/>
        <w:t>velocidad del viento, presentándose velocidades promedio dl 1.5 km/hr, esta condición aunada a la disminución </w:t>
      </w:r>
      <w:r>
        <w:rPr>
          <w:spacing w:val="8"/>
        </w:rPr>
        <w:t>de </w:t>
      </w:r>
      <w:r>
        <w:rPr/>
        <w:t>la humedad, favorece la erosión de las tierras forestales y agrícolas que circundan a la ciudad de Toluca, ocasionando un incremento </w:t>
      </w:r>
      <w:r>
        <w:rPr>
          <w:spacing w:val="5"/>
        </w:rPr>
        <w:t>de </w:t>
      </w:r>
      <w:r>
        <w:rPr/>
        <w:t>las partículas </w:t>
      </w:r>
      <w:r>
        <w:rPr>
          <w:spacing w:val="5"/>
        </w:rPr>
        <w:t>de </w:t>
      </w:r>
      <w:r>
        <w:rPr/>
        <w:t>polvo presentes </w:t>
      </w:r>
      <w:r>
        <w:rPr>
          <w:spacing w:val="-3"/>
        </w:rPr>
        <w:t>en </w:t>
      </w:r>
      <w:r>
        <w:rPr/>
        <w:t>la atmósfera. El movimiento del viento dispersa los contaminantes atmosféricos, cuando </w:t>
      </w:r>
      <w:r>
        <w:rPr>
          <w:spacing w:val="-3"/>
        </w:rPr>
        <w:t>el </w:t>
      </w:r>
      <w:r>
        <w:rPr/>
        <w:t>viento cesa aumenta la concentración </w:t>
      </w:r>
      <w:r>
        <w:rPr>
          <w:spacing w:val="-3"/>
        </w:rPr>
        <w:t>en </w:t>
      </w:r>
      <w:r>
        <w:rPr/>
        <w:t>sitios  específicos. </w:t>
      </w:r>
      <w:r>
        <w:rPr>
          <w:spacing w:val="5"/>
        </w:rPr>
        <w:t>La </w:t>
      </w:r>
      <w:r>
        <w:rPr/>
        <w:t>velocidad del viento puede influir de dos formas, </w:t>
      </w:r>
      <w:r>
        <w:rPr>
          <w:spacing w:val="-3"/>
        </w:rPr>
        <w:t>al </w:t>
      </w:r>
      <w:r>
        <w:rPr/>
        <w:t>aumentar la velocidad se incrementan los procesos erosivos </w:t>
      </w:r>
      <w:r>
        <w:rPr>
          <w:spacing w:val="-3"/>
        </w:rPr>
        <w:t>en </w:t>
      </w:r>
      <w:r>
        <w:rPr/>
        <w:t>zonas agrícolas y montañosas, originando mayor presencia de partículas </w:t>
      </w:r>
      <w:r>
        <w:rPr>
          <w:spacing w:val="-3"/>
        </w:rPr>
        <w:t>en el </w:t>
      </w:r>
      <w:r>
        <w:rPr/>
        <w:t>aire, si la velocidad </w:t>
      </w:r>
      <w:r>
        <w:rPr>
          <w:spacing w:val="5"/>
        </w:rPr>
        <w:t>de </w:t>
      </w:r>
      <w:r>
        <w:rPr/>
        <w:t>los vientos se mantiene constante o aumenta impide la deposición de </w:t>
      </w:r>
      <w:r>
        <w:rPr>
          <w:spacing w:val="-3"/>
        </w:rPr>
        <w:t>estas </w:t>
      </w:r>
      <w:r>
        <w:rPr/>
        <w:t>partículas ocasionando que se mantengan </w:t>
      </w:r>
      <w:r>
        <w:rPr>
          <w:spacing w:val="-3"/>
        </w:rPr>
        <w:t>en </w:t>
      </w:r>
      <w:r>
        <w:rPr/>
        <w:t>la atmósfera por más tiempo (Manahan, 2011). La dirección de los vientos </w:t>
      </w:r>
      <w:r>
        <w:rPr>
          <w:spacing w:val="-3"/>
        </w:rPr>
        <w:t>está </w:t>
      </w:r>
      <w:r>
        <w:rPr/>
        <w:t>determinada por los vientos alisios y los  huracanes (Morales </w:t>
      </w:r>
      <w:r>
        <w:rPr>
          <w:spacing w:val="-3"/>
        </w:rPr>
        <w:t>et </w:t>
      </w:r>
      <w:r>
        <w:rPr/>
        <w:t>al.,</w:t>
      </w:r>
      <w:r>
        <w:rPr>
          <w:spacing w:val="-12"/>
        </w:rPr>
        <w:t> </w:t>
      </w:r>
      <w:r>
        <w:rPr>
          <w:spacing w:val="2"/>
        </w:rPr>
        <w:t>2007).</w:t>
      </w:r>
    </w:p>
    <w:p>
      <w:pPr>
        <w:pStyle w:val="BodyText"/>
        <w:spacing w:before="10"/>
      </w:pPr>
    </w:p>
    <w:p>
      <w:pPr>
        <w:pStyle w:val="BodyText"/>
        <w:spacing w:line="360" w:lineRule="auto"/>
        <w:ind w:left="105" w:right="139"/>
        <w:jc w:val="both"/>
      </w:pPr>
      <w:r>
        <w:rPr/>
        <w:t>Los vientos dispersan los contaminantes, los cuales serán arrastrados en función de los movimientos de las masas de aire, generando la diseminación vertical y horizontal de estos. De acuerdo con la rosa de los vientos (ver figura 3), estos se presentan en dirección sureste-noroeste, con velocidades predominantes de 4  a 11 km/hora; mientras que los  vientos con dirección     sureste-noroeste, presentan</w:t>
      </w:r>
    </w:p>
    <w:p>
      <w:pPr>
        <w:spacing w:after="0" w:line="360" w:lineRule="auto"/>
        <w:jc w:val="both"/>
        <w:sectPr>
          <w:pgSz w:w="12240" w:h="15840"/>
          <w:pgMar w:header="0" w:footer="1001" w:top="1360" w:bottom="1200" w:left="1600" w:right="1560"/>
        </w:sectPr>
      </w:pPr>
    </w:p>
    <w:p>
      <w:pPr>
        <w:pStyle w:val="BodyText"/>
        <w:spacing w:line="362" w:lineRule="auto" w:before="48"/>
        <w:ind w:left="105" w:right="127"/>
        <w:jc w:val="both"/>
      </w:pPr>
      <w:r>
        <w:rPr/>
        <w:t>velocidades de 1 a 4 km/hr, esta propicia la acumulación de partículas en la zona noroeste de la ciudad de Toluca.</w:t>
      </w:r>
    </w:p>
    <w:p>
      <w:pPr>
        <w:pStyle w:val="BodyText"/>
        <w:spacing w:before="7"/>
      </w:pPr>
    </w:p>
    <w:p>
      <w:pPr>
        <w:pStyle w:val="BodyText"/>
        <w:spacing w:before="1"/>
        <w:ind w:left="291" w:right="302"/>
        <w:jc w:val="center"/>
      </w:pPr>
      <w:r>
        <w:rPr/>
        <w:t>Figura 3. Rosa de los vientos</w:t>
      </w:r>
    </w:p>
    <w:p>
      <w:pPr>
        <w:pStyle w:val="BodyText"/>
        <w:rPr>
          <w:sz w:val="20"/>
        </w:rPr>
      </w:pPr>
    </w:p>
    <w:p>
      <w:pPr>
        <w:pStyle w:val="BodyText"/>
        <w:spacing w:before="7"/>
        <w:rPr>
          <w:sz w:val="14"/>
        </w:rPr>
      </w:pPr>
      <w:r>
        <w:rPr/>
        <w:pict>
          <v:group style="position:absolute;margin-left:198.774994pt;margin-top:10.372978pt;width:215.05pt;height:174.75pt;mso-position-horizontal-relative:page;mso-position-vertical-relative:paragraph;z-index:1384;mso-wrap-distance-left:0;mso-wrap-distance-right:0" coordorigin="3975,207" coordsize="4301,3495">
            <v:shape style="position:absolute;left:3990;top:223;width:4271;height:3222" type="#_x0000_t75" stroked="false">
              <v:imagedata r:id="rId46" o:title=""/>
            </v:shape>
            <v:rect style="position:absolute;left:3983;top:215;width:4286;height:3479" filled="false" stroked="true" strokeweight=".75pt" strokecolor="#000000"/>
            <w10:wrap type="topAndBottom"/>
          </v:group>
        </w:pict>
      </w:r>
    </w:p>
    <w:p>
      <w:pPr>
        <w:pStyle w:val="BodyText"/>
        <w:spacing w:before="10"/>
        <w:rPr>
          <w:sz w:val="35"/>
        </w:rPr>
      </w:pPr>
    </w:p>
    <w:p>
      <w:pPr>
        <w:pStyle w:val="BodyText"/>
        <w:ind w:left="279" w:right="302"/>
        <w:jc w:val="center"/>
      </w:pPr>
      <w:r>
        <w:rPr/>
        <w:t>Fuente: Elaboración propia a partir de datos RAMAT</w:t>
      </w:r>
    </w:p>
    <w:p>
      <w:pPr>
        <w:pStyle w:val="BodyText"/>
      </w:pPr>
    </w:p>
    <w:p>
      <w:pPr>
        <w:spacing w:before="144"/>
        <w:ind w:left="105" w:right="0" w:firstLine="0"/>
        <w:jc w:val="both"/>
        <w:rPr>
          <w:b/>
          <w:sz w:val="24"/>
        </w:rPr>
      </w:pPr>
      <w:r>
        <w:rPr>
          <w:b/>
          <w:sz w:val="24"/>
        </w:rPr>
        <w:t>Concentración de PM10</w:t>
      </w:r>
    </w:p>
    <w:p>
      <w:pPr>
        <w:pStyle w:val="BodyText"/>
        <w:rPr>
          <w:b/>
        </w:rPr>
      </w:pPr>
    </w:p>
    <w:p>
      <w:pPr>
        <w:pStyle w:val="BodyText"/>
        <w:spacing w:line="357" w:lineRule="auto" w:before="144"/>
        <w:ind w:left="105" w:right="113"/>
        <w:jc w:val="both"/>
      </w:pPr>
      <w:r>
        <w:rPr/>
        <w:t>El análisis de los años 1999, 2005 y 2013, muestra que las concentraciones más altas se presentan del mes noviembre al mes de abril y los niveles más bajos de mayo a octubre (Ver figura 4).</w:t>
      </w:r>
    </w:p>
    <w:p>
      <w:pPr>
        <w:spacing w:after="0" w:line="357" w:lineRule="auto"/>
        <w:jc w:val="both"/>
        <w:sectPr>
          <w:pgSz w:w="12240" w:h="15840"/>
          <w:pgMar w:header="0" w:footer="1001" w:top="1360" w:bottom="1200" w:left="1600" w:right="1580"/>
        </w:sectPr>
      </w:pPr>
    </w:p>
    <w:p>
      <w:pPr>
        <w:pStyle w:val="BodyText"/>
        <w:spacing w:before="48"/>
        <w:ind w:left="289" w:right="302"/>
        <w:jc w:val="center"/>
      </w:pPr>
      <w:r>
        <w:rPr/>
        <w:t>Figura 4 Concentración PM10 para los años 1999, 2005 y 2013</w:t>
      </w:r>
    </w:p>
    <w:p>
      <w:pPr>
        <w:pStyle w:val="BodyText"/>
        <w:spacing w:before="4"/>
        <w:rPr>
          <w:sz w:val="9"/>
        </w:rPr>
      </w:pPr>
      <w:r>
        <w:rPr/>
        <w:drawing>
          <wp:anchor distT="0" distB="0" distL="0" distR="0" allowOverlap="1" layoutInCell="1" locked="0" behindDoc="0" simplePos="0" relativeHeight="1408">
            <wp:simplePos x="0" y="0"/>
            <wp:positionH relativeFrom="page">
              <wp:posOffset>1862835</wp:posOffset>
            </wp:positionH>
            <wp:positionV relativeFrom="paragraph">
              <wp:posOffset>93433</wp:posOffset>
            </wp:positionV>
            <wp:extent cx="4070367" cy="2682240"/>
            <wp:effectExtent l="0" t="0" r="0" b="0"/>
            <wp:wrapTopAndBottom/>
            <wp:docPr id="31" name="image23.png" descr=""/>
            <wp:cNvGraphicFramePr>
              <a:graphicFrameLocks noChangeAspect="1"/>
            </wp:cNvGraphicFramePr>
            <a:graphic>
              <a:graphicData uri="http://schemas.openxmlformats.org/drawingml/2006/picture">
                <pic:pic>
                  <pic:nvPicPr>
                    <pic:cNvPr id="32" name="image23.png"/>
                    <pic:cNvPicPr/>
                  </pic:nvPicPr>
                  <pic:blipFill>
                    <a:blip r:embed="rId48" cstate="print"/>
                    <a:stretch>
                      <a:fillRect/>
                    </a:stretch>
                  </pic:blipFill>
                  <pic:spPr>
                    <a:xfrm>
                      <a:off x="0" y="0"/>
                      <a:ext cx="4070367" cy="2682240"/>
                    </a:xfrm>
                    <a:prstGeom prst="rect">
                      <a:avLst/>
                    </a:prstGeom>
                  </pic:spPr>
                </pic:pic>
              </a:graphicData>
            </a:graphic>
          </wp:anchor>
        </w:drawing>
      </w:r>
    </w:p>
    <w:p>
      <w:pPr>
        <w:pStyle w:val="BodyText"/>
        <w:spacing w:before="1"/>
        <w:rPr>
          <w:sz w:val="31"/>
        </w:rPr>
      </w:pPr>
    </w:p>
    <w:p>
      <w:pPr>
        <w:pStyle w:val="BodyText"/>
        <w:spacing w:before="1"/>
        <w:ind w:left="279" w:right="302"/>
        <w:jc w:val="center"/>
      </w:pPr>
      <w:r>
        <w:rPr/>
        <w:t>Fuente: Elaboración propia a partir de datos RAMAT</w:t>
      </w:r>
    </w:p>
    <w:p>
      <w:pPr>
        <w:pStyle w:val="BodyText"/>
      </w:pPr>
    </w:p>
    <w:p>
      <w:pPr>
        <w:pStyle w:val="BodyText"/>
        <w:spacing w:line="360" w:lineRule="auto" w:before="144"/>
        <w:ind w:left="105" w:right="112"/>
        <w:jc w:val="both"/>
      </w:pPr>
      <w:r>
        <w:rPr/>
        <w:t>La concentración más elevada de PM 10 se presenta entre las 00:00 horas pm y las 11:00 horas am, en este horario se registran las mínimas temperaturas diarias. El coeficiente de correlación se calculó a partir de los datos de las variables meteorológicas y las concentraciones de PM10 (Cuadro 2).</w:t>
      </w:r>
    </w:p>
    <w:p>
      <w:pPr>
        <w:pStyle w:val="BodyText"/>
        <w:spacing w:before="10"/>
      </w:pPr>
    </w:p>
    <w:p>
      <w:pPr>
        <w:pStyle w:val="BodyText"/>
        <w:ind w:left="283" w:right="302"/>
        <w:jc w:val="center"/>
      </w:pPr>
      <w:r>
        <w:rPr/>
        <w:t>Cuadro 2. Coeficientes de correlación</w:t>
      </w:r>
    </w:p>
    <w:p>
      <w:pPr>
        <w:pStyle w:val="BodyText"/>
        <w:rPr>
          <w:sz w:val="20"/>
        </w:rPr>
      </w:pPr>
    </w:p>
    <w:p>
      <w:pPr>
        <w:pStyle w:val="BodyText"/>
        <w:spacing w:before="4"/>
        <w:rPr>
          <w:sz w:val="17"/>
        </w:rPr>
      </w:pPr>
    </w:p>
    <w:tbl>
      <w:tblPr>
        <w:tblW w:w="0" w:type="auto"/>
        <w:jc w:val="left"/>
        <w:tblInd w:w="217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98"/>
        <w:gridCol w:w="2585"/>
      </w:tblGrid>
      <w:tr>
        <w:trPr>
          <w:trHeight w:val="408" w:hRule="exact"/>
        </w:trPr>
        <w:tc>
          <w:tcPr>
            <w:tcW w:w="2098" w:type="dxa"/>
          </w:tcPr>
          <w:p>
            <w:pPr>
              <w:pStyle w:val="TableParagraph"/>
              <w:spacing w:line="267" w:lineRule="exact"/>
              <w:ind w:left="105" w:right="112"/>
              <w:jc w:val="center"/>
              <w:rPr>
                <w:rFonts w:ascii="Calibri"/>
                <w:sz w:val="22"/>
              </w:rPr>
            </w:pPr>
            <w:r>
              <w:rPr>
                <w:rFonts w:ascii="Calibri"/>
                <w:sz w:val="22"/>
              </w:rPr>
              <w:t>Variable</w:t>
            </w:r>
          </w:p>
        </w:tc>
        <w:tc>
          <w:tcPr>
            <w:tcW w:w="2585" w:type="dxa"/>
          </w:tcPr>
          <w:p>
            <w:pPr>
              <w:pStyle w:val="TableParagraph"/>
              <w:spacing w:line="267" w:lineRule="exact"/>
              <w:ind w:left="72"/>
              <w:rPr>
                <w:rFonts w:ascii="Calibri" w:hAnsi="Calibri"/>
                <w:sz w:val="22"/>
              </w:rPr>
            </w:pPr>
            <w:r>
              <w:rPr>
                <w:rFonts w:ascii="Calibri" w:hAnsi="Calibri"/>
                <w:sz w:val="22"/>
              </w:rPr>
              <w:t>Coeficiente de correlación</w:t>
            </w:r>
          </w:p>
        </w:tc>
      </w:tr>
      <w:tr>
        <w:trPr>
          <w:trHeight w:val="416" w:hRule="exact"/>
        </w:trPr>
        <w:tc>
          <w:tcPr>
            <w:tcW w:w="2098" w:type="dxa"/>
          </w:tcPr>
          <w:p>
            <w:pPr>
              <w:pStyle w:val="TableParagraph"/>
              <w:spacing w:line="267" w:lineRule="exact"/>
              <w:ind w:left="99" w:right="113"/>
              <w:jc w:val="center"/>
              <w:rPr>
                <w:rFonts w:ascii="Calibri" w:hAnsi="Calibri"/>
                <w:sz w:val="22"/>
              </w:rPr>
            </w:pPr>
            <w:r>
              <w:rPr>
                <w:rFonts w:ascii="Calibri" w:hAnsi="Calibri"/>
                <w:sz w:val="22"/>
              </w:rPr>
              <w:t>Precipitación/ PM10</w:t>
            </w:r>
          </w:p>
        </w:tc>
        <w:tc>
          <w:tcPr>
            <w:tcW w:w="2585" w:type="dxa"/>
          </w:tcPr>
          <w:p>
            <w:pPr>
              <w:pStyle w:val="TableParagraph"/>
              <w:spacing w:line="267" w:lineRule="exact"/>
              <w:ind w:right="60"/>
              <w:jc w:val="right"/>
              <w:rPr>
                <w:rFonts w:ascii="Calibri"/>
                <w:sz w:val="22"/>
              </w:rPr>
            </w:pPr>
            <w:r>
              <w:rPr>
                <w:rFonts w:ascii="Calibri"/>
                <w:sz w:val="22"/>
              </w:rPr>
              <w:t>-0.890</w:t>
            </w:r>
          </w:p>
        </w:tc>
      </w:tr>
      <w:tr>
        <w:trPr>
          <w:trHeight w:val="816" w:hRule="exact"/>
        </w:trPr>
        <w:tc>
          <w:tcPr>
            <w:tcW w:w="2098" w:type="dxa"/>
          </w:tcPr>
          <w:p>
            <w:pPr>
              <w:pStyle w:val="TableParagraph"/>
              <w:spacing w:line="357" w:lineRule="auto"/>
              <w:ind w:left="776" w:hanging="593"/>
              <w:rPr>
                <w:rFonts w:ascii="Calibri"/>
                <w:sz w:val="22"/>
              </w:rPr>
            </w:pPr>
            <w:r>
              <w:rPr>
                <w:rFonts w:ascii="Calibri"/>
                <w:sz w:val="22"/>
              </w:rPr>
              <w:t>Humedad Relativa/ PM10</w:t>
            </w:r>
          </w:p>
        </w:tc>
        <w:tc>
          <w:tcPr>
            <w:tcW w:w="2585" w:type="dxa"/>
          </w:tcPr>
          <w:p>
            <w:pPr>
              <w:pStyle w:val="TableParagraph"/>
              <w:rPr>
                <w:sz w:val="22"/>
              </w:rPr>
            </w:pPr>
          </w:p>
          <w:p>
            <w:pPr>
              <w:pStyle w:val="TableParagraph"/>
              <w:spacing w:before="146"/>
              <w:ind w:right="60"/>
              <w:jc w:val="right"/>
              <w:rPr>
                <w:rFonts w:ascii="Calibri"/>
                <w:sz w:val="22"/>
              </w:rPr>
            </w:pPr>
            <w:r>
              <w:rPr>
                <w:rFonts w:ascii="Calibri"/>
                <w:sz w:val="22"/>
              </w:rPr>
              <w:t>-0.714</w:t>
            </w:r>
          </w:p>
        </w:tc>
      </w:tr>
      <w:tr>
        <w:trPr>
          <w:trHeight w:val="409" w:hRule="exact"/>
        </w:trPr>
        <w:tc>
          <w:tcPr>
            <w:tcW w:w="2098" w:type="dxa"/>
          </w:tcPr>
          <w:p>
            <w:pPr>
              <w:pStyle w:val="TableParagraph"/>
              <w:spacing w:line="267" w:lineRule="exact"/>
              <w:ind w:left="105" w:right="113"/>
              <w:jc w:val="center"/>
              <w:rPr>
                <w:rFonts w:ascii="Calibri"/>
                <w:sz w:val="22"/>
              </w:rPr>
            </w:pPr>
            <w:r>
              <w:rPr>
                <w:rFonts w:ascii="Calibri"/>
                <w:sz w:val="22"/>
              </w:rPr>
              <w:t>Temperatura/ PM10</w:t>
            </w:r>
          </w:p>
        </w:tc>
        <w:tc>
          <w:tcPr>
            <w:tcW w:w="2585" w:type="dxa"/>
          </w:tcPr>
          <w:p>
            <w:pPr>
              <w:pStyle w:val="TableParagraph"/>
              <w:spacing w:line="267" w:lineRule="exact"/>
              <w:ind w:right="60"/>
              <w:jc w:val="right"/>
              <w:rPr>
                <w:rFonts w:ascii="Calibri"/>
                <w:sz w:val="22"/>
              </w:rPr>
            </w:pPr>
            <w:r>
              <w:rPr>
                <w:rFonts w:ascii="Calibri"/>
                <w:sz w:val="22"/>
              </w:rPr>
              <w:t>-0.590</w:t>
            </w:r>
          </w:p>
        </w:tc>
      </w:tr>
      <w:tr>
        <w:trPr>
          <w:trHeight w:val="824" w:hRule="exact"/>
        </w:trPr>
        <w:tc>
          <w:tcPr>
            <w:tcW w:w="2098" w:type="dxa"/>
          </w:tcPr>
          <w:p>
            <w:pPr>
              <w:pStyle w:val="TableParagraph"/>
              <w:spacing w:line="357" w:lineRule="auto" w:before="6"/>
              <w:ind w:left="376" w:right="358" w:firstLine="88"/>
              <w:rPr>
                <w:rFonts w:ascii="Calibri"/>
                <w:sz w:val="22"/>
              </w:rPr>
            </w:pPr>
            <w:r>
              <w:rPr>
                <w:rFonts w:ascii="Calibri"/>
                <w:sz w:val="22"/>
              </w:rPr>
              <w:t>Velocidad de Vientos/ PM10</w:t>
            </w:r>
          </w:p>
        </w:tc>
        <w:tc>
          <w:tcPr>
            <w:tcW w:w="2585" w:type="dxa"/>
          </w:tcPr>
          <w:p>
            <w:pPr>
              <w:pStyle w:val="TableParagraph"/>
              <w:rPr>
                <w:sz w:val="22"/>
              </w:rPr>
            </w:pPr>
          </w:p>
          <w:p>
            <w:pPr>
              <w:pStyle w:val="TableParagraph"/>
              <w:spacing w:before="153"/>
              <w:ind w:right="60"/>
              <w:jc w:val="right"/>
              <w:rPr>
                <w:rFonts w:ascii="Calibri"/>
                <w:sz w:val="22"/>
              </w:rPr>
            </w:pPr>
            <w:r>
              <w:rPr>
                <w:rFonts w:ascii="Calibri"/>
                <w:sz w:val="22"/>
              </w:rPr>
              <w:t>0.192</w:t>
            </w:r>
          </w:p>
        </w:tc>
      </w:tr>
    </w:tbl>
    <w:p>
      <w:pPr>
        <w:pStyle w:val="BodyText"/>
        <w:spacing w:before="6"/>
        <w:rPr>
          <w:sz w:val="17"/>
        </w:rPr>
      </w:pPr>
    </w:p>
    <w:p>
      <w:pPr>
        <w:pStyle w:val="BodyText"/>
        <w:spacing w:before="69"/>
        <w:ind w:left="280" w:right="302"/>
        <w:jc w:val="center"/>
      </w:pPr>
      <w:r>
        <w:rPr/>
        <w:t>Fuente elaboración propia, con base en RAMAT</w:t>
      </w:r>
    </w:p>
    <w:p>
      <w:pPr>
        <w:pStyle w:val="BodyText"/>
        <w:spacing w:before="10"/>
        <w:rPr>
          <w:sz w:val="35"/>
        </w:rPr>
      </w:pPr>
    </w:p>
    <w:p>
      <w:pPr>
        <w:pStyle w:val="BodyText"/>
        <w:spacing w:line="362" w:lineRule="auto"/>
        <w:ind w:left="111" w:right="130"/>
        <w:jc w:val="center"/>
      </w:pPr>
      <w:r>
        <w:rPr/>
        <w:t>Las estaciones de la zona norte, San Cristóbal Huchotitlán y Aeropuerto  registraron   los  niveles  </w:t>
      </w:r>
      <w:r>
        <w:rPr>
          <w:spacing w:val="5"/>
        </w:rPr>
        <w:t>de  </w:t>
      </w:r>
      <w:r>
        <w:rPr/>
        <w:t>concentración   más  elevados,  la  condición  se   </w:t>
      </w:r>
      <w:r>
        <w:rPr>
          <w:spacing w:val="28"/>
        </w:rPr>
        <w:t> </w:t>
      </w:r>
      <w:r>
        <w:rPr/>
        <w:t>ve</w:t>
      </w:r>
    </w:p>
    <w:p>
      <w:pPr>
        <w:spacing w:after="0" w:line="362" w:lineRule="auto"/>
        <w:jc w:val="center"/>
        <w:sectPr>
          <w:footerReference w:type="default" r:id="rId47"/>
          <w:pgSz w:w="12240" w:h="15840"/>
          <w:pgMar w:footer="1001" w:header="0" w:top="1360" w:bottom="1200" w:left="1600" w:right="1580"/>
        </w:sectPr>
      </w:pPr>
    </w:p>
    <w:p>
      <w:pPr>
        <w:pStyle w:val="BodyText"/>
        <w:spacing w:line="360" w:lineRule="auto" w:before="48"/>
        <w:ind w:left="105" w:right="103"/>
        <w:jc w:val="both"/>
      </w:pPr>
      <w:r>
        <w:rPr/>
        <w:t>favorecida por los vientos que circulan del suroeste a noreste en la ciudad de Toluca. La trayectoria de las partículas registra la mayor concentración en la temporada seca (Noviembre a Marzo), los niveles descienden en abril con el inicio de las lluvias y hasta el mes de noviembre. Existe una fuerte correlación negativa entre la precipitación y la concentración de partículas, en el periodo de lluvias (Mayo a noviembre) desciende el nivel de concentración de PM 10, permitiendo que en los meses de julio y agosto se presenten condiciones aceptables en la calidad del aire con concentraciones por debajo de la NOM-025SSA1-2014 (Figura 5).</w:t>
      </w:r>
    </w:p>
    <w:p>
      <w:pPr>
        <w:pStyle w:val="BodyText"/>
        <w:spacing w:before="10"/>
      </w:pPr>
    </w:p>
    <w:p>
      <w:pPr>
        <w:pStyle w:val="BodyText"/>
        <w:ind w:left="285" w:right="302"/>
        <w:jc w:val="center"/>
      </w:pPr>
      <w:r>
        <w:rPr/>
        <w:t>Figura 5. Relación precipitación, con partículas PM10 y diagrama de dispersión</w:t>
      </w:r>
    </w:p>
    <w:p>
      <w:pPr>
        <w:pStyle w:val="BodyText"/>
        <w:rPr>
          <w:sz w:val="20"/>
        </w:rPr>
      </w:pPr>
    </w:p>
    <w:p>
      <w:pPr>
        <w:pStyle w:val="BodyText"/>
        <w:spacing w:before="7"/>
        <w:rPr>
          <w:sz w:val="13"/>
        </w:rPr>
      </w:pPr>
      <w:r>
        <w:rPr/>
        <w:drawing>
          <wp:anchor distT="0" distB="0" distL="0" distR="0" allowOverlap="1" layoutInCell="1" locked="0" behindDoc="0" simplePos="0" relativeHeight="1432">
            <wp:simplePos x="0" y="0"/>
            <wp:positionH relativeFrom="page">
              <wp:posOffset>1921382</wp:posOffset>
            </wp:positionH>
            <wp:positionV relativeFrom="paragraph">
              <wp:posOffset>124561</wp:posOffset>
            </wp:positionV>
            <wp:extent cx="3932107" cy="2276284"/>
            <wp:effectExtent l="0" t="0" r="0" b="0"/>
            <wp:wrapTopAndBottom/>
            <wp:docPr id="33" name="image24.png" descr=""/>
            <wp:cNvGraphicFramePr>
              <a:graphicFrameLocks noChangeAspect="1"/>
            </wp:cNvGraphicFramePr>
            <a:graphic>
              <a:graphicData uri="http://schemas.openxmlformats.org/drawingml/2006/picture">
                <pic:pic>
                  <pic:nvPicPr>
                    <pic:cNvPr id="34" name="image24.png"/>
                    <pic:cNvPicPr/>
                  </pic:nvPicPr>
                  <pic:blipFill>
                    <a:blip r:embed="rId50" cstate="print"/>
                    <a:stretch>
                      <a:fillRect/>
                    </a:stretch>
                  </pic:blipFill>
                  <pic:spPr>
                    <a:xfrm>
                      <a:off x="0" y="0"/>
                      <a:ext cx="3932107" cy="2276284"/>
                    </a:xfrm>
                    <a:prstGeom prst="rect">
                      <a:avLst/>
                    </a:prstGeom>
                  </pic:spPr>
                </pic:pic>
              </a:graphicData>
            </a:graphic>
          </wp:anchor>
        </w:drawing>
      </w:r>
    </w:p>
    <w:p>
      <w:pPr>
        <w:pStyle w:val="BodyText"/>
      </w:pPr>
    </w:p>
    <w:p>
      <w:pPr>
        <w:pStyle w:val="BodyText"/>
        <w:spacing w:before="7"/>
        <w:rPr>
          <w:sz w:val="19"/>
        </w:rPr>
      </w:pPr>
    </w:p>
    <w:p>
      <w:pPr>
        <w:pStyle w:val="BodyText"/>
        <w:ind w:left="289" w:right="302"/>
        <w:jc w:val="center"/>
      </w:pPr>
      <w:r>
        <w:rPr/>
        <w:t>Fuente: Elaboración propia a partir RAMAT</w:t>
      </w:r>
    </w:p>
    <w:p>
      <w:pPr>
        <w:pStyle w:val="BodyText"/>
      </w:pPr>
    </w:p>
    <w:p>
      <w:pPr>
        <w:pStyle w:val="BodyText"/>
        <w:spacing w:line="360" w:lineRule="auto" w:before="144"/>
        <w:ind w:left="105" w:right="114"/>
        <w:jc w:val="both"/>
      </w:pPr>
      <w:r>
        <w:rPr/>
        <w:t>El diagrama de dispersión muestra que a medida que aumenta la precipitación, disminuye la concentración de PM10. También existe una correlación negativa, entre la temperatura y la concentración de partículas, al aumentar la temperatura diaria, desciende el nivel de concentración de las partículas (Figura 6).</w:t>
      </w:r>
    </w:p>
    <w:p>
      <w:pPr>
        <w:spacing w:after="0" w:line="360" w:lineRule="auto"/>
        <w:jc w:val="both"/>
        <w:sectPr>
          <w:footerReference w:type="default" r:id="rId49"/>
          <w:pgSz w:w="12240" w:h="15840"/>
          <w:pgMar w:footer="1001" w:header="0" w:top="1360" w:bottom="1200" w:left="1600" w:right="1580"/>
          <w:pgNumType w:start="81"/>
        </w:sectPr>
      </w:pPr>
    </w:p>
    <w:p>
      <w:pPr>
        <w:pStyle w:val="BodyText"/>
        <w:spacing w:before="48"/>
        <w:ind w:left="296" w:right="302"/>
        <w:jc w:val="center"/>
      </w:pPr>
      <w:r>
        <w:rPr/>
        <w:t>Figura 6. Diagrama dispersión PM10-Precipitación</w:t>
      </w:r>
    </w:p>
    <w:p>
      <w:pPr>
        <w:pStyle w:val="BodyText"/>
        <w:rPr>
          <w:sz w:val="20"/>
        </w:rPr>
      </w:pPr>
    </w:p>
    <w:p>
      <w:pPr>
        <w:pStyle w:val="BodyText"/>
        <w:spacing w:before="9"/>
        <w:rPr>
          <w:sz w:val="13"/>
        </w:rPr>
      </w:pPr>
      <w:r>
        <w:rPr/>
        <w:drawing>
          <wp:anchor distT="0" distB="0" distL="0" distR="0" allowOverlap="1" layoutInCell="1" locked="0" behindDoc="0" simplePos="0" relativeHeight="1456">
            <wp:simplePos x="0" y="0"/>
            <wp:positionH relativeFrom="page">
              <wp:posOffset>1757426</wp:posOffset>
            </wp:positionH>
            <wp:positionV relativeFrom="paragraph">
              <wp:posOffset>125831</wp:posOffset>
            </wp:positionV>
            <wp:extent cx="4254619" cy="2525077"/>
            <wp:effectExtent l="0" t="0" r="0" b="0"/>
            <wp:wrapTopAndBottom/>
            <wp:docPr id="35" name="image25.png" descr=""/>
            <wp:cNvGraphicFramePr>
              <a:graphicFrameLocks noChangeAspect="1"/>
            </wp:cNvGraphicFramePr>
            <a:graphic>
              <a:graphicData uri="http://schemas.openxmlformats.org/drawingml/2006/picture">
                <pic:pic>
                  <pic:nvPicPr>
                    <pic:cNvPr id="36" name="image25.png"/>
                    <pic:cNvPicPr/>
                  </pic:nvPicPr>
                  <pic:blipFill>
                    <a:blip r:embed="rId51" cstate="print"/>
                    <a:stretch>
                      <a:fillRect/>
                    </a:stretch>
                  </pic:blipFill>
                  <pic:spPr>
                    <a:xfrm>
                      <a:off x="0" y="0"/>
                      <a:ext cx="4254619" cy="2525077"/>
                    </a:xfrm>
                    <a:prstGeom prst="rect">
                      <a:avLst/>
                    </a:prstGeom>
                  </pic:spPr>
                </pic:pic>
              </a:graphicData>
            </a:graphic>
          </wp:anchor>
        </w:drawing>
      </w:r>
    </w:p>
    <w:p>
      <w:pPr>
        <w:pStyle w:val="BodyText"/>
        <w:spacing w:before="4"/>
        <w:rPr>
          <w:sz w:val="32"/>
        </w:rPr>
      </w:pPr>
    </w:p>
    <w:p>
      <w:pPr>
        <w:pStyle w:val="BodyText"/>
        <w:spacing w:before="1"/>
        <w:ind w:left="289" w:right="302"/>
        <w:jc w:val="center"/>
      </w:pPr>
      <w:r>
        <w:rPr/>
        <w:t>Fuente: Elaboración propia a partir RAMAT</w:t>
      </w:r>
    </w:p>
    <w:p>
      <w:pPr>
        <w:pStyle w:val="BodyText"/>
      </w:pPr>
    </w:p>
    <w:p>
      <w:pPr>
        <w:spacing w:before="144"/>
        <w:ind w:left="105" w:right="0" w:firstLine="0"/>
        <w:jc w:val="both"/>
        <w:rPr>
          <w:b/>
          <w:sz w:val="24"/>
        </w:rPr>
      </w:pPr>
      <w:r>
        <w:rPr>
          <w:b/>
          <w:sz w:val="24"/>
        </w:rPr>
        <w:t>Patrones espaciales de las PM 10</w:t>
      </w:r>
    </w:p>
    <w:p>
      <w:pPr>
        <w:pStyle w:val="BodyText"/>
        <w:rPr>
          <w:b/>
        </w:rPr>
      </w:pPr>
    </w:p>
    <w:p>
      <w:pPr>
        <w:pStyle w:val="BodyText"/>
        <w:spacing w:line="360" w:lineRule="auto" w:before="144"/>
        <w:ind w:left="105" w:right="109"/>
        <w:jc w:val="both"/>
      </w:pPr>
      <w:r>
        <w:rPr/>
        <w:t>La modelación espacial </w:t>
      </w:r>
      <w:r>
        <w:rPr>
          <w:spacing w:val="2"/>
        </w:rPr>
        <w:t>para </w:t>
      </w:r>
      <w:r>
        <w:rPr/>
        <w:t>los años 2011,2012 y 2013, se realizó </w:t>
      </w:r>
      <w:r>
        <w:rPr>
          <w:spacing w:val="-3"/>
        </w:rPr>
        <w:t>en </w:t>
      </w:r>
      <w:r>
        <w:rPr/>
        <w:t>ambiente de sistema </w:t>
      </w:r>
      <w:r>
        <w:rPr>
          <w:spacing w:val="5"/>
        </w:rPr>
        <w:t>de </w:t>
      </w:r>
      <w:r>
        <w:rPr/>
        <w:t>información geográfica (SIGs), mediante </w:t>
      </w:r>
      <w:r>
        <w:rPr>
          <w:spacing w:val="-3"/>
        </w:rPr>
        <w:t>el </w:t>
      </w:r>
      <w:r>
        <w:rPr/>
        <w:t>método determinístico de Interpolación por Distancia Inversa y </w:t>
      </w:r>
      <w:r>
        <w:rPr>
          <w:spacing w:val="-3"/>
        </w:rPr>
        <w:t>el </w:t>
      </w:r>
      <w:r>
        <w:rPr/>
        <w:t>método estocástico de Kriging  Ordinario. El primero arrojó resultados generalizados, sin embargo </w:t>
      </w:r>
      <w:r>
        <w:rPr>
          <w:spacing w:val="3"/>
        </w:rPr>
        <w:t>se </w:t>
      </w:r>
      <w:r>
        <w:rPr/>
        <w:t>considera como una modelación aproximada, dado que este método </w:t>
      </w:r>
      <w:r>
        <w:rPr>
          <w:spacing w:val="3"/>
        </w:rPr>
        <w:t>se </w:t>
      </w:r>
      <w:r>
        <w:rPr/>
        <w:t>utiliza cuando se conoce con certeza toda la información necesaria para la toma de decisiones, suponiendo la constancia </w:t>
      </w:r>
      <w:r>
        <w:rPr>
          <w:spacing w:val="-3"/>
        </w:rPr>
        <w:t>en </w:t>
      </w:r>
      <w:r>
        <w:rPr/>
        <w:t>las variables. Por otro lado </w:t>
      </w:r>
      <w:r>
        <w:rPr>
          <w:spacing w:val="-3"/>
        </w:rPr>
        <w:t>el </w:t>
      </w:r>
      <w:r>
        <w:rPr/>
        <w:t>Método </w:t>
      </w:r>
      <w:r>
        <w:rPr>
          <w:spacing w:val="5"/>
        </w:rPr>
        <w:t>de </w:t>
      </w:r>
      <w:r>
        <w:rPr>
          <w:spacing w:val="2"/>
        </w:rPr>
        <w:t>Kriging </w:t>
      </w:r>
      <w:r>
        <w:rPr/>
        <w:t>Ordinario permite .establecer predicciones </w:t>
      </w:r>
      <w:r>
        <w:rPr>
          <w:spacing w:val="-3"/>
        </w:rPr>
        <w:t>en </w:t>
      </w:r>
      <w:r>
        <w:rPr/>
        <w:t>función de la probabilidad de ocurrencia de un valor, por ello se seleccionó este último para la realización de la modelación espacial </w:t>
      </w:r>
      <w:r>
        <w:rPr>
          <w:spacing w:val="5"/>
        </w:rPr>
        <w:t>de </w:t>
      </w:r>
      <w:r>
        <w:rPr/>
        <w:t>las partículas </w:t>
      </w:r>
      <w:r>
        <w:rPr>
          <w:spacing w:val="-3"/>
        </w:rPr>
        <w:t>en </w:t>
      </w:r>
      <w:r>
        <w:rPr/>
        <w:t>la zona de</w:t>
      </w:r>
      <w:r>
        <w:rPr>
          <w:spacing w:val="-35"/>
        </w:rPr>
        <w:t> </w:t>
      </w:r>
      <w:r>
        <w:rPr/>
        <w:t>estudio.</w:t>
      </w:r>
    </w:p>
    <w:p>
      <w:pPr>
        <w:pStyle w:val="BodyText"/>
        <w:spacing w:before="10"/>
      </w:pPr>
    </w:p>
    <w:p>
      <w:pPr>
        <w:spacing w:before="0"/>
        <w:ind w:left="105" w:right="0" w:firstLine="0"/>
        <w:jc w:val="both"/>
        <w:rPr>
          <w:b/>
          <w:sz w:val="24"/>
        </w:rPr>
      </w:pPr>
      <w:r>
        <w:rPr>
          <w:b/>
          <w:sz w:val="24"/>
        </w:rPr>
        <w:t>Modelación método de Kriging</w:t>
      </w:r>
    </w:p>
    <w:p>
      <w:pPr>
        <w:pStyle w:val="BodyText"/>
        <w:rPr>
          <w:b/>
        </w:rPr>
      </w:pPr>
    </w:p>
    <w:p>
      <w:pPr>
        <w:pStyle w:val="BodyText"/>
        <w:spacing w:line="357" w:lineRule="auto" w:before="144"/>
        <w:ind w:left="105" w:right="109"/>
        <w:jc w:val="both"/>
      </w:pPr>
      <w:r>
        <w:rPr/>
        <w:t>la modelación obtenida a través del método de Kriging fue representada  retomando la escala cromática </w:t>
      </w:r>
      <w:r>
        <w:rPr>
          <w:spacing w:val="5"/>
        </w:rPr>
        <w:t>de </w:t>
      </w:r>
      <w:r>
        <w:rPr/>
        <w:t>Gobierno del Estado de México (GEM, 2014) 2014). No obstante que </w:t>
      </w:r>
      <w:r>
        <w:rPr>
          <w:spacing w:val="-3"/>
        </w:rPr>
        <w:t>en </w:t>
      </w:r>
      <w:r>
        <w:rPr/>
        <w:t>tres años, los patrones de distribución de las</w:t>
      </w:r>
      <w:r>
        <w:rPr>
          <w:spacing w:val="39"/>
        </w:rPr>
        <w:t> </w:t>
      </w:r>
      <w:r>
        <w:rPr/>
        <w:t>partículas</w:t>
      </w:r>
    </w:p>
    <w:p>
      <w:pPr>
        <w:spacing w:after="0" w:line="357" w:lineRule="auto"/>
        <w:jc w:val="both"/>
        <w:sectPr>
          <w:pgSz w:w="12240" w:h="15840"/>
          <w:pgMar w:header="0" w:footer="1001" w:top="1360" w:bottom="1200" w:left="1600" w:right="1580"/>
        </w:sectPr>
      </w:pPr>
    </w:p>
    <w:p>
      <w:pPr>
        <w:pStyle w:val="BodyText"/>
        <w:spacing w:line="360" w:lineRule="auto" w:before="48"/>
        <w:ind w:left="105" w:right="267"/>
        <w:jc w:val="both"/>
      </w:pPr>
      <w:r>
        <w:rPr/>
        <w:t>suspendidas (PM10) muestran la tendencia a la disminución en los niveles de concentración en de 2011 en relación con 2012 y 2013(ver figura 7), los niveles superaron el límite permitido de 75 microgramos por metro cúbico de aíre (NOM- 025-SSA1-2014).</w:t>
      </w:r>
    </w:p>
    <w:p>
      <w:pPr>
        <w:pStyle w:val="BodyText"/>
        <w:spacing w:before="10"/>
      </w:pPr>
    </w:p>
    <w:p>
      <w:pPr>
        <w:pStyle w:val="BodyText"/>
        <w:ind w:left="270" w:right="438"/>
        <w:jc w:val="center"/>
      </w:pPr>
      <w:r>
        <w:rPr/>
        <w:t>Figura 7: Comportamiento partículas PM10 método de Kriging 2011, 2012 2013</w:t>
      </w:r>
    </w:p>
    <w:p>
      <w:pPr>
        <w:pStyle w:val="BodyText"/>
        <w:rPr>
          <w:sz w:val="20"/>
        </w:rPr>
      </w:pPr>
    </w:p>
    <w:p>
      <w:pPr>
        <w:pStyle w:val="BodyText"/>
        <w:spacing w:before="11"/>
        <w:rPr>
          <w:sz w:val="14"/>
        </w:rPr>
      </w:pPr>
      <w:r>
        <w:rPr/>
        <w:pict>
          <v:group style="position:absolute;margin-left:85.800003pt;margin-top:10.553008pt;width:449.85pt;height:269.25pt;mso-position-horizontal-relative:page;mso-position-vertical-relative:paragraph;z-index:1480;mso-wrap-distance-left:0;mso-wrap-distance-right:0" coordorigin="1716,211" coordsize="8997,5385">
            <v:shape style="position:absolute;left:1731;top:226;width:8967;height:5355" type="#_x0000_t75" stroked="false">
              <v:imagedata r:id="rId52" o:title=""/>
            </v:shape>
            <v:rect style="position:absolute;left:1724;top:219;width:8982;height:5370" filled="false" stroked="true" strokeweight=".75pt" strokecolor="#000000"/>
            <w10:wrap type="topAndBottom"/>
          </v:group>
        </w:pict>
      </w:r>
    </w:p>
    <w:p>
      <w:pPr>
        <w:pStyle w:val="BodyText"/>
        <w:rPr>
          <w:sz w:val="32"/>
        </w:rPr>
      </w:pPr>
    </w:p>
    <w:p>
      <w:pPr>
        <w:pStyle w:val="BodyText"/>
        <w:ind w:left="262" w:right="438"/>
        <w:jc w:val="center"/>
      </w:pPr>
      <w:r>
        <w:rPr/>
        <w:t>Fuente: Elaboración propia a partir de datos RAMAT</w:t>
      </w:r>
    </w:p>
    <w:p>
      <w:pPr>
        <w:pStyle w:val="BodyText"/>
      </w:pPr>
    </w:p>
    <w:p>
      <w:pPr>
        <w:pStyle w:val="BodyText"/>
        <w:spacing w:line="345" w:lineRule="auto" w:before="144"/>
        <w:ind w:left="105" w:right="272"/>
        <w:jc w:val="both"/>
      </w:pPr>
      <w:r>
        <w:rPr/>
        <w:t>El año con mayores concentraciones de partículas PM10, fue 2011, con valores por encima de los 121 mcg/m</w:t>
      </w:r>
      <w:r>
        <w:rPr>
          <w:position w:val="11"/>
          <w:sz w:val="16"/>
        </w:rPr>
        <w:t>3</w:t>
      </w:r>
      <w:r>
        <w:rPr/>
        <w:t>, donde la zona con menores concentraciones se registró al suroeste, comprendido por las estaciones Oxtotitlán, Centro y Metepec. La zona con mayor concentración se registró al noroeste correspondiente a la estación de San Cristóbal Huichititlán con valores de 181 hasta 260 mcg/m</w:t>
      </w:r>
      <w:r>
        <w:rPr>
          <w:position w:val="11"/>
          <w:sz w:val="16"/>
        </w:rPr>
        <w:t>3</w:t>
      </w:r>
      <w:r>
        <w:rPr/>
        <w:t>. Los años 2012 y 2013 muestran mejoría con niveles de concentración máximos de 180 mcg/m</w:t>
      </w:r>
      <w:r>
        <w:rPr>
          <w:position w:val="11"/>
          <w:sz w:val="16"/>
        </w:rPr>
        <w:t>3</w:t>
      </w:r>
      <w:r>
        <w:rPr/>
        <w:t>. En 2012 se mantuvieron las concentraciones más altas en la zona noroeste mientras que para 2013 se observa mejoría en hacia el sur alcanzando valores  de  80-100  mcg/m</w:t>
      </w:r>
      <w:r>
        <w:rPr>
          <w:position w:val="11"/>
          <w:sz w:val="16"/>
        </w:rPr>
        <w:t>3   </w:t>
      </w:r>
      <w:r>
        <w:rPr/>
        <w:t>para  la  zona  sureste  en  las  inmediaciones  de   la</w:t>
      </w:r>
    </w:p>
    <w:p>
      <w:pPr>
        <w:spacing w:after="0" w:line="345" w:lineRule="auto"/>
        <w:jc w:val="both"/>
        <w:sectPr>
          <w:pgSz w:w="12240" w:h="15840"/>
          <w:pgMar w:header="0" w:footer="1001" w:top="1360" w:bottom="1200" w:left="1600" w:right="1420"/>
        </w:sectPr>
      </w:pPr>
    </w:p>
    <w:p>
      <w:pPr>
        <w:pStyle w:val="BodyText"/>
        <w:spacing w:line="360" w:lineRule="auto" w:before="48"/>
        <w:ind w:left="105" w:right="124"/>
        <w:jc w:val="both"/>
      </w:pPr>
      <w:r>
        <w:rPr/>
        <w:t>estación de San Mateo Atenco. Lo anterior no necesariamente indica una tendencia directa al mejoramiento en la calidad del aire, pues es necesario considerar la cantidad y calidad de información de cada año, así como las variaciones en los factores climatológicos.</w:t>
      </w:r>
    </w:p>
    <w:p>
      <w:pPr>
        <w:pStyle w:val="BodyText"/>
        <w:spacing w:before="10"/>
      </w:pPr>
    </w:p>
    <w:p>
      <w:pPr>
        <w:pStyle w:val="BodyText"/>
        <w:spacing w:line="360" w:lineRule="auto"/>
        <w:ind w:left="105" w:right="110"/>
        <w:jc w:val="both"/>
      </w:pPr>
      <w:r>
        <w:rPr/>
        <w:t>Finalmente se realizó la modelación para la zona de estudio a partir de los promedios máximos de los tres años, obteniéndose cinco zonas (ver figura 8), a partir de las cuales se identificaron las localidades urbanas y rurales presentes </w:t>
      </w:r>
      <w:r>
        <w:rPr>
          <w:spacing w:val="-3"/>
        </w:rPr>
        <w:t>en </w:t>
      </w:r>
      <w:r>
        <w:rPr/>
        <w:t>cada una, así como la población total para cada zona y la población de 0 a 14 </w:t>
      </w:r>
      <w:r>
        <w:rPr>
          <w:spacing w:val="-3"/>
        </w:rPr>
        <w:t>años </w:t>
      </w:r>
      <w:r>
        <w:rPr/>
        <w:t>y de 60 y más(INEGI, 2010), las que </w:t>
      </w:r>
      <w:r>
        <w:rPr>
          <w:spacing w:val="5"/>
        </w:rPr>
        <w:t>de </w:t>
      </w:r>
      <w:r>
        <w:rPr/>
        <w:t>acuerdo con la Organización Mundial de Salud, </w:t>
      </w:r>
      <w:r>
        <w:rPr>
          <w:spacing w:val="3"/>
        </w:rPr>
        <w:t>se </w:t>
      </w:r>
      <w:r>
        <w:rPr/>
        <w:t>identifica como la población con mayor vulnerabilidad a </w:t>
      </w:r>
      <w:r>
        <w:rPr>
          <w:spacing w:val="5"/>
        </w:rPr>
        <w:t>la </w:t>
      </w:r>
      <w:r>
        <w:rPr/>
        <w:t>exposición por partículas PM10 Y PM2.5 (Martuzzi </w:t>
      </w:r>
      <w:r>
        <w:rPr>
          <w:spacing w:val="-3"/>
        </w:rPr>
        <w:t>et </w:t>
      </w:r>
      <w:r>
        <w:rPr/>
        <w:t>al., </w:t>
      </w:r>
      <w:r>
        <w:rPr>
          <w:spacing w:val="2"/>
        </w:rPr>
        <w:t>2006. </w:t>
      </w:r>
      <w:r>
        <w:rPr/>
        <w:t>Del mismo modo se identificaron las escuelas desde </w:t>
      </w:r>
      <w:r>
        <w:rPr>
          <w:spacing w:val="-3"/>
        </w:rPr>
        <w:t>el </w:t>
      </w:r>
      <w:r>
        <w:rPr/>
        <w:t>nivel preescolar </w:t>
      </w:r>
      <w:r>
        <w:rPr>
          <w:spacing w:val="-3"/>
        </w:rPr>
        <w:t>al </w:t>
      </w:r>
      <w:r>
        <w:rPr/>
        <w:t>nivel superior para </w:t>
      </w:r>
      <w:r>
        <w:rPr>
          <w:spacing w:val="2"/>
        </w:rPr>
        <w:t>cada </w:t>
      </w:r>
      <w:r>
        <w:rPr/>
        <w:t>una de las zonas (INEGI,</w:t>
      </w:r>
      <w:r>
        <w:rPr>
          <w:spacing w:val="-7"/>
        </w:rPr>
        <w:t> </w:t>
      </w:r>
      <w:r>
        <w:rPr/>
        <w:t>2015).</w:t>
      </w:r>
    </w:p>
    <w:p>
      <w:pPr>
        <w:pStyle w:val="BodyText"/>
        <w:spacing w:before="10"/>
      </w:pPr>
    </w:p>
    <w:p>
      <w:pPr>
        <w:pStyle w:val="BodyText"/>
        <w:spacing w:line="362" w:lineRule="auto" w:after="18"/>
        <w:ind w:left="107" w:right="123"/>
        <w:jc w:val="center"/>
      </w:pPr>
      <w:r>
        <w:rPr/>
        <w:t>Figura: 8 Patrones Comportamiento partículas PM10 método de Kriging, Promedio 2011,2012 y 2013</w:t>
      </w:r>
    </w:p>
    <w:p>
      <w:pPr>
        <w:pStyle w:val="BodyText"/>
        <w:ind w:left="245"/>
        <w:rPr>
          <w:sz w:val="20"/>
        </w:rPr>
      </w:pPr>
      <w:r>
        <w:rPr>
          <w:sz w:val="20"/>
        </w:rPr>
        <w:pict>
          <v:group style="width:428.95pt;height:264.75pt;mso-position-horizontal-relative:char;mso-position-vertical-relative:line" coordorigin="0,0" coordsize="8579,5295">
            <v:shape style="position:absolute;left:15;top:15;width:8549;height:5265" type="#_x0000_t75" stroked="false">
              <v:imagedata r:id="rId53" o:title=""/>
            </v:shape>
            <v:rect style="position:absolute;left:8;top:8;width:8564;height:5280" filled="false" stroked="true" strokeweight=".75pt" strokecolor="#000000"/>
          </v:group>
        </w:pict>
      </w:r>
      <w:r>
        <w:rPr>
          <w:sz w:val="20"/>
        </w:rPr>
      </w:r>
    </w:p>
    <w:p>
      <w:pPr>
        <w:pStyle w:val="BodyText"/>
        <w:ind w:left="279" w:right="302"/>
        <w:jc w:val="center"/>
      </w:pPr>
      <w:r>
        <w:rPr/>
        <w:t>Fuente: Elaboración Propia a partir de datos RAMAT</w:t>
      </w:r>
    </w:p>
    <w:p>
      <w:pPr>
        <w:spacing w:after="0"/>
        <w:jc w:val="center"/>
        <w:sectPr>
          <w:pgSz w:w="12240" w:h="15840"/>
          <w:pgMar w:header="0" w:footer="1001" w:top="1360" w:bottom="1200" w:left="1600" w:right="1580"/>
        </w:sectPr>
      </w:pPr>
    </w:p>
    <w:p>
      <w:pPr>
        <w:pStyle w:val="BodyText"/>
        <w:spacing w:line="360" w:lineRule="auto" w:before="48"/>
        <w:ind w:left="185" w:right="197"/>
        <w:jc w:val="both"/>
      </w:pPr>
      <w:r>
        <w:rPr/>
        <w:t>Las concentraciones más altas se presentan en la zona noroeste de la ciudad de Toluca y las concentraciones más bajas en la zona sur, en dirección a las estaciones de San Mateo Oxtotitlán, Centro y Metepec, estableciéndose cinco rangos de concentración (ver cuadro 3). Se realizó la clasificación en cinco zonas de acuerdo a los niveles de concentración identificados por color (ver cuadro 3).</w:t>
      </w:r>
    </w:p>
    <w:p>
      <w:pPr>
        <w:pStyle w:val="BodyText"/>
        <w:spacing w:before="10"/>
      </w:pPr>
    </w:p>
    <w:p>
      <w:pPr>
        <w:pStyle w:val="BodyText"/>
        <w:ind w:left="1362" w:right="170"/>
      </w:pPr>
      <w:r>
        <w:rPr/>
        <w:t>Cuadro 3 Comportamiento de partículas por zona y población</w:t>
      </w:r>
    </w:p>
    <w:p>
      <w:pPr>
        <w:pStyle w:val="BodyText"/>
        <w:rPr>
          <w:sz w:val="20"/>
        </w:rPr>
      </w:pPr>
    </w:p>
    <w:p>
      <w:pPr>
        <w:pStyle w:val="BodyText"/>
        <w:spacing w:before="3"/>
        <w:rPr>
          <w:sz w:val="17"/>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40"/>
        <w:gridCol w:w="1137"/>
        <w:gridCol w:w="712"/>
        <w:gridCol w:w="713"/>
        <w:gridCol w:w="848"/>
        <w:gridCol w:w="849"/>
        <w:gridCol w:w="1137"/>
        <w:gridCol w:w="992"/>
        <w:gridCol w:w="993"/>
        <w:gridCol w:w="969"/>
      </w:tblGrid>
      <w:tr>
        <w:trPr>
          <w:trHeight w:val="1249" w:hRule="exact"/>
        </w:trPr>
        <w:tc>
          <w:tcPr>
            <w:tcW w:w="640" w:type="dxa"/>
          </w:tcPr>
          <w:p>
            <w:pPr>
              <w:pStyle w:val="TableParagraph"/>
              <w:spacing w:line="138" w:lineRule="exact"/>
              <w:ind w:left="72"/>
              <w:rPr>
                <w:sz w:val="16"/>
              </w:rPr>
            </w:pPr>
            <w:r>
              <w:rPr>
                <w:sz w:val="16"/>
              </w:rPr>
              <w:t>Zona</w:t>
            </w:r>
          </w:p>
        </w:tc>
        <w:tc>
          <w:tcPr>
            <w:tcW w:w="1137" w:type="dxa"/>
          </w:tcPr>
          <w:p>
            <w:pPr>
              <w:pStyle w:val="TableParagraph"/>
              <w:spacing w:line="138" w:lineRule="exact"/>
              <w:ind w:left="64"/>
              <w:rPr>
                <w:sz w:val="16"/>
              </w:rPr>
            </w:pPr>
            <w:r>
              <w:rPr>
                <w:sz w:val="16"/>
              </w:rPr>
              <w:t>µg/m3</w:t>
            </w:r>
          </w:p>
        </w:tc>
        <w:tc>
          <w:tcPr>
            <w:tcW w:w="712" w:type="dxa"/>
          </w:tcPr>
          <w:p>
            <w:pPr>
              <w:pStyle w:val="TableParagraph"/>
              <w:spacing w:line="138" w:lineRule="exact"/>
              <w:ind w:left="72"/>
              <w:rPr>
                <w:sz w:val="16"/>
              </w:rPr>
            </w:pPr>
            <w:r>
              <w:rPr>
                <w:sz w:val="16"/>
              </w:rPr>
              <w:t>Poblaci</w:t>
            </w:r>
          </w:p>
          <w:p>
            <w:pPr>
              <w:pStyle w:val="TableParagraph"/>
              <w:spacing w:before="2"/>
              <w:rPr>
                <w:sz w:val="20"/>
              </w:rPr>
            </w:pPr>
          </w:p>
          <w:p>
            <w:pPr>
              <w:pStyle w:val="TableParagraph"/>
              <w:spacing w:line="532" w:lineRule="auto"/>
              <w:ind w:left="72" w:right="256"/>
              <w:rPr>
                <w:sz w:val="16"/>
              </w:rPr>
            </w:pPr>
            <w:r>
              <w:rPr>
                <w:sz w:val="16"/>
              </w:rPr>
              <w:t>ón Total</w:t>
            </w:r>
          </w:p>
        </w:tc>
        <w:tc>
          <w:tcPr>
            <w:tcW w:w="713" w:type="dxa"/>
          </w:tcPr>
          <w:p>
            <w:pPr>
              <w:pStyle w:val="TableParagraph"/>
              <w:spacing w:line="138" w:lineRule="exact"/>
              <w:ind w:left="64"/>
              <w:rPr>
                <w:sz w:val="16"/>
              </w:rPr>
            </w:pPr>
            <w:r>
              <w:rPr>
                <w:sz w:val="16"/>
              </w:rPr>
              <w:t>% de la</w:t>
            </w:r>
          </w:p>
          <w:p>
            <w:pPr>
              <w:pStyle w:val="TableParagraph"/>
              <w:spacing w:before="2"/>
              <w:rPr>
                <w:sz w:val="20"/>
              </w:rPr>
            </w:pPr>
          </w:p>
          <w:p>
            <w:pPr>
              <w:pStyle w:val="TableParagraph"/>
              <w:spacing w:line="532" w:lineRule="auto"/>
              <w:ind w:left="64"/>
              <w:rPr>
                <w:sz w:val="16"/>
              </w:rPr>
            </w:pPr>
            <w:r>
              <w:rPr>
                <w:sz w:val="16"/>
              </w:rPr>
              <w:t>zona de estudio</w:t>
            </w:r>
          </w:p>
        </w:tc>
        <w:tc>
          <w:tcPr>
            <w:tcW w:w="848" w:type="dxa"/>
          </w:tcPr>
          <w:p>
            <w:pPr>
              <w:pStyle w:val="TableParagraph"/>
              <w:spacing w:line="138" w:lineRule="exact"/>
              <w:ind w:left="63"/>
              <w:rPr>
                <w:sz w:val="16"/>
              </w:rPr>
            </w:pPr>
            <w:r>
              <w:rPr>
                <w:sz w:val="16"/>
              </w:rPr>
              <w:t>Población</w:t>
            </w:r>
          </w:p>
          <w:p>
            <w:pPr>
              <w:pStyle w:val="TableParagraph"/>
              <w:spacing w:before="2"/>
              <w:rPr>
                <w:sz w:val="20"/>
              </w:rPr>
            </w:pPr>
          </w:p>
          <w:p>
            <w:pPr>
              <w:pStyle w:val="TableParagraph"/>
              <w:ind w:left="63"/>
              <w:rPr>
                <w:sz w:val="16"/>
              </w:rPr>
            </w:pPr>
            <w:r>
              <w:rPr>
                <w:sz w:val="16"/>
              </w:rPr>
              <w:t>Urbana</w:t>
            </w:r>
          </w:p>
        </w:tc>
        <w:tc>
          <w:tcPr>
            <w:tcW w:w="849" w:type="dxa"/>
          </w:tcPr>
          <w:p>
            <w:pPr>
              <w:pStyle w:val="TableParagraph"/>
              <w:spacing w:line="138" w:lineRule="exact"/>
              <w:ind w:left="64"/>
              <w:rPr>
                <w:sz w:val="16"/>
              </w:rPr>
            </w:pPr>
            <w:r>
              <w:rPr>
                <w:sz w:val="16"/>
              </w:rPr>
              <w:t>Población</w:t>
            </w:r>
          </w:p>
          <w:p>
            <w:pPr>
              <w:pStyle w:val="TableParagraph"/>
              <w:spacing w:before="2"/>
              <w:rPr>
                <w:sz w:val="20"/>
              </w:rPr>
            </w:pPr>
          </w:p>
          <w:p>
            <w:pPr>
              <w:pStyle w:val="TableParagraph"/>
              <w:ind w:left="64"/>
              <w:rPr>
                <w:sz w:val="16"/>
              </w:rPr>
            </w:pPr>
            <w:r>
              <w:rPr>
                <w:sz w:val="16"/>
              </w:rPr>
              <w:t>Rural</w:t>
            </w:r>
          </w:p>
        </w:tc>
        <w:tc>
          <w:tcPr>
            <w:tcW w:w="1137" w:type="dxa"/>
          </w:tcPr>
          <w:p>
            <w:pPr>
              <w:pStyle w:val="TableParagraph"/>
              <w:spacing w:line="138" w:lineRule="exact"/>
              <w:ind w:left="72"/>
              <w:rPr>
                <w:sz w:val="16"/>
              </w:rPr>
            </w:pPr>
            <w:r>
              <w:rPr>
                <w:sz w:val="16"/>
              </w:rPr>
              <w:t>Población</w:t>
            </w:r>
          </w:p>
          <w:p>
            <w:pPr>
              <w:pStyle w:val="TableParagraph"/>
              <w:rPr>
                <w:sz w:val="16"/>
              </w:rPr>
            </w:pPr>
          </w:p>
          <w:p>
            <w:pPr>
              <w:pStyle w:val="TableParagraph"/>
              <w:rPr>
                <w:sz w:val="16"/>
              </w:rPr>
            </w:pPr>
          </w:p>
          <w:p>
            <w:pPr>
              <w:pStyle w:val="TableParagraph"/>
              <w:spacing w:before="6"/>
              <w:rPr>
                <w:sz w:val="12"/>
              </w:rPr>
            </w:pPr>
          </w:p>
          <w:p>
            <w:pPr>
              <w:pStyle w:val="TableParagraph"/>
              <w:ind w:left="120"/>
              <w:rPr>
                <w:sz w:val="16"/>
              </w:rPr>
            </w:pPr>
            <w:r>
              <w:rPr>
                <w:sz w:val="16"/>
              </w:rPr>
              <w:t>0-14</w:t>
            </w:r>
          </w:p>
        </w:tc>
        <w:tc>
          <w:tcPr>
            <w:tcW w:w="992" w:type="dxa"/>
          </w:tcPr>
          <w:p>
            <w:pPr>
              <w:pStyle w:val="TableParagraph"/>
              <w:spacing w:line="138" w:lineRule="exact"/>
              <w:ind w:left="40" w:right="94"/>
              <w:jc w:val="center"/>
              <w:rPr>
                <w:sz w:val="16"/>
              </w:rPr>
            </w:pPr>
            <w:r>
              <w:rPr>
                <w:sz w:val="16"/>
              </w:rPr>
              <w:t>% por zona</w:t>
            </w:r>
          </w:p>
        </w:tc>
        <w:tc>
          <w:tcPr>
            <w:tcW w:w="993" w:type="dxa"/>
          </w:tcPr>
          <w:p>
            <w:pPr>
              <w:pStyle w:val="TableParagraph"/>
              <w:spacing w:line="138" w:lineRule="exact"/>
              <w:ind w:left="64"/>
              <w:rPr>
                <w:sz w:val="16"/>
              </w:rPr>
            </w:pPr>
            <w:r>
              <w:rPr>
                <w:sz w:val="16"/>
              </w:rPr>
              <w:t>Población</w:t>
            </w:r>
          </w:p>
          <w:p>
            <w:pPr>
              <w:pStyle w:val="TableParagraph"/>
              <w:rPr>
                <w:sz w:val="16"/>
              </w:rPr>
            </w:pPr>
          </w:p>
          <w:p>
            <w:pPr>
              <w:pStyle w:val="TableParagraph"/>
              <w:rPr>
                <w:sz w:val="16"/>
              </w:rPr>
            </w:pPr>
          </w:p>
          <w:p>
            <w:pPr>
              <w:pStyle w:val="TableParagraph"/>
              <w:spacing w:before="6"/>
              <w:rPr>
                <w:sz w:val="12"/>
              </w:rPr>
            </w:pPr>
          </w:p>
          <w:p>
            <w:pPr>
              <w:pStyle w:val="TableParagraph"/>
              <w:ind w:left="64"/>
              <w:rPr>
                <w:sz w:val="16"/>
              </w:rPr>
            </w:pPr>
            <w:r>
              <w:rPr>
                <w:sz w:val="16"/>
              </w:rPr>
              <w:t>60 y más</w:t>
            </w:r>
          </w:p>
        </w:tc>
        <w:tc>
          <w:tcPr>
            <w:tcW w:w="969" w:type="dxa"/>
          </w:tcPr>
          <w:p>
            <w:pPr>
              <w:pStyle w:val="TableParagraph"/>
              <w:spacing w:line="138" w:lineRule="exact"/>
              <w:ind w:left="63"/>
              <w:rPr>
                <w:sz w:val="16"/>
              </w:rPr>
            </w:pPr>
            <w:r>
              <w:rPr>
                <w:sz w:val="16"/>
              </w:rPr>
              <w:t>Población.</w:t>
            </w:r>
          </w:p>
          <w:p>
            <w:pPr>
              <w:pStyle w:val="TableParagraph"/>
              <w:spacing w:before="2"/>
              <w:rPr>
                <w:sz w:val="20"/>
              </w:rPr>
            </w:pPr>
          </w:p>
          <w:p>
            <w:pPr>
              <w:pStyle w:val="TableParagraph"/>
              <w:ind w:left="63"/>
              <w:rPr>
                <w:sz w:val="16"/>
              </w:rPr>
            </w:pPr>
            <w:r>
              <w:rPr>
                <w:sz w:val="16"/>
              </w:rPr>
              <w:t>Afectable.</w:t>
            </w:r>
          </w:p>
          <w:p>
            <w:pPr>
              <w:pStyle w:val="TableParagraph"/>
              <w:spacing w:before="5"/>
              <w:rPr>
                <w:sz w:val="19"/>
              </w:rPr>
            </w:pPr>
          </w:p>
          <w:p>
            <w:pPr>
              <w:pStyle w:val="TableParagraph"/>
              <w:ind w:left="63"/>
              <w:rPr>
                <w:sz w:val="16"/>
              </w:rPr>
            </w:pPr>
            <w:r>
              <w:rPr>
                <w:w w:val="99"/>
                <w:sz w:val="16"/>
              </w:rPr>
              <w:t>%</w:t>
            </w:r>
          </w:p>
        </w:tc>
      </w:tr>
      <w:tr>
        <w:trPr>
          <w:trHeight w:val="704" w:hRule="exact"/>
        </w:trPr>
        <w:tc>
          <w:tcPr>
            <w:tcW w:w="640" w:type="dxa"/>
            <w:shd w:val="clear" w:color="auto" w:fill="FAD3B4"/>
          </w:tcPr>
          <w:p>
            <w:pPr>
              <w:pStyle w:val="TableParagraph"/>
              <w:rPr>
                <w:sz w:val="20"/>
              </w:rPr>
            </w:pPr>
          </w:p>
          <w:p>
            <w:pPr>
              <w:pStyle w:val="TableParagraph"/>
              <w:spacing w:before="118"/>
              <w:ind w:left="72"/>
              <w:rPr>
                <w:sz w:val="20"/>
              </w:rPr>
            </w:pPr>
            <w:r>
              <w:rPr>
                <w:w w:val="99"/>
                <w:sz w:val="20"/>
              </w:rPr>
              <w:t>1</w:t>
            </w:r>
          </w:p>
        </w:tc>
        <w:tc>
          <w:tcPr>
            <w:tcW w:w="1137" w:type="dxa"/>
            <w:shd w:val="clear" w:color="auto" w:fill="FAD3B4"/>
          </w:tcPr>
          <w:p>
            <w:pPr>
              <w:pStyle w:val="TableParagraph"/>
              <w:rPr>
                <w:sz w:val="20"/>
              </w:rPr>
            </w:pPr>
          </w:p>
          <w:p>
            <w:pPr>
              <w:pStyle w:val="TableParagraph"/>
              <w:spacing w:before="118"/>
              <w:ind w:left="64"/>
              <w:rPr>
                <w:sz w:val="20"/>
              </w:rPr>
            </w:pPr>
            <w:r>
              <w:rPr>
                <w:sz w:val="20"/>
              </w:rPr>
              <w:t>100- 120</w:t>
            </w:r>
          </w:p>
        </w:tc>
        <w:tc>
          <w:tcPr>
            <w:tcW w:w="712" w:type="dxa"/>
          </w:tcPr>
          <w:p>
            <w:pPr>
              <w:pStyle w:val="TableParagraph"/>
              <w:spacing w:before="4"/>
              <w:ind w:left="54" w:right="54"/>
              <w:jc w:val="center"/>
              <w:rPr>
                <w:sz w:val="20"/>
              </w:rPr>
            </w:pPr>
            <w:r>
              <w:rPr>
                <w:sz w:val="20"/>
              </w:rPr>
              <w:t>58532</w:t>
            </w:r>
          </w:p>
          <w:p>
            <w:pPr>
              <w:pStyle w:val="TableParagraph"/>
              <w:spacing w:before="114"/>
              <w:jc w:val="center"/>
              <w:rPr>
                <w:sz w:val="20"/>
              </w:rPr>
            </w:pPr>
            <w:r>
              <w:rPr>
                <w:w w:val="99"/>
                <w:sz w:val="20"/>
              </w:rPr>
              <w:t>4</w:t>
            </w:r>
          </w:p>
        </w:tc>
        <w:tc>
          <w:tcPr>
            <w:tcW w:w="713" w:type="dxa"/>
          </w:tcPr>
          <w:p>
            <w:pPr>
              <w:pStyle w:val="TableParagraph"/>
              <w:spacing w:before="7"/>
              <w:rPr>
                <w:sz w:val="15"/>
              </w:rPr>
            </w:pPr>
          </w:p>
          <w:p>
            <w:pPr>
              <w:pStyle w:val="TableParagraph"/>
              <w:spacing w:before="1"/>
              <w:ind w:right="239"/>
              <w:jc w:val="right"/>
              <w:rPr>
                <w:sz w:val="20"/>
              </w:rPr>
            </w:pPr>
            <w:r>
              <w:rPr>
                <w:w w:val="95"/>
                <w:sz w:val="20"/>
              </w:rPr>
              <w:t>44</w:t>
            </w:r>
          </w:p>
        </w:tc>
        <w:tc>
          <w:tcPr>
            <w:tcW w:w="848" w:type="dxa"/>
          </w:tcPr>
          <w:p>
            <w:pPr>
              <w:pStyle w:val="TableParagraph"/>
              <w:spacing w:before="4"/>
              <w:ind w:left="69" w:right="62"/>
              <w:jc w:val="center"/>
              <w:rPr>
                <w:sz w:val="20"/>
              </w:rPr>
            </w:pPr>
            <w:r>
              <w:rPr>
                <w:sz w:val="20"/>
              </w:rPr>
              <w:t>565545</w:t>
            </w:r>
          </w:p>
        </w:tc>
        <w:tc>
          <w:tcPr>
            <w:tcW w:w="849" w:type="dxa"/>
          </w:tcPr>
          <w:p>
            <w:pPr>
              <w:pStyle w:val="TableParagraph"/>
              <w:spacing w:before="4"/>
              <w:ind w:left="57" w:right="62"/>
              <w:jc w:val="center"/>
              <w:rPr>
                <w:sz w:val="20"/>
              </w:rPr>
            </w:pPr>
            <w:r>
              <w:rPr>
                <w:sz w:val="20"/>
              </w:rPr>
              <w:t>19779</w:t>
            </w:r>
          </w:p>
        </w:tc>
        <w:tc>
          <w:tcPr>
            <w:tcW w:w="1137" w:type="dxa"/>
          </w:tcPr>
          <w:p>
            <w:pPr>
              <w:pStyle w:val="TableParagraph"/>
              <w:spacing w:before="4"/>
              <w:ind w:left="232"/>
              <w:rPr>
                <w:sz w:val="20"/>
              </w:rPr>
            </w:pPr>
            <w:r>
              <w:rPr>
                <w:sz w:val="20"/>
              </w:rPr>
              <w:t>173254</w:t>
            </w:r>
          </w:p>
        </w:tc>
        <w:tc>
          <w:tcPr>
            <w:tcW w:w="992" w:type="dxa"/>
          </w:tcPr>
          <w:p>
            <w:pPr>
              <w:pStyle w:val="TableParagraph"/>
              <w:spacing w:before="4"/>
              <w:ind w:left="40" w:right="46"/>
              <w:jc w:val="center"/>
              <w:rPr>
                <w:sz w:val="20"/>
              </w:rPr>
            </w:pPr>
            <w:r>
              <w:rPr>
                <w:sz w:val="20"/>
              </w:rPr>
              <w:t>25</w:t>
            </w:r>
          </w:p>
        </w:tc>
        <w:tc>
          <w:tcPr>
            <w:tcW w:w="993" w:type="dxa"/>
          </w:tcPr>
          <w:p>
            <w:pPr>
              <w:pStyle w:val="TableParagraph"/>
              <w:spacing w:before="4"/>
              <w:ind w:right="214"/>
              <w:jc w:val="right"/>
              <w:rPr>
                <w:sz w:val="20"/>
              </w:rPr>
            </w:pPr>
            <w:r>
              <w:rPr>
                <w:w w:val="95"/>
                <w:sz w:val="20"/>
              </w:rPr>
              <w:t>55769</w:t>
            </w:r>
          </w:p>
        </w:tc>
        <w:tc>
          <w:tcPr>
            <w:tcW w:w="969" w:type="dxa"/>
          </w:tcPr>
          <w:p>
            <w:pPr>
              <w:pStyle w:val="TableParagraph"/>
              <w:spacing w:before="4"/>
              <w:ind w:left="360"/>
              <w:rPr>
                <w:sz w:val="20"/>
              </w:rPr>
            </w:pPr>
            <w:r>
              <w:rPr>
                <w:sz w:val="20"/>
              </w:rPr>
              <w:t>19</w:t>
            </w:r>
          </w:p>
        </w:tc>
      </w:tr>
      <w:tr>
        <w:trPr>
          <w:trHeight w:val="696" w:hRule="exact"/>
        </w:trPr>
        <w:tc>
          <w:tcPr>
            <w:tcW w:w="640" w:type="dxa"/>
            <w:shd w:val="clear" w:color="auto" w:fill="FFFF00"/>
          </w:tcPr>
          <w:p>
            <w:pPr>
              <w:pStyle w:val="TableParagraph"/>
              <w:rPr>
                <w:sz w:val="20"/>
              </w:rPr>
            </w:pPr>
          </w:p>
          <w:p>
            <w:pPr>
              <w:pStyle w:val="TableParagraph"/>
              <w:spacing w:before="119"/>
              <w:ind w:left="72"/>
              <w:rPr>
                <w:sz w:val="20"/>
              </w:rPr>
            </w:pPr>
            <w:r>
              <w:rPr>
                <w:w w:val="99"/>
                <w:sz w:val="20"/>
              </w:rPr>
              <w:t>2</w:t>
            </w:r>
          </w:p>
        </w:tc>
        <w:tc>
          <w:tcPr>
            <w:tcW w:w="1137" w:type="dxa"/>
            <w:shd w:val="clear" w:color="auto" w:fill="FFFF00"/>
          </w:tcPr>
          <w:p>
            <w:pPr>
              <w:pStyle w:val="TableParagraph"/>
              <w:rPr>
                <w:sz w:val="20"/>
              </w:rPr>
            </w:pPr>
          </w:p>
          <w:p>
            <w:pPr>
              <w:pStyle w:val="TableParagraph"/>
              <w:spacing w:before="119"/>
              <w:ind w:left="64"/>
              <w:rPr>
                <w:sz w:val="20"/>
              </w:rPr>
            </w:pPr>
            <w:r>
              <w:rPr>
                <w:sz w:val="20"/>
              </w:rPr>
              <w:t>121- 140</w:t>
            </w:r>
          </w:p>
        </w:tc>
        <w:tc>
          <w:tcPr>
            <w:tcW w:w="712" w:type="dxa"/>
          </w:tcPr>
          <w:p>
            <w:pPr>
              <w:pStyle w:val="TableParagraph"/>
              <w:spacing w:before="5"/>
              <w:ind w:left="54" w:right="54"/>
              <w:jc w:val="center"/>
              <w:rPr>
                <w:sz w:val="20"/>
              </w:rPr>
            </w:pPr>
            <w:r>
              <w:rPr>
                <w:sz w:val="20"/>
              </w:rPr>
              <w:t>47179</w:t>
            </w:r>
          </w:p>
          <w:p>
            <w:pPr>
              <w:pStyle w:val="TableParagraph"/>
              <w:spacing w:before="114"/>
              <w:jc w:val="center"/>
              <w:rPr>
                <w:sz w:val="20"/>
              </w:rPr>
            </w:pPr>
            <w:r>
              <w:rPr>
                <w:w w:val="99"/>
                <w:sz w:val="20"/>
              </w:rPr>
              <w:t>0</w:t>
            </w:r>
          </w:p>
        </w:tc>
        <w:tc>
          <w:tcPr>
            <w:tcW w:w="713" w:type="dxa"/>
          </w:tcPr>
          <w:p>
            <w:pPr>
              <w:pStyle w:val="TableParagraph"/>
              <w:spacing w:before="173"/>
              <w:ind w:right="239"/>
              <w:jc w:val="right"/>
              <w:rPr>
                <w:sz w:val="20"/>
              </w:rPr>
            </w:pPr>
            <w:r>
              <w:rPr>
                <w:w w:val="95"/>
                <w:sz w:val="20"/>
              </w:rPr>
              <w:t>36</w:t>
            </w:r>
          </w:p>
        </w:tc>
        <w:tc>
          <w:tcPr>
            <w:tcW w:w="848" w:type="dxa"/>
          </w:tcPr>
          <w:p>
            <w:pPr>
              <w:pStyle w:val="TableParagraph"/>
              <w:spacing w:before="5"/>
              <w:ind w:left="69" w:right="62"/>
              <w:jc w:val="center"/>
              <w:rPr>
                <w:sz w:val="20"/>
              </w:rPr>
            </w:pPr>
            <w:r>
              <w:rPr>
                <w:sz w:val="20"/>
              </w:rPr>
              <w:t>322505</w:t>
            </w:r>
          </w:p>
        </w:tc>
        <w:tc>
          <w:tcPr>
            <w:tcW w:w="849" w:type="dxa"/>
          </w:tcPr>
          <w:p>
            <w:pPr>
              <w:pStyle w:val="TableParagraph"/>
              <w:spacing w:before="5"/>
              <w:ind w:left="70" w:right="62"/>
              <w:jc w:val="center"/>
              <w:rPr>
                <w:sz w:val="20"/>
              </w:rPr>
            </w:pPr>
            <w:r>
              <w:rPr>
                <w:sz w:val="20"/>
              </w:rPr>
              <w:t>149285</w:t>
            </w:r>
          </w:p>
        </w:tc>
        <w:tc>
          <w:tcPr>
            <w:tcW w:w="1137" w:type="dxa"/>
          </w:tcPr>
          <w:p>
            <w:pPr>
              <w:pStyle w:val="TableParagraph"/>
              <w:spacing w:before="5"/>
              <w:ind w:left="232"/>
              <w:rPr>
                <w:sz w:val="20"/>
              </w:rPr>
            </w:pPr>
            <w:r>
              <w:rPr>
                <w:sz w:val="20"/>
              </w:rPr>
              <w:t>131649</w:t>
            </w:r>
          </w:p>
        </w:tc>
        <w:tc>
          <w:tcPr>
            <w:tcW w:w="992" w:type="dxa"/>
          </w:tcPr>
          <w:p>
            <w:pPr>
              <w:pStyle w:val="TableParagraph"/>
              <w:spacing w:before="5"/>
              <w:ind w:left="40" w:right="46"/>
              <w:jc w:val="center"/>
              <w:rPr>
                <w:sz w:val="20"/>
              </w:rPr>
            </w:pPr>
            <w:r>
              <w:rPr>
                <w:sz w:val="20"/>
              </w:rPr>
              <w:t>28</w:t>
            </w:r>
          </w:p>
        </w:tc>
        <w:tc>
          <w:tcPr>
            <w:tcW w:w="993" w:type="dxa"/>
          </w:tcPr>
          <w:p>
            <w:pPr>
              <w:pStyle w:val="TableParagraph"/>
              <w:spacing w:before="5"/>
              <w:ind w:right="214"/>
              <w:jc w:val="right"/>
              <w:rPr>
                <w:sz w:val="20"/>
              </w:rPr>
            </w:pPr>
            <w:r>
              <w:rPr>
                <w:w w:val="95"/>
                <w:sz w:val="20"/>
              </w:rPr>
              <w:t>32518</w:t>
            </w:r>
          </w:p>
        </w:tc>
        <w:tc>
          <w:tcPr>
            <w:tcW w:w="969" w:type="dxa"/>
          </w:tcPr>
          <w:p>
            <w:pPr>
              <w:pStyle w:val="TableParagraph"/>
              <w:spacing w:before="5"/>
              <w:ind w:left="360"/>
              <w:rPr>
                <w:sz w:val="20"/>
              </w:rPr>
            </w:pPr>
            <w:r>
              <w:rPr>
                <w:sz w:val="20"/>
              </w:rPr>
              <w:t>13</w:t>
            </w:r>
          </w:p>
        </w:tc>
      </w:tr>
      <w:tr>
        <w:trPr>
          <w:trHeight w:val="705" w:hRule="exact"/>
        </w:trPr>
        <w:tc>
          <w:tcPr>
            <w:tcW w:w="640" w:type="dxa"/>
            <w:shd w:val="clear" w:color="auto" w:fill="E26C09"/>
          </w:tcPr>
          <w:p>
            <w:pPr>
              <w:pStyle w:val="TableParagraph"/>
              <w:rPr>
                <w:sz w:val="20"/>
              </w:rPr>
            </w:pPr>
          </w:p>
          <w:p>
            <w:pPr>
              <w:pStyle w:val="TableParagraph"/>
              <w:spacing w:before="119"/>
              <w:ind w:left="72"/>
              <w:rPr>
                <w:sz w:val="20"/>
              </w:rPr>
            </w:pPr>
            <w:r>
              <w:rPr>
                <w:w w:val="99"/>
                <w:sz w:val="20"/>
              </w:rPr>
              <w:t>3</w:t>
            </w:r>
          </w:p>
        </w:tc>
        <w:tc>
          <w:tcPr>
            <w:tcW w:w="1137" w:type="dxa"/>
            <w:shd w:val="clear" w:color="auto" w:fill="E26C09"/>
          </w:tcPr>
          <w:p>
            <w:pPr>
              <w:pStyle w:val="TableParagraph"/>
              <w:rPr>
                <w:sz w:val="20"/>
              </w:rPr>
            </w:pPr>
          </w:p>
          <w:p>
            <w:pPr>
              <w:pStyle w:val="TableParagraph"/>
              <w:spacing w:before="119"/>
              <w:ind w:left="64"/>
              <w:rPr>
                <w:sz w:val="20"/>
              </w:rPr>
            </w:pPr>
            <w:r>
              <w:rPr>
                <w:sz w:val="20"/>
              </w:rPr>
              <w:t>141- 160</w:t>
            </w:r>
          </w:p>
        </w:tc>
        <w:tc>
          <w:tcPr>
            <w:tcW w:w="712" w:type="dxa"/>
          </w:tcPr>
          <w:p>
            <w:pPr>
              <w:pStyle w:val="TableParagraph"/>
              <w:spacing w:before="4"/>
              <w:ind w:left="54" w:right="54"/>
              <w:jc w:val="center"/>
              <w:rPr>
                <w:sz w:val="20"/>
              </w:rPr>
            </w:pPr>
            <w:r>
              <w:rPr>
                <w:sz w:val="20"/>
              </w:rPr>
              <w:t>18015</w:t>
            </w:r>
          </w:p>
          <w:p>
            <w:pPr>
              <w:pStyle w:val="TableParagraph"/>
              <w:spacing w:before="114"/>
              <w:jc w:val="center"/>
              <w:rPr>
                <w:sz w:val="20"/>
              </w:rPr>
            </w:pPr>
            <w:r>
              <w:rPr>
                <w:w w:val="99"/>
                <w:sz w:val="20"/>
              </w:rPr>
              <w:t>3</w:t>
            </w:r>
          </w:p>
        </w:tc>
        <w:tc>
          <w:tcPr>
            <w:tcW w:w="713" w:type="dxa"/>
          </w:tcPr>
          <w:p>
            <w:pPr>
              <w:pStyle w:val="TableParagraph"/>
              <w:spacing w:before="8"/>
              <w:rPr>
                <w:sz w:val="15"/>
              </w:rPr>
            </w:pPr>
          </w:p>
          <w:p>
            <w:pPr>
              <w:pStyle w:val="TableParagraph"/>
              <w:ind w:right="239"/>
              <w:jc w:val="right"/>
              <w:rPr>
                <w:sz w:val="20"/>
              </w:rPr>
            </w:pPr>
            <w:r>
              <w:rPr>
                <w:w w:val="95"/>
                <w:sz w:val="20"/>
              </w:rPr>
              <w:t>14</w:t>
            </w:r>
          </w:p>
        </w:tc>
        <w:tc>
          <w:tcPr>
            <w:tcW w:w="848" w:type="dxa"/>
          </w:tcPr>
          <w:p>
            <w:pPr>
              <w:pStyle w:val="TableParagraph"/>
              <w:spacing w:before="4"/>
              <w:ind w:left="69" w:right="62"/>
              <w:jc w:val="center"/>
              <w:rPr>
                <w:sz w:val="20"/>
              </w:rPr>
            </w:pPr>
            <w:r>
              <w:rPr>
                <w:sz w:val="20"/>
              </w:rPr>
              <w:t>107101</w:t>
            </w:r>
          </w:p>
        </w:tc>
        <w:tc>
          <w:tcPr>
            <w:tcW w:w="849" w:type="dxa"/>
          </w:tcPr>
          <w:p>
            <w:pPr>
              <w:pStyle w:val="TableParagraph"/>
              <w:spacing w:before="4"/>
              <w:ind w:left="57" w:right="62"/>
              <w:jc w:val="center"/>
              <w:rPr>
                <w:sz w:val="20"/>
              </w:rPr>
            </w:pPr>
            <w:r>
              <w:rPr>
                <w:sz w:val="20"/>
              </w:rPr>
              <w:t>73052</w:t>
            </w:r>
          </w:p>
        </w:tc>
        <w:tc>
          <w:tcPr>
            <w:tcW w:w="1137" w:type="dxa"/>
          </w:tcPr>
          <w:p>
            <w:pPr>
              <w:pStyle w:val="TableParagraph"/>
              <w:spacing w:before="4"/>
              <w:ind w:left="287"/>
              <w:rPr>
                <w:sz w:val="20"/>
              </w:rPr>
            </w:pPr>
            <w:r>
              <w:rPr>
                <w:sz w:val="20"/>
              </w:rPr>
              <w:t>59934</w:t>
            </w:r>
          </w:p>
        </w:tc>
        <w:tc>
          <w:tcPr>
            <w:tcW w:w="992" w:type="dxa"/>
          </w:tcPr>
          <w:p>
            <w:pPr>
              <w:pStyle w:val="TableParagraph"/>
              <w:spacing w:before="4"/>
              <w:ind w:left="40" w:right="46"/>
              <w:jc w:val="center"/>
              <w:rPr>
                <w:sz w:val="20"/>
              </w:rPr>
            </w:pPr>
            <w:r>
              <w:rPr>
                <w:sz w:val="20"/>
              </w:rPr>
              <w:t>33</w:t>
            </w:r>
          </w:p>
        </w:tc>
        <w:tc>
          <w:tcPr>
            <w:tcW w:w="993" w:type="dxa"/>
          </w:tcPr>
          <w:p>
            <w:pPr>
              <w:pStyle w:val="TableParagraph"/>
              <w:spacing w:before="4"/>
              <w:ind w:right="270"/>
              <w:jc w:val="right"/>
              <w:rPr>
                <w:sz w:val="20"/>
              </w:rPr>
            </w:pPr>
            <w:r>
              <w:rPr>
                <w:w w:val="95"/>
                <w:sz w:val="20"/>
              </w:rPr>
              <w:t>8759</w:t>
            </w:r>
          </w:p>
        </w:tc>
        <w:tc>
          <w:tcPr>
            <w:tcW w:w="969" w:type="dxa"/>
          </w:tcPr>
          <w:p>
            <w:pPr>
              <w:pStyle w:val="TableParagraph"/>
              <w:spacing w:before="4"/>
              <w:ind w:left="415"/>
              <w:rPr>
                <w:sz w:val="20"/>
              </w:rPr>
            </w:pPr>
            <w:r>
              <w:rPr>
                <w:w w:val="99"/>
                <w:sz w:val="20"/>
              </w:rPr>
              <w:t>6</w:t>
            </w:r>
          </w:p>
        </w:tc>
      </w:tr>
      <w:tr>
        <w:trPr>
          <w:trHeight w:val="352" w:hRule="exact"/>
        </w:trPr>
        <w:tc>
          <w:tcPr>
            <w:tcW w:w="640" w:type="dxa"/>
            <w:shd w:val="clear" w:color="auto" w:fill="FF0000"/>
          </w:tcPr>
          <w:p>
            <w:pPr>
              <w:pStyle w:val="TableParagraph"/>
              <w:spacing w:before="4"/>
              <w:ind w:left="72"/>
              <w:rPr>
                <w:sz w:val="20"/>
              </w:rPr>
            </w:pPr>
            <w:r>
              <w:rPr>
                <w:w w:val="99"/>
                <w:sz w:val="20"/>
              </w:rPr>
              <w:t>4</w:t>
            </w:r>
          </w:p>
        </w:tc>
        <w:tc>
          <w:tcPr>
            <w:tcW w:w="1137" w:type="dxa"/>
            <w:shd w:val="clear" w:color="auto" w:fill="FF0000"/>
          </w:tcPr>
          <w:p>
            <w:pPr>
              <w:pStyle w:val="TableParagraph"/>
              <w:spacing w:before="4"/>
              <w:ind w:left="64"/>
              <w:rPr>
                <w:sz w:val="20"/>
              </w:rPr>
            </w:pPr>
            <w:r>
              <w:rPr>
                <w:sz w:val="20"/>
              </w:rPr>
              <w:t>161-80</w:t>
            </w:r>
          </w:p>
        </w:tc>
        <w:tc>
          <w:tcPr>
            <w:tcW w:w="712" w:type="dxa"/>
          </w:tcPr>
          <w:p>
            <w:pPr>
              <w:pStyle w:val="TableParagraph"/>
              <w:spacing w:before="4"/>
              <w:ind w:right="69"/>
              <w:jc w:val="right"/>
              <w:rPr>
                <w:sz w:val="20"/>
              </w:rPr>
            </w:pPr>
            <w:r>
              <w:rPr>
                <w:w w:val="95"/>
                <w:sz w:val="20"/>
              </w:rPr>
              <w:t>67984</w:t>
            </w:r>
          </w:p>
        </w:tc>
        <w:tc>
          <w:tcPr>
            <w:tcW w:w="713" w:type="dxa"/>
          </w:tcPr>
          <w:p>
            <w:pPr>
              <w:pStyle w:val="TableParagraph"/>
              <w:spacing w:before="4"/>
              <w:ind w:right="294"/>
              <w:jc w:val="right"/>
              <w:rPr>
                <w:sz w:val="20"/>
              </w:rPr>
            </w:pPr>
            <w:r>
              <w:rPr>
                <w:w w:val="99"/>
                <w:sz w:val="20"/>
              </w:rPr>
              <w:t>5</w:t>
            </w:r>
          </w:p>
        </w:tc>
        <w:tc>
          <w:tcPr>
            <w:tcW w:w="848" w:type="dxa"/>
          </w:tcPr>
          <w:p>
            <w:pPr>
              <w:pStyle w:val="TableParagraph"/>
              <w:spacing w:before="4"/>
              <w:ind w:left="57" w:right="63"/>
              <w:jc w:val="center"/>
              <w:rPr>
                <w:sz w:val="20"/>
              </w:rPr>
            </w:pPr>
            <w:r>
              <w:rPr>
                <w:sz w:val="20"/>
              </w:rPr>
              <w:t>67984</w:t>
            </w:r>
          </w:p>
        </w:tc>
        <w:tc>
          <w:tcPr>
            <w:tcW w:w="849" w:type="dxa"/>
          </w:tcPr>
          <w:p>
            <w:pPr>
              <w:pStyle w:val="TableParagraph"/>
              <w:spacing w:before="4"/>
              <w:ind w:right="6"/>
              <w:jc w:val="center"/>
              <w:rPr>
                <w:sz w:val="20"/>
              </w:rPr>
            </w:pPr>
            <w:r>
              <w:rPr>
                <w:w w:val="99"/>
                <w:sz w:val="20"/>
              </w:rPr>
              <w:t>0</w:t>
            </w:r>
          </w:p>
        </w:tc>
        <w:tc>
          <w:tcPr>
            <w:tcW w:w="1137" w:type="dxa"/>
          </w:tcPr>
          <w:p>
            <w:pPr>
              <w:pStyle w:val="TableParagraph"/>
              <w:spacing w:before="4"/>
              <w:ind w:left="287"/>
              <w:rPr>
                <w:sz w:val="20"/>
              </w:rPr>
            </w:pPr>
            <w:r>
              <w:rPr>
                <w:sz w:val="20"/>
              </w:rPr>
              <w:t>20536</w:t>
            </w:r>
          </w:p>
        </w:tc>
        <w:tc>
          <w:tcPr>
            <w:tcW w:w="992" w:type="dxa"/>
          </w:tcPr>
          <w:p>
            <w:pPr>
              <w:pStyle w:val="TableParagraph"/>
              <w:spacing w:before="4"/>
              <w:ind w:left="40" w:right="46"/>
              <w:jc w:val="center"/>
              <w:rPr>
                <w:sz w:val="20"/>
              </w:rPr>
            </w:pPr>
            <w:r>
              <w:rPr>
                <w:sz w:val="20"/>
              </w:rPr>
              <w:t>30</w:t>
            </w:r>
          </w:p>
        </w:tc>
        <w:tc>
          <w:tcPr>
            <w:tcW w:w="993" w:type="dxa"/>
          </w:tcPr>
          <w:p>
            <w:pPr>
              <w:pStyle w:val="TableParagraph"/>
              <w:spacing w:before="4"/>
              <w:ind w:right="270"/>
              <w:jc w:val="right"/>
              <w:rPr>
                <w:sz w:val="20"/>
              </w:rPr>
            </w:pPr>
            <w:r>
              <w:rPr>
                <w:w w:val="95"/>
                <w:sz w:val="20"/>
              </w:rPr>
              <w:t>2457</w:t>
            </w:r>
          </w:p>
        </w:tc>
        <w:tc>
          <w:tcPr>
            <w:tcW w:w="969" w:type="dxa"/>
          </w:tcPr>
          <w:p>
            <w:pPr>
              <w:pStyle w:val="TableParagraph"/>
              <w:spacing w:before="4"/>
              <w:ind w:left="415"/>
              <w:rPr>
                <w:sz w:val="20"/>
              </w:rPr>
            </w:pPr>
            <w:r>
              <w:rPr>
                <w:w w:val="99"/>
                <w:sz w:val="20"/>
              </w:rPr>
              <w:t>2</w:t>
            </w:r>
          </w:p>
        </w:tc>
      </w:tr>
      <w:tr>
        <w:trPr>
          <w:trHeight w:val="360" w:hRule="exact"/>
        </w:trPr>
        <w:tc>
          <w:tcPr>
            <w:tcW w:w="640" w:type="dxa"/>
            <w:shd w:val="clear" w:color="auto" w:fill="660033"/>
          </w:tcPr>
          <w:p>
            <w:pPr>
              <w:pStyle w:val="TableParagraph"/>
              <w:spacing w:before="4"/>
              <w:ind w:left="72"/>
              <w:rPr>
                <w:sz w:val="20"/>
              </w:rPr>
            </w:pPr>
            <w:r>
              <w:rPr>
                <w:color w:val="FFFFFF"/>
                <w:w w:val="99"/>
                <w:sz w:val="20"/>
              </w:rPr>
              <w:t>5</w:t>
            </w:r>
          </w:p>
        </w:tc>
        <w:tc>
          <w:tcPr>
            <w:tcW w:w="1137" w:type="dxa"/>
            <w:shd w:val="clear" w:color="auto" w:fill="660033"/>
          </w:tcPr>
          <w:p>
            <w:pPr>
              <w:pStyle w:val="TableParagraph"/>
              <w:spacing w:before="4"/>
              <w:ind w:left="64"/>
              <w:rPr>
                <w:sz w:val="20"/>
              </w:rPr>
            </w:pPr>
            <w:r>
              <w:rPr>
                <w:color w:val="FFFFFF"/>
                <w:sz w:val="20"/>
              </w:rPr>
              <w:t>181- 210</w:t>
            </w:r>
          </w:p>
        </w:tc>
        <w:tc>
          <w:tcPr>
            <w:tcW w:w="712" w:type="dxa"/>
          </w:tcPr>
          <w:p>
            <w:pPr>
              <w:pStyle w:val="TableParagraph"/>
              <w:spacing w:before="4"/>
              <w:ind w:right="69"/>
              <w:jc w:val="right"/>
              <w:rPr>
                <w:sz w:val="20"/>
              </w:rPr>
            </w:pPr>
            <w:r>
              <w:rPr>
                <w:w w:val="95"/>
                <w:sz w:val="20"/>
              </w:rPr>
              <w:t>15609</w:t>
            </w:r>
          </w:p>
        </w:tc>
        <w:tc>
          <w:tcPr>
            <w:tcW w:w="713" w:type="dxa"/>
          </w:tcPr>
          <w:p>
            <w:pPr>
              <w:pStyle w:val="TableParagraph"/>
              <w:spacing w:before="4"/>
              <w:ind w:right="294"/>
              <w:jc w:val="right"/>
              <w:rPr>
                <w:sz w:val="20"/>
              </w:rPr>
            </w:pPr>
            <w:r>
              <w:rPr>
                <w:w w:val="99"/>
                <w:sz w:val="20"/>
              </w:rPr>
              <w:t>1</w:t>
            </w:r>
          </w:p>
        </w:tc>
        <w:tc>
          <w:tcPr>
            <w:tcW w:w="848" w:type="dxa"/>
          </w:tcPr>
          <w:p>
            <w:pPr>
              <w:pStyle w:val="TableParagraph"/>
              <w:spacing w:before="4"/>
              <w:ind w:left="68" w:right="63"/>
              <w:jc w:val="center"/>
              <w:rPr>
                <w:sz w:val="20"/>
              </w:rPr>
            </w:pPr>
            <w:r>
              <w:rPr>
                <w:sz w:val="20"/>
              </w:rPr>
              <w:t>15, 609</w:t>
            </w:r>
          </w:p>
        </w:tc>
        <w:tc>
          <w:tcPr>
            <w:tcW w:w="849" w:type="dxa"/>
          </w:tcPr>
          <w:p>
            <w:pPr>
              <w:pStyle w:val="TableParagraph"/>
              <w:spacing w:before="4"/>
              <w:ind w:right="6"/>
              <w:jc w:val="center"/>
              <w:rPr>
                <w:sz w:val="20"/>
              </w:rPr>
            </w:pPr>
            <w:r>
              <w:rPr>
                <w:w w:val="99"/>
                <w:sz w:val="20"/>
              </w:rPr>
              <w:t>0</w:t>
            </w:r>
          </w:p>
        </w:tc>
        <w:tc>
          <w:tcPr>
            <w:tcW w:w="1137" w:type="dxa"/>
          </w:tcPr>
          <w:p>
            <w:pPr>
              <w:pStyle w:val="TableParagraph"/>
              <w:spacing w:before="4"/>
              <w:ind w:left="344"/>
              <w:rPr>
                <w:sz w:val="20"/>
              </w:rPr>
            </w:pPr>
            <w:r>
              <w:rPr>
                <w:sz w:val="20"/>
              </w:rPr>
              <w:t>4999</w:t>
            </w:r>
          </w:p>
        </w:tc>
        <w:tc>
          <w:tcPr>
            <w:tcW w:w="992" w:type="dxa"/>
          </w:tcPr>
          <w:p>
            <w:pPr>
              <w:pStyle w:val="TableParagraph"/>
              <w:spacing w:before="4"/>
              <w:ind w:left="40" w:right="46"/>
              <w:jc w:val="center"/>
              <w:rPr>
                <w:sz w:val="20"/>
              </w:rPr>
            </w:pPr>
            <w:r>
              <w:rPr>
                <w:sz w:val="20"/>
              </w:rPr>
              <w:t>32</w:t>
            </w:r>
          </w:p>
        </w:tc>
        <w:tc>
          <w:tcPr>
            <w:tcW w:w="993" w:type="dxa"/>
          </w:tcPr>
          <w:p>
            <w:pPr>
              <w:pStyle w:val="TableParagraph"/>
              <w:spacing w:before="4"/>
              <w:ind w:left="320"/>
              <w:rPr>
                <w:sz w:val="20"/>
              </w:rPr>
            </w:pPr>
            <w:r>
              <w:rPr>
                <w:sz w:val="20"/>
              </w:rPr>
              <w:t>305</w:t>
            </w:r>
          </w:p>
        </w:tc>
        <w:tc>
          <w:tcPr>
            <w:tcW w:w="969" w:type="dxa"/>
          </w:tcPr>
          <w:p>
            <w:pPr>
              <w:pStyle w:val="TableParagraph"/>
              <w:spacing w:before="4"/>
              <w:ind w:left="415"/>
              <w:rPr>
                <w:sz w:val="20"/>
              </w:rPr>
            </w:pPr>
            <w:r>
              <w:rPr>
                <w:w w:val="99"/>
                <w:sz w:val="20"/>
              </w:rPr>
              <w:t>0</w:t>
            </w:r>
          </w:p>
        </w:tc>
      </w:tr>
    </w:tbl>
    <w:p>
      <w:pPr>
        <w:pStyle w:val="BodyText"/>
        <w:spacing w:before="6"/>
        <w:rPr>
          <w:sz w:val="17"/>
        </w:rPr>
      </w:pPr>
    </w:p>
    <w:p>
      <w:pPr>
        <w:pStyle w:val="BodyText"/>
        <w:spacing w:before="70"/>
        <w:ind w:left="1393" w:right="170"/>
      </w:pPr>
      <w:r>
        <w:rPr/>
        <w:t>Fuente: Elaboración propia con datos RAMAT e INEGI 2010</w:t>
      </w:r>
    </w:p>
    <w:p>
      <w:pPr>
        <w:pStyle w:val="BodyText"/>
        <w:spacing w:before="9"/>
        <w:rPr>
          <w:sz w:val="29"/>
        </w:rPr>
      </w:pPr>
    </w:p>
    <w:p>
      <w:pPr>
        <w:pStyle w:val="BodyText"/>
        <w:spacing w:before="70"/>
        <w:ind w:left="185"/>
        <w:jc w:val="both"/>
      </w:pPr>
      <w:r>
        <w:rPr/>
        <w:t>Zona 1</w:t>
      </w:r>
    </w:p>
    <w:p>
      <w:pPr>
        <w:pStyle w:val="BodyText"/>
      </w:pPr>
    </w:p>
    <w:p>
      <w:pPr>
        <w:pStyle w:val="BodyText"/>
        <w:spacing w:line="355" w:lineRule="auto" w:before="144"/>
        <w:ind w:left="185" w:right="189"/>
        <w:jc w:val="both"/>
      </w:pPr>
      <w:r>
        <w:rPr/>
        <w:t>La zona en verde, localizada al suroeste presenta concentraciones de 100 a 120 mcg/m</w:t>
      </w:r>
      <w:r>
        <w:rPr>
          <w:position w:val="11"/>
          <w:sz w:val="16"/>
        </w:rPr>
        <w:t>3</w:t>
      </w:r>
      <w:r>
        <w:rPr/>
        <w:t>, está conformada por 3 localidades urbanas (ver cuadro 4), con una población total de 76,212 habitantes y 13 localidades rurales con una población de 19,779 habitantes, representando el 44% de la población total (INEGI, 2010). En esta zona se localizan las principales localidades urbanas de la zona de estudio como  son   Toluca  de  Lerdo  y   Metepec,  representando  la  zona  con     mayor</w:t>
      </w:r>
    </w:p>
    <w:p>
      <w:pPr>
        <w:pStyle w:val="BodyText"/>
        <w:spacing w:line="360" w:lineRule="auto" w:before="12"/>
        <w:ind w:left="185" w:right="198"/>
        <w:jc w:val="both"/>
      </w:pPr>
      <w:r>
        <w:rPr/>
        <w:t>concentración de población con un total de 585,324 habitantes. Por otro lado es en esta zona donde se concentra la mayor cantidad de población vulnerable, donde el grupo de o-14 años y de 60 años y más representan el 19% de la población total (Ver cuadro 4). En esta zona además se cuenta con la presencia de 385 escuelas,</w:t>
      </w:r>
    </w:p>
    <w:p>
      <w:pPr>
        <w:spacing w:after="0" w:line="360" w:lineRule="auto"/>
        <w:jc w:val="both"/>
        <w:sectPr>
          <w:pgSz w:w="12240" w:h="15840"/>
          <w:pgMar w:header="0" w:footer="1001" w:top="1360" w:bottom="1200" w:left="1520" w:right="1500"/>
        </w:sectPr>
      </w:pPr>
    </w:p>
    <w:p>
      <w:pPr>
        <w:pStyle w:val="BodyText"/>
        <w:spacing w:line="362" w:lineRule="auto" w:before="48"/>
        <w:ind w:left="185" w:right="170"/>
      </w:pPr>
      <w:r>
        <w:rPr/>
        <w:t>de las cuales 98 corresponde al nivel preescolar, 94 al nivel de primaria y 43 al nivel de secundaria.</w:t>
      </w:r>
    </w:p>
    <w:p>
      <w:pPr>
        <w:pStyle w:val="BodyText"/>
        <w:spacing w:before="7"/>
      </w:pPr>
    </w:p>
    <w:p>
      <w:pPr>
        <w:pStyle w:val="BodyText"/>
        <w:spacing w:before="1"/>
        <w:ind w:left="1906" w:right="170"/>
      </w:pPr>
      <w:r>
        <w:rPr/>
        <w:t>Cuadro 4.  Localidades urbanas y rurales por zona</w:t>
      </w:r>
    </w:p>
    <w:p>
      <w:pPr>
        <w:pStyle w:val="BodyText"/>
        <w:rPr>
          <w:sz w:val="20"/>
        </w:rPr>
      </w:pPr>
    </w:p>
    <w:p>
      <w:pPr>
        <w:pStyle w:val="BodyText"/>
        <w:spacing w:before="7"/>
        <w:rPr>
          <w:sz w:val="16"/>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4"/>
        <w:gridCol w:w="1033"/>
        <w:gridCol w:w="1697"/>
        <w:gridCol w:w="2074"/>
        <w:gridCol w:w="1553"/>
        <w:gridCol w:w="1729"/>
      </w:tblGrid>
      <w:tr>
        <w:trPr>
          <w:trHeight w:val="1505" w:hRule="exact"/>
        </w:trPr>
        <w:tc>
          <w:tcPr>
            <w:tcW w:w="904" w:type="dxa"/>
          </w:tcPr>
          <w:p>
            <w:pPr>
              <w:pStyle w:val="TableParagraph"/>
              <w:spacing w:before="6"/>
              <w:ind w:left="127" w:right="125"/>
              <w:jc w:val="center"/>
              <w:rPr>
                <w:rFonts w:ascii="Calibri"/>
                <w:sz w:val="22"/>
              </w:rPr>
            </w:pPr>
            <w:r>
              <w:rPr>
                <w:rFonts w:ascii="Calibri"/>
                <w:sz w:val="22"/>
              </w:rPr>
              <w:t>Zona</w:t>
            </w:r>
          </w:p>
        </w:tc>
        <w:tc>
          <w:tcPr>
            <w:tcW w:w="1033" w:type="dxa"/>
          </w:tcPr>
          <w:p>
            <w:pPr>
              <w:pStyle w:val="TableParagraph"/>
              <w:spacing w:before="6"/>
              <w:ind w:left="32" w:right="47"/>
              <w:jc w:val="center"/>
              <w:rPr>
                <w:rFonts w:ascii="Calibri"/>
                <w:sz w:val="22"/>
              </w:rPr>
            </w:pPr>
            <w:r>
              <w:rPr>
                <w:rFonts w:ascii="Calibri"/>
                <w:sz w:val="22"/>
              </w:rPr>
              <w:t>Urbanas</w:t>
            </w:r>
          </w:p>
        </w:tc>
        <w:tc>
          <w:tcPr>
            <w:tcW w:w="1697" w:type="dxa"/>
          </w:tcPr>
          <w:p>
            <w:pPr>
              <w:pStyle w:val="TableParagraph"/>
              <w:spacing w:before="6"/>
              <w:ind w:right="67"/>
              <w:jc w:val="right"/>
              <w:rPr>
                <w:rFonts w:ascii="Calibri" w:hAnsi="Calibri"/>
                <w:sz w:val="22"/>
              </w:rPr>
            </w:pPr>
            <w:r>
              <w:rPr>
                <w:rFonts w:ascii="Calibri" w:hAnsi="Calibri"/>
                <w:sz w:val="22"/>
              </w:rPr>
              <w:t>Población urbana</w:t>
            </w:r>
          </w:p>
        </w:tc>
        <w:tc>
          <w:tcPr>
            <w:tcW w:w="2074" w:type="dxa"/>
          </w:tcPr>
          <w:p>
            <w:pPr>
              <w:pStyle w:val="TableParagraph"/>
              <w:spacing w:before="6"/>
              <w:ind w:left="433" w:right="427"/>
              <w:jc w:val="center"/>
              <w:rPr>
                <w:rFonts w:ascii="Calibri"/>
                <w:sz w:val="22"/>
              </w:rPr>
            </w:pPr>
            <w:r>
              <w:rPr>
                <w:rFonts w:ascii="Calibri"/>
                <w:sz w:val="22"/>
              </w:rPr>
              <w:t>RURALES</w:t>
            </w:r>
          </w:p>
          <w:p>
            <w:pPr>
              <w:pStyle w:val="TableParagraph"/>
              <w:rPr>
                <w:sz w:val="22"/>
              </w:rPr>
            </w:pPr>
          </w:p>
          <w:p>
            <w:pPr>
              <w:pStyle w:val="TableParagraph"/>
              <w:spacing w:line="357" w:lineRule="auto" w:before="159"/>
              <w:ind w:left="443" w:right="427"/>
              <w:jc w:val="center"/>
              <w:rPr>
                <w:rFonts w:ascii="Calibri"/>
                <w:sz w:val="22"/>
              </w:rPr>
            </w:pPr>
            <w:r>
              <w:rPr>
                <w:rFonts w:ascii="Calibri"/>
                <w:sz w:val="22"/>
              </w:rPr>
              <w:t>(Menor a 15, Habitantes)</w:t>
            </w:r>
          </w:p>
        </w:tc>
        <w:tc>
          <w:tcPr>
            <w:tcW w:w="1553" w:type="dxa"/>
          </w:tcPr>
          <w:p>
            <w:pPr>
              <w:pStyle w:val="TableParagraph"/>
              <w:spacing w:before="6"/>
              <w:ind w:left="230" w:right="215"/>
              <w:jc w:val="center"/>
              <w:rPr>
                <w:rFonts w:ascii="Calibri" w:hAnsi="Calibri"/>
                <w:sz w:val="22"/>
              </w:rPr>
            </w:pPr>
            <w:r>
              <w:rPr>
                <w:rFonts w:ascii="Calibri" w:hAnsi="Calibri"/>
                <w:sz w:val="22"/>
              </w:rPr>
              <w:t>POBLACIÓN</w:t>
            </w:r>
          </w:p>
          <w:p>
            <w:pPr>
              <w:pStyle w:val="TableParagraph"/>
              <w:spacing w:before="132"/>
              <w:ind w:left="211" w:right="215"/>
              <w:jc w:val="center"/>
              <w:rPr>
                <w:rFonts w:ascii="Calibri"/>
                <w:sz w:val="22"/>
              </w:rPr>
            </w:pPr>
            <w:r>
              <w:rPr>
                <w:rFonts w:ascii="Calibri"/>
                <w:sz w:val="22"/>
              </w:rPr>
              <w:t>rural</w:t>
            </w:r>
          </w:p>
        </w:tc>
        <w:tc>
          <w:tcPr>
            <w:tcW w:w="1729" w:type="dxa"/>
          </w:tcPr>
          <w:p>
            <w:pPr>
              <w:pStyle w:val="TableParagraph"/>
              <w:spacing w:line="357" w:lineRule="auto" w:before="6"/>
              <w:ind w:left="648" w:hanging="448"/>
              <w:rPr>
                <w:rFonts w:ascii="Calibri"/>
                <w:sz w:val="22"/>
              </w:rPr>
            </w:pPr>
            <w:r>
              <w:rPr>
                <w:rFonts w:ascii="Calibri"/>
                <w:sz w:val="22"/>
              </w:rPr>
              <w:t>Porcentaje por zona</w:t>
            </w:r>
          </w:p>
        </w:tc>
      </w:tr>
      <w:tr>
        <w:trPr>
          <w:trHeight w:val="408" w:hRule="exact"/>
        </w:trPr>
        <w:tc>
          <w:tcPr>
            <w:tcW w:w="904" w:type="dxa"/>
          </w:tcPr>
          <w:p>
            <w:pPr>
              <w:pStyle w:val="TableParagraph"/>
              <w:spacing w:line="267" w:lineRule="exact"/>
              <w:ind w:left="127" w:right="127"/>
              <w:jc w:val="center"/>
              <w:rPr>
                <w:rFonts w:ascii="Calibri"/>
                <w:sz w:val="22"/>
              </w:rPr>
            </w:pPr>
            <w:r>
              <w:rPr>
                <w:rFonts w:ascii="Calibri"/>
                <w:sz w:val="22"/>
              </w:rPr>
              <w:t>Zona 1</w:t>
            </w:r>
          </w:p>
        </w:tc>
        <w:tc>
          <w:tcPr>
            <w:tcW w:w="1033" w:type="dxa"/>
          </w:tcPr>
          <w:p>
            <w:pPr>
              <w:pStyle w:val="TableParagraph"/>
              <w:spacing w:line="267" w:lineRule="exact"/>
              <w:ind w:right="12"/>
              <w:jc w:val="center"/>
              <w:rPr>
                <w:rFonts w:ascii="Calibri"/>
                <w:sz w:val="22"/>
              </w:rPr>
            </w:pPr>
            <w:r>
              <w:rPr>
                <w:rFonts w:ascii="Calibri"/>
                <w:w w:val="101"/>
                <w:sz w:val="22"/>
              </w:rPr>
              <w:t>4</w:t>
            </w:r>
          </w:p>
        </w:tc>
        <w:tc>
          <w:tcPr>
            <w:tcW w:w="1697" w:type="dxa"/>
          </w:tcPr>
          <w:p>
            <w:pPr>
              <w:pStyle w:val="TableParagraph"/>
              <w:spacing w:before="1"/>
              <w:ind w:left="554" w:right="560"/>
              <w:jc w:val="center"/>
              <w:rPr>
                <w:sz w:val="16"/>
              </w:rPr>
            </w:pPr>
            <w:r>
              <w:rPr>
                <w:sz w:val="16"/>
              </w:rPr>
              <w:t>565545</w:t>
            </w:r>
          </w:p>
        </w:tc>
        <w:tc>
          <w:tcPr>
            <w:tcW w:w="2074" w:type="dxa"/>
          </w:tcPr>
          <w:p>
            <w:pPr>
              <w:pStyle w:val="TableParagraph"/>
              <w:spacing w:line="267" w:lineRule="exact"/>
              <w:ind w:right="912"/>
              <w:jc w:val="right"/>
              <w:rPr>
                <w:rFonts w:ascii="Calibri"/>
                <w:sz w:val="22"/>
              </w:rPr>
            </w:pPr>
            <w:r>
              <w:rPr>
                <w:rFonts w:ascii="Calibri"/>
                <w:sz w:val="22"/>
              </w:rPr>
              <w:t>13</w:t>
            </w:r>
          </w:p>
        </w:tc>
        <w:tc>
          <w:tcPr>
            <w:tcW w:w="1553" w:type="dxa"/>
          </w:tcPr>
          <w:p>
            <w:pPr>
              <w:pStyle w:val="TableParagraph"/>
              <w:spacing w:line="267" w:lineRule="exact"/>
              <w:ind w:left="215" w:right="215"/>
              <w:jc w:val="center"/>
              <w:rPr>
                <w:rFonts w:ascii="Calibri"/>
                <w:sz w:val="22"/>
              </w:rPr>
            </w:pPr>
            <w:r>
              <w:rPr>
                <w:rFonts w:ascii="Calibri"/>
                <w:sz w:val="22"/>
              </w:rPr>
              <w:t>19,779</w:t>
            </w:r>
          </w:p>
        </w:tc>
        <w:tc>
          <w:tcPr>
            <w:tcW w:w="1729" w:type="dxa"/>
          </w:tcPr>
          <w:p>
            <w:pPr>
              <w:pStyle w:val="TableParagraph"/>
              <w:spacing w:line="267" w:lineRule="exact"/>
              <w:ind w:left="733" w:right="725"/>
              <w:jc w:val="center"/>
              <w:rPr>
                <w:rFonts w:ascii="Calibri"/>
                <w:sz w:val="22"/>
              </w:rPr>
            </w:pPr>
            <w:r>
              <w:rPr>
                <w:rFonts w:ascii="Calibri"/>
                <w:sz w:val="22"/>
              </w:rPr>
              <w:t>44</w:t>
            </w:r>
          </w:p>
        </w:tc>
      </w:tr>
      <w:tr>
        <w:trPr>
          <w:trHeight w:val="416" w:hRule="exact"/>
        </w:trPr>
        <w:tc>
          <w:tcPr>
            <w:tcW w:w="904" w:type="dxa"/>
          </w:tcPr>
          <w:p>
            <w:pPr>
              <w:pStyle w:val="TableParagraph"/>
              <w:spacing w:before="6"/>
              <w:ind w:left="127" w:right="127"/>
              <w:jc w:val="center"/>
              <w:rPr>
                <w:rFonts w:ascii="Calibri"/>
                <w:sz w:val="22"/>
              </w:rPr>
            </w:pPr>
            <w:r>
              <w:rPr>
                <w:rFonts w:ascii="Calibri"/>
                <w:sz w:val="22"/>
              </w:rPr>
              <w:t>Zona 2</w:t>
            </w:r>
          </w:p>
        </w:tc>
        <w:tc>
          <w:tcPr>
            <w:tcW w:w="1033" w:type="dxa"/>
          </w:tcPr>
          <w:p>
            <w:pPr>
              <w:pStyle w:val="TableParagraph"/>
              <w:spacing w:before="6"/>
              <w:ind w:right="12"/>
              <w:jc w:val="center"/>
              <w:rPr>
                <w:rFonts w:ascii="Calibri"/>
                <w:sz w:val="22"/>
              </w:rPr>
            </w:pPr>
            <w:r>
              <w:rPr>
                <w:rFonts w:ascii="Calibri"/>
                <w:w w:val="101"/>
                <w:sz w:val="22"/>
              </w:rPr>
              <w:t>9</w:t>
            </w:r>
          </w:p>
        </w:tc>
        <w:tc>
          <w:tcPr>
            <w:tcW w:w="1697" w:type="dxa"/>
          </w:tcPr>
          <w:p>
            <w:pPr>
              <w:pStyle w:val="TableParagraph"/>
              <w:spacing w:before="6"/>
              <w:ind w:left="479"/>
              <w:rPr>
                <w:rFonts w:ascii="Calibri"/>
                <w:sz w:val="22"/>
              </w:rPr>
            </w:pPr>
            <w:r>
              <w:rPr>
                <w:rFonts w:ascii="Calibri"/>
                <w:sz w:val="22"/>
              </w:rPr>
              <w:t>322,505</w:t>
            </w:r>
          </w:p>
        </w:tc>
        <w:tc>
          <w:tcPr>
            <w:tcW w:w="2074" w:type="dxa"/>
          </w:tcPr>
          <w:p>
            <w:pPr>
              <w:pStyle w:val="TableParagraph"/>
              <w:spacing w:before="6"/>
              <w:ind w:right="912"/>
              <w:jc w:val="right"/>
              <w:rPr>
                <w:rFonts w:ascii="Calibri"/>
                <w:sz w:val="22"/>
              </w:rPr>
            </w:pPr>
            <w:r>
              <w:rPr>
                <w:rFonts w:ascii="Calibri"/>
                <w:sz w:val="22"/>
              </w:rPr>
              <w:t>52</w:t>
            </w:r>
          </w:p>
        </w:tc>
        <w:tc>
          <w:tcPr>
            <w:tcW w:w="1553" w:type="dxa"/>
          </w:tcPr>
          <w:p>
            <w:pPr>
              <w:pStyle w:val="TableParagraph"/>
              <w:spacing w:before="6"/>
              <w:ind w:left="230" w:right="214"/>
              <w:jc w:val="center"/>
              <w:rPr>
                <w:rFonts w:ascii="Calibri"/>
                <w:sz w:val="22"/>
              </w:rPr>
            </w:pPr>
            <w:r>
              <w:rPr>
                <w:rFonts w:ascii="Calibri"/>
                <w:sz w:val="22"/>
              </w:rPr>
              <w:t>149,285</w:t>
            </w:r>
          </w:p>
        </w:tc>
        <w:tc>
          <w:tcPr>
            <w:tcW w:w="1729" w:type="dxa"/>
          </w:tcPr>
          <w:p>
            <w:pPr>
              <w:pStyle w:val="TableParagraph"/>
              <w:spacing w:before="6"/>
              <w:ind w:left="733" w:right="725"/>
              <w:jc w:val="center"/>
              <w:rPr>
                <w:rFonts w:ascii="Calibri"/>
                <w:sz w:val="22"/>
              </w:rPr>
            </w:pPr>
            <w:r>
              <w:rPr>
                <w:rFonts w:ascii="Calibri"/>
                <w:sz w:val="22"/>
              </w:rPr>
              <w:t>36</w:t>
            </w:r>
          </w:p>
        </w:tc>
      </w:tr>
      <w:tr>
        <w:trPr>
          <w:trHeight w:val="409" w:hRule="exact"/>
        </w:trPr>
        <w:tc>
          <w:tcPr>
            <w:tcW w:w="904" w:type="dxa"/>
          </w:tcPr>
          <w:p>
            <w:pPr>
              <w:pStyle w:val="TableParagraph"/>
              <w:spacing w:line="268" w:lineRule="exact"/>
              <w:ind w:left="127" w:right="127"/>
              <w:jc w:val="center"/>
              <w:rPr>
                <w:rFonts w:ascii="Calibri"/>
                <w:sz w:val="22"/>
              </w:rPr>
            </w:pPr>
            <w:r>
              <w:rPr>
                <w:rFonts w:ascii="Calibri"/>
                <w:sz w:val="22"/>
              </w:rPr>
              <w:t>Zona 3</w:t>
            </w:r>
          </w:p>
        </w:tc>
        <w:tc>
          <w:tcPr>
            <w:tcW w:w="1033" w:type="dxa"/>
          </w:tcPr>
          <w:p>
            <w:pPr>
              <w:pStyle w:val="TableParagraph"/>
              <w:spacing w:line="268" w:lineRule="exact"/>
              <w:ind w:right="12"/>
              <w:jc w:val="center"/>
              <w:rPr>
                <w:rFonts w:ascii="Calibri"/>
                <w:sz w:val="22"/>
              </w:rPr>
            </w:pPr>
            <w:r>
              <w:rPr>
                <w:rFonts w:ascii="Calibri"/>
                <w:w w:val="101"/>
                <w:sz w:val="22"/>
              </w:rPr>
              <w:t>4</w:t>
            </w:r>
          </w:p>
        </w:tc>
        <w:tc>
          <w:tcPr>
            <w:tcW w:w="1697" w:type="dxa"/>
          </w:tcPr>
          <w:p>
            <w:pPr>
              <w:pStyle w:val="TableParagraph"/>
              <w:spacing w:line="268" w:lineRule="exact"/>
              <w:ind w:left="479"/>
              <w:rPr>
                <w:rFonts w:ascii="Calibri"/>
                <w:sz w:val="22"/>
              </w:rPr>
            </w:pPr>
            <w:r>
              <w:rPr>
                <w:rFonts w:ascii="Calibri"/>
                <w:sz w:val="22"/>
              </w:rPr>
              <w:t>107,101</w:t>
            </w:r>
          </w:p>
        </w:tc>
        <w:tc>
          <w:tcPr>
            <w:tcW w:w="2074" w:type="dxa"/>
          </w:tcPr>
          <w:p>
            <w:pPr>
              <w:pStyle w:val="TableParagraph"/>
              <w:spacing w:line="268" w:lineRule="exact"/>
              <w:ind w:right="912"/>
              <w:jc w:val="right"/>
              <w:rPr>
                <w:rFonts w:ascii="Calibri"/>
                <w:sz w:val="22"/>
              </w:rPr>
            </w:pPr>
            <w:r>
              <w:rPr>
                <w:rFonts w:ascii="Calibri"/>
                <w:sz w:val="22"/>
              </w:rPr>
              <w:t>36</w:t>
            </w:r>
          </w:p>
        </w:tc>
        <w:tc>
          <w:tcPr>
            <w:tcW w:w="1553" w:type="dxa"/>
          </w:tcPr>
          <w:p>
            <w:pPr>
              <w:pStyle w:val="TableParagraph"/>
              <w:spacing w:line="268" w:lineRule="exact"/>
              <w:ind w:left="215" w:right="215"/>
              <w:jc w:val="center"/>
              <w:rPr>
                <w:rFonts w:ascii="Calibri"/>
                <w:sz w:val="22"/>
              </w:rPr>
            </w:pPr>
            <w:r>
              <w:rPr>
                <w:rFonts w:ascii="Calibri"/>
                <w:sz w:val="22"/>
              </w:rPr>
              <w:t>73,052</w:t>
            </w:r>
          </w:p>
        </w:tc>
        <w:tc>
          <w:tcPr>
            <w:tcW w:w="1729" w:type="dxa"/>
          </w:tcPr>
          <w:p>
            <w:pPr>
              <w:pStyle w:val="TableParagraph"/>
              <w:spacing w:line="268" w:lineRule="exact"/>
              <w:ind w:left="733" w:right="725"/>
              <w:jc w:val="center"/>
              <w:rPr>
                <w:rFonts w:ascii="Calibri"/>
                <w:sz w:val="22"/>
              </w:rPr>
            </w:pPr>
            <w:r>
              <w:rPr>
                <w:rFonts w:ascii="Calibri"/>
                <w:sz w:val="22"/>
              </w:rPr>
              <w:t>14</w:t>
            </w:r>
          </w:p>
        </w:tc>
      </w:tr>
      <w:tr>
        <w:trPr>
          <w:trHeight w:val="416" w:hRule="exact"/>
        </w:trPr>
        <w:tc>
          <w:tcPr>
            <w:tcW w:w="904" w:type="dxa"/>
          </w:tcPr>
          <w:p>
            <w:pPr>
              <w:pStyle w:val="TableParagraph"/>
              <w:spacing w:before="6"/>
              <w:ind w:left="127" w:right="127"/>
              <w:jc w:val="center"/>
              <w:rPr>
                <w:rFonts w:ascii="Calibri"/>
                <w:sz w:val="22"/>
              </w:rPr>
            </w:pPr>
            <w:r>
              <w:rPr>
                <w:rFonts w:ascii="Calibri"/>
                <w:sz w:val="22"/>
              </w:rPr>
              <w:t>Zona 4</w:t>
            </w:r>
          </w:p>
        </w:tc>
        <w:tc>
          <w:tcPr>
            <w:tcW w:w="1033" w:type="dxa"/>
          </w:tcPr>
          <w:p>
            <w:pPr>
              <w:pStyle w:val="TableParagraph"/>
              <w:spacing w:before="6"/>
              <w:ind w:right="12"/>
              <w:jc w:val="center"/>
              <w:rPr>
                <w:rFonts w:ascii="Calibri"/>
                <w:sz w:val="22"/>
              </w:rPr>
            </w:pPr>
            <w:r>
              <w:rPr>
                <w:rFonts w:ascii="Calibri"/>
                <w:w w:val="101"/>
                <w:sz w:val="22"/>
              </w:rPr>
              <w:t>3</w:t>
            </w:r>
          </w:p>
        </w:tc>
        <w:tc>
          <w:tcPr>
            <w:tcW w:w="1697" w:type="dxa"/>
          </w:tcPr>
          <w:p>
            <w:pPr>
              <w:pStyle w:val="TableParagraph"/>
              <w:spacing w:before="6"/>
              <w:ind w:left="536"/>
              <w:rPr>
                <w:rFonts w:ascii="Calibri"/>
                <w:sz w:val="22"/>
              </w:rPr>
            </w:pPr>
            <w:r>
              <w:rPr>
                <w:rFonts w:ascii="Calibri"/>
                <w:sz w:val="22"/>
              </w:rPr>
              <w:t>67,984</w:t>
            </w:r>
          </w:p>
        </w:tc>
        <w:tc>
          <w:tcPr>
            <w:tcW w:w="2074" w:type="dxa"/>
          </w:tcPr>
          <w:p>
            <w:pPr>
              <w:pStyle w:val="TableParagraph"/>
              <w:spacing w:before="6"/>
              <w:ind w:right="965"/>
              <w:jc w:val="right"/>
              <w:rPr>
                <w:rFonts w:ascii="Calibri"/>
                <w:sz w:val="22"/>
              </w:rPr>
            </w:pPr>
            <w:r>
              <w:rPr>
                <w:rFonts w:ascii="Calibri"/>
                <w:w w:val="101"/>
                <w:sz w:val="22"/>
              </w:rPr>
              <w:t>0</w:t>
            </w:r>
          </w:p>
        </w:tc>
        <w:tc>
          <w:tcPr>
            <w:tcW w:w="1553" w:type="dxa"/>
          </w:tcPr>
          <w:p>
            <w:pPr/>
          </w:p>
        </w:tc>
        <w:tc>
          <w:tcPr>
            <w:tcW w:w="1729" w:type="dxa"/>
          </w:tcPr>
          <w:p>
            <w:pPr>
              <w:pStyle w:val="TableParagraph"/>
              <w:spacing w:before="6"/>
              <w:ind w:left="9"/>
              <w:jc w:val="center"/>
              <w:rPr>
                <w:rFonts w:ascii="Calibri"/>
                <w:sz w:val="22"/>
              </w:rPr>
            </w:pPr>
            <w:r>
              <w:rPr>
                <w:rFonts w:ascii="Calibri"/>
                <w:w w:val="101"/>
                <w:sz w:val="22"/>
              </w:rPr>
              <w:t>5</w:t>
            </w:r>
          </w:p>
        </w:tc>
      </w:tr>
      <w:tr>
        <w:trPr>
          <w:trHeight w:val="416" w:hRule="exact"/>
        </w:trPr>
        <w:tc>
          <w:tcPr>
            <w:tcW w:w="904" w:type="dxa"/>
          </w:tcPr>
          <w:p>
            <w:pPr>
              <w:pStyle w:val="TableParagraph"/>
              <w:spacing w:line="267" w:lineRule="exact"/>
              <w:ind w:left="127" w:right="127"/>
              <w:jc w:val="center"/>
              <w:rPr>
                <w:rFonts w:ascii="Calibri"/>
                <w:sz w:val="22"/>
              </w:rPr>
            </w:pPr>
            <w:r>
              <w:rPr>
                <w:rFonts w:ascii="Calibri"/>
                <w:sz w:val="22"/>
              </w:rPr>
              <w:t>Zona 5</w:t>
            </w:r>
          </w:p>
        </w:tc>
        <w:tc>
          <w:tcPr>
            <w:tcW w:w="1033" w:type="dxa"/>
          </w:tcPr>
          <w:p>
            <w:pPr>
              <w:pStyle w:val="TableParagraph"/>
              <w:spacing w:line="267" w:lineRule="exact"/>
              <w:ind w:right="12"/>
              <w:jc w:val="center"/>
              <w:rPr>
                <w:rFonts w:ascii="Calibri"/>
                <w:sz w:val="22"/>
              </w:rPr>
            </w:pPr>
            <w:r>
              <w:rPr>
                <w:rFonts w:ascii="Calibri"/>
                <w:w w:val="101"/>
                <w:sz w:val="22"/>
              </w:rPr>
              <w:t>1</w:t>
            </w:r>
          </w:p>
        </w:tc>
        <w:tc>
          <w:tcPr>
            <w:tcW w:w="1697" w:type="dxa"/>
          </w:tcPr>
          <w:p>
            <w:pPr>
              <w:pStyle w:val="TableParagraph"/>
              <w:spacing w:line="267" w:lineRule="exact"/>
              <w:ind w:left="512"/>
              <w:rPr>
                <w:rFonts w:ascii="Calibri"/>
                <w:sz w:val="22"/>
              </w:rPr>
            </w:pPr>
            <w:r>
              <w:rPr>
                <w:rFonts w:ascii="Calibri"/>
                <w:sz w:val="22"/>
              </w:rPr>
              <w:t>15, 609</w:t>
            </w:r>
          </w:p>
        </w:tc>
        <w:tc>
          <w:tcPr>
            <w:tcW w:w="2074" w:type="dxa"/>
          </w:tcPr>
          <w:p>
            <w:pPr>
              <w:pStyle w:val="TableParagraph"/>
              <w:spacing w:line="267" w:lineRule="exact"/>
              <w:ind w:right="965"/>
              <w:jc w:val="right"/>
              <w:rPr>
                <w:rFonts w:ascii="Calibri"/>
                <w:sz w:val="22"/>
              </w:rPr>
            </w:pPr>
            <w:r>
              <w:rPr>
                <w:rFonts w:ascii="Calibri"/>
                <w:w w:val="101"/>
                <w:sz w:val="22"/>
              </w:rPr>
              <w:t>0</w:t>
            </w:r>
          </w:p>
        </w:tc>
        <w:tc>
          <w:tcPr>
            <w:tcW w:w="1553" w:type="dxa"/>
          </w:tcPr>
          <w:p>
            <w:pPr/>
          </w:p>
        </w:tc>
        <w:tc>
          <w:tcPr>
            <w:tcW w:w="1729" w:type="dxa"/>
          </w:tcPr>
          <w:p>
            <w:pPr>
              <w:pStyle w:val="TableParagraph"/>
              <w:spacing w:line="267" w:lineRule="exact"/>
              <w:ind w:left="9"/>
              <w:jc w:val="center"/>
              <w:rPr>
                <w:rFonts w:ascii="Calibri"/>
                <w:sz w:val="22"/>
              </w:rPr>
            </w:pPr>
            <w:r>
              <w:rPr>
                <w:rFonts w:ascii="Calibri"/>
                <w:w w:val="101"/>
                <w:sz w:val="22"/>
              </w:rPr>
              <w:t>1</w:t>
            </w:r>
          </w:p>
        </w:tc>
      </w:tr>
      <w:tr>
        <w:trPr>
          <w:trHeight w:val="816" w:hRule="exact"/>
        </w:trPr>
        <w:tc>
          <w:tcPr>
            <w:tcW w:w="904" w:type="dxa"/>
            <w:tcBorders>
              <w:bottom w:val="single" w:sz="3" w:space="0" w:color="000000"/>
            </w:tcBorders>
          </w:tcPr>
          <w:p>
            <w:pPr>
              <w:pStyle w:val="TableParagraph"/>
              <w:spacing w:line="357" w:lineRule="auto"/>
              <w:ind w:left="72" w:right="24"/>
              <w:rPr>
                <w:rFonts w:ascii="Calibri"/>
                <w:sz w:val="22"/>
              </w:rPr>
            </w:pPr>
            <w:r>
              <w:rPr>
                <w:rFonts w:ascii="Calibri"/>
                <w:sz w:val="22"/>
              </w:rPr>
              <w:t>Pob. total</w:t>
            </w:r>
          </w:p>
        </w:tc>
        <w:tc>
          <w:tcPr>
            <w:tcW w:w="1033" w:type="dxa"/>
            <w:tcBorders>
              <w:bottom w:val="single" w:sz="3" w:space="0" w:color="000000"/>
            </w:tcBorders>
          </w:tcPr>
          <w:p>
            <w:pPr>
              <w:pStyle w:val="TableParagraph"/>
              <w:rPr>
                <w:sz w:val="22"/>
              </w:rPr>
            </w:pPr>
          </w:p>
          <w:p>
            <w:pPr>
              <w:pStyle w:val="TableParagraph"/>
              <w:spacing w:before="145"/>
              <w:ind w:left="47" w:right="47"/>
              <w:jc w:val="center"/>
              <w:rPr>
                <w:rFonts w:ascii="Calibri"/>
                <w:sz w:val="22"/>
              </w:rPr>
            </w:pPr>
            <w:r>
              <w:rPr>
                <w:rFonts w:ascii="Calibri"/>
                <w:sz w:val="22"/>
              </w:rPr>
              <w:t>1,320,860</w:t>
            </w:r>
          </w:p>
        </w:tc>
        <w:tc>
          <w:tcPr>
            <w:tcW w:w="1697" w:type="dxa"/>
            <w:tcBorders>
              <w:bottom w:val="single" w:sz="3" w:space="0" w:color="000000"/>
            </w:tcBorders>
          </w:tcPr>
          <w:p>
            <w:pPr>
              <w:pStyle w:val="TableParagraph"/>
              <w:rPr>
                <w:sz w:val="22"/>
              </w:rPr>
            </w:pPr>
          </w:p>
          <w:p>
            <w:pPr>
              <w:pStyle w:val="TableParagraph"/>
              <w:spacing w:before="145"/>
              <w:ind w:right="62"/>
              <w:jc w:val="right"/>
              <w:rPr>
                <w:rFonts w:ascii="Calibri"/>
                <w:sz w:val="22"/>
              </w:rPr>
            </w:pPr>
            <w:r>
              <w:rPr>
                <w:rFonts w:ascii="Calibri"/>
                <w:sz w:val="22"/>
              </w:rPr>
              <w:t>1063135</w:t>
            </w:r>
          </w:p>
        </w:tc>
        <w:tc>
          <w:tcPr>
            <w:tcW w:w="2074" w:type="dxa"/>
            <w:tcBorders>
              <w:bottom w:val="single" w:sz="3" w:space="0" w:color="000000"/>
            </w:tcBorders>
          </w:tcPr>
          <w:p>
            <w:pPr/>
          </w:p>
        </w:tc>
        <w:tc>
          <w:tcPr>
            <w:tcW w:w="1553" w:type="dxa"/>
            <w:tcBorders>
              <w:bottom w:val="single" w:sz="3" w:space="0" w:color="000000"/>
            </w:tcBorders>
          </w:tcPr>
          <w:p>
            <w:pPr>
              <w:pStyle w:val="TableParagraph"/>
              <w:spacing w:line="267" w:lineRule="exact"/>
              <w:ind w:left="230" w:right="214"/>
              <w:jc w:val="center"/>
              <w:rPr>
                <w:rFonts w:ascii="Calibri"/>
                <w:sz w:val="22"/>
              </w:rPr>
            </w:pPr>
            <w:r>
              <w:rPr>
                <w:rFonts w:ascii="Calibri"/>
                <w:sz w:val="22"/>
              </w:rPr>
              <w:t>242,116</w:t>
            </w:r>
          </w:p>
        </w:tc>
        <w:tc>
          <w:tcPr>
            <w:tcW w:w="1729" w:type="dxa"/>
            <w:tcBorders>
              <w:bottom w:val="single" w:sz="3" w:space="0" w:color="000000"/>
            </w:tcBorders>
          </w:tcPr>
          <w:p>
            <w:pPr/>
          </w:p>
        </w:tc>
      </w:tr>
    </w:tbl>
    <w:p>
      <w:pPr>
        <w:pStyle w:val="BodyText"/>
        <w:spacing w:before="6"/>
        <w:rPr>
          <w:sz w:val="17"/>
        </w:rPr>
      </w:pPr>
    </w:p>
    <w:p>
      <w:pPr>
        <w:pStyle w:val="BodyText"/>
        <w:spacing w:before="69"/>
        <w:ind w:left="1930" w:right="170"/>
      </w:pPr>
      <w:r>
        <w:rPr/>
        <w:t>Fuente: Elaboración propia a partir de INEGI 2010</w:t>
      </w:r>
    </w:p>
    <w:p>
      <w:pPr>
        <w:pStyle w:val="BodyText"/>
        <w:rPr>
          <w:sz w:val="20"/>
        </w:rPr>
      </w:pPr>
    </w:p>
    <w:p>
      <w:pPr>
        <w:pStyle w:val="BodyText"/>
        <w:spacing w:before="190"/>
        <w:ind w:left="185"/>
        <w:jc w:val="both"/>
      </w:pPr>
      <w:r>
        <w:rPr/>
        <w:t>Zona 2</w:t>
      </w:r>
    </w:p>
    <w:p>
      <w:pPr>
        <w:pStyle w:val="BodyText"/>
        <w:spacing w:before="9"/>
        <w:rPr>
          <w:sz w:val="35"/>
        </w:rPr>
      </w:pPr>
    </w:p>
    <w:p>
      <w:pPr>
        <w:pStyle w:val="BodyText"/>
        <w:spacing w:line="360" w:lineRule="auto"/>
        <w:ind w:left="185" w:right="196"/>
        <w:jc w:val="both"/>
      </w:pPr>
      <w:r>
        <w:rPr/>
        <w:t>Identificada en color amarillo, también en la porción sur, presenta concentraciones que van de los 121-140 mcg/m3, conformada por 9 localidades urbanas cuya población asciende a los 322,505 habitantes y 52 localidades rurales con una población de 149, 285 habientes, representando el 36 por ciento de la población total de la zona de estudio. La población vulnerable de 0-14 años y de 60 años y más representa el 13% de la población. En esta zona se cuenta con la presencia de 969 escuelas con 274 del nivel superior, 234 del nivel primaria y 139 de nivel secundaria, es en esta zona donde se concentra la mayor cantidad de escuelas (ver cuadro 5). Lo anterior es importante señalarlo, dado la exposición de la población de 0-14 que desarrolla sus actividades educativas en la misma.</w:t>
      </w:r>
    </w:p>
    <w:p>
      <w:pPr>
        <w:spacing w:after="0" w:line="360" w:lineRule="auto"/>
        <w:jc w:val="both"/>
        <w:sectPr>
          <w:pgSz w:w="12240" w:h="15840"/>
          <w:pgMar w:header="0" w:footer="1001" w:top="1360" w:bottom="1200" w:left="1520" w:right="1500"/>
        </w:sectPr>
      </w:pPr>
    </w:p>
    <w:p>
      <w:pPr>
        <w:pStyle w:val="BodyText"/>
        <w:spacing w:before="48"/>
        <w:ind w:left="2979"/>
      </w:pPr>
      <w:r>
        <w:rPr/>
        <w:t>Cuadro 5. Escuelas por zona</w:t>
      </w:r>
    </w:p>
    <w:p>
      <w:pPr>
        <w:pStyle w:val="BodyText"/>
        <w:rPr>
          <w:sz w:val="20"/>
        </w:rPr>
      </w:pPr>
    </w:p>
    <w:p>
      <w:pPr>
        <w:pStyle w:val="BodyText"/>
        <w:spacing w:before="3"/>
        <w:rPr>
          <w:sz w:val="17"/>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5"/>
        <w:gridCol w:w="1201"/>
        <w:gridCol w:w="1200"/>
        <w:gridCol w:w="1201"/>
        <w:gridCol w:w="1200"/>
        <w:gridCol w:w="1201"/>
      </w:tblGrid>
      <w:tr>
        <w:trPr>
          <w:trHeight w:val="408" w:hRule="exact"/>
        </w:trPr>
        <w:tc>
          <w:tcPr>
            <w:tcW w:w="1545" w:type="dxa"/>
          </w:tcPr>
          <w:p>
            <w:pPr>
              <w:pStyle w:val="TableParagraph"/>
              <w:spacing w:line="267" w:lineRule="exact"/>
              <w:ind w:left="72"/>
              <w:rPr>
                <w:rFonts w:ascii="Calibri"/>
                <w:sz w:val="22"/>
              </w:rPr>
            </w:pPr>
            <w:r>
              <w:rPr>
                <w:rFonts w:ascii="Calibri"/>
                <w:sz w:val="22"/>
              </w:rPr>
              <w:t>Nivel escolar</w:t>
            </w:r>
          </w:p>
        </w:tc>
        <w:tc>
          <w:tcPr>
            <w:tcW w:w="1201" w:type="dxa"/>
          </w:tcPr>
          <w:p>
            <w:pPr>
              <w:pStyle w:val="TableParagraph"/>
              <w:spacing w:line="267" w:lineRule="exact"/>
              <w:ind w:right="69"/>
              <w:jc w:val="right"/>
              <w:rPr>
                <w:rFonts w:ascii="Calibri"/>
                <w:sz w:val="22"/>
              </w:rPr>
            </w:pPr>
            <w:r>
              <w:rPr>
                <w:rFonts w:ascii="Calibri"/>
                <w:sz w:val="22"/>
              </w:rPr>
              <w:t>Zona 1</w:t>
            </w:r>
          </w:p>
        </w:tc>
        <w:tc>
          <w:tcPr>
            <w:tcW w:w="1200" w:type="dxa"/>
          </w:tcPr>
          <w:p>
            <w:pPr>
              <w:pStyle w:val="TableParagraph"/>
              <w:spacing w:line="267" w:lineRule="exact"/>
              <w:ind w:right="69"/>
              <w:jc w:val="right"/>
              <w:rPr>
                <w:rFonts w:ascii="Calibri"/>
                <w:sz w:val="22"/>
              </w:rPr>
            </w:pPr>
            <w:r>
              <w:rPr>
                <w:rFonts w:ascii="Calibri"/>
                <w:sz w:val="22"/>
              </w:rPr>
              <w:t>Zona 2</w:t>
            </w:r>
          </w:p>
        </w:tc>
        <w:tc>
          <w:tcPr>
            <w:tcW w:w="1201" w:type="dxa"/>
          </w:tcPr>
          <w:p>
            <w:pPr>
              <w:pStyle w:val="TableParagraph"/>
              <w:spacing w:line="267" w:lineRule="exact"/>
              <w:ind w:right="69"/>
              <w:jc w:val="right"/>
              <w:rPr>
                <w:rFonts w:ascii="Calibri"/>
                <w:sz w:val="22"/>
              </w:rPr>
            </w:pPr>
            <w:r>
              <w:rPr>
                <w:rFonts w:ascii="Calibri"/>
                <w:sz w:val="22"/>
              </w:rPr>
              <w:t>Zona 3</w:t>
            </w:r>
          </w:p>
        </w:tc>
        <w:tc>
          <w:tcPr>
            <w:tcW w:w="1200" w:type="dxa"/>
          </w:tcPr>
          <w:p>
            <w:pPr>
              <w:pStyle w:val="TableParagraph"/>
              <w:spacing w:line="267" w:lineRule="exact"/>
              <w:ind w:right="69"/>
              <w:jc w:val="right"/>
              <w:rPr>
                <w:rFonts w:ascii="Calibri"/>
                <w:sz w:val="22"/>
              </w:rPr>
            </w:pPr>
            <w:r>
              <w:rPr>
                <w:rFonts w:ascii="Calibri"/>
                <w:sz w:val="22"/>
              </w:rPr>
              <w:t>Zona 4</w:t>
            </w:r>
          </w:p>
        </w:tc>
        <w:tc>
          <w:tcPr>
            <w:tcW w:w="1201" w:type="dxa"/>
          </w:tcPr>
          <w:p>
            <w:pPr>
              <w:pStyle w:val="TableParagraph"/>
              <w:spacing w:line="267" w:lineRule="exact"/>
              <w:ind w:right="69"/>
              <w:jc w:val="right"/>
              <w:rPr>
                <w:rFonts w:ascii="Calibri"/>
                <w:sz w:val="22"/>
              </w:rPr>
            </w:pPr>
            <w:r>
              <w:rPr>
                <w:rFonts w:ascii="Calibri"/>
                <w:sz w:val="22"/>
              </w:rPr>
              <w:t>Zona 5</w:t>
            </w:r>
          </w:p>
        </w:tc>
      </w:tr>
      <w:tr>
        <w:trPr>
          <w:trHeight w:val="417" w:hRule="exact"/>
        </w:trPr>
        <w:tc>
          <w:tcPr>
            <w:tcW w:w="1545" w:type="dxa"/>
          </w:tcPr>
          <w:p>
            <w:pPr>
              <w:pStyle w:val="TableParagraph"/>
              <w:spacing w:before="7"/>
              <w:ind w:left="72"/>
              <w:rPr>
                <w:rFonts w:ascii="Calibri"/>
                <w:sz w:val="22"/>
              </w:rPr>
            </w:pPr>
            <w:r>
              <w:rPr>
                <w:rFonts w:ascii="Calibri"/>
                <w:sz w:val="22"/>
              </w:rPr>
              <w:t>Preescolar</w:t>
            </w:r>
          </w:p>
        </w:tc>
        <w:tc>
          <w:tcPr>
            <w:tcW w:w="1201" w:type="dxa"/>
          </w:tcPr>
          <w:p>
            <w:pPr>
              <w:pStyle w:val="TableParagraph"/>
              <w:spacing w:before="7"/>
              <w:ind w:right="62"/>
              <w:jc w:val="right"/>
              <w:rPr>
                <w:rFonts w:ascii="Calibri"/>
                <w:sz w:val="22"/>
              </w:rPr>
            </w:pPr>
            <w:r>
              <w:rPr>
                <w:rFonts w:ascii="Calibri"/>
                <w:sz w:val="22"/>
              </w:rPr>
              <w:t>98</w:t>
            </w:r>
          </w:p>
        </w:tc>
        <w:tc>
          <w:tcPr>
            <w:tcW w:w="1200" w:type="dxa"/>
          </w:tcPr>
          <w:p>
            <w:pPr>
              <w:pStyle w:val="TableParagraph"/>
              <w:spacing w:before="7"/>
              <w:ind w:right="63"/>
              <w:jc w:val="right"/>
              <w:rPr>
                <w:rFonts w:ascii="Calibri"/>
                <w:sz w:val="22"/>
              </w:rPr>
            </w:pPr>
            <w:r>
              <w:rPr>
                <w:rFonts w:ascii="Calibri"/>
                <w:sz w:val="22"/>
              </w:rPr>
              <w:t>274</w:t>
            </w:r>
          </w:p>
        </w:tc>
        <w:tc>
          <w:tcPr>
            <w:tcW w:w="1201" w:type="dxa"/>
          </w:tcPr>
          <w:p>
            <w:pPr>
              <w:pStyle w:val="TableParagraph"/>
              <w:spacing w:before="7"/>
              <w:ind w:right="62"/>
              <w:jc w:val="right"/>
              <w:rPr>
                <w:rFonts w:ascii="Calibri"/>
                <w:sz w:val="22"/>
              </w:rPr>
            </w:pPr>
            <w:r>
              <w:rPr>
                <w:rFonts w:ascii="Calibri"/>
                <w:sz w:val="22"/>
              </w:rPr>
              <w:t>66</w:t>
            </w:r>
          </w:p>
        </w:tc>
        <w:tc>
          <w:tcPr>
            <w:tcW w:w="1200" w:type="dxa"/>
          </w:tcPr>
          <w:p>
            <w:pPr>
              <w:pStyle w:val="TableParagraph"/>
              <w:spacing w:before="7"/>
              <w:ind w:right="63"/>
              <w:jc w:val="right"/>
              <w:rPr>
                <w:rFonts w:ascii="Calibri"/>
                <w:sz w:val="22"/>
              </w:rPr>
            </w:pPr>
            <w:r>
              <w:rPr>
                <w:rFonts w:ascii="Calibri"/>
                <w:sz w:val="22"/>
              </w:rPr>
              <w:t>66</w:t>
            </w:r>
          </w:p>
        </w:tc>
        <w:tc>
          <w:tcPr>
            <w:tcW w:w="1201" w:type="dxa"/>
          </w:tcPr>
          <w:p>
            <w:pPr>
              <w:pStyle w:val="TableParagraph"/>
              <w:spacing w:before="7"/>
              <w:ind w:right="60"/>
              <w:jc w:val="right"/>
              <w:rPr>
                <w:rFonts w:ascii="Calibri"/>
                <w:sz w:val="22"/>
              </w:rPr>
            </w:pPr>
            <w:r>
              <w:rPr>
                <w:rFonts w:ascii="Calibri"/>
                <w:w w:val="101"/>
                <w:sz w:val="22"/>
              </w:rPr>
              <w:t>4</w:t>
            </w:r>
          </w:p>
        </w:tc>
      </w:tr>
      <w:tr>
        <w:trPr>
          <w:trHeight w:val="416" w:hRule="exact"/>
        </w:trPr>
        <w:tc>
          <w:tcPr>
            <w:tcW w:w="1545" w:type="dxa"/>
          </w:tcPr>
          <w:p>
            <w:pPr>
              <w:pStyle w:val="TableParagraph"/>
              <w:spacing w:line="267" w:lineRule="exact"/>
              <w:ind w:left="72"/>
              <w:rPr>
                <w:rFonts w:ascii="Calibri"/>
                <w:sz w:val="22"/>
              </w:rPr>
            </w:pPr>
            <w:r>
              <w:rPr>
                <w:rFonts w:ascii="Calibri"/>
                <w:sz w:val="22"/>
              </w:rPr>
              <w:t>Primaria</w:t>
            </w:r>
          </w:p>
        </w:tc>
        <w:tc>
          <w:tcPr>
            <w:tcW w:w="1201" w:type="dxa"/>
          </w:tcPr>
          <w:p>
            <w:pPr>
              <w:pStyle w:val="TableParagraph"/>
              <w:spacing w:line="267" w:lineRule="exact"/>
              <w:ind w:right="62"/>
              <w:jc w:val="right"/>
              <w:rPr>
                <w:rFonts w:ascii="Calibri"/>
                <w:sz w:val="22"/>
              </w:rPr>
            </w:pPr>
            <w:r>
              <w:rPr>
                <w:rFonts w:ascii="Calibri"/>
                <w:sz w:val="22"/>
              </w:rPr>
              <w:t>94</w:t>
            </w:r>
          </w:p>
        </w:tc>
        <w:tc>
          <w:tcPr>
            <w:tcW w:w="1200" w:type="dxa"/>
          </w:tcPr>
          <w:p>
            <w:pPr>
              <w:pStyle w:val="TableParagraph"/>
              <w:spacing w:line="267" w:lineRule="exact"/>
              <w:ind w:right="63"/>
              <w:jc w:val="right"/>
              <w:rPr>
                <w:rFonts w:ascii="Calibri"/>
                <w:sz w:val="22"/>
              </w:rPr>
            </w:pPr>
            <w:r>
              <w:rPr>
                <w:rFonts w:ascii="Calibri"/>
                <w:sz w:val="22"/>
              </w:rPr>
              <w:t>234</w:t>
            </w:r>
          </w:p>
        </w:tc>
        <w:tc>
          <w:tcPr>
            <w:tcW w:w="1201" w:type="dxa"/>
          </w:tcPr>
          <w:p>
            <w:pPr>
              <w:pStyle w:val="TableParagraph"/>
              <w:spacing w:line="267" w:lineRule="exact"/>
              <w:ind w:right="62"/>
              <w:jc w:val="right"/>
              <w:rPr>
                <w:rFonts w:ascii="Calibri"/>
                <w:sz w:val="22"/>
              </w:rPr>
            </w:pPr>
            <w:r>
              <w:rPr>
                <w:rFonts w:ascii="Calibri"/>
                <w:sz w:val="22"/>
              </w:rPr>
              <w:t>49</w:t>
            </w:r>
          </w:p>
        </w:tc>
        <w:tc>
          <w:tcPr>
            <w:tcW w:w="1200" w:type="dxa"/>
          </w:tcPr>
          <w:p>
            <w:pPr>
              <w:pStyle w:val="TableParagraph"/>
              <w:spacing w:line="267" w:lineRule="exact"/>
              <w:ind w:right="63"/>
              <w:jc w:val="right"/>
              <w:rPr>
                <w:rFonts w:ascii="Calibri"/>
                <w:sz w:val="22"/>
              </w:rPr>
            </w:pPr>
            <w:r>
              <w:rPr>
                <w:rFonts w:ascii="Calibri"/>
                <w:sz w:val="22"/>
              </w:rPr>
              <w:t>49</w:t>
            </w:r>
          </w:p>
        </w:tc>
        <w:tc>
          <w:tcPr>
            <w:tcW w:w="1201" w:type="dxa"/>
          </w:tcPr>
          <w:p>
            <w:pPr>
              <w:pStyle w:val="TableParagraph"/>
              <w:spacing w:line="267" w:lineRule="exact"/>
              <w:ind w:right="60"/>
              <w:jc w:val="right"/>
              <w:rPr>
                <w:rFonts w:ascii="Calibri"/>
                <w:sz w:val="22"/>
              </w:rPr>
            </w:pPr>
            <w:r>
              <w:rPr>
                <w:rFonts w:ascii="Calibri"/>
                <w:w w:val="101"/>
                <w:sz w:val="22"/>
              </w:rPr>
              <w:t>3</w:t>
            </w:r>
          </w:p>
        </w:tc>
      </w:tr>
      <w:tr>
        <w:trPr>
          <w:trHeight w:val="408" w:hRule="exact"/>
        </w:trPr>
        <w:tc>
          <w:tcPr>
            <w:tcW w:w="1545" w:type="dxa"/>
          </w:tcPr>
          <w:p>
            <w:pPr>
              <w:pStyle w:val="TableParagraph"/>
              <w:spacing w:line="267" w:lineRule="exact"/>
              <w:ind w:left="72"/>
              <w:rPr>
                <w:rFonts w:ascii="Calibri"/>
                <w:sz w:val="22"/>
              </w:rPr>
            </w:pPr>
            <w:r>
              <w:rPr>
                <w:rFonts w:ascii="Calibri"/>
                <w:sz w:val="22"/>
              </w:rPr>
              <w:t>Secundaria</w:t>
            </w:r>
          </w:p>
        </w:tc>
        <w:tc>
          <w:tcPr>
            <w:tcW w:w="1201" w:type="dxa"/>
          </w:tcPr>
          <w:p>
            <w:pPr>
              <w:pStyle w:val="TableParagraph"/>
              <w:spacing w:line="267" w:lineRule="exact"/>
              <w:ind w:right="62"/>
              <w:jc w:val="right"/>
              <w:rPr>
                <w:rFonts w:ascii="Calibri"/>
                <w:sz w:val="22"/>
              </w:rPr>
            </w:pPr>
            <w:r>
              <w:rPr>
                <w:rFonts w:ascii="Calibri"/>
                <w:sz w:val="22"/>
              </w:rPr>
              <w:t>43</w:t>
            </w:r>
          </w:p>
        </w:tc>
        <w:tc>
          <w:tcPr>
            <w:tcW w:w="1200" w:type="dxa"/>
          </w:tcPr>
          <w:p>
            <w:pPr>
              <w:pStyle w:val="TableParagraph"/>
              <w:spacing w:line="267" w:lineRule="exact"/>
              <w:ind w:right="63"/>
              <w:jc w:val="right"/>
              <w:rPr>
                <w:rFonts w:ascii="Calibri"/>
                <w:sz w:val="22"/>
              </w:rPr>
            </w:pPr>
            <w:r>
              <w:rPr>
                <w:rFonts w:ascii="Calibri"/>
                <w:sz w:val="22"/>
              </w:rPr>
              <w:t>138</w:t>
            </w:r>
          </w:p>
        </w:tc>
        <w:tc>
          <w:tcPr>
            <w:tcW w:w="1201" w:type="dxa"/>
          </w:tcPr>
          <w:p>
            <w:pPr>
              <w:pStyle w:val="TableParagraph"/>
              <w:spacing w:line="267" w:lineRule="exact"/>
              <w:ind w:right="62"/>
              <w:jc w:val="right"/>
              <w:rPr>
                <w:rFonts w:ascii="Calibri"/>
                <w:sz w:val="22"/>
              </w:rPr>
            </w:pPr>
            <w:r>
              <w:rPr>
                <w:rFonts w:ascii="Calibri"/>
                <w:sz w:val="22"/>
              </w:rPr>
              <w:t>36</w:t>
            </w:r>
          </w:p>
        </w:tc>
        <w:tc>
          <w:tcPr>
            <w:tcW w:w="1200" w:type="dxa"/>
          </w:tcPr>
          <w:p>
            <w:pPr>
              <w:pStyle w:val="TableParagraph"/>
              <w:spacing w:line="267" w:lineRule="exact"/>
              <w:ind w:right="63"/>
              <w:jc w:val="right"/>
              <w:rPr>
                <w:rFonts w:ascii="Calibri"/>
                <w:sz w:val="22"/>
              </w:rPr>
            </w:pPr>
            <w:r>
              <w:rPr>
                <w:rFonts w:ascii="Calibri"/>
                <w:sz w:val="22"/>
              </w:rPr>
              <w:t>36</w:t>
            </w:r>
          </w:p>
        </w:tc>
        <w:tc>
          <w:tcPr>
            <w:tcW w:w="1201" w:type="dxa"/>
          </w:tcPr>
          <w:p>
            <w:pPr/>
          </w:p>
        </w:tc>
      </w:tr>
      <w:tr>
        <w:trPr>
          <w:trHeight w:val="416" w:hRule="exact"/>
        </w:trPr>
        <w:tc>
          <w:tcPr>
            <w:tcW w:w="1545" w:type="dxa"/>
          </w:tcPr>
          <w:p>
            <w:pPr>
              <w:pStyle w:val="TableParagraph"/>
              <w:spacing w:before="6"/>
              <w:ind w:left="72"/>
              <w:rPr>
                <w:rFonts w:ascii="Calibri"/>
                <w:sz w:val="22"/>
              </w:rPr>
            </w:pPr>
            <w:r>
              <w:rPr>
                <w:rFonts w:ascii="Calibri"/>
                <w:sz w:val="22"/>
              </w:rPr>
              <w:t>Medio Superior</w:t>
            </w:r>
          </w:p>
        </w:tc>
        <w:tc>
          <w:tcPr>
            <w:tcW w:w="1201" w:type="dxa"/>
          </w:tcPr>
          <w:p>
            <w:pPr>
              <w:pStyle w:val="TableParagraph"/>
              <w:spacing w:before="6"/>
              <w:ind w:right="62"/>
              <w:jc w:val="right"/>
              <w:rPr>
                <w:rFonts w:ascii="Calibri"/>
                <w:sz w:val="22"/>
              </w:rPr>
            </w:pPr>
            <w:r>
              <w:rPr>
                <w:rFonts w:ascii="Calibri"/>
                <w:sz w:val="22"/>
              </w:rPr>
              <w:t>35</w:t>
            </w:r>
          </w:p>
        </w:tc>
        <w:tc>
          <w:tcPr>
            <w:tcW w:w="1200" w:type="dxa"/>
          </w:tcPr>
          <w:p>
            <w:pPr>
              <w:pStyle w:val="TableParagraph"/>
              <w:spacing w:before="6"/>
              <w:ind w:right="63"/>
              <w:jc w:val="right"/>
              <w:rPr>
                <w:rFonts w:ascii="Calibri"/>
                <w:sz w:val="22"/>
              </w:rPr>
            </w:pPr>
            <w:r>
              <w:rPr>
                <w:rFonts w:ascii="Calibri"/>
                <w:sz w:val="22"/>
              </w:rPr>
              <w:t>89</w:t>
            </w:r>
          </w:p>
        </w:tc>
        <w:tc>
          <w:tcPr>
            <w:tcW w:w="1201" w:type="dxa"/>
          </w:tcPr>
          <w:p>
            <w:pPr>
              <w:pStyle w:val="TableParagraph"/>
              <w:spacing w:before="6"/>
              <w:ind w:right="62"/>
              <w:jc w:val="right"/>
              <w:rPr>
                <w:rFonts w:ascii="Calibri"/>
                <w:sz w:val="22"/>
              </w:rPr>
            </w:pPr>
            <w:r>
              <w:rPr>
                <w:rFonts w:ascii="Calibri"/>
                <w:sz w:val="22"/>
              </w:rPr>
              <w:t>20</w:t>
            </w:r>
          </w:p>
        </w:tc>
        <w:tc>
          <w:tcPr>
            <w:tcW w:w="1200" w:type="dxa"/>
          </w:tcPr>
          <w:p>
            <w:pPr>
              <w:pStyle w:val="TableParagraph"/>
              <w:spacing w:before="6"/>
              <w:ind w:right="63"/>
              <w:jc w:val="right"/>
              <w:rPr>
                <w:rFonts w:ascii="Calibri"/>
                <w:sz w:val="22"/>
              </w:rPr>
            </w:pPr>
            <w:r>
              <w:rPr>
                <w:rFonts w:ascii="Calibri"/>
                <w:sz w:val="22"/>
              </w:rPr>
              <w:t>19</w:t>
            </w:r>
          </w:p>
        </w:tc>
        <w:tc>
          <w:tcPr>
            <w:tcW w:w="1201" w:type="dxa"/>
          </w:tcPr>
          <w:p>
            <w:pPr/>
          </w:p>
        </w:tc>
      </w:tr>
      <w:tr>
        <w:trPr>
          <w:trHeight w:val="408" w:hRule="exact"/>
        </w:trPr>
        <w:tc>
          <w:tcPr>
            <w:tcW w:w="1545" w:type="dxa"/>
          </w:tcPr>
          <w:p>
            <w:pPr>
              <w:pStyle w:val="TableParagraph"/>
              <w:spacing w:line="267" w:lineRule="exact"/>
              <w:ind w:left="72"/>
              <w:rPr>
                <w:rFonts w:ascii="Calibri"/>
                <w:sz w:val="22"/>
              </w:rPr>
            </w:pPr>
            <w:r>
              <w:rPr>
                <w:rFonts w:ascii="Calibri"/>
                <w:sz w:val="22"/>
              </w:rPr>
              <w:t>Superior</w:t>
            </w:r>
          </w:p>
        </w:tc>
        <w:tc>
          <w:tcPr>
            <w:tcW w:w="1201" w:type="dxa"/>
          </w:tcPr>
          <w:p>
            <w:pPr>
              <w:pStyle w:val="TableParagraph"/>
              <w:spacing w:line="267" w:lineRule="exact"/>
              <w:ind w:right="62"/>
              <w:jc w:val="right"/>
              <w:rPr>
                <w:rFonts w:ascii="Calibri"/>
                <w:sz w:val="22"/>
              </w:rPr>
            </w:pPr>
            <w:r>
              <w:rPr>
                <w:rFonts w:ascii="Calibri"/>
                <w:sz w:val="22"/>
              </w:rPr>
              <w:t>66</w:t>
            </w:r>
          </w:p>
        </w:tc>
        <w:tc>
          <w:tcPr>
            <w:tcW w:w="1200" w:type="dxa"/>
          </w:tcPr>
          <w:p>
            <w:pPr>
              <w:pStyle w:val="TableParagraph"/>
              <w:spacing w:line="267" w:lineRule="exact"/>
              <w:ind w:right="63"/>
              <w:jc w:val="right"/>
              <w:rPr>
                <w:rFonts w:ascii="Calibri"/>
                <w:sz w:val="22"/>
              </w:rPr>
            </w:pPr>
            <w:r>
              <w:rPr>
                <w:rFonts w:ascii="Calibri"/>
                <w:sz w:val="22"/>
              </w:rPr>
              <w:t>118</w:t>
            </w:r>
          </w:p>
        </w:tc>
        <w:tc>
          <w:tcPr>
            <w:tcW w:w="1201" w:type="dxa"/>
          </w:tcPr>
          <w:p>
            <w:pPr>
              <w:pStyle w:val="TableParagraph"/>
              <w:spacing w:line="267" w:lineRule="exact"/>
              <w:ind w:right="60"/>
              <w:jc w:val="right"/>
              <w:rPr>
                <w:rFonts w:ascii="Calibri"/>
                <w:sz w:val="22"/>
              </w:rPr>
            </w:pPr>
            <w:r>
              <w:rPr>
                <w:rFonts w:ascii="Calibri"/>
                <w:w w:val="101"/>
                <w:sz w:val="22"/>
              </w:rPr>
              <w:t>1</w:t>
            </w:r>
          </w:p>
        </w:tc>
        <w:tc>
          <w:tcPr>
            <w:tcW w:w="1200" w:type="dxa"/>
          </w:tcPr>
          <w:p>
            <w:pPr>
              <w:pStyle w:val="TableParagraph"/>
              <w:spacing w:line="267" w:lineRule="exact"/>
              <w:ind w:right="60"/>
              <w:jc w:val="right"/>
              <w:rPr>
                <w:rFonts w:ascii="Calibri"/>
                <w:sz w:val="22"/>
              </w:rPr>
            </w:pPr>
            <w:r>
              <w:rPr>
                <w:rFonts w:ascii="Calibri"/>
                <w:w w:val="101"/>
                <w:sz w:val="22"/>
              </w:rPr>
              <w:t>1</w:t>
            </w:r>
          </w:p>
        </w:tc>
        <w:tc>
          <w:tcPr>
            <w:tcW w:w="1201" w:type="dxa"/>
          </w:tcPr>
          <w:p>
            <w:pPr/>
          </w:p>
        </w:tc>
      </w:tr>
      <w:tr>
        <w:trPr>
          <w:trHeight w:val="416" w:hRule="exact"/>
        </w:trPr>
        <w:tc>
          <w:tcPr>
            <w:tcW w:w="1545" w:type="dxa"/>
          </w:tcPr>
          <w:p>
            <w:pPr>
              <w:pStyle w:val="TableParagraph"/>
              <w:spacing w:before="6"/>
              <w:ind w:left="72"/>
              <w:rPr>
                <w:rFonts w:ascii="Calibri"/>
                <w:sz w:val="22"/>
              </w:rPr>
            </w:pPr>
            <w:r>
              <w:rPr>
                <w:rFonts w:ascii="Calibri"/>
                <w:sz w:val="22"/>
              </w:rPr>
              <w:t>Mixto</w:t>
            </w:r>
          </w:p>
        </w:tc>
        <w:tc>
          <w:tcPr>
            <w:tcW w:w="1201" w:type="dxa"/>
          </w:tcPr>
          <w:p>
            <w:pPr>
              <w:pStyle w:val="TableParagraph"/>
              <w:spacing w:before="6"/>
              <w:ind w:right="62"/>
              <w:jc w:val="right"/>
              <w:rPr>
                <w:rFonts w:ascii="Calibri"/>
                <w:sz w:val="22"/>
              </w:rPr>
            </w:pPr>
            <w:r>
              <w:rPr>
                <w:rFonts w:ascii="Calibri"/>
                <w:sz w:val="22"/>
              </w:rPr>
              <w:t>49</w:t>
            </w:r>
          </w:p>
        </w:tc>
        <w:tc>
          <w:tcPr>
            <w:tcW w:w="1200" w:type="dxa"/>
          </w:tcPr>
          <w:p>
            <w:pPr>
              <w:pStyle w:val="TableParagraph"/>
              <w:spacing w:before="6"/>
              <w:ind w:right="63"/>
              <w:jc w:val="right"/>
              <w:rPr>
                <w:rFonts w:ascii="Calibri"/>
                <w:sz w:val="22"/>
              </w:rPr>
            </w:pPr>
            <w:r>
              <w:rPr>
                <w:rFonts w:ascii="Calibri"/>
                <w:sz w:val="22"/>
              </w:rPr>
              <w:t>116</w:t>
            </w:r>
          </w:p>
        </w:tc>
        <w:tc>
          <w:tcPr>
            <w:tcW w:w="1201" w:type="dxa"/>
          </w:tcPr>
          <w:p>
            <w:pPr>
              <w:pStyle w:val="TableParagraph"/>
              <w:spacing w:before="6"/>
              <w:ind w:right="60"/>
              <w:jc w:val="right"/>
              <w:rPr>
                <w:rFonts w:ascii="Calibri"/>
                <w:sz w:val="22"/>
              </w:rPr>
            </w:pPr>
            <w:r>
              <w:rPr>
                <w:rFonts w:ascii="Calibri"/>
                <w:w w:val="101"/>
                <w:sz w:val="22"/>
              </w:rPr>
              <w:t>2</w:t>
            </w:r>
          </w:p>
        </w:tc>
        <w:tc>
          <w:tcPr>
            <w:tcW w:w="1200" w:type="dxa"/>
          </w:tcPr>
          <w:p>
            <w:pPr>
              <w:pStyle w:val="TableParagraph"/>
              <w:spacing w:before="6"/>
              <w:ind w:right="60"/>
              <w:jc w:val="right"/>
              <w:rPr>
                <w:rFonts w:ascii="Calibri"/>
                <w:sz w:val="22"/>
              </w:rPr>
            </w:pPr>
            <w:r>
              <w:rPr>
                <w:rFonts w:ascii="Calibri"/>
                <w:w w:val="101"/>
                <w:sz w:val="22"/>
              </w:rPr>
              <w:t>4</w:t>
            </w:r>
          </w:p>
        </w:tc>
        <w:tc>
          <w:tcPr>
            <w:tcW w:w="1201" w:type="dxa"/>
          </w:tcPr>
          <w:p>
            <w:pPr/>
          </w:p>
        </w:tc>
      </w:tr>
      <w:tr>
        <w:trPr>
          <w:trHeight w:val="416" w:hRule="exact"/>
        </w:trPr>
        <w:tc>
          <w:tcPr>
            <w:tcW w:w="1545" w:type="dxa"/>
          </w:tcPr>
          <w:p>
            <w:pPr>
              <w:pStyle w:val="TableParagraph"/>
              <w:spacing w:line="267" w:lineRule="exact"/>
              <w:ind w:left="72"/>
              <w:rPr>
                <w:rFonts w:ascii="Calibri"/>
                <w:sz w:val="22"/>
              </w:rPr>
            </w:pPr>
            <w:r>
              <w:rPr>
                <w:rFonts w:ascii="Calibri"/>
                <w:sz w:val="22"/>
              </w:rPr>
              <w:t>Total por zona</w:t>
            </w:r>
          </w:p>
        </w:tc>
        <w:tc>
          <w:tcPr>
            <w:tcW w:w="1201" w:type="dxa"/>
          </w:tcPr>
          <w:p>
            <w:pPr>
              <w:pStyle w:val="TableParagraph"/>
              <w:spacing w:line="267" w:lineRule="exact"/>
              <w:ind w:right="62"/>
              <w:jc w:val="right"/>
              <w:rPr>
                <w:rFonts w:ascii="Calibri"/>
                <w:sz w:val="22"/>
              </w:rPr>
            </w:pPr>
            <w:r>
              <w:rPr>
                <w:rFonts w:ascii="Calibri"/>
                <w:sz w:val="22"/>
              </w:rPr>
              <w:t>385</w:t>
            </w:r>
          </w:p>
        </w:tc>
        <w:tc>
          <w:tcPr>
            <w:tcW w:w="1200" w:type="dxa"/>
          </w:tcPr>
          <w:p>
            <w:pPr>
              <w:pStyle w:val="TableParagraph"/>
              <w:spacing w:line="267" w:lineRule="exact"/>
              <w:ind w:right="63"/>
              <w:jc w:val="right"/>
              <w:rPr>
                <w:rFonts w:ascii="Calibri"/>
                <w:sz w:val="22"/>
              </w:rPr>
            </w:pPr>
            <w:r>
              <w:rPr>
                <w:rFonts w:ascii="Calibri"/>
                <w:sz w:val="22"/>
              </w:rPr>
              <w:t>969</w:t>
            </w:r>
          </w:p>
        </w:tc>
        <w:tc>
          <w:tcPr>
            <w:tcW w:w="1201" w:type="dxa"/>
          </w:tcPr>
          <w:p>
            <w:pPr>
              <w:pStyle w:val="TableParagraph"/>
              <w:spacing w:line="267" w:lineRule="exact"/>
              <w:ind w:right="62"/>
              <w:jc w:val="right"/>
              <w:rPr>
                <w:rFonts w:ascii="Calibri"/>
                <w:sz w:val="22"/>
              </w:rPr>
            </w:pPr>
            <w:r>
              <w:rPr>
                <w:rFonts w:ascii="Calibri"/>
                <w:sz w:val="22"/>
              </w:rPr>
              <w:t>174</w:t>
            </w:r>
          </w:p>
        </w:tc>
        <w:tc>
          <w:tcPr>
            <w:tcW w:w="1200" w:type="dxa"/>
          </w:tcPr>
          <w:p>
            <w:pPr>
              <w:pStyle w:val="TableParagraph"/>
              <w:spacing w:line="267" w:lineRule="exact"/>
              <w:ind w:right="63"/>
              <w:jc w:val="right"/>
              <w:rPr>
                <w:rFonts w:ascii="Calibri"/>
                <w:sz w:val="22"/>
              </w:rPr>
            </w:pPr>
            <w:r>
              <w:rPr>
                <w:rFonts w:ascii="Calibri"/>
                <w:sz w:val="22"/>
              </w:rPr>
              <w:t>176</w:t>
            </w:r>
          </w:p>
        </w:tc>
        <w:tc>
          <w:tcPr>
            <w:tcW w:w="1201" w:type="dxa"/>
          </w:tcPr>
          <w:p>
            <w:pPr>
              <w:pStyle w:val="TableParagraph"/>
              <w:spacing w:line="267" w:lineRule="exact"/>
              <w:ind w:right="60"/>
              <w:jc w:val="right"/>
              <w:rPr>
                <w:rFonts w:ascii="Calibri"/>
                <w:sz w:val="22"/>
              </w:rPr>
            </w:pPr>
            <w:r>
              <w:rPr>
                <w:rFonts w:ascii="Calibri"/>
                <w:w w:val="101"/>
                <w:sz w:val="22"/>
              </w:rPr>
              <w:t>7</w:t>
            </w:r>
          </w:p>
        </w:tc>
      </w:tr>
      <w:tr>
        <w:trPr>
          <w:trHeight w:val="417" w:hRule="exact"/>
        </w:trPr>
        <w:tc>
          <w:tcPr>
            <w:tcW w:w="1545" w:type="dxa"/>
          </w:tcPr>
          <w:p>
            <w:pPr>
              <w:pStyle w:val="TableParagraph"/>
              <w:spacing w:line="268" w:lineRule="exact"/>
              <w:ind w:left="72"/>
              <w:rPr>
                <w:rFonts w:ascii="Calibri"/>
                <w:sz w:val="22"/>
              </w:rPr>
            </w:pPr>
            <w:r>
              <w:rPr>
                <w:rFonts w:ascii="Calibri"/>
                <w:sz w:val="22"/>
              </w:rPr>
              <w:t>Total escuelas</w:t>
            </w:r>
          </w:p>
        </w:tc>
        <w:tc>
          <w:tcPr>
            <w:tcW w:w="1201" w:type="dxa"/>
          </w:tcPr>
          <w:p>
            <w:pPr>
              <w:pStyle w:val="TableParagraph"/>
              <w:spacing w:line="268" w:lineRule="exact"/>
              <w:ind w:right="62"/>
              <w:jc w:val="right"/>
              <w:rPr>
                <w:rFonts w:ascii="Calibri"/>
                <w:sz w:val="22"/>
              </w:rPr>
            </w:pPr>
            <w:r>
              <w:rPr>
                <w:rFonts w:ascii="Calibri"/>
                <w:sz w:val="22"/>
              </w:rPr>
              <w:t>1704</w:t>
            </w:r>
          </w:p>
        </w:tc>
        <w:tc>
          <w:tcPr>
            <w:tcW w:w="1200" w:type="dxa"/>
          </w:tcPr>
          <w:p>
            <w:pPr/>
          </w:p>
        </w:tc>
        <w:tc>
          <w:tcPr>
            <w:tcW w:w="1201" w:type="dxa"/>
          </w:tcPr>
          <w:p>
            <w:pPr/>
          </w:p>
        </w:tc>
        <w:tc>
          <w:tcPr>
            <w:tcW w:w="1200" w:type="dxa"/>
          </w:tcPr>
          <w:p>
            <w:pPr/>
          </w:p>
        </w:tc>
        <w:tc>
          <w:tcPr>
            <w:tcW w:w="1201" w:type="dxa"/>
          </w:tcPr>
          <w:p>
            <w:pPr/>
          </w:p>
        </w:tc>
      </w:tr>
    </w:tbl>
    <w:p>
      <w:pPr>
        <w:pStyle w:val="BodyText"/>
        <w:spacing w:before="6"/>
        <w:rPr>
          <w:sz w:val="17"/>
        </w:rPr>
      </w:pPr>
    </w:p>
    <w:p>
      <w:pPr>
        <w:pStyle w:val="BodyText"/>
        <w:spacing w:before="69"/>
        <w:ind w:left="1850"/>
      </w:pPr>
      <w:r>
        <w:rPr/>
        <w:t>Fuente. Elaboración propia a partir de INEGI 2010</w:t>
      </w:r>
    </w:p>
    <w:p>
      <w:pPr>
        <w:pStyle w:val="BodyText"/>
        <w:spacing w:before="9"/>
        <w:rPr>
          <w:sz w:val="29"/>
        </w:rPr>
      </w:pPr>
    </w:p>
    <w:p>
      <w:pPr>
        <w:pStyle w:val="BodyText"/>
        <w:spacing w:before="70"/>
        <w:ind w:left="105"/>
        <w:jc w:val="both"/>
      </w:pPr>
      <w:r>
        <w:rPr/>
        <w:t>Zona 3</w:t>
      </w:r>
    </w:p>
    <w:p>
      <w:pPr>
        <w:pStyle w:val="BodyText"/>
      </w:pPr>
    </w:p>
    <w:p>
      <w:pPr>
        <w:pStyle w:val="BodyText"/>
        <w:spacing w:line="360" w:lineRule="auto" w:before="144"/>
        <w:ind w:left="105" w:right="118"/>
        <w:jc w:val="both"/>
      </w:pPr>
      <w:r>
        <w:rPr/>
        <w:t>Esta zona representada en color naranja, cubre el noroeste y la parte extrema del noreste del área de estudio, las concentraciones van de 141 a 160 µg/m3, está conformada por 4 localidades urbanas con una población de 107,101 habitantes y 36 localidades rurales con una población de 73,052 habitantes, representando el 14% de la población de la zona de estudio, los grupos vulnerables representan el 6% de la población total, con 59934 habitantes. Se cuenta con la presencia de 174 escuelas, 66 del nivel preescolar, 49 de nivel primaria y 36 de nivel secundaria. Es importante señalar que si bien en esta zona se cuenta con una menor cantidad de habitantes.</w:t>
      </w:r>
    </w:p>
    <w:p>
      <w:pPr>
        <w:pStyle w:val="BodyText"/>
        <w:spacing w:before="10"/>
      </w:pPr>
    </w:p>
    <w:p>
      <w:pPr>
        <w:pStyle w:val="BodyText"/>
        <w:ind w:left="105"/>
        <w:jc w:val="both"/>
      </w:pPr>
      <w:r>
        <w:rPr/>
        <w:t>Zona 4</w:t>
      </w:r>
    </w:p>
    <w:p>
      <w:pPr>
        <w:pStyle w:val="BodyText"/>
      </w:pPr>
    </w:p>
    <w:p>
      <w:pPr>
        <w:pStyle w:val="BodyText"/>
        <w:spacing w:line="357" w:lineRule="auto" w:before="144"/>
        <w:ind w:left="105" w:right="116"/>
        <w:jc w:val="both"/>
      </w:pPr>
      <w:r>
        <w:rPr/>
        <w:t>Focalizada en la zona noroeste de la ciudad marcada de rosa, presenta concentraciones que van de los 161-180 µg/m3, forma parte de la localidad urbana de Toluca de Lerdo, conformada por 616 manzanas, con una población de 67,984 habitantes, representando el 5 por ciento de la población de la zona de estudio. La población  vulnerable conformada por   18079  habitantes  representa  el  2% de la</w:t>
      </w:r>
    </w:p>
    <w:p>
      <w:pPr>
        <w:spacing w:after="0" w:line="357" w:lineRule="auto"/>
        <w:jc w:val="both"/>
        <w:sectPr>
          <w:pgSz w:w="12240" w:h="15840"/>
          <w:pgMar w:header="0" w:footer="1001" w:top="1360" w:bottom="1200" w:left="1600" w:right="1580"/>
        </w:sectPr>
      </w:pPr>
    </w:p>
    <w:p>
      <w:pPr>
        <w:pStyle w:val="BodyText"/>
        <w:spacing w:line="362" w:lineRule="auto" w:before="48"/>
        <w:ind w:left="105" w:right="125"/>
        <w:jc w:val="both"/>
      </w:pPr>
      <w:r>
        <w:rPr/>
        <w:t>población total. Se cuenta con la presencia </w:t>
      </w:r>
      <w:r>
        <w:rPr>
          <w:spacing w:val="5"/>
        </w:rPr>
        <w:t>de </w:t>
      </w:r>
      <w:r>
        <w:rPr/>
        <w:t>176 escuelas 66 de nivel preescolar, 49 de nivel primaria y 36 de nivel</w:t>
      </w:r>
      <w:r>
        <w:rPr>
          <w:spacing w:val="-29"/>
        </w:rPr>
        <w:t> </w:t>
      </w:r>
      <w:r>
        <w:rPr/>
        <w:t>secundaria.</w:t>
      </w:r>
    </w:p>
    <w:p>
      <w:pPr>
        <w:pStyle w:val="BodyText"/>
        <w:spacing w:before="7"/>
      </w:pPr>
    </w:p>
    <w:p>
      <w:pPr>
        <w:pStyle w:val="BodyText"/>
        <w:spacing w:before="1"/>
        <w:ind w:left="105"/>
        <w:jc w:val="both"/>
      </w:pPr>
      <w:r>
        <w:rPr/>
        <w:t>Zona 5</w:t>
      </w:r>
    </w:p>
    <w:p>
      <w:pPr>
        <w:pStyle w:val="BodyText"/>
        <w:spacing w:before="9"/>
        <w:rPr>
          <w:sz w:val="35"/>
        </w:rPr>
      </w:pPr>
    </w:p>
    <w:p>
      <w:pPr>
        <w:pStyle w:val="BodyText"/>
        <w:spacing w:line="360" w:lineRule="auto"/>
        <w:ind w:left="105" w:right="120"/>
        <w:jc w:val="both"/>
      </w:pPr>
      <w:r>
        <w:rPr/>
        <w:t>Es la zona más crítica con concentraciones de </w:t>
      </w:r>
      <w:r>
        <w:rPr>
          <w:spacing w:val="2"/>
        </w:rPr>
        <w:t>181-210 </w:t>
      </w:r>
      <w:r>
        <w:rPr/>
        <w:t>microgramos por metro cúbico, que corresponde a </w:t>
      </w:r>
      <w:r>
        <w:rPr>
          <w:spacing w:val="5"/>
        </w:rPr>
        <w:t>la </w:t>
      </w:r>
      <w:r>
        <w:rPr/>
        <w:t>localidad de Toluca, se concentran 136 manzanas, con una población 15,609 de habientes de acuerdo con los datos del censo de población y vivienda INEGI 2010 (Ver figura 8). De las cinco zonas presenta </w:t>
      </w:r>
      <w:r>
        <w:rPr>
          <w:spacing w:val="-3"/>
        </w:rPr>
        <w:t>el </w:t>
      </w:r>
      <w:r>
        <w:rPr/>
        <w:t>menor número de habitantes de 60 </w:t>
      </w:r>
      <w:r>
        <w:rPr>
          <w:spacing w:val="-3"/>
        </w:rPr>
        <w:t>años </w:t>
      </w:r>
      <w:r>
        <w:rPr/>
        <w:t>y más con </w:t>
      </w:r>
      <w:r>
        <w:rPr>
          <w:spacing w:val="-3"/>
        </w:rPr>
        <w:t>el </w:t>
      </w:r>
      <w:r>
        <w:rPr/>
        <w:t>2% de la población </w:t>
      </w:r>
      <w:r>
        <w:rPr>
          <w:spacing w:val="-4"/>
        </w:rPr>
        <w:t>total </w:t>
      </w:r>
      <w:r>
        <w:rPr/>
        <w:t>de la zona. Cabe señalar </w:t>
      </w:r>
      <w:r>
        <w:rPr>
          <w:spacing w:val="4"/>
        </w:rPr>
        <w:t>que </w:t>
      </w:r>
      <w:r>
        <w:rPr/>
        <w:t>localizan 7 escuelas de las cuales tres son de nivel preescolar, dos primarias y dos escuelas particulares con nivel preescolar y primaria, lo cual </w:t>
      </w:r>
      <w:r>
        <w:rPr>
          <w:spacing w:val="-3"/>
        </w:rPr>
        <w:t>es </w:t>
      </w:r>
      <w:r>
        <w:rPr/>
        <w:t>un aspecto de gran relevancia </w:t>
      </w:r>
      <w:r>
        <w:rPr>
          <w:spacing w:val="2"/>
        </w:rPr>
        <w:t>por </w:t>
      </w:r>
      <w:r>
        <w:rPr/>
        <w:t>tratarse de grupos con </w:t>
      </w:r>
      <w:r>
        <w:rPr>
          <w:spacing w:val="-3"/>
        </w:rPr>
        <w:t>mayor </w:t>
      </w:r>
      <w:r>
        <w:rPr/>
        <w:t>vulnerabilidad a estos niveles de</w:t>
      </w:r>
      <w:r>
        <w:rPr>
          <w:spacing w:val="-6"/>
        </w:rPr>
        <w:t> </w:t>
      </w:r>
      <w:r>
        <w:rPr/>
        <w:t>contaminación.</w:t>
      </w:r>
    </w:p>
    <w:p>
      <w:pPr>
        <w:pStyle w:val="BodyText"/>
        <w:spacing w:before="10"/>
      </w:pPr>
    </w:p>
    <w:p>
      <w:pPr>
        <w:spacing w:before="0"/>
        <w:ind w:left="105" w:right="0" w:firstLine="0"/>
        <w:jc w:val="both"/>
        <w:rPr>
          <w:b/>
          <w:sz w:val="24"/>
        </w:rPr>
      </w:pPr>
      <w:r>
        <w:rPr>
          <w:b/>
          <w:sz w:val="24"/>
        </w:rPr>
        <w:t>Discusión de resultados</w:t>
      </w:r>
    </w:p>
    <w:p>
      <w:pPr>
        <w:pStyle w:val="BodyText"/>
        <w:rPr>
          <w:b/>
        </w:rPr>
      </w:pPr>
    </w:p>
    <w:p>
      <w:pPr>
        <w:pStyle w:val="BodyText"/>
        <w:spacing w:line="360" w:lineRule="auto" w:before="144"/>
        <w:ind w:left="105" w:right="110"/>
        <w:jc w:val="both"/>
      </w:pPr>
      <w:r>
        <w:rPr/>
        <w:t>El estudio expone que </w:t>
      </w:r>
      <w:r>
        <w:rPr>
          <w:spacing w:val="-3"/>
        </w:rPr>
        <w:t>en el </w:t>
      </w:r>
      <w:r>
        <w:rPr/>
        <w:t>período </w:t>
      </w:r>
      <w:r>
        <w:rPr>
          <w:spacing w:val="2"/>
        </w:rPr>
        <w:t>2011-2013, </w:t>
      </w:r>
      <w:r>
        <w:rPr/>
        <w:t>las concentraciones de partículas PM10 se han incrementado </w:t>
      </w:r>
      <w:r>
        <w:rPr>
          <w:spacing w:val="-3"/>
        </w:rPr>
        <w:t>en </w:t>
      </w:r>
      <w:r>
        <w:rPr/>
        <w:t>relación a los resultados obtenidos </w:t>
      </w:r>
      <w:r>
        <w:rPr>
          <w:spacing w:val="-3"/>
        </w:rPr>
        <w:t>en el </w:t>
      </w:r>
      <w:r>
        <w:rPr/>
        <w:t>período 1998-2005 (Flores, </w:t>
      </w:r>
      <w:r>
        <w:rPr>
          <w:spacing w:val="-3"/>
        </w:rPr>
        <w:t>et </w:t>
      </w:r>
      <w:r>
        <w:rPr/>
        <w:t>al., </w:t>
      </w:r>
      <w:r>
        <w:rPr>
          <w:spacing w:val="2"/>
        </w:rPr>
        <w:t>2010). </w:t>
      </w:r>
      <w:r>
        <w:rPr/>
        <w:t>En </w:t>
      </w:r>
      <w:r>
        <w:rPr>
          <w:spacing w:val="-3"/>
        </w:rPr>
        <w:t>el </w:t>
      </w:r>
      <w:r>
        <w:rPr/>
        <w:t>año 2011 </w:t>
      </w:r>
      <w:r>
        <w:rPr>
          <w:spacing w:val="-3"/>
        </w:rPr>
        <w:t>en </w:t>
      </w:r>
      <w:r>
        <w:rPr/>
        <w:t>las épocas seca fría, principalmente </w:t>
      </w:r>
      <w:r>
        <w:rPr>
          <w:spacing w:val="-3"/>
        </w:rPr>
        <w:t>en </w:t>
      </w:r>
      <w:r>
        <w:rPr/>
        <w:t>los meses de enero y febrero, e inicio </w:t>
      </w:r>
      <w:r>
        <w:rPr>
          <w:spacing w:val="5"/>
        </w:rPr>
        <w:t>de </w:t>
      </w:r>
      <w:r>
        <w:rPr/>
        <w:t>la época seca caliente </w:t>
      </w:r>
      <w:r>
        <w:rPr>
          <w:spacing w:val="-3"/>
        </w:rPr>
        <w:t>en </w:t>
      </w:r>
      <w:r>
        <w:rPr/>
        <w:t>marzo y abril, la condición del aire fue mala y muy mala con un índice IMECA de 101- 150 y 151 – 200; </w:t>
      </w:r>
      <w:r>
        <w:rPr>
          <w:spacing w:val="-3"/>
        </w:rPr>
        <w:t>en </w:t>
      </w:r>
      <w:r>
        <w:rPr/>
        <w:t>2012 </w:t>
      </w:r>
      <w:r>
        <w:rPr>
          <w:spacing w:val="-3"/>
        </w:rPr>
        <w:t>en </w:t>
      </w:r>
      <w:r>
        <w:rPr/>
        <w:t>las mismas épocas y meses, </w:t>
      </w:r>
      <w:r>
        <w:rPr>
          <w:spacing w:val="-3"/>
        </w:rPr>
        <w:t>el </w:t>
      </w:r>
      <w:r>
        <w:rPr/>
        <w:t>índice mostro una condición del aire de mala a regular, 101 – 150 y </w:t>
      </w:r>
      <w:r>
        <w:rPr>
          <w:spacing w:val="-3"/>
        </w:rPr>
        <w:t>51 </w:t>
      </w:r>
      <w:r>
        <w:rPr/>
        <w:t>– 100, y </w:t>
      </w:r>
      <w:r>
        <w:rPr>
          <w:spacing w:val="-3"/>
        </w:rPr>
        <w:t>en </w:t>
      </w:r>
      <w:r>
        <w:rPr/>
        <w:t>2013 </w:t>
      </w:r>
      <w:r>
        <w:rPr>
          <w:spacing w:val="-3"/>
        </w:rPr>
        <w:t>este </w:t>
      </w:r>
      <w:r>
        <w:rPr/>
        <w:t>patrón se repitió. </w:t>
      </w:r>
      <w:r>
        <w:rPr>
          <w:spacing w:val="3"/>
        </w:rPr>
        <w:t>Lo </w:t>
      </w:r>
      <w:r>
        <w:rPr/>
        <w:t>cual indica que </w:t>
      </w:r>
      <w:r>
        <w:rPr>
          <w:spacing w:val="-3"/>
        </w:rPr>
        <w:t>estas </w:t>
      </w:r>
      <w:r>
        <w:rPr/>
        <w:t>partículas contribuyen significativamente </w:t>
      </w:r>
      <w:r>
        <w:rPr>
          <w:spacing w:val="-3"/>
        </w:rPr>
        <w:t>en </w:t>
      </w:r>
      <w:r>
        <w:rPr/>
        <w:t>los niveles de contaminación atmosférica que alcanza la ciudad de Toluca </w:t>
      </w:r>
      <w:r>
        <w:rPr>
          <w:spacing w:val="-3"/>
        </w:rPr>
        <w:t>en </w:t>
      </w:r>
      <w:r>
        <w:rPr/>
        <w:t>la época seca y </w:t>
      </w:r>
      <w:r>
        <w:rPr>
          <w:spacing w:val="-3"/>
        </w:rPr>
        <w:t>en </w:t>
      </w:r>
      <w:r>
        <w:rPr/>
        <w:t>los meses de mayor temperatura, </w:t>
      </w:r>
      <w:r>
        <w:rPr>
          <w:spacing w:val="-3"/>
        </w:rPr>
        <w:t>en </w:t>
      </w:r>
      <w:r>
        <w:rPr/>
        <w:t>tanto que la contaminación declina </w:t>
      </w:r>
      <w:r>
        <w:rPr>
          <w:spacing w:val="-3"/>
        </w:rPr>
        <w:t>en </w:t>
      </w:r>
      <w:r>
        <w:rPr/>
        <w:t>la temporada de lluvia </w:t>
      </w:r>
      <w:r>
        <w:rPr>
          <w:spacing w:val="-3"/>
        </w:rPr>
        <w:t>en </w:t>
      </w:r>
      <w:r>
        <w:rPr/>
        <w:t>los meses de junio a octubre, </w:t>
      </w:r>
      <w:r>
        <w:rPr>
          <w:spacing w:val="-3"/>
        </w:rPr>
        <w:t>en </w:t>
      </w:r>
      <w:r>
        <w:rPr/>
        <w:t>estos </w:t>
      </w:r>
      <w:r>
        <w:rPr>
          <w:spacing w:val="-3"/>
        </w:rPr>
        <w:t>meses </w:t>
      </w:r>
      <w:r>
        <w:rPr/>
        <w:t>la calidad del aire </w:t>
      </w:r>
      <w:r>
        <w:rPr>
          <w:spacing w:val="2"/>
        </w:rPr>
        <w:t>fue </w:t>
      </w:r>
      <w:r>
        <w:rPr/>
        <w:t>de regular a</w:t>
      </w:r>
      <w:r>
        <w:rPr>
          <w:spacing w:val="-28"/>
        </w:rPr>
        <w:t> </w:t>
      </w:r>
      <w:r>
        <w:rPr/>
        <w:t>buena.</w:t>
      </w:r>
    </w:p>
    <w:p>
      <w:pPr>
        <w:pStyle w:val="BodyText"/>
        <w:spacing w:before="10"/>
      </w:pPr>
    </w:p>
    <w:p>
      <w:pPr>
        <w:pStyle w:val="BodyText"/>
        <w:spacing w:line="357" w:lineRule="auto"/>
        <w:ind w:left="105" w:right="118"/>
        <w:jc w:val="both"/>
      </w:pPr>
      <w:r>
        <w:rPr/>
        <w:t>Los resultados confirman que la contaminación por partículas PM 10 en la Ciudad de Toluca, no es homogénea, lo cual se debe a los factores meteorológicos, principalmente la precipitación que actúa como agente depurador y la temperatura</w:t>
      </w:r>
    </w:p>
    <w:p>
      <w:pPr>
        <w:spacing w:after="0" w:line="357" w:lineRule="auto"/>
        <w:jc w:val="both"/>
        <w:sectPr>
          <w:pgSz w:w="12240" w:h="15840"/>
          <w:pgMar w:header="0" w:footer="1001" w:top="1360" w:bottom="1200" w:left="1600" w:right="1580"/>
        </w:sectPr>
      </w:pPr>
    </w:p>
    <w:p>
      <w:pPr>
        <w:pStyle w:val="BodyText"/>
        <w:spacing w:line="360" w:lineRule="auto" w:before="48"/>
        <w:ind w:left="105" w:right="117"/>
        <w:jc w:val="both"/>
      </w:pPr>
      <w:r>
        <w:rPr/>
        <w:t>que incrementa las concentraciones de partículas suspendidas. Estos factores presentaron fuerte correlación con los niveles </w:t>
      </w:r>
      <w:r>
        <w:rPr>
          <w:spacing w:val="5"/>
        </w:rPr>
        <w:t>de </w:t>
      </w:r>
      <w:r>
        <w:rPr/>
        <w:t>concentración de las partículas de la fracción respirable, </w:t>
      </w:r>
      <w:r>
        <w:rPr>
          <w:spacing w:val="3"/>
        </w:rPr>
        <w:t>la </w:t>
      </w:r>
      <w:r>
        <w:rPr/>
        <w:t>débil correlación de los vientos respecto </w:t>
      </w:r>
      <w:r>
        <w:rPr>
          <w:spacing w:val="-3"/>
        </w:rPr>
        <w:t>al </w:t>
      </w:r>
      <w:r>
        <w:rPr/>
        <w:t>incremento de las concentraciones de PM10, requiere </w:t>
      </w:r>
      <w:r>
        <w:rPr>
          <w:spacing w:val="5"/>
        </w:rPr>
        <w:t>de </w:t>
      </w:r>
      <w:r>
        <w:rPr/>
        <w:t>un estudio específico </w:t>
      </w:r>
      <w:r>
        <w:rPr>
          <w:spacing w:val="2"/>
        </w:rPr>
        <w:t>para </w:t>
      </w:r>
      <w:r>
        <w:rPr/>
        <w:t>descartar su influencia como determinante </w:t>
      </w:r>
      <w:r>
        <w:rPr>
          <w:spacing w:val="-3"/>
        </w:rPr>
        <w:t>en el </w:t>
      </w:r>
      <w:r>
        <w:rPr/>
        <w:t>caso </w:t>
      </w:r>
      <w:r>
        <w:rPr>
          <w:spacing w:val="5"/>
        </w:rPr>
        <w:t>de</w:t>
      </w:r>
      <w:r>
        <w:rPr>
          <w:spacing w:val="-23"/>
        </w:rPr>
        <w:t> </w:t>
      </w:r>
      <w:r>
        <w:rPr/>
        <w:t>estudio.</w:t>
      </w:r>
    </w:p>
    <w:p>
      <w:pPr>
        <w:pStyle w:val="BodyText"/>
        <w:spacing w:before="10"/>
      </w:pPr>
    </w:p>
    <w:p>
      <w:pPr>
        <w:pStyle w:val="BodyText"/>
        <w:spacing w:line="360" w:lineRule="auto"/>
        <w:ind w:left="105" w:right="110"/>
        <w:jc w:val="both"/>
      </w:pPr>
      <w:r>
        <w:rPr/>
        <w:t>En general la relación entre la distribución de la población y los niveles de concentración de la partículas PM 10, muestra una relación inversa. Esta relación identifica que mayor población, menor concentración de partículas suspendidas, este es el caso de las zonas 1 y 2 ubicadas al sur de la ciudad de Toluca, el caso opuesto se identifico en las zonas 3, 4 y 5, ubicadas al norte y noreste, en éstas la población es menor y mayor la concentración de PM10.</w:t>
      </w:r>
    </w:p>
    <w:p>
      <w:pPr>
        <w:pStyle w:val="BodyText"/>
        <w:spacing w:before="2"/>
      </w:pPr>
    </w:p>
    <w:p>
      <w:pPr>
        <w:pStyle w:val="BodyText"/>
        <w:spacing w:line="360" w:lineRule="auto"/>
        <w:ind w:left="105" w:right="119"/>
        <w:jc w:val="both"/>
      </w:pPr>
      <w:r>
        <w:rPr/>
        <w:t>Aunque se identifican diferencias en las concentraciones de PM 10, de acuerdo con los parámetros de calidad el aire, todas las zonas presentan una condición de regular a mala. La población expuesta a la contaminación focaliza no sólo a los habitantes de cada una, sino principalmente a los estudiantes de niveles escolares diversos y la población que no habita en importantes centros de población urbana con actividad comercial y de servicios; como son, Metepec, Zinacantepec, San Mateo Atenco,.Lerma y el centro de la ciudad de Toluca, que se desplaza diariamente para el desarrollo de sus actividades laborales.</w:t>
      </w:r>
    </w:p>
    <w:p>
      <w:pPr>
        <w:pStyle w:val="BodyText"/>
        <w:spacing w:before="2"/>
      </w:pPr>
    </w:p>
    <w:p>
      <w:pPr>
        <w:spacing w:before="0"/>
        <w:ind w:left="105" w:right="0" w:firstLine="0"/>
        <w:jc w:val="both"/>
        <w:rPr>
          <w:b/>
          <w:sz w:val="24"/>
        </w:rPr>
      </w:pPr>
      <w:r>
        <w:rPr>
          <w:b/>
          <w:sz w:val="24"/>
        </w:rPr>
        <w:t>Conclusiones</w:t>
      </w:r>
    </w:p>
    <w:p>
      <w:pPr>
        <w:pStyle w:val="BodyText"/>
        <w:rPr>
          <w:b/>
        </w:rPr>
      </w:pPr>
    </w:p>
    <w:p>
      <w:pPr>
        <w:pStyle w:val="BodyText"/>
        <w:spacing w:line="360" w:lineRule="auto" w:before="144"/>
        <w:ind w:left="105" w:right="115"/>
        <w:jc w:val="both"/>
      </w:pPr>
      <w:r>
        <w:rPr/>
        <w:t>Los patrones espaciales de las partículas suspendidas (PM10) en la ciudad de Toluca, en el periodo 2011-2013, plantean que la calidad del aire es de mala a regular en toda la zona de estudio, si las condiciones de emisiones continúan sin estrategias de intervención se mantendrán niveles por encima de las normas vigentes.</w:t>
      </w:r>
    </w:p>
    <w:p>
      <w:pPr>
        <w:pStyle w:val="BodyText"/>
        <w:spacing w:before="10"/>
      </w:pPr>
    </w:p>
    <w:p>
      <w:pPr>
        <w:pStyle w:val="BodyText"/>
        <w:spacing w:line="357" w:lineRule="auto"/>
        <w:ind w:left="105" w:right="125"/>
        <w:jc w:val="both"/>
      </w:pPr>
      <w:r>
        <w:rPr/>
        <w:t>No obstante que las concentraciones de PM 10 en las cinco zonas determinadas, presentan variaciones, los índices por arriba de los parámetros de una buena calidad  del  aire,  advierten  sobre  la  importancia  de  identificar  las  fuentes   de</w:t>
      </w:r>
    </w:p>
    <w:p>
      <w:pPr>
        <w:spacing w:after="0" w:line="357" w:lineRule="auto"/>
        <w:jc w:val="both"/>
        <w:sectPr>
          <w:pgSz w:w="12240" w:h="15840"/>
          <w:pgMar w:header="0" w:footer="1001" w:top="1360" w:bottom="1200" w:left="1600" w:right="1580"/>
        </w:sectPr>
      </w:pPr>
    </w:p>
    <w:p>
      <w:pPr>
        <w:pStyle w:val="BodyText"/>
        <w:spacing w:line="362" w:lineRule="auto" w:before="48"/>
        <w:ind w:left="105" w:right="117"/>
        <w:jc w:val="both"/>
      </w:pPr>
      <w:r>
        <w:rPr/>
        <w:t>emisión e implementar medidas de control y mecanismos normativos para que desde el origen se controlen las emisiones, así como estrategias de prevención diferencial para la población expuesta.</w:t>
      </w:r>
    </w:p>
    <w:p>
      <w:pPr>
        <w:pStyle w:val="BodyText"/>
        <w:spacing w:before="11"/>
        <w:rPr>
          <w:sz w:val="23"/>
        </w:rPr>
      </w:pPr>
    </w:p>
    <w:p>
      <w:pPr>
        <w:pStyle w:val="BodyText"/>
        <w:spacing w:line="362" w:lineRule="auto"/>
        <w:ind w:left="105" w:right="121"/>
        <w:jc w:val="both"/>
      </w:pPr>
      <w:r>
        <w:rPr/>
        <w:t>Para prevenir la exposición de la población vulnerable a las PM 10, </w:t>
      </w:r>
      <w:r>
        <w:rPr>
          <w:spacing w:val="-3"/>
        </w:rPr>
        <w:t>es  </w:t>
      </w:r>
      <w:r>
        <w:rPr/>
        <w:t>fundamental tomar </w:t>
      </w:r>
      <w:r>
        <w:rPr>
          <w:spacing w:val="-3"/>
        </w:rPr>
        <w:t>en </w:t>
      </w:r>
      <w:r>
        <w:rPr/>
        <w:t>consideración que las </w:t>
      </w:r>
      <w:r>
        <w:rPr>
          <w:spacing w:val="-3"/>
        </w:rPr>
        <w:t>altas </w:t>
      </w:r>
      <w:r>
        <w:rPr/>
        <w:t>concentraciones de </w:t>
      </w:r>
      <w:r>
        <w:rPr>
          <w:spacing w:val="-3"/>
        </w:rPr>
        <w:t>estas </w:t>
      </w:r>
      <w:r>
        <w:rPr/>
        <w:t>partículas </w:t>
      </w:r>
      <w:r>
        <w:rPr>
          <w:spacing w:val="3"/>
        </w:rPr>
        <w:t>se </w:t>
      </w:r>
      <w:r>
        <w:rPr/>
        <w:t>presentan </w:t>
      </w:r>
      <w:r>
        <w:rPr>
          <w:spacing w:val="-3"/>
        </w:rPr>
        <w:t>en </w:t>
      </w:r>
      <w:r>
        <w:rPr/>
        <w:t>horarios laborales y</w:t>
      </w:r>
      <w:r>
        <w:rPr>
          <w:spacing w:val="-31"/>
        </w:rPr>
        <w:t> </w:t>
      </w:r>
      <w:r>
        <w:rPr/>
        <w:t>escolares.</w:t>
      </w:r>
    </w:p>
    <w:p>
      <w:pPr>
        <w:pStyle w:val="BodyText"/>
        <w:spacing w:before="7"/>
      </w:pPr>
    </w:p>
    <w:p>
      <w:pPr>
        <w:pStyle w:val="BodyText"/>
        <w:spacing w:line="360" w:lineRule="auto"/>
        <w:ind w:left="105" w:right="117"/>
        <w:jc w:val="both"/>
      </w:pPr>
      <w:r>
        <w:rPr/>
        <w:t>Es necesario avanzar en la cultura de la prevención, en principio a través del diseño de un programa de alerta temprana, que informe a la población sobre los riesgos que se presentan en las épocas seca y cálida del año, y las medidas de atención en condiciones de contingencia atmosférica.</w:t>
      </w:r>
    </w:p>
    <w:p>
      <w:pPr>
        <w:pStyle w:val="BodyText"/>
        <w:spacing w:before="10"/>
      </w:pPr>
    </w:p>
    <w:p>
      <w:pPr>
        <w:pStyle w:val="BodyText"/>
        <w:spacing w:line="360" w:lineRule="auto"/>
        <w:ind w:left="105" w:right="113"/>
        <w:jc w:val="both"/>
      </w:pPr>
      <w:r>
        <w:rPr/>
        <w:t>Los modelos geoestadisticos y los Sistemas </w:t>
      </w:r>
      <w:r>
        <w:rPr>
          <w:spacing w:val="5"/>
        </w:rPr>
        <w:t>de </w:t>
      </w:r>
      <w:r>
        <w:rPr/>
        <w:t>Información Geográfica, </w:t>
      </w:r>
      <w:r>
        <w:rPr>
          <w:spacing w:val="-3"/>
        </w:rPr>
        <w:t>fueron </w:t>
      </w:r>
      <w:r>
        <w:rPr/>
        <w:t>herramientas útiles para manejar </w:t>
      </w:r>
      <w:r>
        <w:rPr>
          <w:spacing w:val="2"/>
        </w:rPr>
        <w:t>gran </w:t>
      </w:r>
      <w:r>
        <w:rPr/>
        <w:t>cantidad </w:t>
      </w:r>
      <w:r>
        <w:rPr>
          <w:spacing w:val="5"/>
        </w:rPr>
        <w:t>de </w:t>
      </w:r>
      <w:r>
        <w:rPr/>
        <w:t>datos, modelar espacialmente las concentraciones de PM 10 e identificar las zonas críticas </w:t>
      </w:r>
      <w:r>
        <w:rPr>
          <w:spacing w:val="-3"/>
        </w:rPr>
        <w:t>en el </w:t>
      </w:r>
      <w:r>
        <w:rPr/>
        <w:t>área de estudio; sin embargo, las horas de trabajo invertidas para dar consistencia a la base de datos, sugiere la necesidad de mejorar la continuidad y la calidad de los registros, así como incorporar información sobre las fuentes de emisión, lo cual redundará  </w:t>
      </w:r>
      <w:r>
        <w:rPr>
          <w:spacing w:val="-3"/>
        </w:rPr>
        <w:t>en </w:t>
      </w:r>
      <w:r>
        <w:rPr/>
        <w:t>estudios longitudinales con series comparables, que coadyuvarán </w:t>
      </w:r>
      <w:r>
        <w:rPr>
          <w:spacing w:val="-3"/>
        </w:rPr>
        <w:t>en </w:t>
      </w:r>
      <w:r>
        <w:rPr/>
        <w:t>dar sustento a las políticas y estrategias de gestión para mejorar la calidad del aire y</w:t>
      </w:r>
      <w:r>
        <w:rPr>
          <w:spacing w:val="-33"/>
        </w:rPr>
        <w:t> </w:t>
      </w:r>
      <w:r>
        <w:rPr>
          <w:spacing w:val="5"/>
        </w:rPr>
        <w:t>la </w:t>
      </w:r>
      <w:r>
        <w:rPr/>
        <w:t>habitabilidad </w:t>
      </w:r>
      <w:r>
        <w:rPr>
          <w:spacing w:val="-3"/>
        </w:rPr>
        <w:t>en </w:t>
      </w:r>
      <w:r>
        <w:rPr/>
        <w:t>la ciudad de</w:t>
      </w:r>
      <w:r>
        <w:rPr>
          <w:spacing w:val="-15"/>
        </w:rPr>
        <w:t> </w:t>
      </w:r>
      <w:r>
        <w:rPr/>
        <w:t>Toluca.</w:t>
      </w:r>
    </w:p>
    <w:p>
      <w:pPr>
        <w:spacing w:after="0" w:line="360" w:lineRule="auto"/>
        <w:jc w:val="both"/>
        <w:sectPr>
          <w:footerReference w:type="default" r:id="rId54"/>
          <w:pgSz w:w="12240" w:h="15840"/>
          <w:pgMar w:footer="1001" w:header="0" w:top="1360" w:bottom="1200" w:left="1600" w:right="1580"/>
        </w:sectPr>
      </w:pPr>
    </w:p>
    <w:p>
      <w:pPr>
        <w:spacing w:before="48"/>
        <w:ind w:left="105" w:right="0" w:firstLine="0"/>
        <w:jc w:val="left"/>
        <w:rPr>
          <w:b/>
          <w:sz w:val="24"/>
        </w:rPr>
      </w:pPr>
      <w:r>
        <w:rPr>
          <w:b/>
          <w:sz w:val="24"/>
        </w:rPr>
        <w:t>Referencias bibliográficas</w:t>
      </w:r>
    </w:p>
    <w:p>
      <w:pPr>
        <w:pStyle w:val="BodyText"/>
        <w:rPr>
          <w:b/>
        </w:rPr>
      </w:pPr>
    </w:p>
    <w:p>
      <w:pPr>
        <w:spacing w:line="350" w:lineRule="auto" w:before="151"/>
        <w:ind w:left="825" w:right="119" w:hanging="721"/>
        <w:jc w:val="left"/>
        <w:rPr>
          <w:rFonts w:ascii="Calibri"/>
          <w:sz w:val="22"/>
        </w:rPr>
      </w:pPr>
      <w:r>
        <w:rPr>
          <w:rFonts w:ascii="Calibri"/>
          <w:sz w:val="22"/>
        </w:rPr>
        <w:t>Al-Saadi, J., Szykman, J., Pierce, B., &amp; Kittaka, C. (2005). Improving National Air quali ty forecasts with satellite aerosol observations. </w:t>
      </w:r>
      <w:r>
        <w:rPr>
          <w:rFonts w:ascii="Calibri"/>
          <w:i/>
          <w:sz w:val="22"/>
        </w:rPr>
        <w:t>BAMS, </w:t>
      </w:r>
      <w:r>
        <w:rPr>
          <w:rFonts w:ascii="Calibri"/>
          <w:sz w:val="22"/>
        </w:rPr>
        <w:t>124  129-1261.</w:t>
      </w:r>
    </w:p>
    <w:p>
      <w:pPr>
        <w:pStyle w:val="BodyText"/>
        <w:spacing w:before="10"/>
        <w:rPr>
          <w:rFonts w:ascii="Calibri"/>
        </w:rPr>
      </w:pPr>
    </w:p>
    <w:p>
      <w:pPr>
        <w:spacing w:line="355" w:lineRule="auto" w:before="1"/>
        <w:ind w:left="825" w:right="476" w:hanging="721"/>
        <w:jc w:val="left"/>
        <w:rPr>
          <w:rFonts w:ascii="Calibri" w:hAnsi="Calibri"/>
          <w:sz w:val="22"/>
        </w:rPr>
      </w:pPr>
      <w:r>
        <w:rPr>
          <w:rFonts w:ascii="Calibri" w:hAnsi="Calibri"/>
          <w:sz w:val="22"/>
        </w:rPr>
        <w:t>Allende, D., Mulena, P., &amp; Puliafito, E. (2012). Transporte de Aerosoles Generados por Erosión durante fuertes vientos: Un estudio de Modelado. </w:t>
      </w:r>
      <w:r>
        <w:rPr>
          <w:rFonts w:ascii="Calibri" w:hAnsi="Calibri"/>
          <w:i/>
          <w:sz w:val="22"/>
        </w:rPr>
        <w:t>Avences en Energías Renovables y </w:t>
      </w:r>
      <w:r>
        <w:rPr>
          <w:rFonts w:ascii="Calibri" w:hAnsi="Calibri"/>
          <w:i/>
          <w:sz w:val="22"/>
        </w:rPr>
        <w:t>Medio Ambiente, 16,  </w:t>
      </w:r>
      <w:r>
        <w:rPr>
          <w:rFonts w:ascii="Calibri" w:hAnsi="Calibri"/>
          <w:sz w:val="22"/>
        </w:rPr>
        <w:t>15-21.</w:t>
      </w:r>
    </w:p>
    <w:p>
      <w:pPr>
        <w:pStyle w:val="BodyText"/>
        <w:spacing w:before="10"/>
        <w:rPr>
          <w:rFonts w:ascii="Calibri"/>
          <w:sz w:val="23"/>
        </w:rPr>
      </w:pPr>
    </w:p>
    <w:p>
      <w:pPr>
        <w:spacing w:before="0"/>
        <w:ind w:left="105" w:right="0" w:firstLine="0"/>
        <w:jc w:val="left"/>
        <w:rPr>
          <w:rFonts w:ascii="Calibri" w:hAnsi="Calibri"/>
          <w:sz w:val="22"/>
        </w:rPr>
      </w:pPr>
      <w:r>
        <w:rPr>
          <w:rFonts w:ascii="Calibri" w:hAnsi="Calibri"/>
          <w:sz w:val="22"/>
        </w:rPr>
        <w:t>Alvira, F. (1996). </w:t>
      </w:r>
      <w:r>
        <w:rPr>
          <w:rFonts w:ascii="Calibri" w:hAnsi="Calibri"/>
          <w:i/>
          <w:sz w:val="22"/>
        </w:rPr>
        <w:t>El análisis de la realidad social. Métodos y técnicas de investigación</w:t>
      </w:r>
      <w:r>
        <w:rPr>
          <w:rFonts w:ascii="Calibri" w:hAnsi="Calibri"/>
          <w:sz w:val="22"/>
        </w:rPr>
        <w:t>. Madrid.</w:t>
      </w:r>
    </w:p>
    <w:p>
      <w:pPr>
        <w:pStyle w:val="BodyText"/>
        <w:rPr>
          <w:rFonts w:ascii="Calibri"/>
          <w:sz w:val="22"/>
        </w:rPr>
      </w:pPr>
    </w:p>
    <w:p>
      <w:pPr>
        <w:spacing w:line="350" w:lineRule="auto" w:before="151"/>
        <w:ind w:left="825" w:right="0" w:hanging="721"/>
        <w:jc w:val="left"/>
        <w:rPr>
          <w:rFonts w:ascii="Calibri" w:hAnsi="Calibri"/>
          <w:sz w:val="22"/>
        </w:rPr>
      </w:pPr>
      <w:r>
        <w:rPr>
          <w:rFonts w:ascii="Calibri" w:hAnsi="Calibri"/>
          <w:sz w:val="22"/>
        </w:rPr>
        <w:t>Arciniégas, S., César Augusto. (2012). Diagnóstico y control de material particulado: Partículas suspendidas totales y fracciones respirables PM10. </w:t>
      </w:r>
      <w:r>
        <w:rPr>
          <w:rFonts w:ascii="Calibri" w:hAnsi="Calibri"/>
          <w:i/>
          <w:sz w:val="22"/>
        </w:rPr>
        <w:t>Luna Azul, 34,   </w:t>
      </w:r>
      <w:r>
        <w:rPr>
          <w:rFonts w:ascii="Calibri" w:hAnsi="Calibri"/>
          <w:sz w:val="22"/>
        </w:rPr>
        <w:t>195-213.</w:t>
      </w:r>
    </w:p>
    <w:p>
      <w:pPr>
        <w:pStyle w:val="BodyText"/>
        <w:spacing w:before="11"/>
        <w:rPr>
          <w:rFonts w:ascii="Calibri"/>
        </w:rPr>
      </w:pPr>
    </w:p>
    <w:p>
      <w:pPr>
        <w:spacing w:line="360" w:lineRule="auto" w:before="0"/>
        <w:ind w:left="825" w:right="0" w:hanging="721"/>
        <w:jc w:val="left"/>
        <w:rPr>
          <w:rFonts w:ascii="Calibri"/>
          <w:sz w:val="22"/>
        </w:rPr>
      </w:pPr>
      <w:r>
        <w:rPr>
          <w:rFonts w:ascii="Calibri"/>
          <w:sz w:val="22"/>
        </w:rPr>
        <w:t>Ashworth, D. C., Fuller, G. W., Toledano, M. B., Font, A., Elliott, P., Hansell, A. L., &amp; De Hoogh, K. (2013). Comparative assessment of particulate air pollution exposure from municipal solid waste incinerator emissions. </w:t>
      </w:r>
      <w:r>
        <w:rPr>
          <w:rFonts w:ascii="Calibri"/>
          <w:i/>
          <w:sz w:val="22"/>
        </w:rPr>
        <w:t>Journal of Environmental and Public Health, 2013</w:t>
      </w:r>
      <w:r>
        <w:rPr>
          <w:rFonts w:ascii="Calibri"/>
          <w:sz w:val="22"/>
        </w:rPr>
        <w:t>. doi: 10.1155/2013/560342</w:t>
      </w:r>
    </w:p>
    <w:p>
      <w:pPr>
        <w:pStyle w:val="BodyText"/>
        <w:spacing w:before="8"/>
        <w:rPr>
          <w:rFonts w:ascii="Calibri"/>
          <w:sz w:val="22"/>
        </w:rPr>
      </w:pPr>
    </w:p>
    <w:p>
      <w:pPr>
        <w:spacing w:line="360" w:lineRule="auto" w:before="0"/>
        <w:ind w:left="825" w:right="164" w:hanging="721"/>
        <w:jc w:val="left"/>
        <w:rPr>
          <w:rFonts w:ascii="Calibri"/>
          <w:sz w:val="22"/>
        </w:rPr>
      </w:pPr>
      <w:r>
        <w:rPr>
          <w:rFonts w:ascii="Calibri"/>
          <w:sz w:val="22"/>
        </w:rPr>
        <w:t>Auras, M., Beer, S., Bundschuh, P., Eichhorn, J., Mach, M., Scheuvens, D., . . . Weinbruch, S. (2013). Traffic-related immissions and their impact on historic buildings: Implications from a pilot study at two German cities. </w:t>
      </w:r>
      <w:r>
        <w:rPr>
          <w:rFonts w:ascii="Calibri"/>
          <w:i/>
          <w:sz w:val="22"/>
        </w:rPr>
        <w:t>Environmental Earth Sciences, 69</w:t>
      </w:r>
      <w:r>
        <w:rPr>
          <w:rFonts w:ascii="Calibri"/>
          <w:sz w:val="22"/>
        </w:rPr>
        <w:t>(4), 1135-1147. doi: 10.1007/s12665-013-2276-4</w:t>
      </w:r>
    </w:p>
    <w:p>
      <w:pPr>
        <w:pStyle w:val="BodyText"/>
        <w:spacing w:before="4"/>
        <w:rPr>
          <w:rFonts w:ascii="Calibri"/>
          <w:sz w:val="23"/>
        </w:rPr>
      </w:pPr>
    </w:p>
    <w:p>
      <w:pPr>
        <w:spacing w:line="350" w:lineRule="auto" w:before="0"/>
        <w:ind w:left="825" w:right="0" w:hanging="721"/>
        <w:jc w:val="left"/>
        <w:rPr>
          <w:rFonts w:ascii="Calibri" w:hAnsi="Calibri"/>
          <w:sz w:val="22"/>
        </w:rPr>
      </w:pPr>
      <w:r>
        <w:rPr>
          <w:rFonts w:ascii="Calibri" w:hAnsi="Calibri"/>
          <w:sz w:val="22"/>
        </w:rPr>
        <w:t>Barón, L., A. (2003). Modelos Geoespaciales de la distribución de las variables climatológicas en el territorio  colombiano.  </w:t>
      </w:r>
      <w:r>
        <w:rPr>
          <w:rFonts w:ascii="Calibri" w:hAnsi="Calibri"/>
          <w:i/>
          <w:sz w:val="22"/>
        </w:rPr>
        <w:t>Meteorología  Colombiana, 7, </w:t>
      </w:r>
      <w:r>
        <w:rPr>
          <w:rFonts w:ascii="Calibri" w:hAnsi="Calibri"/>
          <w:sz w:val="22"/>
        </w:rPr>
        <w:t>81-89.</w:t>
      </w:r>
    </w:p>
    <w:p>
      <w:pPr>
        <w:pStyle w:val="BodyText"/>
        <w:spacing w:before="2"/>
        <w:rPr>
          <w:rFonts w:ascii="Calibri"/>
        </w:rPr>
      </w:pPr>
    </w:p>
    <w:p>
      <w:pPr>
        <w:spacing w:line="362" w:lineRule="auto" w:before="0"/>
        <w:ind w:left="825" w:right="206" w:hanging="721"/>
        <w:jc w:val="both"/>
        <w:rPr>
          <w:rFonts w:ascii="Calibri"/>
          <w:sz w:val="22"/>
        </w:rPr>
      </w:pPr>
      <w:r>
        <w:rPr>
          <w:rFonts w:ascii="Calibri"/>
          <w:spacing w:val="-4"/>
          <w:sz w:val="22"/>
        </w:rPr>
        <w:t>Benas, N., </w:t>
      </w:r>
      <w:r>
        <w:rPr>
          <w:rFonts w:ascii="Calibri"/>
          <w:spacing w:val="-3"/>
          <w:sz w:val="22"/>
        </w:rPr>
        <w:t>Beloconi, </w:t>
      </w:r>
      <w:r>
        <w:rPr>
          <w:rFonts w:ascii="Calibri"/>
          <w:sz w:val="22"/>
        </w:rPr>
        <w:t>A., &amp; </w:t>
      </w:r>
      <w:r>
        <w:rPr>
          <w:rFonts w:ascii="Calibri"/>
          <w:spacing w:val="-3"/>
          <w:sz w:val="22"/>
        </w:rPr>
        <w:t>Chrysoulakis, </w:t>
      </w:r>
      <w:r>
        <w:rPr>
          <w:rFonts w:ascii="Calibri"/>
          <w:spacing w:val="-5"/>
          <w:sz w:val="22"/>
        </w:rPr>
        <w:t>N. </w:t>
      </w:r>
      <w:r>
        <w:rPr>
          <w:rFonts w:ascii="Calibri"/>
          <w:sz w:val="22"/>
        </w:rPr>
        <w:t>(2013). </w:t>
      </w:r>
      <w:r>
        <w:rPr>
          <w:rFonts w:ascii="Calibri"/>
          <w:spacing w:val="-3"/>
          <w:sz w:val="22"/>
        </w:rPr>
        <w:t>Estimation </w:t>
      </w:r>
      <w:r>
        <w:rPr>
          <w:rFonts w:ascii="Calibri"/>
          <w:spacing w:val="-4"/>
          <w:sz w:val="22"/>
        </w:rPr>
        <w:t>of </w:t>
      </w:r>
      <w:r>
        <w:rPr>
          <w:rFonts w:ascii="Calibri"/>
          <w:spacing w:val="-3"/>
          <w:sz w:val="22"/>
        </w:rPr>
        <w:t>urban </w:t>
      </w:r>
      <w:r>
        <w:rPr>
          <w:rFonts w:ascii="Calibri"/>
          <w:sz w:val="22"/>
        </w:rPr>
        <w:t>PM10 </w:t>
      </w:r>
      <w:r>
        <w:rPr>
          <w:rFonts w:ascii="Calibri"/>
          <w:spacing w:val="-3"/>
          <w:sz w:val="22"/>
        </w:rPr>
        <w:t>concentration, based  </w:t>
      </w:r>
      <w:r>
        <w:rPr>
          <w:rFonts w:ascii="Calibri"/>
          <w:spacing w:val="-4"/>
          <w:sz w:val="22"/>
        </w:rPr>
        <w:t>on </w:t>
      </w:r>
      <w:r>
        <w:rPr>
          <w:rFonts w:ascii="Calibri"/>
          <w:sz w:val="22"/>
        </w:rPr>
        <w:t>MODIS and </w:t>
      </w:r>
      <w:r>
        <w:rPr>
          <w:rFonts w:ascii="Calibri"/>
          <w:spacing w:val="-3"/>
          <w:sz w:val="22"/>
        </w:rPr>
        <w:t>MERIS/AATSR </w:t>
      </w:r>
      <w:r>
        <w:rPr>
          <w:rFonts w:ascii="Calibri"/>
          <w:sz w:val="22"/>
        </w:rPr>
        <w:t>synergistic </w:t>
      </w:r>
      <w:r>
        <w:rPr>
          <w:rFonts w:ascii="Calibri"/>
          <w:spacing w:val="-3"/>
          <w:sz w:val="22"/>
        </w:rPr>
        <w:t>observations. </w:t>
      </w:r>
      <w:r>
        <w:rPr>
          <w:rFonts w:ascii="Calibri"/>
          <w:i/>
          <w:spacing w:val="-3"/>
          <w:sz w:val="22"/>
        </w:rPr>
        <w:t>Atmospheric Environment, </w:t>
      </w:r>
      <w:r>
        <w:rPr>
          <w:rFonts w:ascii="Calibri"/>
          <w:i/>
          <w:sz w:val="22"/>
        </w:rPr>
        <w:t>79</w:t>
      </w:r>
      <w:r>
        <w:rPr>
          <w:rFonts w:ascii="Calibri"/>
          <w:sz w:val="22"/>
        </w:rPr>
        <w:t>, 448- 454.  </w:t>
      </w:r>
      <w:r>
        <w:rPr>
          <w:rFonts w:ascii="Calibri"/>
          <w:spacing w:val="-3"/>
          <w:sz w:val="22"/>
        </w:rPr>
        <w:t>doi:</w:t>
      </w:r>
      <w:r>
        <w:rPr>
          <w:rFonts w:ascii="Calibri"/>
          <w:spacing w:val="33"/>
          <w:sz w:val="22"/>
        </w:rPr>
        <w:t> </w:t>
      </w:r>
      <w:r>
        <w:rPr>
          <w:rFonts w:ascii="Calibri"/>
          <w:spacing w:val="-3"/>
          <w:sz w:val="22"/>
        </w:rPr>
        <w:t>10.1016/j.atmosenv.2013.07.012</w:t>
      </w:r>
    </w:p>
    <w:p>
      <w:pPr>
        <w:pStyle w:val="BodyText"/>
        <w:spacing w:before="6"/>
        <w:rPr>
          <w:rFonts w:ascii="Calibri"/>
          <w:sz w:val="22"/>
        </w:rPr>
      </w:pPr>
    </w:p>
    <w:p>
      <w:pPr>
        <w:spacing w:line="357" w:lineRule="auto" w:before="0"/>
        <w:ind w:left="825" w:right="0" w:hanging="721"/>
        <w:jc w:val="left"/>
        <w:rPr>
          <w:rFonts w:ascii="Calibri" w:hAnsi="Calibri"/>
          <w:sz w:val="22"/>
        </w:rPr>
      </w:pPr>
      <w:r>
        <w:rPr>
          <w:rFonts w:ascii="Calibri" w:hAnsi="Calibri"/>
          <w:sz w:val="22"/>
        </w:rPr>
        <w:t>Botero, S. (2004). Contaminación por partículas suspendidas totales en las comunas 6 y 7 de Cali, Colombia. </w:t>
      </w:r>
      <w:r>
        <w:rPr>
          <w:rFonts w:ascii="Calibri" w:hAnsi="Calibri"/>
          <w:i/>
          <w:sz w:val="22"/>
        </w:rPr>
        <w:t>Ingeniería de Recursos Naturales y del Ambiente, 1,   </w:t>
      </w:r>
      <w:r>
        <w:rPr>
          <w:rFonts w:ascii="Calibri" w:hAnsi="Calibri"/>
          <w:sz w:val="22"/>
        </w:rPr>
        <w:t>24-32.</w:t>
      </w:r>
    </w:p>
    <w:p>
      <w:pPr>
        <w:spacing w:after="0" w:line="357" w:lineRule="auto"/>
        <w:jc w:val="left"/>
        <w:rPr>
          <w:rFonts w:ascii="Calibri" w:hAnsi="Calibri"/>
          <w:sz w:val="22"/>
        </w:rPr>
        <w:sectPr>
          <w:footerReference w:type="default" r:id="rId55"/>
          <w:pgSz w:w="12240" w:h="15840"/>
          <w:pgMar w:footer="1001" w:header="0" w:top="1360" w:bottom="1200" w:left="1600" w:right="1580"/>
          <w:pgNumType w:start="91"/>
        </w:sectPr>
      </w:pPr>
    </w:p>
    <w:p>
      <w:pPr>
        <w:spacing w:line="364" w:lineRule="auto" w:before="47"/>
        <w:ind w:left="825" w:right="0" w:hanging="721"/>
        <w:jc w:val="left"/>
        <w:rPr>
          <w:rFonts w:ascii="Calibri" w:hAnsi="Calibri"/>
          <w:sz w:val="22"/>
        </w:rPr>
      </w:pPr>
      <w:r>
        <w:rPr>
          <w:rFonts w:ascii="Calibri" w:hAnsi="Calibri"/>
          <w:sz w:val="22"/>
        </w:rPr>
        <w:t>Campos, A. (2006). </w:t>
      </w:r>
      <w:r>
        <w:rPr>
          <w:rFonts w:ascii="Calibri" w:hAnsi="Calibri"/>
          <w:i/>
          <w:sz w:val="22"/>
        </w:rPr>
        <w:t>Evaluación de partículas atmosféricas pst y pm10 en la ciudad de chihuahua, </w:t>
      </w:r>
      <w:r>
        <w:rPr>
          <w:rFonts w:ascii="Calibri" w:hAnsi="Calibri"/>
          <w:i/>
          <w:sz w:val="22"/>
        </w:rPr>
        <w:t>méxico: niveles de concentración. </w:t>
      </w:r>
      <w:r>
        <w:rPr>
          <w:rFonts w:ascii="Calibri" w:hAnsi="Calibri"/>
          <w:sz w:val="22"/>
        </w:rPr>
        <w:t>(Doctorado), Universidad Autónoma de Chihuahua, México.</w:t>
      </w:r>
    </w:p>
    <w:p>
      <w:pPr>
        <w:pStyle w:val="BodyText"/>
        <w:spacing w:before="3"/>
        <w:rPr>
          <w:rFonts w:ascii="Calibri"/>
          <w:sz w:val="22"/>
        </w:rPr>
      </w:pPr>
    </w:p>
    <w:p>
      <w:pPr>
        <w:spacing w:line="364" w:lineRule="auto" w:before="0"/>
        <w:ind w:left="825" w:right="0" w:hanging="721"/>
        <w:jc w:val="left"/>
        <w:rPr>
          <w:rFonts w:ascii="Calibri" w:hAnsi="Calibri"/>
          <w:sz w:val="22"/>
        </w:rPr>
      </w:pPr>
      <w:r>
        <w:rPr>
          <w:rFonts w:ascii="Calibri" w:hAnsi="Calibri"/>
          <w:sz w:val="22"/>
        </w:rPr>
        <w:t>CCA. (2008). Partículas suspendidas. El mosaico de América del Norte: panorama de los problemas ambientales  más relevantes.</w:t>
      </w:r>
    </w:p>
    <w:p>
      <w:pPr>
        <w:pStyle w:val="BodyText"/>
        <w:spacing w:before="3"/>
        <w:rPr>
          <w:rFonts w:ascii="Calibri"/>
          <w:sz w:val="22"/>
        </w:rPr>
      </w:pPr>
    </w:p>
    <w:p>
      <w:pPr>
        <w:spacing w:line="357" w:lineRule="auto" w:before="0"/>
        <w:ind w:left="825" w:right="0" w:hanging="721"/>
        <w:jc w:val="left"/>
        <w:rPr>
          <w:rFonts w:ascii="Calibri"/>
          <w:sz w:val="22"/>
        </w:rPr>
      </w:pPr>
      <w:r>
        <w:rPr>
          <w:rFonts w:ascii="Calibri"/>
          <w:sz w:val="22"/>
        </w:rPr>
        <w:t>Chan, Y., Simpson, R., Mctainsh, G., Vowles, P., &amp; Cohen, D. (1999). Source apportionment of visibility degradation problems in Brisbane (Australia) using the multiple linear regression techniques  </w:t>
      </w:r>
      <w:r>
        <w:rPr>
          <w:rFonts w:ascii="Calibri"/>
          <w:i/>
          <w:sz w:val="22"/>
        </w:rPr>
        <w:t>Atmospheric  Enviromment, </w:t>
      </w:r>
      <w:r>
        <w:rPr>
          <w:rFonts w:ascii="Calibri"/>
          <w:sz w:val="22"/>
        </w:rPr>
        <w:t>3227-3250.</w:t>
      </w:r>
    </w:p>
    <w:p>
      <w:pPr>
        <w:pStyle w:val="BodyText"/>
        <w:spacing w:before="7"/>
        <w:rPr>
          <w:rFonts w:ascii="Calibri"/>
          <w:sz w:val="23"/>
        </w:rPr>
      </w:pPr>
    </w:p>
    <w:p>
      <w:pPr>
        <w:spacing w:before="0"/>
        <w:ind w:left="105" w:right="0" w:firstLine="0"/>
        <w:jc w:val="left"/>
        <w:rPr>
          <w:rFonts w:ascii="Calibri"/>
          <w:sz w:val="22"/>
        </w:rPr>
      </w:pPr>
      <w:r>
        <w:rPr>
          <w:rFonts w:ascii="Calibri"/>
          <w:sz w:val="22"/>
        </w:rPr>
        <w:t>Chan, Y. C., Simpson, R. W., Mctainsh, G. H., Vowles, P. D.,   Cohen, D. D., &amp; Bailey, G. M. (1999).</w:t>
      </w:r>
    </w:p>
    <w:p>
      <w:pPr>
        <w:spacing w:line="357" w:lineRule="auto" w:before="131"/>
        <w:ind w:left="825" w:right="0" w:firstLine="0"/>
        <w:jc w:val="left"/>
        <w:rPr>
          <w:rFonts w:ascii="Calibri"/>
          <w:sz w:val="22"/>
        </w:rPr>
      </w:pPr>
      <w:r>
        <w:rPr>
          <w:rFonts w:ascii="Calibri"/>
          <w:sz w:val="22"/>
        </w:rPr>
        <w:t>Source apportionment of visibility degradation problems in Brisbane (Australia) using the multiple linear regression techniques </w:t>
      </w:r>
      <w:r>
        <w:rPr>
          <w:rFonts w:ascii="Calibri"/>
          <w:i/>
          <w:sz w:val="22"/>
        </w:rPr>
        <w:t>Atmospheric Enviromment,  </w:t>
      </w:r>
      <w:r>
        <w:rPr>
          <w:rFonts w:ascii="Calibri"/>
          <w:sz w:val="22"/>
        </w:rPr>
        <w:t>3227-3250.</w:t>
      </w:r>
    </w:p>
    <w:p>
      <w:pPr>
        <w:pStyle w:val="BodyText"/>
        <w:spacing w:before="11"/>
        <w:rPr>
          <w:rFonts w:ascii="Calibri"/>
          <w:sz w:val="22"/>
        </w:rPr>
      </w:pPr>
    </w:p>
    <w:p>
      <w:pPr>
        <w:spacing w:line="607" w:lineRule="auto" w:before="1"/>
        <w:ind w:left="105" w:right="2027" w:firstLine="0"/>
        <w:jc w:val="left"/>
        <w:rPr>
          <w:rFonts w:ascii="Calibri" w:hAnsi="Calibri"/>
          <w:sz w:val="22"/>
        </w:rPr>
      </w:pPr>
      <w:r>
        <w:rPr>
          <w:rFonts w:ascii="Calibri" w:hAnsi="Calibri"/>
          <w:sz w:val="22"/>
        </w:rPr>
        <w:t>Contrerás, L. (2013). Confirman mala calidad del Valle de Toluca. </w:t>
      </w:r>
      <w:r>
        <w:rPr>
          <w:rFonts w:ascii="Calibri" w:hAnsi="Calibri"/>
          <w:i/>
          <w:sz w:val="22"/>
        </w:rPr>
        <w:t>Portal, </w:t>
      </w:r>
      <w:r>
        <w:rPr>
          <w:rFonts w:ascii="Calibri" w:hAnsi="Calibri"/>
          <w:sz w:val="22"/>
        </w:rPr>
        <w:t>p. 6. Dickson, T. R. (2003). </w:t>
      </w:r>
      <w:r>
        <w:rPr>
          <w:rFonts w:ascii="Calibri" w:hAnsi="Calibri"/>
          <w:i/>
          <w:sz w:val="22"/>
        </w:rPr>
        <w:t>Química enfoque ecológico </w:t>
      </w:r>
      <w:r>
        <w:rPr>
          <w:rFonts w:ascii="Calibri" w:hAnsi="Calibri"/>
          <w:sz w:val="22"/>
        </w:rPr>
        <w:t>(LIMUSA Ed.). México, D.   F.</w:t>
      </w:r>
    </w:p>
    <w:p>
      <w:pPr>
        <w:spacing w:line="362" w:lineRule="auto" w:before="8"/>
        <w:ind w:left="825" w:right="164" w:hanging="721"/>
        <w:jc w:val="left"/>
        <w:rPr>
          <w:rFonts w:ascii="Calibri" w:hAnsi="Calibri"/>
          <w:sz w:val="22"/>
        </w:rPr>
      </w:pPr>
      <w:r>
        <w:rPr>
          <w:rFonts w:ascii="Calibri" w:hAnsi="Calibri"/>
          <w:sz w:val="22"/>
        </w:rPr>
        <w:t>DOF. (1998). </w:t>
      </w:r>
      <w:r>
        <w:rPr>
          <w:rFonts w:ascii="Calibri" w:hAnsi="Calibri"/>
          <w:i/>
          <w:sz w:val="22"/>
        </w:rPr>
        <w:t>Reglamento de la Ley General del Equilibrio Ecológico y Protección al ambiente en </w:t>
      </w:r>
      <w:r>
        <w:rPr>
          <w:rFonts w:ascii="Calibri" w:hAnsi="Calibri"/>
          <w:i/>
          <w:sz w:val="22"/>
        </w:rPr>
        <w:t>Materia de Prevención y Control de la Contaminación Atmosférica</w:t>
      </w:r>
      <w:r>
        <w:rPr>
          <w:rFonts w:ascii="Calibri" w:hAnsi="Calibri"/>
          <w:sz w:val="22"/>
        </w:rPr>
        <w:t>. México: Diario Oficial de la Federación.</w:t>
      </w:r>
    </w:p>
    <w:p>
      <w:pPr>
        <w:pStyle w:val="BodyText"/>
        <w:spacing w:before="6"/>
        <w:rPr>
          <w:rFonts w:ascii="Calibri"/>
          <w:sz w:val="22"/>
        </w:rPr>
      </w:pPr>
    </w:p>
    <w:p>
      <w:pPr>
        <w:spacing w:line="607" w:lineRule="auto" w:before="0"/>
        <w:ind w:left="105" w:right="1131" w:firstLine="0"/>
        <w:jc w:val="left"/>
        <w:rPr>
          <w:rFonts w:ascii="Calibri" w:hAnsi="Calibri"/>
          <w:sz w:val="22"/>
        </w:rPr>
      </w:pPr>
      <w:r>
        <w:rPr>
          <w:rFonts w:ascii="Calibri" w:hAnsi="Calibri"/>
          <w:spacing w:val="-3"/>
          <w:sz w:val="22"/>
        </w:rPr>
        <w:t>Díaz Viera, </w:t>
      </w:r>
      <w:r>
        <w:rPr>
          <w:rFonts w:ascii="Calibri" w:hAnsi="Calibri"/>
          <w:sz w:val="22"/>
        </w:rPr>
        <w:t>M. </w:t>
      </w:r>
      <w:r>
        <w:rPr>
          <w:rFonts w:ascii="Calibri" w:hAnsi="Calibri"/>
          <w:spacing w:val="-3"/>
          <w:sz w:val="22"/>
        </w:rPr>
        <w:t>(2002). </w:t>
      </w:r>
      <w:r>
        <w:rPr>
          <w:rFonts w:ascii="Calibri" w:hAnsi="Calibri"/>
          <w:i/>
          <w:spacing w:val="-3"/>
          <w:sz w:val="22"/>
        </w:rPr>
        <w:t>Geostadística </w:t>
      </w:r>
      <w:r>
        <w:rPr>
          <w:rFonts w:ascii="Calibri" w:hAnsi="Calibri"/>
          <w:i/>
          <w:sz w:val="22"/>
        </w:rPr>
        <w:t>Aplicada </w:t>
      </w:r>
      <w:r>
        <w:rPr>
          <w:rFonts w:ascii="Calibri" w:hAnsi="Calibri"/>
          <w:sz w:val="22"/>
        </w:rPr>
        <w:t>(UNAM Ed.): Instituto de Geofísica </w:t>
      </w:r>
      <w:r>
        <w:rPr>
          <w:rFonts w:ascii="Calibri" w:hAnsi="Calibri"/>
          <w:spacing w:val="-4"/>
          <w:sz w:val="22"/>
        </w:rPr>
        <w:t>UNAM. </w:t>
      </w:r>
      <w:r>
        <w:rPr>
          <w:rFonts w:ascii="Calibri" w:hAnsi="Calibri"/>
          <w:spacing w:val="-3"/>
          <w:sz w:val="22"/>
        </w:rPr>
        <w:t>ENCC. (2013). </w:t>
      </w:r>
      <w:r>
        <w:rPr>
          <w:rFonts w:ascii="Calibri" w:hAnsi="Calibri"/>
          <w:i/>
          <w:sz w:val="22"/>
        </w:rPr>
        <w:t>Estrategia Nacional de </w:t>
      </w:r>
      <w:r>
        <w:rPr>
          <w:rFonts w:ascii="Calibri" w:hAnsi="Calibri"/>
          <w:i/>
          <w:spacing w:val="-2"/>
          <w:sz w:val="22"/>
        </w:rPr>
        <w:t>Cambio </w:t>
      </w:r>
      <w:r>
        <w:rPr>
          <w:rFonts w:ascii="Calibri" w:hAnsi="Calibri"/>
          <w:i/>
          <w:sz w:val="22"/>
        </w:rPr>
        <w:t>Climático 10-20-40</w:t>
      </w:r>
      <w:r>
        <w:rPr>
          <w:rFonts w:ascii="Calibri" w:hAnsi="Calibri"/>
          <w:sz w:val="22"/>
        </w:rPr>
        <w:t>.  </w:t>
      </w:r>
      <w:r>
        <w:rPr>
          <w:rFonts w:ascii="Calibri" w:hAnsi="Calibri"/>
          <w:spacing w:val="-4"/>
          <w:sz w:val="22"/>
        </w:rPr>
        <w:t>México.</w:t>
      </w:r>
    </w:p>
    <w:p>
      <w:pPr>
        <w:spacing w:line="357" w:lineRule="auto" w:before="10"/>
        <w:ind w:left="825" w:right="378" w:hanging="721"/>
        <w:jc w:val="left"/>
        <w:rPr>
          <w:rFonts w:ascii="Calibri"/>
          <w:sz w:val="22"/>
        </w:rPr>
      </w:pPr>
      <w:r>
        <w:rPr>
          <w:rFonts w:ascii="Calibri"/>
          <w:position w:val="3"/>
          <w:sz w:val="22"/>
        </w:rPr>
        <w:t>Flores, M., &amp; Shukula, K. (2011). </w:t>
      </w:r>
      <w:r>
        <w:rPr>
          <w:rFonts w:ascii="Calibri"/>
          <w:sz w:val="14"/>
        </w:rPr>
        <w:t>Particulate matter dispersed by vehicles on unpaved roads </w:t>
      </w:r>
      <w:r>
        <w:rPr>
          <w:rFonts w:ascii="Calibri"/>
          <w:position w:val="3"/>
          <w:sz w:val="22"/>
        </w:rPr>
        <w:t>In H. Knudsen &amp; N. </w:t>
      </w:r>
      <w:r>
        <w:rPr>
          <w:rFonts w:ascii="Calibri"/>
          <w:sz w:val="22"/>
        </w:rPr>
        <w:t>Rasmussen (Eds.), </w:t>
      </w:r>
      <w:r>
        <w:rPr>
          <w:rFonts w:ascii="Calibri"/>
          <w:i/>
          <w:sz w:val="22"/>
        </w:rPr>
        <w:t>Particulate Matter: Sources, Emission Rates and Health Effects </w:t>
      </w:r>
      <w:r>
        <w:rPr>
          <w:rFonts w:ascii="Calibri"/>
          <w:sz w:val="22"/>
        </w:rPr>
        <w:t>(pp. 1- 23): Nova.</w:t>
      </w:r>
    </w:p>
    <w:p>
      <w:pPr>
        <w:pStyle w:val="BodyText"/>
        <w:spacing w:before="7"/>
        <w:rPr>
          <w:rFonts w:ascii="Calibri"/>
          <w:sz w:val="23"/>
        </w:rPr>
      </w:pPr>
    </w:p>
    <w:p>
      <w:pPr>
        <w:spacing w:line="352" w:lineRule="auto" w:before="0"/>
        <w:ind w:left="825" w:right="378" w:hanging="721"/>
        <w:jc w:val="left"/>
        <w:rPr>
          <w:rFonts w:ascii="Calibri" w:hAnsi="Calibri"/>
          <w:sz w:val="22"/>
        </w:rPr>
      </w:pPr>
      <w:r>
        <w:rPr>
          <w:rFonts w:ascii="Calibri" w:hAnsi="Calibri"/>
          <w:spacing w:val="-3"/>
          <w:sz w:val="22"/>
        </w:rPr>
        <w:t>Flores, </w:t>
      </w:r>
      <w:r>
        <w:rPr>
          <w:rFonts w:ascii="Calibri" w:hAnsi="Calibri"/>
          <w:sz w:val="22"/>
        </w:rPr>
        <w:t>R., </w:t>
      </w:r>
      <w:r>
        <w:rPr>
          <w:rFonts w:ascii="Calibri" w:hAnsi="Calibri"/>
          <w:spacing w:val="-3"/>
          <w:sz w:val="22"/>
        </w:rPr>
        <w:t>Jesús </w:t>
      </w:r>
      <w:r>
        <w:rPr>
          <w:rFonts w:ascii="Calibri" w:hAnsi="Calibri"/>
          <w:sz w:val="22"/>
        </w:rPr>
        <w:t>Hernán, </w:t>
      </w:r>
      <w:r>
        <w:rPr>
          <w:rFonts w:ascii="Calibri" w:hAnsi="Calibri"/>
          <w:spacing w:val="-3"/>
          <w:sz w:val="22"/>
        </w:rPr>
        <w:t>Peña, G., Pablo, </w:t>
      </w:r>
      <w:r>
        <w:rPr>
          <w:rFonts w:ascii="Calibri" w:hAnsi="Calibri"/>
          <w:sz w:val="22"/>
        </w:rPr>
        <w:t>Madrigal, </w:t>
      </w:r>
      <w:r>
        <w:rPr>
          <w:rFonts w:ascii="Calibri" w:hAnsi="Calibri"/>
          <w:spacing w:val="-3"/>
          <w:sz w:val="22"/>
        </w:rPr>
        <w:t>U., Delfino, </w:t>
      </w:r>
      <w:r>
        <w:rPr>
          <w:rFonts w:ascii="Calibri" w:hAnsi="Calibri"/>
          <w:sz w:val="22"/>
        </w:rPr>
        <w:t>Ramos, </w:t>
      </w:r>
      <w:r>
        <w:rPr>
          <w:rFonts w:ascii="Calibri" w:hAnsi="Calibri"/>
          <w:spacing w:val="-3"/>
          <w:sz w:val="22"/>
        </w:rPr>
        <w:t>C., </w:t>
      </w:r>
      <w:r>
        <w:rPr>
          <w:rFonts w:ascii="Calibri" w:hAnsi="Calibri"/>
          <w:spacing w:val="-4"/>
          <w:sz w:val="22"/>
        </w:rPr>
        <w:t>Leonardo, López, </w:t>
      </w:r>
      <w:r>
        <w:rPr>
          <w:rFonts w:ascii="Calibri" w:hAnsi="Calibri"/>
          <w:sz w:val="22"/>
        </w:rPr>
        <w:t>M. A.,   &amp; </w:t>
      </w:r>
      <w:r>
        <w:rPr>
          <w:rFonts w:ascii="Calibri" w:hAnsi="Calibri"/>
          <w:spacing w:val="-3"/>
          <w:sz w:val="22"/>
        </w:rPr>
        <w:t>Morales, </w:t>
      </w:r>
      <w:r>
        <w:rPr>
          <w:rFonts w:ascii="Calibri" w:hAnsi="Calibri"/>
          <w:sz w:val="22"/>
        </w:rPr>
        <w:t>M., </w:t>
      </w:r>
      <w:r>
        <w:rPr>
          <w:rFonts w:ascii="Calibri" w:hAnsi="Calibri"/>
          <w:spacing w:val="-3"/>
          <w:sz w:val="22"/>
        </w:rPr>
        <w:t>José. (2010). Estimación </w:t>
      </w:r>
      <w:r>
        <w:rPr>
          <w:rFonts w:ascii="Calibri" w:hAnsi="Calibri"/>
          <w:spacing w:val="-2"/>
          <w:sz w:val="22"/>
        </w:rPr>
        <w:t>del </w:t>
      </w:r>
      <w:r>
        <w:rPr>
          <w:rFonts w:ascii="Calibri" w:hAnsi="Calibri"/>
          <w:sz w:val="22"/>
        </w:rPr>
        <w:t>riesgo a la </w:t>
      </w:r>
      <w:r>
        <w:rPr>
          <w:rFonts w:ascii="Calibri" w:hAnsi="Calibri"/>
          <w:spacing w:val="-3"/>
          <w:sz w:val="22"/>
        </w:rPr>
        <w:t>exposición </w:t>
      </w:r>
      <w:r>
        <w:rPr>
          <w:rFonts w:ascii="Calibri" w:hAnsi="Calibri"/>
          <w:sz w:val="22"/>
        </w:rPr>
        <w:t>de </w:t>
      </w:r>
      <w:r>
        <w:rPr>
          <w:rFonts w:ascii="Calibri" w:hAnsi="Calibri"/>
          <w:spacing w:val="-3"/>
          <w:sz w:val="22"/>
        </w:rPr>
        <w:t>partículas  suspendidas </w:t>
      </w:r>
      <w:r>
        <w:rPr>
          <w:rFonts w:ascii="Calibri" w:hAnsi="Calibri"/>
          <w:spacing w:val="-4"/>
          <w:sz w:val="22"/>
        </w:rPr>
        <w:t>en el </w:t>
      </w:r>
      <w:r>
        <w:rPr>
          <w:rFonts w:ascii="Calibri" w:hAnsi="Calibri"/>
          <w:sz w:val="22"/>
        </w:rPr>
        <w:t>Valle de Toluca. </w:t>
      </w:r>
      <w:r>
        <w:rPr>
          <w:rFonts w:ascii="Calibri" w:hAnsi="Calibri"/>
          <w:i/>
          <w:sz w:val="22"/>
        </w:rPr>
        <w:t>Ciencia y Ergo Sum, 17, </w:t>
      </w:r>
      <w:r>
        <w:rPr>
          <w:rFonts w:ascii="Calibri" w:hAnsi="Calibri"/>
          <w:i/>
          <w:spacing w:val="8"/>
          <w:sz w:val="22"/>
        </w:rPr>
        <w:t> </w:t>
      </w:r>
      <w:r>
        <w:rPr>
          <w:rFonts w:ascii="Calibri" w:hAnsi="Calibri"/>
          <w:spacing w:val="-3"/>
          <w:sz w:val="22"/>
        </w:rPr>
        <w:t>72-80.</w:t>
      </w:r>
    </w:p>
    <w:p>
      <w:pPr>
        <w:spacing w:after="0" w:line="352" w:lineRule="auto"/>
        <w:jc w:val="left"/>
        <w:rPr>
          <w:rFonts w:ascii="Calibri" w:hAnsi="Calibri"/>
          <w:sz w:val="22"/>
        </w:rPr>
        <w:sectPr>
          <w:pgSz w:w="12240" w:h="15840"/>
          <w:pgMar w:header="0" w:footer="1001" w:top="1360" w:bottom="1200" w:left="1600" w:right="1580"/>
        </w:sectPr>
      </w:pPr>
    </w:p>
    <w:p>
      <w:pPr>
        <w:spacing w:line="357" w:lineRule="auto" w:before="47"/>
        <w:ind w:left="825" w:right="119" w:hanging="721"/>
        <w:jc w:val="left"/>
        <w:rPr>
          <w:rFonts w:ascii="Calibri" w:hAnsi="Calibri"/>
          <w:sz w:val="22"/>
        </w:rPr>
      </w:pPr>
      <w:r>
        <w:rPr>
          <w:rFonts w:ascii="Calibri" w:hAnsi="Calibri"/>
          <w:sz w:val="22"/>
        </w:rPr>
        <w:t>GEM. (2014). </w:t>
      </w:r>
      <w:r>
        <w:rPr>
          <w:rFonts w:ascii="Calibri" w:hAnsi="Calibri"/>
          <w:i/>
          <w:sz w:val="22"/>
        </w:rPr>
        <w:t>Mosaico de la calidad del aire por partículas suspendidas fracción respirable (PM10) </w:t>
      </w:r>
      <w:r>
        <w:rPr>
          <w:rFonts w:ascii="Calibri" w:hAnsi="Calibri"/>
          <w:i/>
          <w:sz w:val="22"/>
        </w:rPr>
        <w:t>en la zona metropolitana del valle de Toluca (1998-2015)</w:t>
      </w:r>
      <w:r>
        <w:rPr>
          <w:rFonts w:ascii="Calibri" w:hAnsi="Calibri"/>
          <w:sz w:val="22"/>
        </w:rPr>
        <w:t>.  México:  SMA.</w:t>
      </w:r>
    </w:p>
    <w:p>
      <w:pPr>
        <w:pStyle w:val="BodyText"/>
        <w:spacing w:before="7"/>
        <w:rPr>
          <w:rFonts w:ascii="Calibri"/>
          <w:sz w:val="23"/>
        </w:rPr>
      </w:pPr>
    </w:p>
    <w:p>
      <w:pPr>
        <w:spacing w:line="364" w:lineRule="auto" w:before="0"/>
        <w:ind w:left="825" w:right="736" w:hanging="721"/>
        <w:jc w:val="left"/>
        <w:rPr>
          <w:rFonts w:ascii="Calibri" w:hAnsi="Calibri"/>
          <w:sz w:val="22"/>
        </w:rPr>
      </w:pPr>
      <w:r>
        <w:rPr>
          <w:rFonts w:ascii="Calibri" w:hAnsi="Calibri"/>
          <w:sz w:val="22"/>
        </w:rPr>
        <w:t>Giraldo, H., Ramón. (2003). </w:t>
      </w:r>
      <w:r>
        <w:rPr>
          <w:rFonts w:ascii="Calibri" w:hAnsi="Calibri"/>
          <w:i/>
          <w:sz w:val="22"/>
        </w:rPr>
        <w:t>Introducción a la Geosteadística </w:t>
      </w:r>
      <w:r>
        <w:rPr>
          <w:rFonts w:ascii="Calibri" w:hAnsi="Calibri"/>
          <w:sz w:val="22"/>
        </w:rPr>
        <w:t>(U. N. d. Colombia Ed.). Bogotá, Colombia:  Facultad  de Ciencias, Departamento  de Estadística.</w:t>
      </w:r>
    </w:p>
    <w:p>
      <w:pPr>
        <w:pStyle w:val="BodyText"/>
        <w:spacing w:before="11"/>
        <w:rPr>
          <w:rFonts w:ascii="Calibri"/>
          <w:sz w:val="22"/>
        </w:rPr>
      </w:pPr>
    </w:p>
    <w:p>
      <w:pPr>
        <w:spacing w:line="357" w:lineRule="auto" w:before="1"/>
        <w:ind w:left="825" w:right="370" w:hanging="721"/>
        <w:jc w:val="left"/>
        <w:rPr>
          <w:rFonts w:ascii="Calibri" w:hAnsi="Calibri"/>
          <w:sz w:val="22"/>
        </w:rPr>
      </w:pPr>
      <w:r>
        <w:rPr>
          <w:rFonts w:ascii="Calibri" w:hAnsi="Calibri"/>
          <w:sz w:val="22"/>
        </w:rPr>
        <w:t>González Guerrero, M. A., &amp; Villafaña Esquivel, L. F. (2003). Contaminación Atmosférica. In L. M. Solís Segura &amp; J. A. López Arriaga (Eds.), </w:t>
      </w:r>
      <w:r>
        <w:rPr>
          <w:rFonts w:ascii="Calibri" w:hAnsi="Calibri"/>
          <w:i/>
          <w:sz w:val="22"/>
        </w:rPr>
        <w:t>Principios básicos de contaminación ambiental </w:t>
      </w:r>
      <w:r>
        <w:rPr>
          <w:rFonts w:ascii="Calibri" w:hAnsi="Calibri"/>
          <w:sz w:val="22"/>
        </w:rPr>
        <w:t>(pp. 1994-1216). Toluca, México: UAEMEX.</w:t>
      </w:r>
    </w:p>
    <w:p>
      <w:pPr>
        <w:pStyle w:val="BodyText"/>
        <w:spacing w:before="7"/>
        <w:rPr>
          <w:rFonts w:ascii="Calibri"/>
          <w:sz w:val="23"/>
        </w:rPr>
      </w:pPr>
    </w:p>
    <w:p>
      <w:pPr>
        <w:spacing w:line="357" w:lineRule="auto" w:before="0"/>
        <w:ind w:left="825" w:right="216" w:hanging="721"/>
        <w:jc w:val="left"/>
        <w:rPr>
          <w:rFonts w:ascii="Calibri" w:hAnsi="Calibri"/>
          <w:sz w:val="22"/>
        </w:rPr>
      </w:pPr>
      <w:r>
        <w:rPr>
          <w:rFonts w:ascii="Calibri" w:hAnsi="Calibri"/>
          <w:sz w:val="22"/>
        </w:rPr>
        <w:t>Gutiérrez, Q., Estatio José. (2006). Advecciones de polvo africano sobre la costa central de venezolana y sus efectos sobre el desarrollo de la nubosidad. </w:t>
      </w:r>
      <w:r>
        <w:rPr>
          <w:rFonts w:ascii="Calibri" w:hAnsi="Calibri"/>
          <w:i/>
          <w:sz w:val="22"/>
        </w:rPr>
        <w:t>Terra Nueva Etapa, XXII, </w:t>
      </w:r>
      <w:r>
        <w:rPr>
          <w:rFonts w:ascii="Calibri" w:hAnsi="Calibri"/>
          <w:sz w:val="22"/>
        </w:rPr>
        <w:t>13- 39.</w:t>
      </w:r>
    </w:p>
    <w:p>
      <w:pPr>
        <w:pStyle w:val="BodyText"/>
        <w:spacing w:before="7"/>
        <w:rPr>
          <w:rFonts w:ascii="Calibri"/>
          <w:sz w:val="23"/>
        </w:rPr>
      </w:pPr>
    </w:p>
    <w:p>
      <w:pPr>
        <w:spacing w:line="357" w:lineRule="auto" w:before="0"/>
        <w:ind w:left="825" w:right="307" w:hanging="721"/>
        <w:jc w:val="left"/>
        <w:rPr>
          <w:rFonts w:ascii="Calibri" w:hAnsi="Calibri"/>
          <w:sz w:val="22"/>
        </w:rPr>
      </w:pPr>
      <w:r>
        <w:rPr>
          <w:rFonts w:ascii="Calibri" w:hAnsi="Calibri"/>
          <w:sz w:val="22"/>
        </w:rPr>
        <w:t>Hernández R, J., Madrigral U, D., &amp; Morales M, C. (2004). Comportamiento del monóxido de carbono y el clima en la Ciudad de Toluca de 1995 a 2001. </w:t>
      </w:r>
      <w:r>
        <w:rPr>
          <w:rFonts w:ascii="Calibri" w:hAnsi="Calibri"/>
          <w:i/>
          <w:sz w:val="22"/>
        </w:rPr>
        <w:t>Ciencia Ergo Sum, 1405-0269, </w:t>
      </w:r>
      <w:r>
        <w:rPr>
          <w:rFonts w:ascii="Calibri" w:hAnsi="Calibri"/>
          <w:sz w:val="22"/>
        </w:rPr>
        <w:t>263-274.</w:t>
      </w:r>
    </w:p>
    <w:p>
      <w:pPr>
        <w:pStyle w:val="BodyText"/>
        <w:spacing w:before="7"/>
        <w:rPr>
          <w:rFonts w:ascii="Calibri"/>
          <w:sz w:val="23"/>
        </w:rPr>
      </w:pPr>
    </w:p>
    <w:p>
      <w:pPr>
        <w:spacing w:line="355" w:lineRule="auto" w:before="0"/>
        <w:ind w:left="825" w:right="502" w:hanging="721"/>
        <w:jc w:val="left"/>
        <w:rPr>
          <w:rFonts w:ascii="Calibri" w:hAnsi="Calibri"/>
          <w:sz w:val="22"/>
        </w:rPr>
      </w:pPr>
      <w:r>
        <w:rPr>
          <w:rFonts w:ascii="Calibri" w:hAnsi="Calibri"/>
          <w:sz w:val="22"/>
        </w:rPr>
        <w:t>Hernánez, R., Julio César, Madrigal, U., Delfino, &amp; Morales, M. C. (2004). Comportamiento del monóxido de carbono y el clima en la ciudad de Toluca, de 1995 a 2001. </w:t>
      </w:r>
      <w:r>
        <w:rPr>
          <w:rFonts w:ascii="Calibri" w:hAnsi="Calibri"/>
          <w:i/>
          <w:sz w:val="22"/>
        </w:rPr>
        <w:t>Ciencia y Ergo </w:t>
      </w:r>
      <w:r>
        <w:rPr>
          <w:rFonts w:ascii="Calibri" w:hAnsi="Calibri"/>
          <w:i/>
          <w:sz w:val="22"/>
        </w:rPr>
        <w:t>Sum, 11, </w:t>
      </w:r>
      <w:r>
        <w:rPr>
          <w:rFonts w:ascii="Calibri" w:hAnsi="Calibri"/>
          <w:sz w:val="22"/>
        </w:rPr>
        <w:t>263-274.</w:t>
      </w:r>
    </w:p>
    <w:p>
      <w:pPr>
        <w:pStyle w:val="BodyText"/>
        <w:spacing w:before="6"/>
        <w:rPr>
          <w:rFonts w:ascii="Calibri"/>
        </w:rPr>
      </w:pPr>
    </w:p>
    <w:p>
      <w:pPr>
        <w:spacing w:line="357" w:lineRule="auto" w:before="0"/>
        <w:ind w:left="825" w:right="476" w:hanging="721"/>
        <w:jc w:val="left"/>
        <w:rPr>
          <w:rFonts w:ascii="Calibri" w:hAnsi="Calibri"/>
          <w:sz w:val="22"/>
        </w:rPr>
      </w:pPr>
      <w:r>
        <w:rPr>
          <w:rFonts w:ascii="Calibri" w:hAnsi="Calibri"/>
          <w:spacing w:val="-4"/>
          <w:sz w:val="22"/>
        </w:rPr>
        <w:t>INE. </w:t>
      </w:r>
      <w:r>
        <w:rPr>
          <w:rFonts w:ascii="Calibri" w:hAnsi="Calibri"/>
          <w:spacing w:val="-3"/>
          <w:sz w:val="22"/>
        </w:rPr>
        <w:t>(2011). </w:t>
      </w:r>
      <w:r>
        <w:rPr>
          <w:rFonts w:ascii="Calibri" w:hAnsi="Calibri"/>
          <w:spacing w:val="-4"/>
          <w:sz w:val="22"/>
        </w:rPr>
        <w:t>Cuarto </w:t>
      </w:r>
      <w:r>
        <w:rPr>
          <w:rFonts w:ascii="Calibri" w:hAnsi="Calibri"/>
          <w:spacing w:val="-3"/>
          <w:sz w:val="22"/>
        </w:rPr>
        <w:t>Almanaque </w:t>
      </w:r>
      <w:r>
        <w:rPr>
          <w:rFonts w:ascii="Calibri" w:hAnsi="Calibri"/>
          <w:sz w:val="22"/>
        </w:rPr>
        <w:t>de Datos y </w:t>
      </w:r>
      <w:r>
        <w:rPr>
          <w:rFonts w:ascii="Calibri" w:hAnsi="Calibri"/>
          <w:spacing w:val="-3"/>
          <w:sz w:val="22"/>
        </w:rPr>
        <w:t>tendencias de </w:t>
      </w:r>
      <w:r>
        <w:rPr>
          <w:rFonts w:ascii="Calibri" w:hAnsi="Calibri"/>
          <w:sz w:val="22"/>
        </w:rPr>
        <w:t>la </w:t>
      </w:r>
      <w:r>
        <w:rPr>
          <w:rFonts w:ascii="Calibri" w:hAnsi="Calibri"/>
          <w:spacing w:val="-2"/>
          <w:sz w:val="22"/>
        </w:rPr>
        <w:t>Calidad del </w:t>
      </w:r>
      <w:r>
        <w:rPr>
          <w:rFonts w:ascii="Calibri" w:hAnsi="Calibri"/>
          <w:sz w:val="22"/>
        </w:rPr>
        <w:t>aire en 20 </w:t>
      </w:r>
      <w:r>
        <w:rPr>
          <w:rFonts w:ascii="Calibri" w:hAnsi="Calibri"/>
          <w:spacing w:val="-4"/>
          <w:sz w:val="22"/>
        </w:rPr>
        <w:t>ciudades mexicanas  </w:t>
      </w:r>
      <w:r>
        <w:rPr>
          <w:rFonts w:ascii="Calibri" w:hAnsi="Calibri"/>
          <w:spacing w:val="-3"/>
          <w:sz w:val="22"/>
        </w:rPr>
        <w:t>(2000-2009). </w:t>
      </w:r>
      <w:r>
        <w:rPr>
          <w:rFonts w:ascii="Calibri" w:hAnsi="Calibri"/>
          <w:sz w:val="22"/>
        </w:rPr>
        <w:t>México: </w:t>
      </w:r>
      <w:r>
        <w:rPr>
          <w:rFonts w:ascii="Calibri" w:hAnsi="Calibri"/>
          <w:spacing w:val="-3"/>
          <w:sz w:val="22"/>
        </w:rPr>
        <w:t>Secretaría </w:t>
      </w:r>
      <w:r>
        <w:rPr>
          <w:rFonts w:ascii="Calibri" w:hAnsi="Calibri"/>
          <w:sz w:val="22"/>
        </w:rPr>
        <w:t>de Medio Ambiente y </w:t>
      </w:r>
      <w:r>
        <w:rPr>
          <w:rFonts w:ascii="Calibri" w:hAnsi="Calibri"/>
          <w:spacing w:val="-3"/>
          <w:sz w:val="22"/>
        </w:rPr>
        <w:t>Recursos  </w:t>
      </w:r>
      <w:r>
        <w:rPr>
          <w:rFonts w:ascii="Calibri" w:hAnsi="Calibri"/>
          <w:spacing w:val="-4"/>
          <w:sz w:val="22"/>
        </w:rPr>
        <w:t>Naturales.</w:t>
      </w:r>
    </w:p>
    <w:p>
      <w:pPr>
        <w:pStyle w:val="BodyText"/>
        <w:spacing w:before="11"/>
        <w:rPr>
          <w:rFonts w:ascii="Calibri"/>
          <w:sz w:val="22"/>
        </w:rPr>
      </w:pPr>
    </w:p>
    <w:p>
      <w:pPr>
        <w:spacing w:line="364" w:lineRule="auto" w:before="0"/>
        <w:ind w:left="825" w:right="728" w:hanging="721"/>
        <w:jc w:val="left"/>
        <w:rPr>
          <w:rFonts w:ascii="Calibri" w:hAnsi="Calibri"/>
          <w:sz w:val="22"/>
        </w:rPr>
      </w:pPr>
      <w:r>
        <w:rPr>
          <w:rFonts w:ascii="Calibri" w:hAnsi="Calibri"/>
          <w:sz w:val="22"/>
        </w:rPr>
        <w:t>INEGI. (2010). Censo General de Población y vivienda 2010 (Vol. Estado de México). México: Instituto Nacional de Geografía y  Estadística.</w:t>
      </w:r>
    </w:p>
    <w:p>
      <w:pPr>
        <w:pStyle w:val="BodyText"/>
        <w:spacing w:before="7"/>
        <w:rPr>
          <w:rFonts w:ascii="Calibri"/>
          <w:sz w:val="21"/>
        </w:rPr>
      </w:pPr>
    </w:p>
    <w:p>
      <w:pPr>
        <w:spacing w:before="1"/>
        <w:ind w:left="105" w:right="0" w:firstLine="0"/>
        <w:jc w:val="left"/>
        <w:rPr>
          <w:rFonts w:ascii="Calibri" w:hAnsi="Calibri"/>
          <w:sz w:val="22"/>
        </w:rPr>
      </w:pPr>
      <w:r>
        <w:rPr>
          <w:rFonts w:ascii="Calibri" w:hAnsi="Calibri"/>
          <w:sz w:val="22"/>
        </w:rPr>
        <w:t>INEGI. (2015). </w:t>
      </w:r>
      <w:r>
        <w:rPr>
          <w:rFonts w:ascii="Calibri" w:hAnsi="Calibri"/>
          <w:i/>
          <w:sz w:val="22"/>
        </w:rPr>
        <w:t>Directorio Estadístico Nacional Interactivo</w:t>
      </w:r>
      <w:r>
        <w:rPr>
          <w:rFonts w:ascii="Calibri" w:hAnsi="Calibri"/>
          <w:sz w:val="22"/>
        </w:rPr>
        <w:t>.  Méxcio:  INEGI.</w:t>
      </w:r>
    </w:p>
    <w:p>
      <w:pPr>
        <w:pStyle w:val="BodyText"/>
        <w:rPr>
          <w:rFonts w:ascii="Calibri"/>
          <w:sz w:val="22"/>
        </w:rPr>
      </w:pPr>
    </w:p>
    <w:p>
      <w:pPr>
        <w:spacing w:line="355" w:lineRule="auto" w:before="159"/>
        <w:ind w:left="825" w:right="326" w:hanging="721"/>
        <w:jc w:val="left"/>
        <w:rPr>
          <w:rFonts w:ascii="Calibri"/>
          <w:sz w:val="22"/>
        </w:rPr>
      </w:pPr>
      <w:r>
        <w:rPr>
          <w:rFonts w:ascii="Calibri"/>
          <w:sz w:val="22"/>
        </w:rPr>
        <w:t>Janssen, N. A. H., Fischer, P., Marra, M., Ameling, C., &amp; Cassee, F. R. (2013). Short-term effects of PM2.5, PM10 and PM2.5-10 on daily mortality in the Netherlands. </w:t>
      </w:r>
      <w:r>
        <w:rPr>
          <w:rFonts w:ascii="Calibri"/>
          <w:i/>
          <w:sz w:val="22"/>
        </w:rPr>
        <w:t>Science of the Total </w:t>
      </w:r>
      <w:r>
        <w:rPr>
          <w:rFonts w:ascii="Calibri"/>
          <w:i/>
          <w:sz w:val="22"/>
        </w:rPr>
        <w:t>Environment, 463-464</w:t>
      </w:r>
      <w:r>
        <w:rPr>
          <w:rFonts w:ascii="Calibri"/>
          <w:sz w:val="22"/>
        </w:rPr>
        <w:t>, 20-26. doi:  10.1016/j.scitotenv.2013.05.062</w:t>
      </w:r>
    </w:p>
    <w:p>
      <w:pPr>
        <w:pStyle w:val="BodyText"/>
        <w:spacing w:before="10"/>
        <w:rPr>
          <w:rFonts w:ascii="Calibri"/>
          <w:sz w:val="23"/>
        </w:rPr>
      </w:pPr>
    </w:p>
    <w:p>
      <w:pPr>
        <w:spacing w:before="0"/>
        <w:ind w:left="105" w:right="0" w:firstLine="0"/>
        <w:jc w:val="left"/>
        <w:rPr>
          <w:rFonts w:ascii="Calibri" w:hAnsi="Calibri"/>
          <w:sz w:val="22"/>
        </w:rPr>
      </w:pPr>
      <w:r>
        <w:rPr>
          <w:rFonts w:ascii="Calibri" w:hAnsi="Calibri"/>
          <w:sz w:val="22"/>
        </w:rPr>
        <w:t>Manahan, S., E. (2011). </w:t>
      </w:r>
      <w:r>
        <w:rPr>
          <w:rFonts w:ascii="Calibri" w:hAnsi="Calibri"/>
          <w:i/>
          <w:sz w:val="22"/>
        </w:rPr>
        <w:t>Química Ambiental </w:t>
      </w:r>
      <w:r>
        <w:rPr>
          <w:rFonts w:ascii="Calibri" w:hAnsi="Calibri"/>
          <w:sz w:val="22"/>
        </w:rPr>
        <w:t>(R. E. UNAM Ed. 1    ed ed.). México.</w:t>
      </w:r>
    </w:p>
    <w:p>
      <w:pPr>
        <w:spacing w:after="0"/>
        <w:jc w:val="left"/>
        <w:rPr>
          <w:rFonts w:ascii="Calibri" w:hAnsi="Calibri"/>
          <w:sz w:val="22"/>
        </w:rPr>
        <w:sectPr>
          <w:pgSz w:w="12240" w:h="15840"/>
          <w:pgMar w:header="0" w:footer="1001" w:top="1360" w:bottom="1200" w:left="1600" w:right="1580"/>
        </w:sectPr>
      </w:pPr>
    </w:p>
    <w:p>
      <w:pPr>
        <w:spacing w:before="35"/>
        <w:ind w:left="105" w:right="0" w:firstLine="0"/>
        <w:jc w:val="left"/>
        <w:rPr>
          <w:rFonts w:ascii="Calibri"/>
          <w:sz w:val="22"/>
        </w:rPr>
      </w:pPr>
      <w:r>
        <w:rPr>
          <w:rFonts w:ascii="Calibri"/>
          <w:sz w:val="22"/>
        </w:rPr>
        <w:t>Mao, Y., Wilson, J. D., &amp; Kort, J. (2013). Effects of a shelterbelt on road dust dispersion.</w:t>
      </w:r>
    </w:p>
    <w:p>
      <w:pPr>
        <w:spacing w:before="123"/>
        <w:ind w:left="825" w:right="0" w:firstLine="0"/>
        <w:jc w:val="left"/>
        <w:rPr>
          <w:rFonts w:ascii="Calibri"/>
          <w:sz w:val="22"/>
        </w:rPr>
      </w:pPr>
      <w:r>
        <w:rPr>
          <w:rFonts w:ascii="Calibri"/>
          <w:i/>
          <w:sz w:val="22"/>
        </w:rPr>
        <w:t>Atmospheric  Environment,  79</w:t>
      </w:r>
      <w:r>
        <w:rPr>
          <w:rFonts w:ascii="Calibri"/>
          <w:sz w:val="22"/>
        </w:rPr>
        <w:t>,  590-598.  doi: 10.1016/j.atmosenv.2013.07.015</w:t>
      </w:r>
    </w:p>
    <w:p>
      <w:pPr>
        <w:pStyle w:val="BodyText"/>
        <w:rPr>
          <w:rFonts w:ascii="Calibri"/>
          <w:sz w:val="22"/>
        </w:rPr>
      </w:pPr>
    </w:p>
    <w:p>
      <w:pPr>
        <w:spacing w:line="357" w:lineRule="auto" w:before="151"/>
        <w:ind w:left="825" w:right="0" w:hanging="721"/>
        <w:jc w:val="left"/>
        <w:rPr>
          <w:rFonts w:ascii="Calibri"/>
          <w:sz w:val="22"/>
        </w:rPr>
      </w:pPr>
      <w:r>
        <w:rPr>
          <w:rFonts w:ascii="Calibri"/>
          <w:sz w:val="22"/>
        </w:rPr>
        <w:t>Martuzzi, M., Francesco, M., Ivano, L., &amp; Maria, S. (2006). </w:t>
      </w:r>
      <w:r>
        <w:rPr>
          <w:rFonts w:ascii="Calibri"/>
          <w:i/>
          <w:sz w:val="22"/>
        </w:rPr>
        <w:t>Health impact of PM10 and ozone in 13 </w:t>
      </w:r>
      <w:r>
        <w:rPr>
          <w:rFonts w:ascii="Calibri"/>
          <w:i/>
          <w:sz w:val="22"/>
        </w:rPr>
        <w:t>Italian Cities</w:t>
      </w:r>
      <w:r>
        <w:rPr>
          <w:rFonts w:ascii="Calibri"/>
          <w:sz w:val="22"/>
        </w:rPr>
        <w:t>. Europe: World Health  Organization.</w:t>
      </w:r>
    </w:p>
    <w:p>
      <w:pPr>
        <w:pStyle w:val="BodyText"/>
        <w:spacing w:before="3"/>
        <w:rPr>
          <w:rFonts w:ascii="Calibri"/>
        </w:rPr>
      </w:pPr>
    </w:p>
    <w:p>
      <w:pPr>
        <w:spacing w:line="355" w:lineRule="auto" w:before="0"/>
        <w:ind w:left="825" w:right="626" w:hanging="721"/>
        <w:jc w:val="left"/>
        <w:rPr>
          <w:rFonts w:ascii="Calibri" w:hAnsi="Calibri"/>
          <w:sz w:val="22"/>
        </w:rPr>
      </w:pPr>
      <w:r>
        <w:rPr>
          <w:rFonts w:ascii="Calibri" w:hAnsi="Calibri"/>
          <w:sz w:val="22"/>
        </w:rPr>
        <w:t>Meza, L., Quintero, M., García, R., &amp; Ramírez, J. (2010). Estimación de Factores de Emisión de PM10 y PM2.5, en Vías Urbanas en Mexicali, Baja California, México. </w:t>
      </w:r>
      <w:r>
        <w:rPr>
          <w:rFonts w:ascii="Calibri" w:hAnsi="Calibri"/>
          <w:i/>
          <w:sz w:val="22"/>
        </w:rPr>
        <w:t>Información </w:t>
      </w:r>
      <w:r>
        <w:rPr>
          <w:rFonts w:ascii="Calibri" w:hAnsi="Calibri"/>
          <w:i/>
          <w:sz w:val="22"/>
        </w:rPr>
        <w:t>Tecnológica, 21</w:t>
      </w:r>
      <w:r>
        <w:rPr>
          <w:rFonts w:ascii="Calibri" w:hAnsi="Calibri"/>
          <w:sz w:val="22"/>
        </w:rPr>
        <w:t>.</w:t>
      </w:r>
    </w:p>
    <w:p>
      <w:pPr>
        <w:pStyle w:val="BodyText"/>
        <w:spacing w:before="9"/>
        <w:rPr>
          <w:rFonts w:ascii="Calibri"/>
          <w:sz w:val="23"/>
        </w:rPr>
      </w:pPr>
    </w:p>
    <w:p>
      <w:pPr>
        <w:spacing w:line="357" w:lineRule="auto" w:before="0"/>
        <w:ind w:left="825" w:right="202" w:hanging="721"/>
        <w:jc w:val="left"/>
        <w:rPr>
          <w:rFonts w:ascii="Calibri" w:hAnsi="Calibri"/>
          <w:sz w:val="22"/>
        </w:rPr>
      </w:pPr>
      <w:r>
        <w:rPr>
          <w:rFonts w:ascii="Calibri" w:hAnsi="Calibri"/>
          <w:sz w:val="22"/>
        </w:rPr>
        <w:t>Morales, C., Madrigal, D., &amp; González, L. (2007). Isla de calor en Toluca, México. </w:t>
      </w:r>
      <w:r>
        <w:rPr>
          <w:rFonts w:ascii="Calibri" w:hAnsi="Calibri"/>
          <w:i/>
          <w:sz w:val="22"/>
        </w:rPr>
        <w:t>Ciencia Ergo Sum, </w:t>
      </w:r>
      <w:r>
        <w:rPr>
          <w:rFonts w:ascii="Calibri" w:hAnsi="Calibri"/>
          <w:i/>
          <w:sz w:val="22"/>
        </w:rPr>
        <w:t>14, </w:t>
      </w:r>
      <w:r>
        <w:rPr>
          <w:rFonts w:ascii="Calibri" w:hAnsi="Calibri"/>
          <w:sz w:val="22"/>
        </w:rPr>
        <w:t>307-316.</w:t>
      </w:r>
    </w:p>
    <w:p>
      <w:pPr>
        <w:pStyle w:val="BodyText"/>
        <w:spacing w:before="11"/>
        <w:rPr>
          <w:rFonts w:ascii="Calibri"/>
          <w:sz w:val="22"/>
        </w:rPr>
      </w:pPr>
    </w:p>
    <w:p>
      <w:pPr>
        <w:spacing w:line="362" w:lineRule="auto" w:before="0"/>
        <w:ind w:left="825" w:right="0" w:hanging="721"/>
        <w:jc w:val="left"/>
        <w:rPr>
          <w:rFonts w:ascii="Calibri" w:hAnsi="Calibri"/>
          <w:sz w:val="22"/>
        </w:rPr>
      </w:pPr>
      <w:r>
        <w:rPr>
          <w:rFonts w:ascii="Calibri" w:hAnsi="Calibri"/>
          <w:sz w:val="22"/>
        </w:rPr>
        <w:t>Morelos Martínez, J. (2009). </w:t>
      </w:r>
      <w:r>
        <w:rPr>
          <w:rFonts w:ascii="Calibri" w:hAnsi="Calibri"/>
          <w:i/>
          <w:sz w:val="22"/>
        </w:rPr>
        <w:t>Análisis Univariante de la Distribución Espacial de las PM10 </w:t>
      </w:r>
      <w:r>
        <w:rPr>
          <w:rFonts w:ascii="Calibri" w:hAnsi="Calibri"/>
          <w:i/>
          <w:sz w:val="22"/>
        </w:rPr>
        <w:t>Aerotrasportadas en la Zona Metropólitana del Valle de Toluca / José Morelos Martínez ; director, Elizabeth Teresita Romero Guzmán. </w:t>
      </w:r>
      <w:r>
        <w:rPr>
          <w:rFonts w:ascii="Calibri" w:hAnsi="Calibri"/>
          <w:sz w:val="22"/>
        </w:rPr>
        <w:t>(MAESTRÍA), UAEM, Mexico.    (MCA 23</w:t>
      </w:r>
    </w:p>
    <w:p>
      <w:pPr>
        <w:spacing w:before="2"/>
        <w:ind w:left="825" w:right="0" w:firstLine="0"/>
        <w:jc w:val="left"/>
        <w:rPr>
          <w:rFonts w:ascii="Calibri"/>
          <w:sz w:val="22"/>
        </w:rPr>
      </w:pPr>
      <w:r>
        <w:rPr>
          <w:rFonts w:ascii="Calibri"/>
          <w:sz w:val="22"/>
        </w:rPr>
        <w:t>.M674 2009)</w:t>
      </w:r>
    </w:p>
    <w:p>
      <w:pPr>
        <w:pStyle w:val="BodyText"/>
        <w:rPr>
          <w:rFonts w:ascii="Calibri"/>
          <w:sz w:val="22"/>
        </w:rPr>
      </w:pPr>
    </w:p>
    <w:p>
      <w:pPr>
        <w:spacing w:line="357" w:lineRule="auto" w:before="151"/>
        <w:ind w:left="825" w:right="369" w:hanging="721"/>
        <w:jc w:val="left"/>
        <w:rPr>
          <w:rFonts w:ascii="Calibri" w:hAnsi="Calibri"/>
          <w:sz w:val="22"/>
        </w:rPr>
      </w:pPr>
      <w:r>
        <w:rPr>
          <w:rFonts w:ascii="Calibri" w:hAnsi="Calibri"/>
          <w:sz w:val="22"/>
        </w:rPr>
        <w:t>Moølgaard, B., Birmili, W., Clifford, S., Massling, A., Eleftheriadis, K., Norman, M., . . . Hussein, T. (2013). Evaluation of a statistical forecast model for size-fractionated urban particle number concentrations using data from five European cities. </w:t>
      </w:r>
      <w:r>
        <w:rPr>
          <w:rFonts w:ascii="Calibri" w:hAnsi="Calibri"/>
          <w:i/>
          <w:sz w:val="22"/>
        </w:rPr>
        <w:t>Journal of Aerosol Science, </w:t>
      </w:r>
      <w:r>
        <w:rPr>
          <w:rFonts w:ascii="Calibri" w:hAnsi="Calibri"/>
          <w:i/>
          <w:sz w:val="22"/>
        </w:rPr>
        <w:t>66</w:t>
      </w:r>
      <w:r>
        <w:rPr>
          <w:rFonts w:ascii="Calibri" w:hAnsi="Calibri"/>
          <w:sz w:val="22"/>
        </w:rPr>
        <w:t>, 96-110.</w:t>
      </w:r>
    </w:p>
    <w:p>
      <w:pPr>
        <w:pStyle w:val="BodyText"/>
        <w:spacing w:before="7"/>
        <w:rPr>
          <w:rFonts w:ascii="Calibri"/>
          <w:sz w:val="23"/>
        </w:rPr>
      </w:pPr>
    </w:p>
    <w:p>
      <w:pPr>
        <w:spacing w:line="357" w:lineRule="auto" w:before="0"/>
        <w:ind w:left="825" w:right="307" w:hanging="721"/>
        <w:jc w:val="left"/>
        <w:rPr>
          <w:rFonts w:ascii="Calibri" w:hAnsi="Calibri"/>
          <w:sz w:val="22"/>
        </w:rPr>
      </w:pPr>
      <w:r>
        <w:rPr>
          <w:rFonts w:ascii="Calibri" w:hAnsi="Calibri"/>
          <w:spacing w:val="-3"/>
          <w:sz w:val="22"/>
        </w:rPr>
        <w:t>Najera </w:t>
      </w:r>
      <w:r>
        <w:rPr>
          <w:rFonts w:ascii="Calibri" w:hAnsi="Calibri"/>
          <w:spacing w:val="-4"/>
          <w:sz w:val="22"/>
        </w:rPr>
        <w:t>Cedillo, </w:t>
      </w:r>
      <w:r>
        <w:rPr>
          <w:rFonts w:ascii="Calibri" w:hAnsi="Calibri"/>
          <w:sz w:val="22"/>
        </w:rPr>
        <w:t>M. </w:t>
      </w:r>
      <w:r>
        <w:rPr>
          <w:rFonts w:ascii="Calibri" w:hAnsi="Calibri"/>
          <w:spacing w:val="-3"/>
          <w:sz w:val="22"/>
        </w:rPr>
        <w:t>C., </w:t>
      </w:r>
      <w:r>
        <w:rPr>
          <w:rFonts w:ascii="Calibri" w:hAnsi="Calibri"/>
          <w:sz w:val="22"/>
        </w:rPr>
        <w:t>Márquez </w:t>
      </w:r>
      <w:r>
        <w:rPr>
          <w:rFonts w:ascii="Calibri" w:hAnsi="Calibri"/>
          <w:spacing w:val="-3"/>
          <w:sz w:val="22"/>
        </w:rPr>
        <w:t>Argúa, </w:t>
      </w:r>
      <w:r>
        <w:rPr>
          <w:rFonts w:ascii="Calibri" w:hAnsi="Calibri"/>
          <w:sz w:val="22"/>
        </w:rPr>
        <w:t>B., Rubén, </w:t>
      </w:r>
      <w:r>
        <w:rPr>
          <w:rFonts w:ascii="Calibri" w:hAnsi="Calibri"/>
          <w:spacing w:val="-4"/>
          <w:sz w:val="22"/>
        </w:rPr>
        <w:t>S. </w:t>
      </w:r>
      <w:r>
        <w:rPr>
          <w:rFonts w:ascii="Calibri" w:hAnsi="Calibri"/>
          <w:spacing w:val="-3"/>
          <w:sz w:val="22"/>
        </w:rPr>
        <w:t>G., </w:t>
      </w:r>
      <w:r>
        <w:rPr>
          <w:rFonts w:ascii="Calibri" w:hAnsi="Calibri"/>
          <w:sz w:val="22"/>
        </w:rPr>
        <w:t>&amp; </w:t>
      </w:r>
      <w:r>
        <w:rPr>
          <w:rFonts w:ascii="Calibri" w:hAnsi="Calibri"/>
          <w:spacing w:val="-4"/>
          <w:sz w:val="22"/>
        </w:rPr>
        <w:t>Corona, </w:t>
      </w:r>
      <w:r>
        <w:rPr>
          <w:rFonts w:ascii="Calibri" w:hAnsi="Calibri"/>
          <w:sz w:val="22"/>
        </w:rPr>
        <w:t>J. </w:t>
      </w:r>
      <w:r>
        <w:rPr>
          <w:rFonts w:ascii="Calibri" w:hAnsi="Calibri"/>
          <w:spacing w:val="-3"/>
          <w:sz w:val="22"/>
        </w:rPr>
        <w:t>(2005). </w:t>
      </w:r>
      <w:r>
        <w:rPr>
          <w:rFonts w:ascii="Calibri" w:hAnsi="Calibri"/>
          <w:sz w:val="22"/>
        </w:rPr>
        <w:t>Los </w:t>
      </w:r>
      <w:r>
        <w:rPr>
          <w:rFonts w:ascii="Calibri" w:hAnsi="Calibri"/>
          <w:spacing w:val="-3"/>
          <w:sz w:val="22"/>
        </w:rPr>
        <w:t>sistemas </w:t>
      </w:r>
      <w:r>
        <w:rPr>
          <w:rFonts w:ascii="Calibri" w:hAnsi="Calibri"/>
          <w:sz w:val="22"/>
        </w:rPr>
        <w:t>de </w:t>
      </w:r>
      <w:r>
        <w:rPr>
          <w:rFonts w:ascii="Calibri" w:hAnsi="Calibri"/>
          <w:spacing w:val="-3"/>
          <w:sz w:val="22"/>
        </w:rPr>
        <w:t>infromación </w:t>
      </w:r>
      <w:r>
        <w:rPr>
          <w:rFonts w:ascii="Calibri" w:hAnsi="Calibri"/>
          <w:sz w:val="22"/>
        </w:rPr>
        <w:t>geográfica </w:t>
      </w:r>
      <w:r>
        <w:rPr>
          <w:rFonts w:ascii="Calibri" w:hAnsi="Calibri"/>
          <w:spacing w:val="-3"/>
          <w:sz w:val="22"/>
        </w:rPr>
        <w:t>como herramienta para </w:t>
      </w:r>
      <w:r>
        <w:rPr>
          <w:rFonts w:ascii="Calibri" w:hAnsi="Calibri"/>
          <w:sz w:val="22"/>
        </w:rPr>
        <w:t>observar </w:t>
      </w:r>
      <w:r>
        <w:rPr>
          <w:rFonts w:ascii="Calibri" w:hAnsi="Calibri"/>
          <w:spacing w:val="-4"/>
          <w:sz w:val="22"/>
        </w:rPr>
        <w:t>el </w:t>
      </w:r>
      <w:r>
        <w:rPr>
          <w:rFonts w:ascii="Calibri" w:hAnsi="Calibri"/>
          <w:spacing w:val="-3"/>
          <w:sz w:val="22"/>
        </w:rPr>
        <w:t>comportamiento </w:t>
      </w:r>
      <w:r>
        <w:rPr>
          <w:rFonts w:ascii="Calibri" w:hAnsi="Calibri"/>
          <w:spacing w:val="-2"/>
          <w:sz w:val="22"/>
        </w:rPr>
        <w:t>del </w:t>
      </w:r>
      <w:r>
        <w:rPr>
          <w:rFonts w:ascii="Calibri" w:hAnsi="Calibri"/>
          <w:spacing w:val="-3"/>
          <w:sz w:val="22"/>
        </w:rPr>
        <w:t>ozono </w:t>
      </w:r>
      <w:r>
        <w:rPr>
          <w:rFonts w:ascii="Calibri" w:hAnsi="Calibri"/>
          <w:sz w:val="22"/>
        </w:rPr>
        <w:t>en la Zona </w:t>
      </w:r>
      <w:r>
        <w:rPr>
          <w:rFonts w:ascii="Calibri" w:hAnsi="Calibri"/>
          <w:spacing w:val="-3"/>
          <w:sz w:val="22"/>
        </w:rPr>
        <w:t>Metropolitana de Guadalajara. </w:t>
      </w:r>
      <w:r>
        <w:rPr>
          <w:rFonts w:ascii="Calibri" w:hAnsi="Calibri"/>
          <w:i/>
          <w:sz w:val="22"/>
        </w:rPr>
        <w:t>GEOS, </w:t>
      </w:r>
      <w:r>
        <w:rPr>
          <w:rFonts w:ascii="Calibri" w:hAnsi="Calibri"/>
          <w:i/>
          <w:spacing w:val="27"/>
          <w:sz w:val="22"/>
        </w:rPr>
        <w:t> </w:t>
      </w:r>
      <w:r>
        <w:rPr>
          <w:rFonts w:ascii="Calibri" w:hAnsi="Calibri"/>
          <w:i/>
          <w:sz w:val="22"/>
        </w:rPr>
        <w:t>25</w:t>
      </w:r>
      <w:r>
        <w:rPr>
          <w:rFonts w:ascii="Calibri" w:hAnsi="Calibri"/>
          <w:sz w:val="22"/>
        </w:rPr>
        <w:t>.</w:t>
      </w:r>
    </w:p>
    <w:p>
      <w:pPr>
        <w:pStyle w:val="BodyText"/>
        <w:spacing w:before="7"/>
        <w:rPr>
          <w:rFonts w:ascii="Calibri"/>
          <w:sz w:val="23"/>
        </w:rPr>
      </w:pPr>
    </w:p>
    <w:p>
      <w:pPr>
        <w:spacing w:line="364" w:lineRule="auto" w:before="0"/>
        <w:ind w:left="825" w:right="0" w:hanging="721"/>
        <w:jc w:val="left"/>
        <w:rPr>
          <w:rFonts w:ascii="Calibri"/>
          <w:sz w:val="22"/>
        </w:rPr>
      </w:pPr>
      <w:r>
        <w:rPr>
          <w:rFonts w:ascii="Calibri"/>
          <w:sz w:val="22"/>
        </w:rPr>
        <w:t>Salud ambiental. Criterios para evaluar la calidad del aire ambiente, con respecto a material particulado (1986).</w:t>
      </w:r>
    </w:p>
    <w:p>
      <w:pPr>
        <w:pStyle w:val="BodyText"/>
        <w:spacing w:before="3"/>
        <w:rPr>
          <w:rFonts w:ascii="Calibri"/>
          <w:sz w:val="22"/>
        </w:rPr>
      </w:pPr>
    </w:p>
    <w:p>
      <w:pPr>
        <w:spacing w:line="360" w:lineRule="auto" w:before="0"/>
        <w:ind w:left="825" w:right="93" w:hanging="721"/>
        <w:jc w:val="left"/>
        <w:rPr>
          <w:rFonts w:ascii="Calibri" w:hAnsi="Calibri"/>
          <w:sz w:val="22"/>
        </w:rPr>
      </w:pPr>
      <w:r>
        <w:rPr>
          <w:rFonts w:ascii="Calibri" w:hAnsi="Calibri"/>
          <w:sz w:val="22"/>
        </w:rPr>
        <w:t>Pérez-Vidal, García, Fernández, &amp; Romero. (2010). Análisis de partículas suspendidas totales (pst) y partículas fracción respirable (pm10), en Cunduacán, Tabasco. </w:t>
      </w:r>
      <w:r>
        <w:rPr>
          <w:rFonts w:ascii="Calibri" w:hAnsi="Calibri"/>
          <w:b/>
          <w:i/>
          <w:sz w:val="22"/>
        </w:rPr>
        <w:t>Universidad y Ciencia</w:t>
      </w:r>
      <w:r>
        <w:rPr>
          <w:rFonts w:ascii="Calibri" w:hAnsi="Calibri"/>
          <w:i/>
          <w:sz w:val="22"/>
        </w:rPr>
        <w:t>, 26, </w:t>
      </w:r>
      <w:r>
        <w:rPr>
          <w:rFonts w:ascii="Calibri" w:hAnsi="Calibri"/>
          <w:sz w:val="22"/>
        </w:rPr>
        <w:t>151-162.</w:t>
      </w:r>
    </w:p>
    <w:p>
      <w:pPr>
        <w:pStyle w:val="BodyText"/>
        <w:spacing w:before="1"/>
        <w:rPr>
          <w:rFonts w:ascii="Calibri"/>
          <w:sz w:val="22"/>
        </w:rPr>
      </w:pPr>
    </w:p>
    <w:p>
      <w:pPr>
        <w:spacing w:before="0"/>
        <w:ind w:left="105" w:right="0" w:firstLine="0"/>
        <w:jc w:val="left"/>
        <w:rPr>
          <w:rFonts w:ascii="Calibri" w:hAnsi="Calibri"/>
          <w:sz w:val="22"/>
        </w:rPr>
      </w:pPr>
      <w:r>
        <w:rPr>
          <w:rFonts w:ascii="Calibri" w:hAnsi="Calibri"/>
          <w:sz w:val="22"/>
        </w:rPr>
        <w:t>Quadri, T. G. (1992). </w:t>
      </w:r>
      <w:r>
        <w:rPr>
          <w:rFonts w:ascii="Calibri" w:hAnsi="Calibri"/>
          <w:i/>
          <w:sz w:val="22"/>
        </w:rPr>
        <w:t>La ciudad de México y la contaminación atmosférica</w:t>
      </w:r>
      <w:r>
        <w:rPr>
          <w:rFonts w:ascii="Calibri" w:hAnsi="Calibri"/>
          <w:sz w:val="22"/>
        </w:rPr>
        <w:t>. México:    Limusa.</w:t>
      </w:r>
    </w:p>
    <w:p>
      <w:pPr>
        <w:spacing w:after="0"/>
        <w:jc w:val="left"/>
        <w:rPr>
          <w:rFonts w:ascii="Calibri" w:hAnsi="Calibri"/>
          <w:sz w:val="22"/>
        </w:rPr>
        <w:sectPr>
          <w:pgSz w:w="12240" w:h="15840"/>
          <w:pgMar w:header="0" w:footer="1001" w:top="1380" w:bottom="1200" w:left="1600" w:right="1580"/>
        </w:sectPr>
      </w:pPr>
    </w:p>
    <w:p>
      <w:pPr>
        <w:spacing w:line="360" w:lineRule="auto" w:before="35"/>
        <w:ind w:left="825" w:right="259" w:hanging="721"/>
        <w:jc w:val="left"/>
        <w:rPr>
          <w:rFonts w:ascii="Calibri" w:hAnsi="Calibri"/>
          <w:sz w:val="22"/>
        </w:rPr>
      </w:pPr>
      <w:r>
        <w:rPr>
          <w:rFonts w:ascii="Calibri" w:hAnsi="Calibri"/>
          <w:sz w:val="22"/>
        </w:rPr>
        <w:t>Rodríguez-Germade, I., Mohamed, K. J., Rey, D., Rubio, B., &amp; García, Á. (2014). The influence of weather and climate on the reliability of magnetic properties of tree leaves as proxies for air pollution monitoring. </w:t>
      </w:r>
      <w:r>
        <w:rPr>
          <w:rFonts w:ascii="Calibri" w:hAnsi="Calibri"/>
          <w:i/>
          <w:sz w:val="22"/>
        </w:rPr>
        <w:t>Science of The Total Environment, 468–469</w:t>
      </w:r>
      <w:r>
        <w:rPr>
          <w:rFonts w:ascii="Calibri" w:hAnsi="Calibri"/>
          <w:sz w:val="22"/>
        </w:rPr>
        <w:t>(0), 892-902. doi: </w:t>
      </w:r>
      <w:hyperlink r:id="rId56">
        <w:r>
          <w:rPr>
            <w:rFonts w:ascii="Calibri" w:hAnsi="Calibri"/>
            <w:sz w:val="22"/>
            <w:u w:val="single"/>
          </w:rPr>
          <w:t>http://dx.doi.org/10.1016/j.scitotenv.2013.09.009</w:t>
        </w:r>
      </w:hyperlink>
    </w:p>
    <w:p>
      <w:pPr>
        <w:pStyle w:val="BodyText"/>
        <w:spacing w:before="7"/>
        <w:rPr>
          <w:rFonts w:ascii="Calibri"/>
          <w:sz w:val="18"/>
        </w:rPr>
      </w:pPr>
    </w:p>
    <w:p>
      <w:pPr>
        <w:spacing w:before="58"/>
        <w:ind w:left="105" w:right="-4" w:firstLine="0"/>
        <w:jc w:val="left"/>
        <w:rPr>
          <w:rFonts w:ascii="Calibri" w:hAnsi="Calibri"/>
          <w:sz w:val="22"/>
        </w:rPr>
      </w:pPr>
      <w:r>
        <w:rPr>
          <w:rFonts w:ascii="Calibri" w:hAnsi="Calibri"/>
          <w:sz w:val="22"/>
        </w:rPr>
        <w:t>Rojas Bracho, L., &amp; Verónica, G. B. (2003a).  Las  partículas suspendidas, aeropartículas o   aerosoles:</w:t>
      </w:r>
    </w:p>
    <w:p>
      <w:pPr>
        <w:spacing w:before="124"/>
        <w:ind w:left="825" w:right="0" w:firstLine="0"/>
        <w:jc w:val="left"/>
        <w:rPr>
          <w:rFonts w:ascii="Calibri" w:hAnsi="Calibri"/>
          <w:sz w:val="22"/>
        </w:rPr>
      </w:pPr>
      <w:r>
        <w:rPr>
          <w:rFonts w:ascii="Calibri" w:hAnsi="Calibri"/>
          <w:sz w:val="22"/>
        </w:rPr>
        <w:t>¿hacen daño a la salud?; ¿podemos hacer algo? </w:t>
      </w:r>
      <w:r>
        <w:rPr>
          <w:rFonts w:ascii="Calibri" w:hAnsi="Calibri"/>
          <w:i/>
          <w:sz w:val="22"/>
        </w:rPr>
        <w:t>Gaceta Ecológica, </w:t>
      </w:r>
      <w:r>
        <w:rPr>
          <w:rFonts w:ascii="Calibri" w:hAnsi="Calibri"/>
          <w:sz w:val="22"/>
        </w:rPr>
        <w:t>29-44.</w:t>
      </w:r>
    </w:p>
    <w:p>
      <w:pPr>
        <w:pStyle w:val="BodyText"/>
        <w:rPr>
          <w:rFonts w:ascii="Calibri"/>
          <w:sz w:val="22"/>
        </w:rPr>
      </w:pPr>
    </w:p>
    <w:p>
      <w:pPr>
        <w:spacing w:before="151"/>
        <w:ind w:left="105" w:right="0" w:firstLine="0"/>
        <w:jc w:val="left"/>
        <w:rPr>
          <w:rFonts w:ascii="Calibri" w:hAnsi="Calibri"/>
          <w:sz w:val="22"/>
        </w:rPr>
      </w:pPr>
      <w:r>
        <w:rPr>
          <w:rFonts w:ascii="Calibri" w:hAnsi="Calibri"/>
          <w:spacing w:val="-4"/>
          <w:sz w:val="22"/>
        </w:rPr>
        <w:t>Rojas </w:t>
      </w:r>
      <w:r>
        <w:rPr>
          <w:rFonts w:ascii="Calibri" w:hAnsi="Calibri"/>
          <w:spacing w:val="-3"/>
          <w:sz w:val="22"/>
        </w:rPr>
        <w:t>Bracho,  L., </w:t>
      </w:r>
      <w:r>
        <w:rPr>
          <w:rFonts w:ascii="Calibri" w:hAnsi="Calibri"/>
          <w:sz w:val="22"/>
        </w:rPr>
        <w:t>&amp; </w:t>
      </w:r>
      <w:r>
        <w:rPr>
          <w:rFonts w:ascii="Calibri" w:hAnsi="Calibri"/>
          <w:spacing w:val="-3"/>
          <w:sz w:val="22"/>
        </w:rPr>
        <w:t>Verónica, G. </w:t>
      </w:r>
      <w:r>
        <w:rPr>
          <w:rFonts w:ascii="Calibri" w:hAnsi="Calibri"/>
          <w:sz w:val="22"/>
        </w:rPr>
        <w:t>B. (2003b). Las </w:t>
      </w:r>
      <w:r>
        <w:rPr>
          <w:rFonts w:ascii="Calibri" w:hAnsi="Calibri"/>
          <w:spacing w:val="-3"/>
          <w:sz w:val="22"/>
        </w:rPr>
        <w:t>partículas suspendidas, aeropartículas </w:t>
      </w:r>
      <w:r>
        <w:rPr>
          <w:rFonts w:ascii="Calibri" w:hAnsi="Calibri"/>
          <w:sz w:val="22"/>
        </w:rPr>
        <w:t>o   </w:t>
      </w:r>
      <w:r>
        <w:rPr>
          <w:rFonts w:ascii="Calibri" w:hAnsi="Calibri"/>
          <w:spacing w:val="-3"/>
          <w:sz w:val="22"/>
        </w:rPr>
        <w:t>aerosoles:</w:t>
      </w:r>
    </w:p>
    <w:p>
      <w:pPr>
        <w:spacing w:before="131"/>
        <w:ind w:left="825" w:right="0" w:firstLine="0"/>
        <w:jc w:val="left"/>
        <w:rPr>
          <w:rFonts w:ascii="Calibri" w:hAnsi="Calibri"/>
          <w:sz w:val="22"/>
        </w:rPr>
      </w:pPr>
      <w:r>
        <w:rPr>
          <w:rFonts w:ascii="Calibri" w:hAnsi="Calibri"/>
          <w:sz w:val="22"/>
        </w:rPr>
        <w:t>¿hacen daño a la salud?; ¿podemos hacer algo? </w:t>
      </w:r>
      <w:r>
        <w:rPr>
          <w:rFonts w:ascii="Calibri" w:hAnsi="Calibri"/>
          <w:i/>
          <w:sz w:val="22"/>
        </w:rPr>
        <w:t>Gaceta Ecológica, </w:t>
      </w:r>
      <w:r>
        <w:rPr>
          <w:rFonts w:ascii="Calibri" w:hAnsi="Calibri"/>
          <w:sz w:val="22"/>
        </w:rPr>
        <w:t>29-44.</w:t>
      </w:r>
    </w:p>
    <w:p>
      <w:pPr>
        <w:pStyle w:val="BodyText"/>
        <w:rPr>
          <w:rFonts w:ascii="Calibri"/>
          <w:sz w:val="22"/>
        </w:rPr>
      </w:pPr>
    </w:p>
    <w:p>
      <w:pPr>
        <w:spacing w:line="350" w:lineRule="auto" w:before="151"/>
        <w:ind w:left="825" w:right="0" w:hanging="721"/>
        <w:jc w:val="left"/>
        <w:rPr>
          <w:rFonts w:ascii="Calibri" w:hAnsi="Calibri"/>
          <w:sz w:val="22"/>
        </w:rPr>
      </w:pPr>
      <w:r>
        <w:rPr>
          <w:rFonts w:ascii="Calibri" w:hAnsi="Calibri"/>
          <w:sz w:val="22"/>
        </w:rPr>
        <w:t>Romero, T., &amp; Reyes, L. (2013). Influencia de emisiones naturales y antropogénicas en el material aerotransportado del Valle de Toluca. </w:t>
      </w:r>
      <w:r>
        <w:rPr>
          <w:rFonts w:ascii="Calibri" w:hAnsi="Calibri"/>
          <w:i/>
          <w:sz w:val="22"/>
        </w:rPr>
        <w:t>Contacto Nuclear, Julio  2013</w:t>
      </w:r>
      <w:r>
        <w:rPr>
          <w:rFonts w:ascii="Calibri" w:hAnsi="Calibri"/>
          <w:sz w:val="22"/>
        </w:rPr>
        <w:t>.</w:t>
      </w:r>
    </w:p>
    <w:p>
      <w:pPr>
        <w:pStyle w:val="BodyText"/>
        <w:spacing w:before="11"/>
        <w:rPr>
          <w:rFonts w:ascii="Calibri"/>
        </w:rPr>
      </w:pPr>
    </w:p>
    <w:p>
      <w:pPr>
        <w:spacing w:line="357" w:lineRule="auto" w:before="0"/>
        <w:ind w:left="825" w:right="476" w:hanging="721"/>
        <w:jc w:val="left"/>
        <w:rPr>
          <w:rFonts w:ascii="Calibri" w:hAnsi="Calibri"/>
          <w:sz w:val="22"/>
        </w:rPr>
      </w:pPr>
      <w:r>
        <w:rPr>
          <w:rFonts w:ascii="Calibri" w:hAnsi="Calibri"/>
          <w:sz w:val="22"/>
        </w:rPr>
        <w:t>Norma Oficial Méxicana 025-SSA1-2014 Salud ambiental. Valores límite permisibles para la concentración de partículas suspendidas PM10 y PM2.5 en el aire ambiente y criterios para su evaluación, 025 C.F.R.  (2014).</w:t>
      </w:r>
    </w:p>
    <w:p>
      <w:pPr>
        <w:pStyle w:val="BodyText"/>
        <w:spacing w:before="7"/>
        <w:rPr>
          <w:rFonts w:ascii="Calibri"/>
          <w:sz w:val="23"/>
        </w:rPr>
      </w:pPr>
    </w:p>
    <w:p>
      <w:pPr>
        <w:spacing w:line="357" w:lineRule="auto" w:before="0"/>
        <w:ind w:left="825" w:right="219" w:hanging="721"/>
        <w:jc w:val="left"/>
        <w:rPr>
          <w:rFonts w:ascii="Calibri"/>
          <w:sz w:val="22"/>
        </w:rPr>
      </w:pPr>
      <w:r>
        <w:rPr>
          <w:rFonts w:ascii="Calibri"/>
          <w:sz w:val="22"/>
        </w:rPr>
        <w:t>Shuhaili, A. F. A., Ihsan, S. I., &amp; Faris, W. F. (2013). Air pollution study of vehicles emission in high volume traffic: Selangor, Malaysia as a case study. </w:t>
      </w:r>
      <w:r>
        <w:rPr>
          <w:rFonts w:ascii="Calibri"/>
          <w:i/>
          <w:sz w:val="22"/>
        </w:rPr>
        <w:t>WSEAS Transactions on Systems, 12</w:t>
      </w:r>
      <w:r>
        <w:rPr>
          <w:rFonts w:ascii="Calibri"/>
          <w:sz w:val="22"/>
        </w:rPr>
        <w:t>(2), 67-84.</w:t>
      </w:r>
    </w:p>
    <w:p>
      <w:pPr>
        <w:pStyle w:val="BodyText"/>
        <w:spacing w:before="7"/>
        <w:rPr>
          <w:rFonts w:ascii="Calibri"/>
          <w:sz w:val="23"/>
        </w:rPr>
      </w:pPr>
    </w:p>
    <w:p>
      <w:pPr>
        <w:spacing w:line="357" w:lineRule="auto" w:before="0"/>
        <w:ind w:left="825" w:right="0" w:hanging="721"/>
        <w:jc w:val="left"/>
        <w:rPr>
          <w:rFonts w:ascii="Calibri" w:hAnsi="Calibri"/>
          <w:sz w:val="22"/>
        </w:rPr>
      </w:pPr>
      <w:r>
        <w:rPr>
          <w:rFonts w:ascii="Calibri" w:hAnsi="Calibri"/>
          <w:sz w:val="22"/>
        </w:rPr>
        <w:t>Sibato, W., &amp; Yudego, C. (2004). Geostadística y Medio Ambiente. In G. Conesa, C. &amp; G. J. Mertínez (Eds.), (pp. 11-25). España: Universidad de  Murcia.</w:t>
      </w:r>
    </w:p>
    <w:p>
      <w:pPr>
        <w:pStyle w:val="BodyText"/>
        <w:spacing w:before="3"/>
        <w:rPr>
          <w:rFonts w:ascii="Calibri"/>
          <w:sz w:val="22"/>
        </w:rPr>
      </w:pPr>
    </w:p>
    <w:p>
      <w:pPr>
        <w:spacing w:line="372" w:lineRule="auto" w:before="0"/>
        <w:ind w:left="825" w:right="0" w:hanging="721"/>
        <w:jc w:val="left"/>
        <w:rPr>
          <w:rFonts w:ascii="Calibri" w:hAnsi="Calibri"/>
          <w:sz w:val="22"/>
        </w:rPr>
      </w:pPr>
      <w:r>
        <w:rPr>
          <w:rFonts w:ascii="Calibri" w:hAnsi="Calibri"/>
          <w:sz w:val="22"/>
        </w:rPr>
        <w:t>Silva, P. A. (2007). </w:t>
      </w:r>
      <w:r>
        <w:rPr>
          <w:rFonts w:ascii="Calibri" w:hAnsi="Calibri"/>
          <w:i/>
          <w:sz w:val="22"/>
        </w:rPr>
        <w:t>Caracterización de las intrusiones de polvo africano en canarias </w:t>
      </w:r>
      <w:r>
        <w:rPr>
          <w:rFonts w:ascii="Calibri" w:hAnsi="Calibri"/>
          <w:sz w:val="22"/>
        </w:rPr>
        <w:t>(Doctorado en Ciencias  Físicas),  La  Laguna, Tenerife, España.</w:t>
      </w:r>
    </w:p>
    <w:p>
      <w:pPr>
        <w:pStyle w:val="BodyText"/>
        <w:spacing w:before="7"/>
        <w:rPr>
          <w:rFonts w:ascii="Calibri"/>
          <w:sz w:val="21"/>
        </w:rPr>
      </w:pPr>
    </w:p>
    <w:p>
      <w:pPr>
        <w:spacing w:line="357" w:lineRule="auto" w:before="0"/>
        <w:ind w:left="825" w:right="326" w:hanging="721"/>
        <w:jc w:val="left"/>
        <w:rPr>
          <w:rFonts w:ascii="Calibri" w:hAnsi="Calibri"/>
          <w:sz w:val="22"/>
        </w:rPr>
      </w:pPr>
      <w:r>
        <w:rPr>
          <w:rFonts w:ascii="Calibri" w:hAnsi="Calibri"/>
          <w:spacing w:val="-3"/>
          <w:sz w:val="22"/>
        </w:rPr>
        <w:t>Terralledas, E., Cmino, C., </w:t>
      </w:r>
      <w:r>
        <w:rPr>
          <w:rFonts w:ascii="Calibri" w:hAnsi="Calibri"/>
          <w:sz w:val="22"/>
        </w:rPr>
        <w:t>Alonxo-Pérez, </w:t>
      </w:r>
      <w:r>
        <w:rPr>
          <w:rFonts w:ascii="Calibri" w:hAnsi="Calibri"/>
          <w:spacing w:val="-3"/>
          <w:sz w:val="22"/>
        </w:rPr>
        <w:t>S., </w:t>
      </w:r>
      <w:r>
        <w:rPr>
          <w:rFonts w:ascii="Calibri" w:hAnsi="Calibri"/>
          <w:sz w:val="22"/>
        </w:rPr>
        <w:t>Basart, </w:t>
      </w:r>
      <w:r>
        <w:rPr>
          <w:rFonts w:ascii="Calibri" w:hAnsi="Calibri"/>
          <w:spacing w:val="-3"/>
          <w:sz w:val="22"/>
        </w:rPr>
        <w:t>S., </w:t>
      </w:r>
      <w:r>
        <w:rPr>
          <w:rFonts w:ascii="Calibri" w:hAnsi="Calibri"/>
          <w:sz w:val="22"/>
        </w:rPr>
        <w:t>&amp; </w:t>
      </w:r>
      <w:r>
        <w:rPr>
          <w:rFonts w:ascii="Calibri" w:hAnsi="Calibri"/>
          <w:spacing w:val="-3"/>
          <w:sz w:val="22"/>
        </w:rPr>
        <w:t>Baldasano, </w:t>
      </w:r>
      <w:r>
        <w:rPr>
          <w:rFonts w:ascii="Calibri" w:hAnsi="Calibri"/>
          <w:sz w:val="22"/>
        </w:rPr>
        <w:t>J. </w:t>
      </w:r>
      <w:r>
        <w:rPr>
          <w:rFonts w:ascii="Calibri" w:hAnsi="Calibri"/>
          <w:spacing w:val="-3"/>
          <w:sz w:val="22"/>
        </w:rPr>
        <w:t>(2012). </w:t>
      </w:r>
      <w:r>
        <w:rPr>
          <w:rFonts w:ascii="Calibri" w:hAnsi="Calibri"/>
          <w:sz w:val="22"/>
        </w:rPr>
        <w:t>Distribución </w:t>
      </w:r>
      <w:r>
        <w:rPr>
          <w:rFonts w:ascii="Calibri" w:hAnsi="Calibri"/>
          <w:spacing w:val="-3"/>
          <w:sz w:val="22"/>
        </w:rPr>
        <w:t>espacial   </w:t>
      </w:r>
      <w:r>
        <w:rPr>
          <w:rFonts w:ascii="Calibri" w:hAnsi="Calibri"/>
          <w:sz w:val="22"/>
        </w:rPr>
        <w:t>y temporal </w:t>
      </w:r>
      <w:r>
        <w:rPr>
          <w:rFonts w:ascii="Calibri" w:hAnsi="Calibri"/>
          <w:spacing w:val="-2"/>
          <w:sz w:val="22"/>
        </w:rPr>
        <w:t>del </w:t>
      </w:r>
      <w:r>
        <w:rPr>
          <w:rFonts w:ascii="Calibri" w:hAnsi="Calibri"/>
          <w:sz w:val="22"/>
        </w:rPr>
        <w:t>polvo </w:t>
      </w:r>
      <w:r>
        <w:rPr>
          <w:rFonts w:ascii="Calibri" w:hAnsi="Calibri"/>
          <w:spacing w:val="-3"/>
          <w:sz w:val="22"/>
        </w:rPr>
        <w:t>mineral </w:t>
      </w:r>
      <w:r>
        <w:rPr>
          <w:rFonts w:ascii="Calibri" w:hAnsi="Calibri"/>
          <w:sz w:val="22"/>
        </w:rPr>
        <w:t>en </w:t>
      </w:r>
      <w:r>
        <w:rPr>
          <w:rFonts w:ascii="Calibri" w:hAnsi="Calibri"/>
          <w:spacing w:val="-4"/>
          <w:sz w:val="22"/>
        </w:rPr>
        <w:t>el </w:t>
      </w:r>
      <w:r>
        <w:rPr>
          <w:rFonts w:ascii="Calibri" w:hAnsi="Calibri"/>
          <w:sz w:val="22"/>
        </w:rPr>
        <w:t>norte de África y oriente medio estimada a </w:t>
      </w:r>
      <w:r>
        <w:rPr>
          <w:rFonts w:ascii="Calibri" w:hAnsi="Calibri"/>
          <w:spacing w:val="-3"/>
          <w:sz w:val="22"/>
        </w:rPr>
        <w:t>partir </w:t>
      </w:r>
      <w:r>
        <w:rPr>
          <w:rFonts w:ascii="Calibri" w:hAnsi="Calibri"/>
          <w:sz w:val="22"/>
        </w:rPr>
        <w:t>de </w:t>
      </w:r>
      <w:r>
        <w:rPr>
          <w:rFonts w:ascii="Calibri" w:hAnsi="Calibri"/>
          <w:spacing w:val="-3"/>
          <w:sz w:val="22"/>
        </w:rPr>
        <w:t>visibilidad horizontal. </w:t>
      </w:r>
      <w:r>
        <w:rPr>
          <w:rFonts w:ascii="Calibri" w:hAnsi="Calibri"/>
          <w:i/>
          <w:sz w:val="22"/>
        </w:rPr>
        <w:t>XXXII </w:t>
      </w:r>
      <w:r>
        <w:rPr>
          <w:rFonts w:ascii="Calibri" w:hAnsi="Calibri"/>
          <w:i/>
          <w:spacing w:val="-4"/>
          <w:sz w:val="22"/>
        </w:rPr>
        <w:t>Jornadas </w:t>
      </w:r>
      <w:r>
        <w:rPr>
          <w:rFonts w:ascii="Calibri" w:hAnsi="Calibri"/>
          <w:i/>
          <w:sz w:val="22"/>
        </w:rPr>
        <w:t>Científicas de la Asociación </w:t>
      </w:r>
      <w:r>
        <w:rPr>
          <w:rFonts w:ascii="Calibri" w:hAnsi="Calibri"/>
          <w:i/>
          <w:spacing w:val="-3"/>
          <w:sz w:val="22"/>
        </w:rPr>
        <w:t>Meteorológica </w:t>
      </w:r>
      <w:r>
        <w:rPr>
          <w:rFonts w:ascii="Calibri" w:hAnsi="Calibri"/>
          <w:i/>
          <w:spacing w:val="-3"/>
          <w:sz w:val="22"/>
        </w:rPr>
        <w:t>Española.Meteorología </w:t>
      </w:r>
      <w:r>
        <w:rPr>
          <w:rFonts w:ascii="Calibri" w:hAnsi="Calibri"/>
          <w:i/>
          <w:sz w:val="22"/>
        </w:rPr>
        <w:t>y </w:t>
      </w:r>
      <w:r>
        <w:rPr>
          <w:rFonts w:ascii="Calibri" w:hAnsi="Calibri"/>
          <w:i/>
          <w:spacing w:val="-3"/>
          <w:sz w:val="22"/>
        </w:rPr>
        <w:t>Calidad </w:t>
      </w:r>
      <w:r>
        <w:rPr>
          <w:rFonts w:ascii="Calibri" w:hAnsi="Calibri"/>
          <w:i/>
          <w:sz w:val="22"/>
        </w:rPr>
        <w:t>del </w:t>
      </w:r>
      <w:r>
        <w:rPr>
          <w:rFonts w:ascii="Calibri" w:hAnsi="Calibri"/>
          <w:i/>
          <w:spacing w:val="16"/>
          <w:sz w:val="22"/>
        </w:rPr>
        <w:t> </w:t>
      </w:r>
      <w:r>
        <w:rPr>
          <w:rFonts w:ascii="Calibri" w:hAnsi="Calibri"/>
          <w:i/>
          <w:sz w:val="22"/>
        </w:rPr>
        <w:t>Aire</w:t>
      </w:r>
      <w:r>
        <w:rPr>
          <w:rFonts w:ascii="Calibri" w:hAnsi="Calibri"/>
          <w:sz w:val="22"/>
        </w:rPr>
        <w:t>.</w:t>
      </w:r>
    </w:p>
    <w:p>
      <w:pPr>
        <w:pStyle w:val="BodyText"/>
        <w:spacing w:before="3"/>
        <w:rPr>
          <w:rFonts w:ascii="Calibri"/>
        </w:rPr>
      </w:pPr>
    </w:p>
    <w:p>
      <w:pPr>
        <w:spacing w:line="357" w:lineRule="auto" w:before="0"/>
        <w:ind w:left="825" w:right="358" w:hanging="721"/>
        <w:jc w:val="left"/>
        <w:rPr>
          <w:rFonts w:ascii="Calibri"/>
          <w:sz w:val="22"/>
        </w:rPr>
      </w:pPr>
      <w:r>
        <w:rPr>
          <w:rFonts w:ascii="Calibri"/>
          <w:sz w:val="22"/>
        </w:rPr>
        <w:t>Ul-Saufie, A. Z., Yahaya, A. S., Ramli, N. A., Rosaida, N., &amp; Hamid, H. A. (2013). Future daily PM10 concentrations prediction by combining regression models and   feedforward</w:t>
      </w:r>
    </w:p>
    <w:p>
      <w:pPr>
        <w:spacing w:after="0" w:line="357" w:lineRule="auto"/>
        <w:jc w:val="left"/>
        <w:rPr>
          <w:rFonts w:ascii="Calibri"/>
          <w:sz w:val="22"/>
        </w:rPr>
        <w:sectPr>
          <w:pgSz w:w="12240" w:h="15840"/>
          <w:pgMar w:header="0" w:footer="1001" w:top="1380" w:bottom="1200" w:left="1600" w:right="1580"/>
        </w:sectPr>
      </w:pPr>
    </w:p>
    <w:p>
      <w:pPr>
        <w:spacing w:line="357" w:lineRule="auto" w:before="47"/>
        <w:ind w:left="825" w:right="1131" w:firstLine="0"/>
        <w:jc w:val="left"/>
        <w:rPr>
          <w:rFonts w:ascii="Calibri"/>
          <w:sz w:val="22"/>
        </w:rPr>
      </w:pPr>
      <w:r>
        <w:rPr>
          <w:rFonts w:ascii="Calibri"/>
          <w:sz w:val="22"/>
        </w:rPr>
        <w:t>backpropagation models with principle component analysis (PCA). </w:t>
      </w:r>
      <w:r>
        <w:rPr>
          <w:rFonts w:ascii="Calibri"/>
          <w:i/>
          <w:sz w:val="22"/>
        </w:rPr>
        <w:t>Atmospheric </w:t>
      </w:r>
      <w:r>
        <w:rPr>
          <w:rFonts w:ascii="Calibri"/>
          <w:i/>
          <w:sz w:val="22"/>
        </w:rPr>
        <w:t>Environment,  77</w:t>
      </w:r>
      <w:r>
        <w:rPr>
          <w:rFonts w:ascii="Calibri"/>
          <w:sz w:val="22"/>
        </w:rPr>
        <w:t>, 621-630. doi:  10.1016/j.atmosenv.2013.05.017</w:t>
      </w:r>
    </w:p>
    <w:p>
      <w:pPr>
        <w:pStyle w:val="BodyText"/>
        <w:spacing w:before="7"/>
        <w:rPr>
          <w:rFonts w:ascii="Calibri"/>
          <w:sz w:val="23"/>
        </w:rPr>
      </w:pPr>
    </w:p>
    <w:p>
      <w:pPr>
        <w:spacing w:line="364" w:lineRule="auto" w:before="0"/>
        <w:ind w:left="825" w:right="0" w:hanging="721"/>
        <w:jc w:val="left"/>
        <w:rPr>
          <w:rFonts w:ascii="Calibri" w:hAnsi="Calibri"/>
          <w:sz w:val="22"/>
        </w:rPr>
      </w:pPr>
      <w:r>
        <w:rPr>
          <w:rFonts w:ascii="Calibri" w:hAnsi="Calibri"/>
          <w:sz w:val="22"/>
        </w:rPr>
        <w:t>Vitoriano, B. (2012). </w:t>
      </w:r>
      <w:r>
        <w:rPr>
          <w:rFonts w:ascii="Calibri" w:hAnsi="Calibri"/>
          <w:i/>
          <w:sz w:val="22"/>
        </w:rPr>
        <w:t>Modelos y métodos de simulación estocástica. Aplicación en la valoración de </w:t>
      </w:r>
      <w:r>
        <w:rPr>
          <w:rFonts w:ascii="Calibri" w:hAnsi="Calibri"/>
          <w:i/>
          <w:sz w:val="22"/>
        </w:rPr>
        <w:t>opciones financieras </w:t>
      </w:r>
      <w:r>
        <w:rPr>
          <w:rFonts w:ascii="Calibri" w:hAnsi="Calibri"/>
          <w:sz w:val="22"/>
        </w:rPr>
        <w:t>(F. d. Matemáticas Ed.). Madrid, España: Universidad Complutense de Madrid España.</w:t>
      </w:r>
    </w:p>
    <w:p>
      <w:pPr>
        <w:pStyle w:val="BodyText"/>
        <w:spacing w:before="3"/>
        <w:rPr>
          <w:rFonts w:ascii="Calibri"/>
          <w:sz w:val="22"/>
        </w:rPr>
      </w:pPr>
    </w:p>
    <w:p>
      <w:pPr>
        <w:spacing w:line="357" w:lineRule="auto" w:before="0"/>
        <w:ind w:left="825" w:right="669" w:hanging="721"/>
        <w:jc w:val="left"/>
        <w:rPr>
          <w:rFonts w:ascii="Calibri" w:hAnsi="Calibri"/>
          <w:sz w:val="22"/>
        </w:rPr>
      </w:pPr>
      <w:r>
        <w:rPr>
          <w:rFonts w:ascii="Calibri" w:hAnsi="Calibri"/>
          <w:spacing w:val="-3"/>
          <w:sz w:val="22"/>
        </w:rPr>
        <w:t>Zabalza, </w:t>
      </w:r>
      <w:r>
        <w:rPr>
          <w:rFonts w:ascii="Calibri" w:hAnsi="Calibri"/>
          <w:sz w:val="22"/>
        </w:rPr>
        <w:t>J., </w:t>
      </w:r>
      <w:r>
        <w:rPr>
          <w:rFonts w:ascii="Calibri" w:hAnsi="Calibri"/>
          <w:spacing w:val="-4"/>
          <w:sz w:val="22"/>
        </w:rPr>
        <w:t>Santamarina, </w:t>
      </w:r>
      <w:r>
        <w:rPr>
          <w:rFonts w:ascii="Calibri" w:hAnsi="Calibri"/>
          <w:sz w:val="22"/>
        </w:rPr>
        <w:t>J. M., Alastuey, A., &amp; </w:t>
      </w:r>
      <w:r>
        <w:rPr>
          <w:rFonts w:ascii="Calibri" w:hAnsi="Calibri"/>
          <w:spacing w:val="-3"/>
          <w:sz w:val="22"/>
        </w:rPr>
        <w:t>Qerol, X. (2010). </w:t>
      </w:r>
      <w:r>
        <w:rPr>
          <w:rFonts w:ascii="Calibri" w:hAnsi="Calibri"/>
          <w:sz w:val="22"/>
        </w:rPr>
        <w:t>Diagnóstico </w:t>
      </w:r>
      <w:r>
        <w:rPr>
          <w:rFonts w:ascii="Calibri" w:hAnsi="Calibri"/>
          <w:spacing w:val="-3"/>
          <w:sz w:val="22"/>
        </w:rPr>
        <w:t>de contribución de fuentes </w:t>
      </w:r>
      <w:r>
        <w:rPr>
          <w:rFonts w:ascii="Calibri" w:hAnsi="Calibri"/>
          <w:spacing w:val="-4"/>
          <w:sz w:val="22"/>
        </w:rPr>
        <w:t>en </w:t>
      </w:r>
      <w:r>
        <w:rPr>
          <w:rFonts w:ascii="Calibri" w:hAnsi="Calibri"/>
          <w:sz w:val="22"/>
        </w:rPr>
        <w:t>PM10 </w:t>
      </w:r>
      <w:r>
        <w:rPr>
          <w:rFonts w:ascii="Calibri" w:hAnsi="Calibri"/>
          <w:spacing w:val="-4"/>
          <w:sz w:val="22"/>
        </w:rPr>
        <w:t>en </w:t>
      </w:r>
      <w:r>
        <w:rPr>
          <w:rFonts w:ascii="Calibri" w:hAnsi="Calibri"/>
          <w:sz w:val="22"/>
        </w:rPr>
        <w:t>la zona </w:t>
      </w:r>
      <w:r>
        <w:rPr>
          <w:rFonts w:ascii="Calibri" w:hAnsi="Calibri"/>
          <w:spacing w:val="-3"/>
          <w:sz w:val="22"/>
        </w:rPr>
        <w:t>urbana </w:t>
      </w:r>
      <w:r>
        <w:rPr>
          <w:rFonts w:ascii="Calibri" w:hAnsi="Calibri"/>
          <w:sz w:val="22"/>
        </w:rPr>
        <w:t>de </w:t>
      </w:r>
      <w:r>
        <w:rPr>
          <w:rFonts w:ascii="Calibri" w:hAnsi="Calibri"/>
          <w:spacing w:val="-3"/>
          <w:sz w:val="22"/>
        </w:rPr>
        <w:t>Altsasu/Alsasua: niveles </w:t>
      </w:r>
      <w:r>
        <w:rPr>
          <w:rFonts w:ascii="Calibri" w:hAnsi="Calibri"/>
          <w:sz w:val="22"/>
        </w:rPr>
        <w:t>y </w:t>
      </w:r>
      <w:r>
        <w:rPr>
          <w:rFonts w:ascii="Calibri" w:hAnsi="Calibri"/>
          <w:spacing w:val="-3"/>
          <w:sz w:val="22"/>
        </w:rPr>
        <w:t>composición de   </w:t>
      </w:r>
      <w:r>
        <w:rPr>
          <w:rFonts w:ascii="Calibri" w:hAnsi="Calibri"/>
          <w:sz w:val="22"/>
        </w:rPr>
        <w:t>PM10</w:t>
      </w:r>
      <w:r>
        <w:rPr>
          <w:rFonts w:ascii="Calibri" w:hAnsi="Calibri"/>
          <w:spacing w:val="6"/>
          <w:sz w:val="22"/>
        </w:rPr>
        <w:t> </w:t>
      </w:r>
      <w:r>
        <w:rPr>
          <w:rFonts w:ascii="Calibri" w:hAnsi="Calibri"/>
          <w:i/>
          <w:sz w:val="22"/>
        </w:rPr>
        <w:t>CSIC</w:t>
      </w:r>
      <w:r>
        <w:rPr>
          <w:rFonts w:ascii="Calibri" w:hAnsi="Calibri"/>
          <w:sz w:val="22"/>
        </w:rPr>
        <w:t>.</w:t>
      </w:r>
    </w:p>
    <w:p>
      <w:pPr>
        <w:pStyle w:val="BodyText"/>
        <w:rPr>
          <w:rFonts w:ascii="Calibri"/>
          <w:sz w:val="23"/>
        </w:rPr>
      </w:pPr>
    </w:p>
    <w:p>
      <w:pPr>
        <w:spacing w:before="0"/>
        <w:ind w:left="105" w:right="0" w:firstLine="0"/>
        <w:jc w:val="left"/>
        <w:rPr>
          <w:b/>
          <w:sz w:val="24"/>
        </w:rPr>
      </w:pPr>
      <w:r>
        <w:rPr>
          <w:b/>
          <w:sz w:val="24"/>
        </w:rPr>
        <w:t>Agradecimientos</w:t>
      </w:r>
    </w:p>
    <w:p>
      <w:pPr>
        <w:pStyle w:val="BodyText"/>
        <w:rPr>
          <w:b/>
        </w:rPr>
      </w:pPr>
    </w:p>
    <w:p>
      <w:pPr>
        <w:pStyle w:val="BodyText"/>
        <w:rPr>
          <w:b/>
        </w:rPr>
      </w:pPr>
    </w:p>
    <w:p>
      <w:pPr>
        <w:pStyle w:val="BodyText"/>
        <w:spacing w:line="242" w:lineRule="auto" w:before="140"/>
        <w:ind w:left="105" w:right="476"/>
      </w:pPr>
      <w:r>
        <w:rPr/>
        <w:t>A la Universidad Autónoma del Estado de México y al Consejo Nacional  de Ciencia y Tecnología.</w:t>
      </w:r>
    </w:p>
    <w:p>
      <w:pPr>
        <w:pStyle w:val="BodyText"/>
        <w:spacing w:before="9"/>
        <w:rPr>
          <w:sz w:val="23"/>
        </w:rPr>
      </w:pPr>
    </w:p>
    <w:p>
      <w:pPr>
        <w:spacing w:before="0"/>
        <w:ind w:left="105" w:right="0" w:firstLine="0"/>
        <w:jc w:val="left"/>
        <w:rPr>
          <w:b/>
          <w:sz w:val="24"/>
        </w:rPr>
      </w:pPr>
      <w:r>
        <w:rPr>
          <w:b/>
          <w:sz w:val="24"/>
        </w:rPr>
        <w:t>Potencial Conflicto de interés</w:t>
      </w:r>
    </w:p>
    <w:p>
      <w:pPr>
        <w:pStyle w:val="BodyText"/>
        <w:rPr>
          <w:b/>
        </w:rPr>
      </w:pPr>
    </w:p>
    <w:p>
      <w:pPr>
        <w:pStyle w:val="BodyText"/>
        <w:ind w:left="105"/>
      </w:pPr>
      <w:r>
        <w:rPr/>
        <w:t>No hay conflicto de intereses.</w:t>
      </w:r>
    </w:p>
    <w:p>
      <w:pPr>
        <w:pStyle w:val="BodyText"/>
      </w:pPr>
    </w:p>
    <w:p>
      <w:pPr>
        <w:spacing w:before="0"/>
        <w:ind w:left="105" w:right="0" w:firstLine="0"/>
        <w:jc w:val="left"/>
        <w:rPr>
          <w:b/>
          <w:sz w:val="24"/>
        </w:rPr>
      </w:pPr>
      <w:r>
        <w:rPr>
          <w:b/>
          <w:sz w:val="24"/>
        </w:rPr>
        <w:t>Fuentes de Financiación</w:t>
      </w:r>
    </w:p>
    <w:p>
      <w:pPr>
        <w:pStyle w:val="BodyText"/>
        <w:rPr>
          <w:b/>
        </w:rPr>
      </w:pPr>
    </w:p>
    <w:p>
      <w:pPr>
        <w:pStyle w:val="BodyText"/>
        <w:ind w:left="105"/>
      </w:pPr>
      <w:r>
        <w:rPr/>
        <w:t>Beca CONACYT para estudios de posgrado.</w:t>
      </w:r>
    </w:p>
    <w:p>
      <w:pPr>
        <w:pStyle w:val="BodyText"/>
      </w:pPr>
    </w:p>
    <w:p>
      <w:pPr>
        <w:pStyle w:val="BodyText"/>
        <w:spacing w:before="6"/>
        <w:rPr>
          <w:sz w:val="21"/>
        </w:rPr>
      </w:pPr>
    </w:p>
    <w:p>
      <w:pPr>
        <w:pStyle w:val="BodyText"/>
        <w:spacing w:line="272" w:lineRule="exact"/>
        <w:ind w:left="105"/>
        <w:rPr>
          <w:rFonts w:ascii="Times New Roman" w:hAnsi="Times New Roman"/>
        </w:rPr>
      </w:pPr>
      <w:r>
        <w:rPr>
          <w:rFonts w:ascii="Calibri" w:hAnsi="Calibri"/>
          <w:position w:val="10"/>
          <w:sz w:val="14"/>
        </w:rPr>
        <w:t>1 </w:t>
      </w:r>
      <w:r>
        <w:rPr>
          <w:rFonts w:ascii="Times New Roman" w:hAnsi="Times New Roman"/>
        </w:rPr>
        <w:t>Maestría en Ciencias Ambientales de la Facultad de Química, Universidad Autónoma del Estado de México. </w:t>
      </w:r>
      <w:hyperlink r:id="rId57">
        <w:r>
          <w:rPr>
            <w:rFonts w:ascii="Times New Roman" w:hAnsi="Times New Roman"/>
            <w:u w:val="single"/>
          </w:rPr>
          <w:t>hugosm354@hotmail.com</w:t>
        </w:r>
      </w:hyperlink>
    </w:p>
    <w:p>
      <w:pPr>
        <w:pStyle w:val="BodyText"/>
        <w:spacing w:before="1"/>
        <w:ind w:left="105" w:right="118"/>
        <w:jc w:val="both"/>
        <w:rPr>
          <w:rFonts w:ascii="Times New Roman" w:hAnsi="Times New Roman"/>
        </w:rPr>
      </w:pPr>
      <w:r>
        <w:rPr>
          <w:rFonts w:ascii="Calibri" w:hAnsi="Calibri"/>
          <w:position w:val="10"/>
          <w:sz w:val="13"/>
        </w:rPr>
        <w:t>1 </w:t>
      </w:r>
      <w:r>
        <w:rPr>
          <w:rFonts w:ascii="Times New Roman" w:hAnsi="Times New Roman"/>
        </w:rPr>
        <w:t>Dra. En Geografía, Facultad </w:t>
      </w:r>
      <w:r>
        <w:rPr>
          <w:rFonts w:ascii="Times New Roman" w:hAnsi="Times New Roman"/>
          <w:spacing w:val="3"/>
        </w:rPr>
        <w:t>de </w:t>
      </w:r>
      <w:r>
        <w:rPr>
          <w:rFonts w:ascii="Times New Roman" w:hAnsi="Times New Roman"/>
        </w:rPr>
        <w:t>Planeación Urbana y Regional,  Centro </w:t>
      </w:r>
      <w:r>
        <w:rPr>
          <w:rFonts w:ascii="Times New Roman" w:hAnsi="Times New Roman"/>
          <w:spacing w:val="3"/>
        </w:rPr>
        <w:t>de </w:t>
      </w:r>
      <w:r>
        <w:rPr>
          <w:rFonts w:ascii="Times New Roman" w:hAnsi="Times New Roman"/>
        </w:rPr>
        <w:t>Investigación  en Estudios Avanzados en Planeación Territorial, Universidad Autónoma </w:t>
      </w:r>
      <w:r>
        <w:rPr>
          <w:rFonts w:ascii="Times New Roman" w:hAnsi="Times New Roman"/>
          <w:spacing w:val="4"/>
        </w:rPr>
        <w:t>del </w:t>
      </w:r>
      <w:r>
        <w:rPr>
          <w:rFonts w:ascii="Times New Roman" w:hAnsi="Times New Roman"/>
        </w:rPr>
        <w:t>Estado de México.</w:t>
      </w:r>
      <w:r>
        <w:rPr>
          <w:rFonts w:ascii="Times New Roman" w:hAnsi="Times New Roman"/>
          <w:spacing w:val="-13"/>
        </w:rPr>
        <w:t> </w:t>
      </w:r>
      <w:hyperlink r:id="rId58">
        <w:r>
          <w:rPr>
            <w:rFonts w:ascii="Times New Roman" w:hAnsi="Times New Roman"/>
            <w:u w:val="single"/>
          </w:rPr>
          <w:t>eorozcoh61@hotmail.com</w:t>
        </w:r>
      </w:hyperlink>
    </w:p>
    <w:p>
      <w:pPr>
        <w:pStyle w:val="BodyText"/>
        <w:spacing w:line="242" w:lineRule="auto"/>
        <w:ind w:left="105"/>
        <w:rPr>
          <w:rFonts w:ascii="Times New Roman" w:hAnsi="Times New Roman"/>
        </w:rPr>
      </w:pPr>
      <w:r>
        <w:rPr>
          <w:rFonts w:ascii="Calibri" w:hAnsi="Calibri"/>
          <w:position w:val="10"/>
          <w:sz w:val="14"/>
        </w:rPr>
        <w:t>1 </w:t>
      </w:r>
      <w:r>
        <w:rPr>
          <w:rFonts w:ascii="Times New Roman" w:hAnsi="Times New Roman"/>
        </w:rPr>
        <w:t>M. En Ingeniería, Facultad de Química, Universidad Autónoma del Estado de México. </w:t>
      </w:r>
      <w:hyperlink r:id="rId59">
        <w:r>
          <w:rPr>
            <w:rFonts w:ascii="Times New Roman" w:hAnsi="Times New Roman"/>
            <w:u w:val="single"/>
          </w:rPr>
          <w:t>victor.pachecos50@gmail.com</w:t>
        </w:r>
      </w:hyperlink>
    </w:p>
    <w:p>
      <w:pPr>
        <w:pStyle w:val="BodyText"/>
        <w:spacing w:line="288" w:lineRule="auto"/>
        <w:ind w:left="105"/>
        <w:rPr>
          <w:rFonts w:ascii="Calibri" w:hAnsi="Calibri"/>
        </w:rPr>
      </w:pPr>
      <w:r>
        <w:rPr>
          <w:rFonts w:ascii="Calibri" w:hAnsi="Calibri"/>
          <w:position w:val="10"/>
          <w:sz w:val="14"/>
        </w:rPr>
        <w:t>1</w:t>
      </w:r>
      <w:r>
        <w:rPr>
          <w:rFonts w:ascii="Times New Roman" w:hAnsi="Times New Roman"/>
        </w:rPr>
        <w:t>Dra. en Ciencias, Centro Universitario Tenancingo, Universidad Autónoma del Estado de México. </w:t>
      </w:r>
      <w:hyperlink r:id="rId60">
        <w:r>
          <w:rPr>
            <w:rFonts w:ascii="Calibri" w:hAnsi="Calibri"/>
            <w:u w:val="single"/>
          </w:rPr>
          <w:t>mevaldezp@gmail.com</w:t>
        </w:r>
      </w:hyperlink>
    </w:p>
    <w:p>
      <w:pPr>
        <w:spacing w:after="0" w:line="288" w:lineRule="auto"/>
        <w:rPr>
          <w:rFonts w:ascii="Calibri" w:hAnsi="Calibri"/>
        </w:rPr>
        <w:sectPr>
          <w:pgSz w:w="12240" w:h="15840"/>
          <w:pgMar w:header="0" w:footer="1001" w:top="1360" w:bottom="1200" w:left="1600" w:right="1580"/>
        </w:sectPr>
      </w:pPr>
    </w:p>
    <w:p>
      <w:pPr>
        <w:pStyle w:val="Heading2"/>
        <w:numPr>
          <w:ilvl w:val="1"/>
          <w:numId w:val="14"/>
        </w:numPr>
        <w:tabs>
          <w:tab w:pos="537" w:val="left" w:leader="none"/>
        </w:tabs>
        <w:spacing w:line="240" w:lineRule="auto" w:before="50" w:after="0"/>
        <w:ind w:left="536" w:right="0" w:hanging="431"/>
        <w:jc w:val="both"/>
      </w:pPr>
      <w:bookmarkStart w:name="_bookmark44" w:id="73"/>
      <w:bookmarkEnd w:id="73"/>
      <w:r>
        <w:rPr>
          <w:b w:val="0"/>
        </w:rPr>
      </w:r>
      <w:bookmarkStart w:name="_bookmark44" w:id="74"/>
      <w:bookmarkEnd w:id="74"/>
      <w:r>
        <w:rPr>
          <w:color w:val="4F81BC"/>
        </w:rPr>
        <w:t>E</w:t>
      </w:r>
      <w:r>
        <w:rPr>
          <w:color w:val="4F81BC"/>
        </w:rPr>
        <w:t>strategias de </w:t>
      </w:r>
      <w:r>
        <w:rPr>
          <w:color w:val="4F81BC"/>
          <w:spacing w:val="-3"/>
        </w:rPr>
        <w:t>gestión</w:t>
      </w:r>
      <w:r>
        <w:rPr>
          <w:color w:val="4F81BC"/>
          <w:spacing w:val="7"/>
        </w:rPr>
        <w:t> </w:t>
      </w:r>
      <w:r>
        <w:rPr>
          <w:color w:val="4F81BC"/>
        </w:rPr>
        <w:t>ambiental</w:t>
      </w:r>
    </w:p>
    <w:p>
      <w:pPr>
        <w:pStyle w:val="BodyText"/>
        <w:spacing w:before="8"/>
        <w:rPr>
          <w:rFonts w:ascii="Cambria"/>
          <w:b/>
          <w:sz w:val="27"/>
        </w:rPr>
      </w:pPr>
    </w:p>
    <w:p>
      <w:pPr>
        <w:pStyle w:val="BodyText"/>
        <w:spacing w:line="360" w:lineRule="auto"/>
        <w:ind w:left="105" w:right="118"/>
        <w:jc w:val="both"/>
      </w:pPr>
      <w:r>
        <w:rPr/>
        <w:t>La calidad del aire en la ciudad de Toluca y su zona metropolitana, bajo las condiciones actuales mantendrá la tendencia a presentar concentraciones de partículas por encima de los límites permisibles. Ante la constante exposición de la población a condiciones de mala calidad de aire se vuele prioritaria la necesidad de contar con un programa de Contingencia ambiental y Alerta temprana con énfasis en estrategias de adaptación y mitigación para el control de la contaminación atmosférica.</w:t>
      </w:r>
    </w:p>
    <w:p>
      <w:pPr>
        <w:pStyle w:val="BodyText"/>
        <w:spacing w:before="9"/>
      </w:pPr>
    </w:p>
    <w:p>
      <w:pPr>
        <w:pStyle w:val="BodyText"/>
        <w:spacing w:line="360" w:lineRule="auto"/>
        <w:ind w:left="105" w:right="109"/>
        <w:jc w:val="both"/>
      </w:pPr>
      <w:r>
        <w:rPr/>
        <w:t>Los Programas de Contingencia Atmosférica se establecen </w:t>
      </w:r>
      <w:r>
        <w:rPr>
          <w:spacing w:val="-3"/>
        </w:rPr>
        <w:t>en </w:t>
      </w:r>
      <w:r>
        <w:rPr/>
        <w:t>las ciudades y zonas metropolitanas como respuesta a las condiciones de calidad del aire donde las normas son rebasadas de manera frecuente y especialmente cuando se presentan episodios </w:t>
      </w:r>
      <w:r>
        <w:rPr>
          <w:spacing w:val="5"/>
        </w:rPr>
        <w:t>de </w:t>
      </w:r>
      <w:r>
        <w:rPr/>
        <w:t>alta contaminación, estableciéndose </w:t>
      </w:r>
      <w:r>
        <w:rPr>
          <w:spacing w:val="4"/>
        </w:rPr>
        <w:t>una </w:t>
      </w:r>
      <w:r>
        <w:rPr/>
        <w:t>serie de medidas restrictivas </w:t>
      </w:r>
      <w:r>
        <w:rPr>
          <w:spacing w:val="-3"/>
        </w:rPr>
        <w:t>en </w:t>
      </w:r>
      <w:r>
        <w:rPr/>
        <w:t>los principales sectores </w:t>
      </w:r>
      <w:r>
        <w:rPr>
          <w:spacing w:val="5"/>
        </w:rPr>
        <w:t>de </w:t>
      </w:r>
      <w:r>
        <w:rPr/>
        <w:t>fuentes emisoras y con medidas orientadas a informar a la población las condiciones </w:t>
      </w:r>
      <w:r>
        <w:rPr>
          <w:spacing w:val="-3"/>
        </w:rPr>
        <w:t>en </w:t>
      </w:r>
      <w:r>
        <w:rPr/>
        <w:t>la calidad de aire y las acciones </w:t>
      </w:r>
      <w:r>
        <w:rPr>
          <w:spacing w:val="2"/>
        </w:rPr>
        <w:t>para </w:t>
      </w:r>
      <w:r>
        <w:rPr/>
        <w:t>reducir la exposición a los </w:t>
      </w:r>
      <w:r>
        <w:rPr>
          <w:spacing w:val="-3"/>
        </w:rPr>
        <w:t>altos </w:t>
      </w:r>
      <w:r>
        <w:rPr/>
        <w:t>nivel </w:t>
      </w:r>
      <w:r>
        <w:rPr>
          <w:spacing w:val="-3"/>
        </w:rPr>
        <w:t>es </w:t>
      </w:r>
      <w:r>
        <w:rPr/>
        <w:t>de contaminación atmosférica, a fin de disminuir </w:t>
      </w:r>
      <w:r>
        <w:rPr>
          <w:spacing w:val="-3"/>
        </w:rPr>
        <w:t>el </w:t>
      </w:r>
      <w:r>
        <w:rPr/>
        <w:t>riesgo de afectaciones a la salud. En nuestro país las ciudades que cuentan con un plan de contingencia atmosférica son la Ciudad de México, Guadalajara, Salamanca, Monterrey y la Zona Metropolitana del </w:t>
      </w:r>
      <w:r>
        <w:rPr>
          <w:spacing w:val="-3"/>
        </w:rPr>
        <w:t>Valle </w:t>
      </w:r>
      <w:r>
        <w:rPr/>
        <w:t>de México correspondiente a los Municipios del Estado </w:t>
      </w:r>
      <w:r>
        <w:rPr>
          <w:spacing w:val="5"/>
        </w:rPr>
        <w:t>de</w:t>
      </w:r>
      <w:r>
        <w:rPr>
          <w:spacing w:val="-45"/>
        </w:rPr>
        <w:t> </w:t>
      </w:r>
      <w:r>
        <w:rPr/>
        <w:t>México.</w:t>
      </w:r>
    </w:p>
    <w:p>
      <w:pPr>
        <w:pStyle w:val="BodyText"/>
        <w:spacing w:before="2"/>
      </w:pPr>
    </w:p>
    <w:p>
      <w:pPr>
        <w:pStyle w:val="BodyText"/>
        <w:spacing w:line="360" w:lineRule="auto"/>
        <w:ind w:left="105" w:right="111"/>
        <w:jc w:val="both"/>
      </w:pPr>
      <w:r>
        <w:rPr/>
        <w:t>Los programas de contingencia ambiental cuentan </w:t>
      </w:r>
      <w:r>
        <w:rPr>
          <w:spacing w:val="-3"/>
        </w:rPr>
        <w:t>en </w:t>
      </w:r>
      <w:r>
        <w:rPr/>
        <w:t>la mayoría de las ciudades con una </w:t>
      </w:r>
      <w:r>
        <w:rPr>
          <w:spacing w:val="-3"/>
        </w:rPr>
        <w:t>fase </w:t>
      </w:r>
      <w:r>
        <w:rPr/>
        <w:t>de Pre-contingencia y fases de Contingencia que </w:t>
      </w:r>
      <w:r>
        <w:rPr>
          <w:spacing w:val="-3"/>
        </w:rPr>
        <w:t>pueden </w:t>
      </w:r>
      <w:r>
        <w:rPr/>
        <w:t>segmentarse </w:t>
      </w:r>
      <w:r>
        <w:rPr>
          <w:spacing w:val="-3"/>
        </w:rPr>
        <w:t>en </w:t>
      </w:r>
      <w:r>
        <w:rPr/>
        <w:t>distintos niveles </w:t>
      </w:r>
      <w:r>
        <w:rPr>
          <w:spacing w:val="-3"/>
        </w:rPr>
        <w:t>en </w:t>
      </w:r>
      <w:r>
        <w:rPr/>
        <w:t>función de las concentraciones de contaminantes. Los sistemas </w:t>
      </w:r>
      <w:r>
        <w:rPr>
          <w:spacing w:val="5"/>
        </w:rPr>
        <w:t>de </w:t>
      </w:r>
      <w:r>
        <w:rPr/>
        <w:t>alerta temprana constan de un conjunto de procedimientos e instrumentos automatizados que permiten, consensuar, sistematizar y aplicar coordinadamente las acciones emergentes que a fin de responder </w:t>
      </w:r>
      <w:r>
        <w:rPr>
          <w:spacing w:val="5"/>
        </w:rPr>
        <w:t>de </w:t>
      </w:r>
      <w:r>
        <w:rPr/>
        <w:t>forma inmediata a las necesidades urgentes de </w:t>
      </w:r>
      <w:r>
        <w:rPr>
          <w:spacing w:val="5"/>
        </w:rPr>
        <w:t>la </w:t>
      </w:r>
      <w:r>
        <w:rPr/>
        <w:t>población para la protección de la vida y la salud, alimentación, suministro de agua y albergue temporal, ante la inminencia de que ocurra un desastre natural o ante la  ocurrencia del mismo (SEGOB,</w:t>
      </w:r>
      <w:r>
        <w:rPr>
          <w:spacing w:val="-4"/>
        </w:rPr>
        <w:t> </w:t>
      </w:r>
      <w:r>
        <w:rPr/>
        <w:t>2014).</w:t>
      </w:r>
    </w:p>
    <w:p>
      <w:pPr>
        <w:spacing w:after="0" w:line="360" w:lineRule="auto"/>
        <w:jc w:val="both"/>
        <w:sectPr>
          <w:pgSz w:w="12240" w:h="15840"/>
          <w:pgMar w:header="0" w:footer="1001" w:top="1360" w:bottom="1200" w:left="1600" w:right="1580"/>
        </w:sectPr>
      </w:pPr>
    </w:p>
    <w:p>
      <w:pPr>
        <w:pStyle w:val="BodyText"/>
        <w:spacing w:line="360" w:lineRule="auto" w:before="48"/>
        <w:ind w:left="225" w:right="204"/>
      </w:pPr>
      <w:r>
        <w:rPr/>
        <w:t>Los efectos a la salud derivados de los niveles de contaminación por partículas en la zona metropolitana de Toluca, se hacen visibles en el aumento de ingresos hospitalarios, ingreso a salas de emergencias, demanda de servicios médicos, funcionamiento pulmonar y mortalidad (EDOMEX, 2012a). Los principales indicadores que muestran un aumento como consecuencia de las concentraciones de partículas se presentan en el cuadro 8.</w:t>
      </w:r>
    </w:p>
    <w:p>
      <w:pPr>
        <w:pStyle w:val="BodyText"/>
        <w:spacing w:before="10"/>
      </w:pPr>
    </w:p>
    <w:p>
      <w:pPr>
        <w:pStyle w:val="BodyText"/>
        <w:ind w:left="1282" w:right="204"/>
      </w:pPr>
      <w:r>
        <w:rPr/>
        <w:t>Cuadro 8. Efectos </w:t>
      </w:r>
      <w:r>
        <w:rPr>
          <w:spacing w:val="5"/>
        </w:rPr>
        <w:t>de la</w:t>
      </w:r>
      <w:r>
        <w:rPr>
          <w:spacing w:val="-47"/>
        </w:rPr>
        <w:t> </w:t>
      </w:r>
      <w:r>
        <w:rPr/>
        <w:t>contaminación atmosférica </w:t>
      </w:r>
      <w:r>
        <w:rPr>
          <w:spacing w:val="-3"/>
        </w:rPr>
        <w:t>en </w:t>
      </w:r>
      <w:r>
        <w:rPr/>
        <w:t>la </w:t>
      </w:r>
      <w:r>
        <w:rPr>
          <w:spacing w:val="2"/>
        </w:rPr>
        <w:t>salud.</w:t>
      </w:r>
    </w:p>
    <w:p>
      <w:pPr>
        <w:pStyle w:val="BodyText"/>
        <w:rPr>
          <w:sz w:val="20"/>
        </w:rPr>
      </w:pPr>
    </w:p>
    <w:p>
      <w:pPr>
        <w:pStyle w:val="BodyText"/>
        <w:spacing w:before="7"/>
        <w:rPr>
          <w:sz w:val="16"/>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98"/>
        <w:gridCol w:w="1192"/>
        <w:gridCol w:w="4099"/>
        <w:gridCol w:w="1673"/>
      </w:tblGrid>
      <w:tr>
        <w:trPr>
          <w:trHeight w:val="632" w:hRule="exact"/>
        </w:trPr>
        <w:tc>
          <w:tcPr>
            <w:tcW w:w="2098" w:type="dxa"/>
          </w:tcPr>
          <w:p>
            <w:pPr>
              <w:pStyle w:val="TableParagraph"/>
              <w:spacing w:line="206" w:lineRule="exact"/>
              <w:ind w:left="112"/>
              <w:rPr>
                <w:b/>
                <w:sz w:val="18"/>
              </w:rPr>
            </w:pPr>
            <w:r>
              <w:rPr>
                <w:b/>
                <w:sz w:val="18"/>
              </w:rPr>
              <w:t>Indicador</w:t>
            </w:r>
          </w:p>
        </w:tc>
        <w:tc>
          <w:tcPr>
            <w:tcW w:w="1192" w:type="dxa"/>
          </w:tcPr>
          <w:p>
            <w:pPr>
              <w:pStyle w:val="TableParagraph"/>
              <w:spacing w:line="200" w:lineRule="exact" w:before="8"/>
              <w:ind w:left="104" w:right="100"/>
              <w:rPr>
                <w:b/>
                <w:sz w:val="18"/>
              </w:rPr>
            </w:pPr>
            <w:r>
              <w:rPr>
                <w:b/>
                <w:sz w:val="18"/>
              </w:rPr>
              <w:t>Estimación de casos</w:t>
            </w:r>
          </w:p>
        </w:tc>
        <w:tc>
          <w:tcPr>
            <w:tcW w:w="4099" w:type="dxa"/>
          </w:tcPr>
          <w:p>
            <w:pPr>
              <w:pStyle w:val="TableParagraph"/>
              <w:spacing w:line="200" w:lineRule="exact" w:before="8"/>
              <w:ind w:left="104"/>
              <w:rPr>
                <w:b/>
                <w:sz w:val="18"/>
              </w:rPr>
            </w:pPr>
            <w:r>
              <w:rPr>
                <w:b/>
                <w:sz w:val="18"/>
              </w:rPr>
              <w:t>Estimación de casos por Contaminación atmosférica</w:t>
            </w:r>
          </w:p>
        </w:tc>
        <w:tc>
          <w:tcPr>
            <w:tcW w:w="1673" w:type="dxa"/>
          </w:tcPr>
          <w:p>
            <w:pPr>
              <w:pStyle w:val="TableParagraph"/>
              <w:tabs>
                <w:tab w:pos="1311" w:val="left" w:leader="none"/>
              </w:tabs>
              <w:spacing w:line="200" w:lineRule="exact" w:before="8"/>
              <w:ind w:left="103" w:right="97"/>
              <w:rPr>
                <w:b/>
                <w:sz w:val="18"/>
              </w:rPr>
            </w:pPr>
            <w:r>
              <w:rPr>
                <w:b/>
                <w:sz w:val="18"/>
              </w:rPr>
              <w:t>Porcentaje</w:t>
              <w:tab/>
            </w:r>
            <w:r>
              <w:rPr>
                <w:b/>
                <w:spacing w:val="-6"/>
                <w:sz w:val="18"/>
              </w:rPr>
              <w:t>del </w:t>
            </w:r>
            <w:r>
              <w:rPr>
                <w:b/>
                <w:spacing w:val="-3"/>
                <w:sz w:val="18"/>
              </w:rPr>
              <w:t>total  </w:t>
            </w:r>
            <w:r>
              <w:rPr>
                <w:b/>
                <w:spacing w:val="-1"/>
                <w:sz w:val="18"/>
              </w:rPr>
              <w:t> </w:t>
            </w:r>
            <w:r>
              <w:rPr>
                <w:b/>
                <w:spacing w:val="-3"/>
                <w:sz w:val="18"/>
              </w:rPr>
              <w:t>registrados</w:t>
            </w:r>
          </w:p>
          <w:p>
            <w:pPr>
              <w:pStyle w:val="TableParagraph"/>
              <w:spacing w:line="206" w:lineRule="exact"/>
              <w:ind w:left="103"/>
              <w:rPr>
                <w:b/>
                <w:sz w:val="18"/>
              </w:rPr>
            </w:pPr>
            <w:r>
              <w:rPr>
                <w:b/>
                <w:w w:val="102"/>
                <w:sz w:val="18"/>
              </w:rPr>
              <w:t>%</w:t>
            </w:r>
          </w:p>
        </w:tc>
      </w:tr>
      <w:tr>
        <w:trPr>
          <w:trHeight w:val="217" w:hRule="exact"/>
        </w:trPr>
        <w:tc>
          <w:tcPr>
            <w:tcW w:w="9062" w:type="dxa"/>
            <w:gridSpan w:val="4"/>
          </w:tcPr>
          <w:p>
            <w:pPr>
              <w:pStyle w:val="TableParagraph"/>
              <w:spacing w:line="199" w:lineRule="exact"/>
              <w:ind w:left="3426" w:right="3407"/>
              <w:jc w:val="center"/>
              <w:rPr>
                <w:b/>
                <w:sz w:val="18"/>
              </w:rPr>
            </w:pPr>
            <w:r>
              <w:rPr>
                <w:b/>
                <w:sz w:val="18"/>
              </w:rPr>
              <w:t>Admisiones hospitalarias</w:t>
            </w:r>
          </w:p>
        </w:tc>
      </w:tr>
      <w:tr>
        <w:trPr>
          <w:trHeight w:val="216" w:hRule="exact"/>
        </w:trPr>
        <w:tc>
          <w:tcPr>
            <w:tcW w:w="2098" w:type="dxa"/>
          </w:tcPr>
          <w:p>
            <w:pPr>
              <w:pStyle w:val="TableParagraph"/>
              <w:spacing w:line="206" w:lineRule="exact"/>
              <w:ind w:left="112"/>
              <w:rPr>
                <w:sz w:val="18"/>
              </w:rPr>
            </w:pPr>
            <w:r>
              <w:rPr>
                <w:sz w:val="18"/>
              </w:rPr>
              <w:t>Causa respiratoria</w:t>
            </w:r>
          </w:p>
        </w:tc>
        <w:tc>
          <w:tcPr>
            <w:tcW w:w="1192" w:type="dxa"/>
          </w:tcPr>
          <w:p>
            <w:pPr>
              <w:pStyle w:val="TableParagraph"/>
              <w:spacing w:line="206" w:lineRule="exact"/>
              <w:ind w:right="95"/>
              <w:jc w:val="right"/>
              <w:rPr>
                <w:sz w:val="18"/>
              </w:rPr>
            </w:pPr>
            <w:r>
              <w:rPr>
                <w:sz w:val="18"/>
              </w:rPr>
              <w:t>245</w:t>
            </w:r>
          </w:p>
        </w:tc>
        <w:tc>
          <w:tcPr>
            <w:tcW w:w="4099" w:type="dxa"/>
          </w:tcPr>
          <w:p>
            <w:pPr>
              <w:pStyle w:val="TableParagraph"/>
              <w:spacing w:line="206" w:lineRule="exact"/>
              <w:ind w:right="94"/>
              <w:jc w:val="right"/>
              <w:rPr>
                <w:sz w:val="18"/>
              </w:rPr>
            </w:pPr>
            <w:r>
              <w:rPr>
                <w:sz w:val="18"/>
              </w:rPr>
              <w:t>25</w:t>
            </w:r>
          </w:p>
        </w:tc>
        <w:tc>
          <w:tcPr>
            <w:tcW w:w="1673" w:type="dxa"/>
          </w:tcPr>
          <w:p>
            <w:pPr>
              <w:pStyle w:val="TableParagraph"/>
              <w:spacing w:line="206" w:lineRule="exact"/>
              <w:ind w:right="94"/>
              <w:jc w:val="right"/>
              <w:rPr>
                <w:sz w:val="18"/>
              </w:rPr>
            </w:pPr>
            <w:r>
              <w:rPr>
                <w:sz w:val="18"/>
              </w:rPr>
              <w:t>10</w:t>
            </w:r>
          </w:p>
        </w:tc>
      </w:tr>
      <w:tr>
        <w:trPr>
          <w:trHeight w:val="224" w:hRule="exact"/>
        </w:trPr>
        <w:tc>
          <w:tcPr>
            <w:tcW w:w="2098" w:type="dxa"/>
          </w:tcPr>
          <w:p>
            <w:pPr>
              <w:pStyle w:val="TableParagraph"/>
              <w:spacing w:line="206" w:lineRule="exact"/>
              <w:ind w:left="112"/>
              <w:rPr>
                <w:sz w:val="18"/>
              </w:rPr>
            </w:pPr>
            <w:r>
              <w:rPr>
                <w:sz w:val="18"/>
              </w:rPr>
              <w:t>Causa cardiovascular</w:t>
            </w:r>
          </w:p>
        </w:tc>
        <w:tc>
          <w:tcPr>
            <w:tcW w:w="1192" w:type="dxa"/>
          </w:tcPr>
          <w:p>
            <w:pPr>
              <w:pStyle w:val="TableParagraph"/>
              <w:spacing w:line="206" w:lineRule="exact"/>
              <w:ind w:right="95"/>
              <w:jc w:val="right"/>
              <w:rPr>
                <w:sz w:val="18"/>
              </w:rPr>
            </w:pPr>
            <w:r>
              <w:rPr>
                <w:sz w:val="18"/>
              </w:rPr>
              <w:t>564</w:t>
            </w:r>
          </w:p>
        </w:tc>
        <w:tc>
          <w:tcPr>
            <w:tcW w:w="4099" w:type="dxa"/>
          </w:tcPr>
          <w:p>
            <w:pPr>
              <w:pStyle w:val="TableParagraph"/>
              <w:spacing w:line="206" w:lineRule="exact"/>
              <w:ind w:right="94"/>
              <w:jc w:val="right"/>
              <w:rPr>
                <w:sz w:val="18"/>
              </w:rPr>
            </w:pPr>
            <w:r>
              <w:rPr>
                <w:sz w:val="18"/>
              </w:rPr>
              <w:t>25</w:t>
            </w:r>
          </w:p>
        </w:tc>
        <w:tc>
          <w:tcPr>
            <w:tcW w:w="1673" w:type="dxa"/>
          </w:tcPr>
          <w:p>
            <w:pPr>
              <w:pStyle w:val="TableParagraph"/>
              <w:spacing w:line="206" w:lineRule="exact"/>
              <w:ind w:right="103"/>
              <w:jc w:val="right"/>
              <w:rPr>
                <w:sz w:val="18"/>
              </w:rPr>
            </w:pPr>
            <w:r>
              <w:rPr>
                <w:w w:val="102"/>
                <w:sz w:val="18"/>
              </w:rPr>
              <w:t>4</w:t>
            </w:r>
          </w:p>
        </w:tc>
      </w:tr>
      <w:tr>
        <w:trPr>
          <w:trHeight w:val="216" w:hRule="exact"/>
        </w:trPr>
        <w:tc>
          <w:tcPr>
            <w:tcW w:w="2098" w:type="dxa"/>
          </w:tcPr>
          <w:p>
            <w:pPr>
              <w:pStyle w:val="TableParagraph"/>
              <w:spacing w:line="198" w:lineRule="exact"/>
              <w:ind w:left="112"/>
              <w:rPr>
                <w:sz w:val="18"/>
              </w:rPr>
            </w:pPr>
            <w:r>
              <w:rPr>
                <w:sz w:val="18"/>
              </w:rPr>
              <w:t>Respiratoria</w:t>
            </w:r>
          </w:p>
        </w:tc>
        <w:tc>
          <w:tcPr>
            <w:tcW w:w="1192" w:type="dxa"/>
          </w:tcPr>
          <w:p>
            <w:pPr>
              <w:pStyle w:val="TableParagraph"/>
              <w:spacing w:line="198" w:lineRule="exact"/>
              <w:ind w:right="96"/>
              <w:jc w:val="right"/>
              <w:rPr>
                <w:sz w:val="18"/>
              </w:rPr>
            </w:pPr>
            <w:r>
              <w:rPr>
                <w:sz w:val="18"/>
              </w:rPr>
              <w:t>11858</w:t>
            </w:r>
          </w:p>
        </w:tc>
        <w:tc>
          <w:tcPr>
            <w:tcW w:w="4099" w:type="dxa"/>
          </w:tcPr>
          <w:p>
            <w:pPr>
              <w:pStyle w:val="TableParagraph"/>
              <w:spacing w:line="198" w:lineRule="exact"/>
              <w:ind w:right="96"/>
              <w:jc w:val="right"/>
              <w:rPr>
                <w:sz w:val="18"/>
              </w:rPr>
            </w:pPr>
            <w:r>
              <w:rPr>
                <w:sz w:val="18"/>
              </w:rPr>
              <w:t>2765</w:t>
            </w:r>
          </w:p>
        </w:tc>
        <w:tc>
          <w:tcPr>
            <w:tcW w:w="1673" w:type="dxa"/>
          </w:tcPr>
          <w:p>
            <w:pPr>
              <w:pStyle w:val="TableParagraph"/>
              <w:spacing w:line="198" w:lineRule="exact"/>
              <w:ind w:right="94"/>
              <w:jc w:val="right"/>
              <w:rPr>
                <w:sz w:val="18"/>
              </w:rPr>
            </w:pPr>
            <w:r>
              <w:rPr>
                <w:sz w:val="18"/>
              </w:rPr>
              <w:t>23</w:t>
            </w:r>
          </w:p>
        </w:tc>
      </w:tr>
      <w:tr>
        <w:trPr>
          <w:trHeight w:val="216" w:hRule="exact"/>
        </w:trPr>
        <w:tc>
          <w:tcPr>
            <w:tcW w:w="9062" w:type="dxa"/>
            <w:gridSpan w:val="4"/>
          </w:tcPr>
          <w:p>
            <w:pPr>
              <w:pStyle w:val="TableParagraph"/>
              <w:spacing w:line="198" w:lineRule="exact"/>
              <w:ind w:left="3418" w:right="3407"/>
              <w:jc w:val="center"/>
              <w:rPr>
                <w:b/>
                <w:sz w:val="18"/>
              </w:rPr>
            </w:pPr>
            <w:r>
              <w:rPr>
                <w:b/>
                <w:sz w:val="18"/>
              </w:rPr>
              <w:t>Efectos en asmáticos</w:t>
            </w:r>
          </w:p>
        </w:tc>
      </w:tr>
      <w:tr>
        <w:trPr>
          <w:trHeight w:val="216" w:hRule="exact"/>
        </w:trPr>
        <w:tc>
          <w:tcPr>
            <w:tcW w:w="2098" w:type="dxa"/>
          </w:tcPr>
          <w:p>
            <w:pPr>
              <w:pStyle w:val="TableParagraph"/>
              <w:spacing w:line="198" w:lineRule="exact"/>
              <w:ind w:left="112"/>
              <w:rPr>
                <w:sz w:val="18"/>
              </w:rPr>
            </w:pPr>
            <w:r>
              <w:rPr>
                <w:sz w:val="18"/>
              </w:rPr>
              <w:t>Ataques de asma</w:t>
            </w:r>
          </w:p>
        </w:tc>
        <w:tc>
          <w:tcPr>
            <w:tcW w:w="1192" w:type="dxa"/>
          </w:tcPr>
          <w:p>
            <w:pPr>
              <w:pStyle w:val="TableParagraph"/>
              <w:spacing w:line="198" w:lineRule="exact"/>
              <w:ind w:right="96"/>
              <w:jc w:val="right"/>
              <w:rPr>
                <w:sz w:val="18"/>
              </w:rPr>
            </w:pPr>
            <w:r>
              <w:rPr>
                <w:sz w:val="18"/>
              </w:rPr>
              <w:t>4,444</w:t>
            </w:r>
          </w:p>
        </w:tc>
        <w:tc>
          <w:tcPr>
            <w:tcW w:w="4099" w:type="dxa"/>
          </w:tcPr>
          <w:p>
            <w:pPr>
              <w:pStyle w:val="TableParagraph"/>
              <w:spacing w:line="198" w:lineRule="exact"/>
              <w:ind w:right="96"/>
              <w:jc w:val="right"/>
              <w:rPr>
                <w:sz w:val="18"/>
              </w:rPr>
            </w:pPr>
            <w:r>
              <w:rPr>
                <w:sz w:val="18"/>
              </w:rPr>
              <w:t>2579</w:t>
            </w:r>
          </w:p>
        </w:tc>
        <w:tc>
          <w:tcPr>
            <w:tcW w:w="1673" w:type="dxa"/>
          </w:tcPr>
          <w:p>
            <w:pPr>
              <w:pStyle w:val="TableParagraph"/>
              <w:spacing w:line="198" w:lineRule="exact"/>
              <w:ind w:right="94"/>
              <w:jc w:val="right"/>
              <w:rPr>
                <w:sz w:val="18"/>
              </w:rPr>
            </w:pPr>
            <w:r>
              <w:rPr>
                <w:sz w:val="18"/>
              </w:rPr>
              <w:t>58</w:t>
            </w:r>
          </w:p>
        </w:tc>
      </w:tr>
      <w:tr>
        <w:trPr>
          <w:trHeight w:val="216" w:hRule="exact"/>
        </w:trPr>
        <w:tc>
          <w:tcPr>
            <w:tcW w:w="2098" w:type="dxa"/>
          </w:tcPr>
          <w:p>
            <w:pPr>
              <w:pStyle w:val="TableParagraph"/>
              <w:spacing w:line="198" w:lineRule="exact"/>
              <w:ind w:left="112"/>
              <w:rPr>
                <w:sz w:val="18"/>
              </w:rPr>
            </w:pPr>
            <w:r>
              <w:rPr>
                <w:sz w:val="18"/>
              </w:rPr>
              <w:t>Tos con flemas</w:t>
            </w:r>
          </w:p>
        </w:tc>
        <w:tc>
          <w:tcPr>
            <w:tcW w:w="1192" w:type="dxa"/>
          </w:tcPr>
          <w:p>
            <w:pPr>
              <w:pStyle w:val="TableParagraph"/>
              <w:spacing w:line="198" w:lineRule="exact"/>
              <w:ind w:right="96"/>
              <w:jc w:val="right"/>
              <w:rPr>
                <w:sz w:val="18"/>
              </w:rPr>
            </w:pPr>
            <w:r>
              <w:rPr>
                <w:sz w:val="18"/>
              </w:rPr>
              <w:t>1569</w:t>
            </w:r>
          </w:p>
        </w:tc>
        <w:tc>
          <w:tcPr>
            <w:tcW w:w="4099" w:type="dxa"/>
          </w:tcPr>
          <w:p>
            <w:pPr>
              <w:pStyle w:val="TableParagraph"/>
              <w:spacing w:line="198" w:lineRule="exact"/>
              <w:ind w:right="94"/>
              <w:jc w:val="right"/>
              <w:rPr>
                <w:sz w:val="18"/>
              </w:rPr>
            </w:pPr>
            <w:r>
              <w:rPr>
                <w:sz w:val="18"/>
              </w:rPr>
              <w:t>534</w:t>
            </w:r>
          </w:p>
        </w:tc>
        <w:tc>
          <w:tcPr>
            <w:tcW w:w="1673" w:type="dxa"/>
          </w:tcPr>
          <w:p>
            <w:pPr>
              <w:pStyle w:val="TableParagraph"/>
              <w:spacing w:line="198" w:lineRule="exact"/>
              <w:ind w:right="94"/>
              <w:jc w:val="right"/>
              <w:rPr>
                <w:sz w:val="18"/>
              </w:rPr>
            </w:pPr>
            <w:r>
              <w:rPr>
                <w:sz w:val="18"/>
              </w:rPr>
              <w:t>34</w:t>
            </w:r>
          </w:p>
        </w:tc>
      </w:tr>
      <w:tr>
        <w:trPr>
          <w:trHeight w:val="216" w:hRule="exact"/>
        </w:trPr>
        <w:tc>
          <w:tcPr>
            <w:tcW w:w="2098" w:type="dxa"/>
          </w:tcPr>
          <w:p>
            <w:pPr>
              <w:pStyle w:val="TableParagraph"/>
              <w:spacing w:line="198" w:lineRule="exact"/>
              <w:ind w:left="112"/>
              <w:rPr>
                <w:sz w:val="18"/>
              </w:rPr>
            </w:pPr>
            <w:r>
              <w:rPr>
                <w:sz w:val="18"/>
              </w:rPr>
              <w:t>Tos sin flemas</w:t>
            </w:r>
          </w:p>
        </w:tc>
        <w:tc>
          <w:tcPr>
            <w:tcW w:w="1192" w:type="dxa"/>
          </w:tcPr>
          <w:p>
            <w:pPr>
              <w:pStyle w:val="TableParagraph"/>
              <w:spacing w:line="198" w:lineRule="exact"/>
              <w:ind w:right="95"/>
              <w:jc w:val="right"/>
              <w:rPr>
                <w:sz w:val="18"/>
              </w:rPr>
            </w:pPr>
            <w:r>
              <w:rPr>
                <w:sz w:val="18"/>
              </w:rPr>
              <w:t>115</w:t>
            </w:r>
          </w:p>
        </w:tc>
        <w:tc>
          <w:tcPr>
            <w:tcW w:w="4099" w:type="dxa"/>
          </w:tcPr>
          <w:p>
            <w:pPr>
              <w:pStyle w:val="TableParagraph"/>
              <w:spacing w:line="198" w:lineRule="exact"/>
              <w:ind w:right="94"/>
              <w:jc w:val="right"/>
              <w:rPr>
                <w:sz w:val="18"/>
              </w:rPr>
            </w:pPr>
            <w:r>
              <w:rPr>
                <w:sz w:val="18"/>
              </w:rPr>
              <w:t>28</w:t>
            </w:r>
          </w:p>
        </w:tc>
        <w:tc>
          <w:tcPr>
            <w:tcW w:w="1673" w:type="dxa"/>
          </w:tcPr>
          <w:p>
            <w:pPr>
              <w:pStyle w:val="TableParagraph"/>
              <w:spacing w:line="198" w:lineRule="exact"/>
              <w:ind w:right="94"/>
              <w:jc w:val="right"/>
              <w:rPr>
                <w:sz w:val="18"/>
              </w:rPr>
            </w:pPr>
            <w:r>
              <w:rPr>
                <w:sz w:val="18"/>
              </w:rPr>
              <w:t>24</w:t>
            </w:r>
          </w:p>
        </w:tc>
      </w:tr>
      <w:tr>
        <w:trPr>
          <w:trHeight w:val="216" w:hRule="exact"/>
        </w:trPr>
        <w:tc>
          <w:tcPr>
            <w:tcW w:w="9062" w:type="dxa"/>
            <w:gridSpan w:val="4"/>
          </w:tcPr>
          <w:p>
            <w:pPr>
              <w:pStyle w:val="TableParagraph"/>
              <w:spacing w:line="198" w:lineRule="exact"/>
              <w:ind w:left="3426" w:right="3407"/>
              <w:jc w:val="center"/>
              <w:rPr>
                <w:b/>
                <w:sz w:val="18"/>
              </w:rPr>
            </w:pPr>
            <w:r>
              <w:rPr>
                <w:b/>
                <w:sz w:val="18"/>
              </w:rPr>
              <w:t>Síntomas Respiratorios</w:t>
            </w:r>
          </w:p>
        </w:tc>
      </w:tr>
      <w:tr>
        <w:trPr>
          <w:trHeight w:val="217" w:hRule="exact"/>
        </w:trPr>
        <w:tc>
          <w:tcPr>
            <w:tcW w:w="2098" w:type="dxa"/>
          </w:tcPr>
          <w:p>
            <w:pPr>
              <w:pStyle w:val="TableParagraph"/>
              <w:spacing w:line="207" w:lineRule="exact"/>
              <w:ind w:left="112"/>
              <w:rPr>
                <w:sz w:val="18"/>
              </w:rPr>
            </w:pPr>
            <w:r>
              <w:rPr>
                <w:sz w:val="18"/>
              </w:rPr>
              <w:t>Bronquitis aguda</w:t>
            </w:r>
          </w:p>
        </w:tc>
        <w:tc>
          <w:tcPr>
            <w:tcW w:w="1192" w:type="dxa"/>
          </w:tcPr>
          <w:p>
            <w:pPr>
              <w:pStyle w:val="TableParagraph"/>
              <w:spacing w:line="207" w:lineRule="exact"/>
              <w:ind w:right="96"/>
              <w:jc w:val="right"/>
              <w:rPr>
                <w:sz w:val="18"/>
              </w:rPr>
            </w:pPr>
            <w:r>
              <w:rPr>
                <w:sz w:val="18"/>
              </w:rPr>
              <w:t>2269</w:t>
            </w:r>
          </w:p>
        </w:tc>
        <w:tc>
          <w:tcPr>
            <w:tcW w:w="4099" w:type="dxa"/>
          </w:tcPr>
          <w:p>
            <w:pPr>
              <w:pStyle w:val="TableParagraph"/>
              <w:spacing w:line="207" w:lineRule="exact"/>
              <w:ind w:right="96"/>
              <w:jc w:val="right"/>
              <w:rPr>
                <w:sz w:val="18"/>
              </w:rPr>
            </w:pPr>
            <w:r>
              <w:rPr>
                <w:sz w:val="18"/>
              </w:rPr>
              <w:t>1871</w:t>
            </w:r>
          </w:p>
        </w:tc>
        <w:tc>
          <w:tcPr>
            <w:tcW w:w="1673" w:type="dxa"/>
          </w:tcPr>
          <w:p>
            <w:pPr>
              <w:pStyle w:val="TableParagraph"/>
              <w:spacing w:line="207" w:lineRule="exact"/>
              <w:ind w:right="94"/>
              <w:jc w:val="right"/>
              <w:rPr>
                <w:sz w:val="18"/>
              </w:rPr>
            </w:pPr>
            <w:r>
              <w:rPr>
                <w:sz w:val="18"/>
              </w:rPr>
              <w:t>82</w:t>
            </w:r>
          </w:p>
        </w:tc>
      </w:tr>
      <w:tr>
        <w:trPr>
          <w:trHeight w:val="224" w:hRule="exact"/>
        </w:trPr>
        <w:tc>
          <w:tcPr>
            <w:tcW w:w="2098" w:type="dxa"/>
          </w:tcPr>
          <w:p>
            <w:pPr>
              <w:pStyle w:val="TableParagraph"/>
              <w:spacing w:line="206" w:lineRule="exact"/>
              <w:ind w:left="112"/>
              <w:rPr>
                <w:sz w:val="18"/>
              </w:rPr>
            </w:pPr>
            <w:r>
              <w:rPr>
                <w:sz w:val="18"/>
              </w:rPr>
              <w:t>Morbilidad Crónica</w:t>
            </w:r>
          </w:p>
        </w:tc>
        <w:tc>
          <w:tcPr>
            <w:tcW w:w="1192" w:type="dxa"/>
          </w:tcPr>
          <w:p>
            <w:pPr>
              <w:pStyle w:val="TableParagraph"/>
              <w:spacing w:line="206" w:lineRule="exact"/>
              <w:ind w:right="96"/>
              <w:jc w:val="right"/>
              <w:rPr>
                <w:sz w:val="18"/>
              </w:rPr>
            </w:pPr>
            <w:r>
              <w:rPr>
                <w:sz w:val="18"/>
              </w:rPr>
              <w:t>2063</w:t>
            </w:r>
          </w:p>
        </w:tc>
        <w:tc>
          <w:tcPr>
            <w:tcW w:w="4099" w:type="dxa"/>
          </w:tcPr>
          <w:p>
            <w:pPr>
              <w:pStyle w:val="TableParagraph"/>
              <w:spacing w:line="206" w:lineRule="exact"/>
              <w:ind w:right="94"/>
              <w:jc w:val="right"/>
              <w:rPr>
                <w:sz w:val="18"/>
              </w:rPr>
            </w:pPr>
            <w:r>
              <w:rPr>
                <w:sz w:val="18"/>
              </w:rPr>
              <w:t>827</w:t>
            </w:r>
          </w:p>
        </w:tc>
        <w:tc>
          <w:tcPr>
            <w:tcW w:w="1673" w:type="dxa"/>
          </w:tcPr>
          <w:p>
            <w:pPr>
              <w:pStyle w:val="TableParagraph"/>
              <w:spacing w:line="206" w:lineRule="exact"/>
              <w:ind w:right="94"/>
              <w:jc w:val="right"/>
              <w:rPr>
                <w:sz w:val="18"/>
              </w:rPr>
            </w:pPr>
            <w:r>
              <w:rPr>
                <w:sz w:val="18"/>
              </w:rPr>
              <w:t>40</w:t>
            </w:r>
          </w:p>
        </w:tc>
      </w:tr>
      <w:tr>
        <w:trPr>
          <w:trHeight w:val="216" w:hRule="exact"/>
        </w:trPr>
        <w:tc>
          <w:tcPr>
            <w:tcW w:w="9062" w:type="dxa"/>
            <w:gridSpan w:val="4"/>
          </w:tcPr>
          <w:p>
            <w:pPr>
              <w:pStyle w:val="TableParagraph"/>
              <w:spacing w:line="198" w:lineRule="exact"/>
              <w:ind w:left="3026"/>
              <w:rPr>
                <w:b/>
                <w:sz w:val="18"/>
              </w:rPr>
            </w:pPr>
            <w:r>
              <w:rPr>
                <w:b/>
                <w:sz w:val="18"/>
              </w:rPr>
              <w:t>Mortalidad por enfermedad  crónica</w:t>
            </w:r>
          </w:p>
        </w:tc>
      </w:tr>
      <w:tr>
        <w:trPr>
          <w:trHeight w:val="216" w:hRule="exact"/>
        </w:trPr>
        <w:tc>
          <w:tcPr>
            <w:tcW w:w="2098" w:type="dxa"/>
          </w:tcPr>
          <w:p>
            <w:pPr>
              <w:pStyle w:val="TableParagraph"/>
              <w:spacing w:line="198" w:lineRule="exact"/>
              <w:ind w:left="112"/>
              <w:rPr>
                <w:sz w:val="18"/>
              </w:rPr>
            </w:pPr>
            <w:r>
              <w:rPr>
                <w:sz w:val="18"/>
              </w:rPr>
              <w:t>Total</w:t>
            </w:r>
          </w:p>
        </w:tc>
        <w:tc>
          <w:tcPr>
            <w:tcW w:w="1192" w:type="dxa"/>
          </w:tcPr>
          <w:p>
            <w:pPr>
              <w:pStyle w:val="TableParagraph"/>
              <w:spacing w:line="198" w:lineRule="exact"/>
              <w:ind w:right="96"/>
              <w:jc w:val="right"/>
              <w:rPr>
                <w:sz w:val="18"/>
              </w:rPr>
            </w:pPr>
            <w:r>
              <w:rPr>
                <w:sz w:val="18"/>
              </w:rPr>
              <w:t>3817</w:t>
            </w:r>
          </w:p>
        </w:tc>
        <w:tc>
          <w:tcPr>
            <w:tcW w:w="4099" w:type="dxa"/>
          </w:tcPr>
          <w:p>
            <w:pPr>
              <w:pStyle w:val="TableParagraph"/>
              <w:spacing w:line="198" w:lineRule="exact"/>
              <w:ind w:right="96"/>
              <w:jc w:val="right"/>
              <w:rPr>
                <w:sz w:val="18"/>
              </w:rPr>
            </w:pPr>
            <w:r>
              <w:rPr>
                <w:sz w:val="18"/>
              </w:rPr>
              <w:t>1099</w:t>
            </w:r>
          </w:p>
        </w:tc>
        <w:tc>
          <w:tcPr>
            <w:tcW w:w="1673" w:type="dxa"/>
          </w:tcPr>
          <w:p>
            <w:pPr>
              <w:pStyle w:val="TableParagraph"/>
              <w:spacing w:line="198" w:lineRule="exact"/>
              <w:ind w:right="94"/>
              <w:jc w:val="right"/>
              <w:rPr>
                <w:sz w:val="18"/>
              </w:rPr>
            </w:pPr>
            <w:r>
              <w:rPr>
                <w:sz w:val="18"/>
              </w:rPr>
              <w:t>29</w:t>
            </w:r>
          </w:p>
        </w:tc>
      </w:tr>
      <w:tr>
        <w:trPr>
          <w:trHeight w:val="216" w:hRule="exact"/>
        </w:trPr>
        <w:tc>
          <w:tcPr>
            <w:tcW w:w="9062" w:type="dxa"/>
            <w:gridSpan w:val="4"/>
          </w:tcPr>
          <w:p>
            <w:pPr>
              <w:pStyle w:val="TableParagraph"/>
              <w:spacing w:line="198" w:lineRule="exact"/>
              <w:ind w:left="3419" w:right="3407"/>
              <w:jc w:val="center"/>
              <w:rPr>
                <w:b/>
                <w:sz w:val="18"/>
              </w:rPr>
            </w:pPr>
            <w:r>
              <w:rPr>
                <w:b/>
                <w:sz w:val="18"/>
              </w:rPr>
              <w:t>Mortalidad Aguda</w:t>
            </w:r>
          </w:p>
        </w:tc>
      </w:tr>
      <w:tr>
        <w:trPr>
          <w:trHeight w:val="216" w:hRule="exact"/>
        </w:trPr>
        <w:tc>
          <w:tcPr>
            <w:tcW w:w="2098" w:type="dxa"/>
          </w:tcPr>
          <w:p>
            <w:pPr>
              <w:pStyle w:val="TableParagraph"/>
              <w:spacing w:line="199" w:lineRule="exact"/>
              <w:ind w:left="112"/>
              <w:rPr>
                <w:sz w:val="18"/>
              </w:rPr>
            </w:pPr>
            <w:r>
              <w:rPr>
                <w:sz w:val="18"/>
              </w:rPr>
              <w:t>Total</w:t>
            </w:r>
          </w:p>
        </w:tc>
        <w:tc>
          <w:tcPr>
            <w:tcW w:w="1192" w:type="dxa"/>
          </w:tcPr>
          <w:p>
            <w:pPr>
              <w:pStyle w:val="TableParagraph"/>
              <w:spacing w:line="199" w:lineRule="exact"/>
              <w:ind w:right="96"/>
              <w:jc w:val="right"/>
              <w:rPr>
                <w:sz w:val="18"/>
              </w:rPr>
            </w:pPr>
            <w:r>
              <w:rPr>
                <w:sz w:val="18"/>
              </w:rPr>
              <w:t>5703</w:t>
            </w:r>
          </w:p>
        </w:tc>
        <w:tc>
          <w:tcPr>
            <w:tcW w:w="4099" w:type="dxa"/>
          </w:tcPr>
          <w:p>
            <w:pPr>
              <w:pStyle w:val="TableParagraph"/>
              <w:spacing w:line="199" w:lineRule="exact"/>
              <w:ind w:right="94"/>
              <w:jc w:val="right"/>
              <w:rPr>
                <w:sz w:val="18"/>
              </w:rPr>
            </w:pPr>
            <w:r>
              <w:rPr>
                <w:sz w:val="18"/>
              </w:rPr>
              <w:t>432</w:t>
            </w:r>
          </w:p>
        </w:tc>
        <w:tc>
          <w:tcPr>
            <w:tcW w:w="1673" w:type="dxa"/>
          </w:tcPr>
          <w:p>
            <w:pPr>
              <w:pStyle w:val="TableParagraph"/>
              <w:spacing w:line="199" w:lineRule="exact"/>
              <w:ind w:right="103"/>
              <w:jc w:val="right"/>
              <w:rPr>
                <w:sz w:val="18"/>
              </w:rPr>
            </w:pPr>
            <w:r>
              <w:rPr>
                <w:w w:val="102"/>
                <w:sz w:val="18"/>
              </w:rPr>
              <w:t>8</w:t>
            </w:r>
          </w:p>
        </w:tc>
      </w:tr>
      <w:tr>
        <w:trPr>
          <w:trHeight w:val="216" w:hRule="exact"/>
        </w:trPr>
        <w:tc>
          <w:tcPr>
            <w:tcW w:w="2098" w:type="dxa"/>
          </w:tcPr>
          <w:p>
            <w:pPr>
              <w:pStyle w:val="TableParagraph"/>
              <w:spacing w:line="198" w:lineRule="exact"/>
              <w:ind w:left="112"/>
              <w:rPr>
                <w:sz w:val="18"/>
              </w:rPr>
            </w:pPr>
            <w:r>
              <w:rPr>
                <w:sz w:val="18"/>
              </w:rPr>
              <w:t>Infantil</w:t>
            </w:r>
          </w:p>
        </w:tc>
        <w:tc>
          <w:tcPr>
            <w:tcW w:w="1192" w:type="dxa"/>
          </w:tcPr>
          <w:p>
            <w:pPr>
              <w:pStyle w:val="TableParagraph"/>
              <w:spacing w:line="198" w:lineRule="exact"/>
              <w:ind w:right="95"/>
              <w:jc w:val="right"/>
              <w:rPr>
                <w:sz w:val="18"/>
              </w:rPr>
            </w:pPr>
            <w:r>
              <w:rPr>
                <w:sz w:val="18"/>
              </w:rPr>
              <w:t>660</w:t>
            </w:r>
          </w:p>
        </w:tc>
        <w:tc>
          <w:tcPr>
            <w:tcW w:w="4099" w:type="dxa"/>
          </w:tcPr>
          <w:p>
            <w:pPr>
              <w:pStyle w:val="TableParagraph"/>
              <w:spacing w:line="198" w:lineRule="exact"/>
              <w:ind w:right="94"/>
              <w:jc w:val="right"/>
              <w:rPr>
                <w:sz w:val="18"/>
              </w:rPr>
            </w:pPr>
            <w:r>
              <w:rPr>
                <w:sz w:val="18"/>
              </w:rPr>
              <w:t>174</w:t>
            </w:r>
          </w:p>
        </w:tc>
        <w:tc>
          <w:tcPr>
            <w:tcW w:w="1673" w:type="dxa"/>
          </w:tcPr>
          <w:p>
            <w:pPr>
              <w:pStyle w:val="TableParagraph"/>
              <w:spacing w:line="198" w:lineRule="exact"/>
              <w:ind w:right="94"/>
              <w:jc w:val="right"/>
              <w:rPr>
                <w:sz w:val="18"/>
              </w:rPr>
            </w:pPr>
            <w:r>
              <w:rPr>
                <w:sz w:val="18"/>
              </w:rPr>
              <w:t>26</w:t>
            </w:r>
          </w:p>
        </w:tc>
      </w:tr>
    </w:tbl>
    <w:p>
      <w:pPr>
        <w:pStyle w:val="BodyText"/>
        <w:spacing w:before="6"/>
        <w:rPr>
          <w:sz w:val="17"/>
        </w:rPr>
      </w:pPr>
    </w:p>
    <w:p>
      <w:pPr>
        <w:pStyle w:val="BodyText"/>
        <w:spacing w:before="69"/>
        <w:ind w:left="237" w:right="233"/>
        <w:jc w:val="center"/>
      </w:pPr>
      <w:r>
        <w:rPr/>
        <w:t>Fuente: (EDOMEX, 2012a)</w:t>
      </w:r>
    </w:p>
    <w:p>
      <w:pPr>
        <w:pStyle w:val="BodyText"/>
      </w:pPr>
    </w:p>
    <w:p>
      <w:pPr>
        <w:pStyle w:val="BodyText"/>
        <w:spacing w:line="360" w:lineRule="auto" w:before="144"/>
        <w:ind w:left="225" w:right="225"/>
        <w:jc w:val="both"/>
      </w:pPr>
      <w:r>
        <w:rPr/>
        <w:t>Los efectos más severos de la contaminación atmosférica por partículas </w:t>
      </w:r>
      <w:r>
        <w:rPr>
          <w:spacing w:val="2"/>
        </w:rPr>
        <w:t>PM10 </w:t>
      </w:r>
      <w:r>
        <w:rPr>
          <w:spacing w:val="-3"/>
        </w:rPr>
        <w:t>en </w:t>
      </w:r>
      <w:r>
        <w:rPr/>
        <w:t>la salud de la población de la Zona Metropolita de Toluca, se manifiestan </w:t>
      </w:r>
      <w:r>
        <w:rPr>
          <w:spacing w:val="-3"/>
        </w:rPr>
        <w:t>en </w:t>
      </w:r>
      <w:r>
        <w:rPr/>
        <w:t>los síntomas respiratorios con respecto a los casos de Bronquitis aguda, </w:t>
      </w:r>
      <w:r>
        <w:rPr>
          <w:spacing w:val="-3"/>
        </w:rPr>
        <w:t>al </w:t>
      </w:r>
      <w:r>
        <w:rPr/>
        <w:t>representar </w:t>
      </w:r>
      <w:r>
        <w:rPr>
          <w:spacing w:val="-3"/>
        </w:rPr>
        <w:t>el </w:t>
      </w:r>
      <w:r>
        <w:rPr/>
        <w:t>82% de los casos estimados para </w:t>
      </w:r>
      <w:r>
        <w:rPr>
          <w:spacing w:val="-3"/>
        </w:rPr>
        <w:t>el </w:t>
      </w:r>
      <w:r>
        <w:rPr/>
        <w:t>año 2011, así como una morbilidad del 40%. Por otro lado </w:t>
      </w:r>
      <w:r>
        <w:rPr>
          <w:spacing w:val="5"/>
        </w:rPr>
        <w:t>la </w:t>
      </w:r>
      <w:r>
        <w:rPr/>
        <w:t>contaminación atmosférica genera importantes efectos </w:t>
      </w:r>
      <w:r>
        <w:rPr>
          <w:spacing w:val="-3"/>
        </w:rPr>
        <w:t>en </w:t>
      </w:r>
      <w:r>
        <w:rPr/>
        <w:t>la población con problemas asmáticos, </w:t>
      </w:r>
      <w:r>
        <w:rPr>
          <w:spacing w:val="-3"/>
        </w:rPr>
        <w:t>al </w:t>
      </w:r>
      <w:r>
        <w:rPr/>
        <w:t>representar </w:t>
      </w:r>
      <w:r>
        <w:rPr>
          <w:spacing w:val="-3"/>
        </w:rPr>
        <w:t>el </w:t>
      </w:r>
      <w:r>
        <w:rPr/>
        <w:t>58% de los ataques de asma del total estimado. Es importante señalar que </w:t>
      </w:r>
      <w:r>
        <w:rPr>
          <w:spacing w:val="-3"/>
        </w:rPr>
        <w:t>en </w:t>
      </w:r>
      <w:r>
        <w:rPr/>
        <w:t>cuanto a la mortalidad crónica los </w:t>
      </w:r>
      <w:r>
        <w:rPr>
          <w:spacing w:val="-3"/>
        </w:rPr>
        <w:t>efectos </w:t>
      </w:r>
      <w:r>
        <w:rPr/>
        <w:t>estimados se reportan </w:t>
      </w:r>
      <w:r>
        <w:rPr>
          <w:spacing w:val="-3"/>
        </w:rPr>
        <w:t>en el </w:t>
      </w:r>
      <w:r>
        <w:rPr/>
        <w:t>29% de los </w:t>
      </w:r>
      <w:r>
        <w:rPr>
          <w:spacing w:val="-3"/>
        </w:rPr>
        <w:t>casos </w:t>
      </w:r>
      <w:r>
        <w:rPr/>
        <w:t>estimados y destacar </w:t>
      </w:r>
      <w:r>
        <w:rPr>
          <w:spacing w:val="-3"/>
        </w:rPr>
        <w:t>el </w:t>
      </w:r>
      <w:r>
        <w:rPr/>
        <w:t>porcentaje infantil del 26% </w:t>
      </w:r>
      <w:r>
        <w:rPr>
          <w:spacing w:val="-3"/>
        </w:rPr>
        <w:t>en </w:t>
      </w:r>
      <w:r>
        <w:rPr/>
        <w:t>la población</w:t>
      </w:r>
      <w:r>
        <w:rPr>
          <w:spacing w:val="-6"/>
        </w:rPr>
        <w:t> </w:t>
      </w:r>
      <w:r>
        <w:rPr/>
        <w:t>infantil.</w:t>
      </w:r>
    </w:p>
    <w:p>
      <w:pPr>
        <w:spacing w:after="0" w:line="360" w:lineRule="auto"/>
        <w:jc w:val="both"/>
        <w:sectPr>
          <w:pgSz w:w="12240" w:h="15840"/>
          <w:pgMar w:header="0" w:footer="1001" w:top="1360" w:bottom="1200" w:left="1480" w:right="1480"/>
        </w:sectPr>
      </w:pPr>
    </w:p>
    <w:p>
      <w:pPr>
        <w:pStyle w:val="BodyText"/>
        <w:spacing w:line="360" w:lineRule="auto" w:before="48"/>
        <w:ind w:left="105" w:right="126"/>
        <w:jc w:val="both"/>
      </w:pPr>
      <w:r>
        <w:rPr/>
        <w:t>Lo anterior expresa de forma sustancial la necesidad de establecer mediadas centradas en la protección de la población expuesta a la condiciones de contaminación atmosférica y en espacial durante los episodios que rebasan las condiciones de calidad de aire establecidas en la NOM-025-SSA1-2014.</w:t>
      </w:r>
    </w:p>
    <w:p>
      <w:pPr>
        <w:pStyle w:val="BodyText"/>
        <w:spacing w:before="10"/>
      </w:pPr>
    </w:p>
    <w:p>
      <w:pPr>
        <w:pStyle w:val="BodyText"/>
        <w:spacing w:line="360" w:lineRule="auto"/>
        <w:ind w:left="105" w:right="115"/>
        <w:jc w:val="both"/>
      </w:pPr>
      <w:r>
        <w:rPr/>
        <w:t>El gobierno del Estado de México a través de la Secretaria de Medio Ambiente y la Secretearía de Salud enfrentan la necesidad de contar con un plan  estratégico para la protección de la población que permita la toma de decisiones por adelantado, definiendo actividades y responsabilidades. La implementación del programa de Pre-contingencia y Contingencia Ambiental para la Zona Metropolitana de Toluca, es prioritario además de la necesidad de contar con un Plan de Alerta temprana, que permita a la población dimensionar el riesgo de la exposición a altas concentración de contaminación atmosférica y las acciones a seguir durante estos episodios.</w:t>
      </w:r>
    </w:p>
    <w:p>
      <w:pPr>
        <w:pStyle w:val="BodyText"/>
        <w:spacing w:before="10"/>
      </w:pPr>
    </w:p>
    <w:p>
      <w:pPr>
        <w:pStyle w:val="BodyText"/>
        <w:spacing w:line="360" w:lineRule="auto"/>
        <w:ind w:left="105" w:right="118"/>
        <w:jc w:val="both"/>
      </w:pPr>
      <w:r>
        <w:rPr/>
        <w:t>El Centro Nacional de Prevención de Desastres (CENAPRED), establece que los sistemas de alerta temprana, deben contar con cuatro elementos básicos que permitirán a la población expuesta, actuar con tiempo suficiente y de una forma adecuada para reducir la posibilidad de daño personal. La eficiencia y articulación exitosa de los mismos en el largo plazo dependerá de un fuerte compromiso político y el convencimiento de los beneficios que representan.</w:t>
      </w:r>
    </w:p>
    <w:p>
      <w:pPr>
        <w:pStyle w:val="BodyText"/>
        <w:spacing w:before="2"/>
      </w:pPr>
    </w:p>
    <w:p>
      <w:pPr>
        <w:pStyle w:val="BodyText"/>
        <w:spacing w:line="362" w:lineRule="auto"/>
        <w:ind w:left="105" w:right="125"/>
        <w:jc w:val="both"/>
      </w:pPr>
      <w:r>
        <w:rPr/>
        <w:t>Los elementos esenciales que debe considerar el Sistema de Alerta Temprana son:</w:t>
      </w:r>
    </w:p>
    <w:p>
      <w:pPr>
        <w:pStyle w:val="BodyText"/>
        <w:spacing w:before="9"/>
      </w:pPr>
    </w:p>
    <w:p>
      <w:pPr>
        <w:pStyle w:val="Heading2"/>
        <w:numPr>
          <w:ilvl w:val="2"/>
          <w:numId w:val="14"/>
        </w:numPr>
        <w:tabs>
          <w:tab w:pos="753" w:val="left" w:leader="none"/>
        </w:tabs>
        <w:spacing w:line="240" w:lineRule="auto" w:before="0" w:after="0"/>
        <w:ind w:left="752" w:right="0" w:hanging="647"/>
        <w:jc w:val="both"/>
      </w:pPr>
      <w:bookmarkStart w:name="_bookmark45" w:id="75"/>
      <w:bookmarkEnd w:id="75"/>
      <w:r>
        <w:rPr>
          <w:b w:val="0"/>
        </w:rPr>
      </w:r>
      <w:bookmarkStart w:name="_bookmark45" w:id="76"/>
      <w:bookmarkEnd w:id="76"/>
      <w:r>
        <w:rPr>
          <w:color w:val="4F81BC"/>
          <w:spacing w:val="-3"/>
        </w:rPr>
        <w:t>C</w:t>
      </w:r>
      <w:r>
        <w:rPr>
          <w:color w:val="4F81BC"/>
          <w:spacing w:val="-3"/>
        </w:rPr>
        <w:t>ontingencia </w:t>
      </w:r>
      <w:r>
        <w:rPr>
          <w:color w:val="4F81BC"/>
        </w:rPr>
        <w:t>Ambiental y </w:t>
      </w:r>
      <w:r>
        <w:rPr>
          <w:color w:val="4F81BC"/>
          <w:spacing w:val="-3"/>
        </w:rPr>
        <w:t>Alerta </w:t>
      </w:r>
      <w:r>
        <w:rPr>
          <w:color w:val="4F81BC"/>
          <w:spacing w:val="4"/>
        </w:rPr>
        <w:t> </w:t>
      </w:r>
      <w:r>
        <w:rPr>
          <w:color w:val="4F81BC"/>
          <w:spacing w:val="-3"/>
        </w:rPr>
        <w:t>Temprana</w:t>
      </w:r>
    </w:p>
    <w:p>
      <w:pPr>
        <w:pStyle w:val="BodyText"/>
        <w:rPr>
          <w:rFonts w:ascii="Cambria"/>
          <w:b/>
          <w:sz w:val="26"/>
        </w:rPr>
      </w:pPr>
    </w:p>
    <w:p>
      <w:pPr>
        <w:pStyle w:val="BodyText"/>
        <w:spacing w:before="10"/>
        <w:rPr>
          <w:rFonts w:ascii="Cambria"/>
          <w:b/>
          <w:sz w:val="20"/>
        </w:rPr>
      </w:pPr>
    </w:p>
    <w:p>
      <w:pPr>
        <w:pStyle w:val="BodyText"/>
        <w:spacing w:line="276" w:lineRule="auto"/>
        <w:ind w:left="105" w:right="117"/>
        <w:jc w:val="both"/>
      </w:pPr>
      <w:r>
        <w:rPr/>
        <w:t>Establecer un programa de contingencia Ambiental y Alerta temprana en la zona metropolitana de Toluca, ejerce un elemento preponderante para la protección de la población, al tiempo de generar acciones para la mitigación y control de la contaminación atmosférica.</w:t>
      </w:r>
    </w:p>
    <w:p>
      <w:pPr>
        <w:spacing w:before="204"/>
        <w:ind w:left="105" w:right="0" w:firstLine="0"/>
        <w:jc w:val="both"/>
        <w:rPr>
          <w:sz w:val="24"/>
        </w:rPr>
      </w:pPr>
      <w:r>
        <w:rPr>
          <w:sz w:val="24"/>
        </w:rPr>
        <w:t>Partiendo de lo anterior deberá establecer como </w:t>
      </w:r>
      <w:r>
        <w:rPr>
          <w:b/>
          <w:sz w:val="24"/>
        </w:rPr>
        <w:t>objetivo general</w:t>
      </w:r>
      <w:r>
        <w:rPr>
          <w:sz w:val="24"/>
        </w:rPr>
        <w:t>:</w:t>
      </w:r>
    </w:p>
    <w:p>
      <w:pPr>
        <w:spacing w:after="0"/>
        <w:jc w:val="both"/>
        <w:rPr>
          <w:sz w:val="24"/>
        </w:rPr>
        <w:sectPr>
          <w:pgSz w:w="12240" w:h="15840"/>
          <w:pgMar w:header="0" w:footer="1001" w:top="1360" w:bottom="1200" w:left="1600" w:right="1580"/>
        </w:sectPr>
      </w:pPr>
    </w:p>
    <w:p>
      <w:pPr>
        <w:pStyle w:val="ListParagraph"/>
        <w:numPr>
          <w:ilvl w:val="3"/>
          <w:numId w:val="14"/>
        </w:numPr>
        <w:tabs>
          <w:tab w:pos="826" w:val="left" w:leader="none"/>
        </w:tabs>
        <w:spacing w:line="240" w:lineRule="auto" w:before="27" w:after="0"/>
        <w:ind w:left="825" w:right="123" w:hanging="360"/>
        <w:jc w:val="both"/>
        <w:rPr>
          <w:sz w:val="24"/>
        </w:rPr>
      </w:pPr>
      <w:r>
        <w:rPr>
          <w:sz w:val="24"/>
        </w:rPr>
        <w:t>Establecer los lineamientos generales tanto administrativos como operativos para la identificación, preparación, atención, respuesta y recuperación ante posibles contingencias atmosféricas que se puedan presentar </w:t>
      </w:r>
      <w:r>
        <w:rPr>
          <w:spacing w:val="-3"/>
          <w:sz w:val="24"/>
        </w:rPr>
        <w:t>en </w:t>
      </w:r>
      <w:r>
        <w:rPr>
          <w:sz w:val="24"/>
        </w:rPr>
        <w:t>la Zona Metropolitana</w:t>
      </w:r>
      <w:r>
        <w:rPr>
          <w:spacing w:val="-16"/>
          <w:sz w:val="24"/>
        </w:rPr>
        <w:t> </w:t>
      </w:r>
      <w:r>
        <w:rPr>
          <w:sz w:val="24"/>
        </w:rPr>
        <w:t>Toluca</w:t>
      </w:r>
    </w:p>
    <w:p>
      <w:pPr>
        <w:pStyle w:val="BodyText"/>
      </w:pPr>
    </w:p>
    <w:p>
      <w:pPr>
        <w:pStyle w:val="BodyText"/>
        <w:spacing w:before="9"/>
        <w:rPr>
          <w:sz w:val="27"/>
        </w:rPr>
      </w:pPr>
    </w:p>
    <w:p>
      <w:pPr>
        <w:pStyle w:val="BodyText"/>
        <w:spacing w:before="1"/>
        <w:ind w:left="105"/>
        <w:jc w:val="both"/>
      </w:pPr>
      <w:r>
        <w:rPr/>
        <w:t>Objetivos específicos</w:t>
      </w:r>
    </w:p>
    <w:p>
      <w:pPr>
        <w:pStyle w:val="BodyText"/>
      </w:pPr>
    </w:p>
    <w:p>
      <w:pPr>
        <w:pStyle w:val="ListParagraph"/>
        <w:numPr>
          <w:ilvl w:val="3"/>
          <w:numId w:val="14"/>
        </w:numPr>
        <w:tabs>
          <w:tab w:pos="826" w:val="left" w:leader="none"/>
        </w:tabs>
        <w:spacing w:line="345" w:lineRule="auto" w:before="144" w:after="0"/>
        <w:ind w:left="825" w:right="123" w:hanging="360"/>
        <w:jc w:val="both"/>
        <w:rPr>
          <w:sz w:val="24"/>
        </w:rPr>
      </w:pPr>
      <w:r>
        <w:rPr>
          <w:sz w:val="24"/>
        </w:rPr>
        <w:t>Capacitar a </w:t>
      </w:r>
      <w:r>
        <w:rPr>
          <w:spacing w:val="5"/>
          <w:sz w:val="24"/>
        </w:rPr>
        <w:t>la </w:t>
      </w:r>
      <w:r>
        <w:rPr>
          <w:sz w:val="24"/>
        </w:rPr>
        <w:t>población para </w:t>
      </w:r>
      <w:r>
        <w:rPr>
          <w:spacing w:val="-3"/>
          <w:sz w:val="24"/>
        </w:rPr>
        <w:t>el </w:t>
      </w:r>
      <w:r>
        <w:rPr>
          <w:sz w:val="24"/>
        </w:rPr>
        <w:t>entendimiento cognitivo de </w:t>
      </w:r>
      <w:r>
        <w:rPr>
          <w:spacing w:val="5"/>
          <w:sz w:val="24"/>
        </w:rPr>
        <w:t>la </w:t>
      </w:r>
      <w:r>
        <w:rPr>
          <w:sz w:val="24"/>
        </w:rPr>
        <w:t>contaminación atmosférica </w:t>
      </w:r>
      <w:r>
        <w:rPr>
          <w:spacing w:val="5"/>
          <w:sz w:val="24"/>
        </w:rPr>
        <w:t>de </w:t>
      </w:r>
      <w:r>
        <w:rPr>
          <w:sz w:val="24"/>
        </w:rPr>
        <w:t>la ZMT y </w:t>
      </w:r>
      <w:r>
        <w:rPr>
          <w:spacing w:val="-3"/>
          <w:sz w:val="24"/>
        </w:rPr>
        <w:t>el </w:t>
      </w:r>
      <w:r>
        <w:rPr>
          <w:sz w:val="24"/>
        </w:rPr>
        <w:t>riesgo que representa a la</w:t>
      </w:r>
      <w:r>
        <w:rPr>
          <w:spacing w:val="-42"/>
          <w:sz w:val="24"/>
        </w:rPr>
        <w:t> </w:t>
      </w:r>
      <w:r>
        <w:rPr>
          <w:sz w:val="24"/>
        </w:rPr>
        <w:t>salud.</w:t>
      </w:r>
    </w:p>
    <w:p>
      <w:pPr>
        <w:pStyle w:val="ListParagraph"/>
        <w:numPr>
          <w:ilvl w:val="3"/>
          <w:numId w:val="14"/>
        </w:numPr>
        <w:tabs>
          <w:tab w:pos="826" w:val="left" w:leader="none"/>
        </w:tabs>
        <w:spacing w:line="352" w:lineRule="auto" w:before="22" w:after="0"/>
        <w:ind w:left="825" w:right="118" w:hanging="360"/>
        <w:jc w:val="both"/>
        <w:rPr>
          <w:sz w:val="24"/>
        </w:rPr>
      </w:pPr>
      <w:r>
        <w:rPr>
          <w:sz w:val="24"/>
        </w:rPr>
        <w:t>Establecer las medidas de prevención y protección para los escenarios identificados como posibles generadores de contingencia</w:t>
      </w:r>
      <w:r>
        <w:rPr>
          <w:spacing w:val="-37"/>
          <w:sz w:val="24"/>
        </w:rPr>
        <w:t> </w:t>
      </w:r>
      <w:r>
        <w:rPr>
          <w:sz w:val="24"/>
        </w:rPr>
        <w:t>ambiental.</w:t>
      </w:r>
    </w:p>
    <w:p>
      <w:pPr>
        <w:pStyle w:val="ListParagraph"/>
        <w:numPr>
          <w:ilvl w:val="3"/>
          <w:numId w:val="14"/>
        </w:numPr>
        <w:tabs>
          <w:tab w:pos="826" w:val="left" w:leader="none"/>
        </w:tabs>
        <w:spacing w:line="345" w:lineRule="auto" w:before="14" w:after="0"/>
        <w:ind w:left="825" w:right="112" w:hanging="360"/>
        <w:jc w:val="both"/>
        <w:rPr>
          <w:sz w:val="24"/>
        </w:rPr>
      </w:pPr>
      <w:r>
        <w:rPr>
          <w:sz w:val="24"/>
        </w:rPr>
        <w:t>Capacitar a la población </w:t>
      </w:r>
      <w:r>
        <w:rPr>
          <w:spacing w:val="-3"/>
          <w:sz w:val="24"/>
        </w:rPr>
        <w:t>en </w:t>
      </w:r>
      <w:r>
        <w:rPr>
          <w:sz w:val="24"/>
        </w:rPr>
        <w:t>las medidas y accion </w:t>
      </w:r>
      <w:r>
        <w:rPr>
          <w:spacing w:val="-3"/>
          <w:sz w:val="24"/>
        </w:rPr>
        <w:t>es </w:t>
      </w:r>
      <w:r>
        <w:rPr>
          <w:sz w:val="24"/>
        </w:rPr>
        <w:t>preventivas a seguir durante la activación de una contingencia</w:t>
      </w:r>
      <w:r>
        <w:rPr>
          <w:spacing w:val="-29"/>
          <w:sz w:val="24"/>
        </w:rPr>
        <w:t> </w:t>
      </w:r>
      <w:r>
        <w:rPr>
          <w:sz w:val="24"/>
        </w:rPr>
        <w:t>ambiental.</w:t>
      </w:r>
    </w:p>
    <w:p>
      <w:pPr>
        <w:pStyle w:val="ListParagraph"/>
        <w:numPr>
          <w:ilvl w:val="3"/>
          <w:numId w:val="14"/>
        </w:numPr>
        <w:tabs>
          <w:tab w:pos="826" w:val="left" w:leader="none"/>
        </w:tabs>
        <w:spacing w:line="352" w:lineRule="auto" w:before="22" w:after="0"/>
        <w:ind w:left="825" w:right="115" w:hanging="360"/>
        <w:jc w:val="both"/>
        <w:rPr>
          <w:sz w:val="24"/>
        </w:rPr>
      </w:pPr>
      <w:r>
        <w:rPr>
          <w:sz w:val="24"/>
        </w:rPr>
        <w:t>Aplicar los procedimientos administrativos y operativos para la protección  de la población y </w:t>
      </w:r>
      <w:r>
        <w:rPr>
          <w:spacing w:val="-3"/>
          <w:sz w:val="24"/>
        </w:rPr>
        <w:t>el </w:t>
      </w:r>
      <w:r>
        <w:rPr>
          <w:sz w:val="24"/>
        </w:rPr>
        <w:t>restablecimiento de las condiciones</w:t>
      </w:r>
      <w:r>
        <w:rPr>
          <w:spacing w:val="-29"/>
          <w:sz w:val="24"/>
        </w:rPr>
        <w:t> </w:t>
      </w:r>
      <w:r>
        <w:rPr>
          <w:sz w:val="24"/>
        </w:rPr>
        <w:t>normalizadas.</w:t>
      </w:r>
    </w:p>
    <w:p>
      <w:pPr>
        <w:pStyle w:val="ListParagraph"/>
        <w:numPr>
          <w:ilvl w:val="3"/>
          <w:numId w:val="14"/>
        </w:numPr>
        <w:tabs>
          <w:tab w:pos="826" w:val="left" w:leader="none"/>
        </w:tabs>
        <w:spacing w:line="345" w:lineRule="auto" w:before="13" w:after="0"/>
        <w:ind w:left="825" w:right="130" w:hanging="360"/>
        <w:jc w:val="both"/>
        <w:rPr>
          <w:sz w:val="24"/>
        </w:rPr>
      </w:pPr>
      <w:r>
        <w:rPr>
          <w:sz w:val="24"/>
        </w:rPr>
        <w:t>Contar con los requerimientos necesarios para la atención de emergencias médicas</w:t>
      </w:r>
      <w:r>
        <w:rPr>
          <w:spacing w:val="-8"/>
          <w:sz w:val="24"/>
        </w:rPr>
        <w:t> </w:t>
      </w:r>
      <w:r>
        <w:rPr>
          <w:sz w:val="24"/>
        </w:rPr>
        <w:t>derivadas</w:t>
      </w:r>
      <w:r>
        <w:rPr>
          <w:spacing w:val="-8"/>
          <w:sz w:val="24"/>
        </w:rPr>
        <w:t> </w:t>
      </w:r>
      <w:r>
        <w:rPr>
          <w:spacing w:val="5"/>
          <w:sz w:val="24"/>
        </w:rPr>
        <w:t>de</w:t>
      </w:r>
      <w:r>
        <w:rPr>
          <w:spacing w:val="-13"/>
          <w:sz w:val="24"/>
        </w:rPr>
        <w:t> </w:t>
      </w:r>
      <w:r>
        <w:rPr>
          <w:spacing w:val="5"/>
          <w:sz w:val="24"/>
        </w:rPr>
        <w:t>la</w:t>
      </w:r>
      <w:r>
        <w:rPr>
          <w:spacing w:val="-6"/>
          <w:sz w:val="24"/>
        </w:rPr>
        <w:t> </w:t>
      </w:r>
      <w:r>
        <w:rPr>
          <w:sz w:val="24"/>
        </w:rPr>
        <w:t>activación</w:t>
      </w:r>
      <w:r>
        <w:rPr>
          <w:spacing w:val="-6"/>
          <w:sz w:val="24"/>
        </w:rPr>
        <w:t> </w:t>
      </w:r>
      <w:r>
        <w:rPr>
          <w:sz w:val="24"/>
        </w:rPr>
        <w:t>de</w:t>
      </w:r>
      <w:r>
        <w:rPr>
          <w:spacing w:val="-13"/>
          <w:sz w:val="24"/>
        </w:rPr>
        <w:t> </w:t>
      </w:r>
      <w:r>
        <w:rPr>
          <w:sz w:val="24"/>
        </w:rPr>
        <w:t>contingencia</w:t>
      </w:r>
      <w:r>
        <w:rPr>
          <w:spacing w:val="-6"/>
          <w:sz w:val="24"/>
        </w:rPr>
        <w:t> </w:t>
      </w:r>
      <w:r>
        <w:rPr>
          <w:sz w:val="24"/>
        </w:rPr>
        <w:t>ambiental.</w:t>
      </w:r>
    </w:p>
    <w:p>
      <w:pPr>
        <w:pStyle w:val="BodyText"/>
        <w:spacing w:before="8"/>
        <w:rPr>
          <w:sz w:val="26"/>
        </w:rPr>
      </w:pPr>
    </w:p>
    <w:p>
      <w:pPr>
        <w:pStyle w:val="Heading3"/>
        <w:numPr>
          <w:ilvl w:val="0"/>
          <w:numId w:val="15"/>
        </w:numPr>
        <w:tabs>
          <w:tab w:pos="402" w:val="left" w:leader="none"/>
        </w:tabs>
        <w:spacing w:line="240" w:lineRule="auto" w:before="0" w:after="0"/>
        <w:ind w:left="401" w:right="0" w:hanging="296"/>
        <w:jc w:val="both"/>
      </w:pPr>
      <w:bookmarkStart w:name="_bookmark46" w:id="77"/>
      <w:bookmarkEnd w:id="77"/>
      <w:r>
        <w:rPr>
          <w:b w:val="0"/>
        </w:rPr>
      </w:r>
      <w:bookmarkStart w:name="_bookmark46" w:id="78"/>
      <w:bookmarkEnd w:id="78"/>
      <w:r>
        <w:rPr>
          <w:color w:val="4F81BC"/>
        </w:rPr>
        <w:t>E</w:t>
      </w:r>
      <w:r>
        <w:rPr>
          <w:color w:val="4F81BC"/>
        </w:rPr>
        <w:t>tapas del Plan de Alerta</w:t>
      </w:r>
      <w:r>
        <w:rPr>
          <w:color w:val="4F81BC"/>
          <w:spacing w:val="-9"/>
        </w:rPr>
        <w:t> </w:t>
      </w:r>
      <w:r>
        <w:rPr>
          <w:color w:val="4F81BC"/>
        </w:rPr>
        <w:t>Temprana</w:t>
      </w:r>
    </w:p>
    <w:p>
      <w:pPr>
        <w:pStyle w:val="BodyText"/>
        <w:spacing w:before="5"/>
        <w:rPr>
          <w:rFonts w:ascii="Cambria"/>
          <w:b/>
          <w:sz w:val="27"/>
        </w:rPr>
      </w:pPr>
    </w:p>
    <w:p>
      <w:pPr>
        <w:pStyle w:val="ListParagraph"/>
        <w:numPr>
          <w:ilvl w:val="1"/>
          <w:numId w:val="15"/>
        </w:numPr>
        <w:tabs>
          <w:tab w:pos="385" w:val="left" w:leader="none"/>
        </w:tabs>
        <w:spacing w:line="240" w:lineRule="auto" w:before="0" w:after="0"/>
        <w:ind w:left="384" w:right="0" w:hanging="279"/>
        <w:jc w:val="both"/>
        <w:rPr>
          <w:b/>
          <w:sz w:val="24"/>
        </w:rPr>
      </w:pPr>
      <w:r>
        <w:rPr>
          <w:b/>
          <w:sz w:val="24"/>
        </w:rPr>
        <w:t>Conocimiento del</w:t>
      </w:r>
      <w:r>
        <w:rPr>
          <w:b/>
          <w:spacing w:val="-16"/>
          <w:sz w:val="24"/>
        </w:rPr>
        <w:t> </w:t>
      </w:r>
      <w:r>
        <w:rPr>
          <w:b/>
          <w:sz w:val="24"/>
        </w:rPr>
        <w:t>Riesgo</w:t>
      </w:r>
    </w:p>
    <w:p>
      <w:pPr>
        <w:pStyle w:val="BodyText"/>
        <w:spacing w:before="9"/>
        <w:rPr>
          <w:b/>
          <w:sz w:val="35"/>
        </w:rPr>
      </w:pPr>
    </w:p>
    <w:p>
      <w:pPr>
        <w:pStyle w:val="BodyText"/>
        <w:spacing w:line="360" w:lineRule="auto" w:before="1"/>
        <w:ind w:left="105" w:right="118"/>
        <w:jc w:val="both"/>
      </w:pPr>
      <w:r>
        <w:rPr/>
        <w:t>Se debe identificar las amenazas y tener conocimiento de los riegos o eventos potencialmente peligrosos. Debe estar plasmado en un mapa de Riesgo, con lo cual es posible establecer de forma clara las amenazas, vulnerabilidades y los elementos expuestos permitiendo estimar la potencialidad de los daños y generar medidas de Gestión de Riesgo.</w:t>
      </w:r>
    </w:p>
    <w:p>
      <w:pPr>
        <w:pStyle w:val="BodyText"/>
        <w:spacing w:before="10"/>
      </w:pPr>
    </w:p>
    <w:p>
      <w:pPr>
        <w:pStyle w:val="BodyText"/>
        <w:spacing w:line="360" w:lineRule="auto"/>
        <w:ind w:left="105" w:right="103"/>
        <w:jc w:val="both"/>
      </w:pPr>
      <w:r>
        <w:rPr/>
        <w:t>En la figura 11 se presentan las escuelas existentes por zona. La zona 2, es la que cuenta con la mayor cantidad de instituciones educativas, que abarcan desde el nivel preescolar, al nivel superior como se corrobora en el cuadro 9. A fin de identificar el grado de conocimiento del riesgo, es necesario realizar encuestas en la población e implementar jornadas de capacitación que incluyan conferencias, cursos y talleres.</w:t>
      </w:r>
    </w:p>
    <w:p>
      <w:pPr>
        <w:spacing w:after="0" w:line="360" w:lineRule="auto"/>
        <w:jc w:val="both"/>
        <w:sectPr>
          <w:footerReference w:type="default" r:id="rId61"/>
          <w:pgSz w:w="12240" w:h="15840"/>
          <w:pgMar w:footer="1001" w:header="0" w:top="1380" w:bottom="1200" w:left="1600" w:right="1580"/>
        </w:sectPr>
      </w:pPr>
    </w:p>
    <w:p>
      <w:pPr>
        <w:pStyle w:val="BodyText"/>
        <w:spacing w:before="48"/>
        <w:ind w:left="298" w:right="302"/>
        <w:jc w:val="center"/>
      </w:pPr>
      <w:r>
        <w:rPr/>
        <w:t>Figura 11. Relación de escuelas por zona.</w:t>
      </w:r>
    </w:p>
    <w:p>
      <w:pPr>
        <w:pStyle w:val="BodyText"/>
        <w:rPr>
          <w:sz w:val="20"/>
        </w:rPr>
      </w:pPr>
    </w:p>
    <w:p>
      <w:pPr>
        <w:pStyle w:val="BodyText"/>
        <w:spacing w:before="9"/>
        <w:rPr>
          <w:sz w:val="13"/>
        </w:rPr>
      </w:pPr>
      <w:r>
        <w:rPr/>
        <w:drawing>
          <wp:anchor distT="0" distB="0" distL="0" distR="0" allowOverlap="1" layoutInCell="1" locked="0" behindDoc="0" simplePos="0" relativeHeight="1528">
            <wp:simplePos x="0" y="0"/>
            <wp:positionH relativeFrom="page">
              <wp:posOffset>1491614</wp:posOffset>
            </wp:positionH>
            <wp:positionV relativeFrom="paragraph">
              <wp:posOffset>125831</wp:posOffset>
            </wp:positionV>
            <wp:extent cx="4737209" cy="3356800"/>
            <wp:effectExtent l="0" t="0" r="0" b="0"/>
            <wp:wrapTopAndBottom/>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63" cstate="print"/>
                    <a:stretch>
                      <a:fillRect/>
                    </a:stretch>
                  </pic:blipFill>
                  <pic:spPr>
                    <a:xfrm>
                      <a:off x="0" y="0"/>
                      <a:ext cx="4737209" cy="3356800"/>
                    </a:xfrm>
                    <a:prstGeom prst="rect">
                      <a:avLst/>
                    </a:prstGeom>
                  </pic:spPr>
                </pic:pic>
              </a:graphicData>
            </a:graphic>
          </wp:anchor>
        </w:drawing>
      </w:r>
    </w:p>
    <w:p>
      <w:pPr>
        <w:pStyle w:val="BodyText"/>
        <w:spacing w:line="480" w:lineRule="auto" w:before="23"/>
        <w:ind w:left="1361" w:right="1375"/>
        <w:jc w:val="center"/>
      </w:pPr>
      <w:r>
        <w:rPr/>
        <w:t>Fuente: Elaboración propia con base en RAMAT y DENUE. Cuadro 9. Relación de escuelas por zona.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BodyText"/>
        <w:spacing w:line="480" w:lineRule="auto" w:before="70"/>
        <w:ind w:left="105" w:right="1346" w:firstLine="1745"/>
      </w:pPr>
      <w:r>
        <w:rPr/>
        <w:pict>
          <v:shape style="position:absolute;margin-left:117.269997pt;margin-top:-166.944138pt;width:378.1pt;height:170.9pt;mso-position-horizontal-relative:page;mso-position-vertical-relative:paragraph;z-index:1552"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5"/>
                    <w:gridCol w:w="1201"/>
                    <w:gridCol w:w="1200"/>
                    <w:gridCol w:w="1201"/>
                    <w:gridCol w:w="1200"/>
                    <w:gridCol w:w="1201"/>
                  </w:tblGrid>
                  <w:tr>
                    <w:trPr>
                      <w:trHeight w:val="304" w:hRule="exact"/>
                    </w:trPr>
                    <w:tc>
                      <w:tcPr>
                        <w:tcW w:w="1545" w:type="dxa"/>
                      </w:tcPr>
                      <w:p>
                        <w:pPr>
                          <w:pStyle w:val="TableParagraph"/>
                          <w:spacing w:before="30"/>
                          <w:ind w:left="72"/>
                          <w:rPr>
                            <w:rFonts w:ascii="Calibri"/>
                            <w:sz w:val="22"/>
                          </w:rPr>
                        </w:pPr>
                        <w:r>
                          <w:rPr>
                            <w:rFonts w:ascii="Calibri"/>
                            <w:sz w:val="22"/>
                          </w:rPr>
                          <w:t>Nivel escolar</w:t>
                        </w:r>
                      </w:p>
                    </w:tc>
                    <w:tc>
                      <w:tcPr>
                        <w:tcW w:w="1201" w:type="dxa"/>
                        <w:shd w:val="clear" w:color="auto" w:fill="FCE9D9"/>
                      </w:tcPr>
                      <w:p>
                        <w:pPr>
                          <w:pStyle w:val="TableParagraph"/>
                          <w:spacing w:before="79"/>
                          <w:ind w:left="312"/>
                          <w:rPr>
                            <w:sz w:val="18"/>
                          </w:rPr>
                        </w:pPr>
                        <w:r>
                          <w:rPr>
                            <w:sz w:val="18"/>
                          </w:rPr>
                          <w:t>Zona 1</w:t>
                        </w:r>
                      </w:p>
                    </w:tc>
                    <w:tc>
                      <w:tcPr>
                        <w:tcW w:w="1200" w:type="dxa"/>
                        <w:shd w:val="clear" w:color="auto" w:fill="FFFF00"/>
                      </w:tcPr>
                      <w:p>
                        <w:pPr>
                          <w:pStyle w:val="TableParagraph"/>
                          <w:spacing w:before="79"/>
                          <w:ind w:left="312"/>
                          <w:rPr>
                            <w:sz w:val="18"/>
                          </w:rPr>
                        </w:pPr>
                        <w:r>
                          <w:rPr>
                            <w:sz w:val="18"/>
                          </w:rPr>
                          <w:t>Zona 2</w:t>
                        </w:r>
                      </w:p>
                    </w:tc>
                    <w:tc>
                      <w:tcPr>
                        <w:tcW w:w="1201" w:type="dxa"/>
                        <w:shd w:val="clear" w:color="auto" w:fill="F79546"/>
                      </w:tcPr>
                      <w:p>
                        <w:pPr>
                          <w:pStyle w:val="TableParagraph"/>
                          <w:spacing w:before="79"/>
                          <w:ind w:left="312"/>
                          <w:rPr>
                            <w:sz w:val="18"/>
                          </w:rPr>
                        </w:pPr>
                        <w:r>
                          <w:rPr>
                            <w:sz w:val="18"/>
                          </w:rPr>
                          <w:t>Zona 3</w:t>
                        </w:r>
                      </w:p>
                    </w:tc>
                    <w:tc>
                      <w:tcPr>
                        <w:tcW w:w="1200" w:type="dxa"/>
                        <w:shd w:val="clear" w:color="auto" w:fill="FF0000"/>
                      </w:tcPr>
                      <w:p>
                        <w:pPr>
                          <w:pStyle w:val="TableParagraph"/>
                          <w:spacing w:before="30"/>
                          <w:ind w:right="69"/>
                          <w:jc w:val="right"/>
                          <w:rPr>
                            <w:rFonts w:ascii="Calibri"/>
                            <w:sz w:val="22"/>
                          </w:rPr>
                        </w:pPr>
                        <w:r>
                          <w:rPr>
                            <w:rFonts w:ascii="Calibri"/>
                            <w:sz w:val="22"/>
                          </w:rPr>
                          <w:t>Zona 4</w:t>
                        </w:r>
                      </w:p>
                    </w:tc>
                    <w:tc>
                      <w:tcPr>
                        <w:tcW w:w="1201" w:type="dxa"/>
                        <w:shd w:val="clear" w:color="auto" w:fill="660033"/>
                      </w:tcPr>
                      <w:p>
                        <w:pPr>
                          <w:pStyle w:val="TableParagraph"/>
                          <w:spacing w:line="267" w:lineRule="exact"/>
                          <w:ind w:right="69"/>
                          <w:jc w:val="right"/>
                          <w:rPr>
                            <w:rFonts w:ascii="Calibri"/>
                            <w:sz w:val="22"/>
                          </w:rPr>
                        </w:pPr>
                        <w:r>
                          <w:rPr>
                            <w:rFonts w:ascii="Calibri"/>
                            <w:color w:val="FFFFFF"/>
                            <w:sz w:val="22"/>
                          </w:rPr>
                          <w:t>Zona 5</w:t>
                        </w:r>
                      </w:p>
                    </w:tc>
                  </w:tr>
                  <w:tr>
                    <w:trPr>
                      <w:trHeight w:val="312" w:hRule="exact"/>
                    </w:trPr>
                    <w:tc>
                      <w:tcPr>
                        <w:tcW w:w="1545" w:type="dxa"/>
                      </w:tcPr>
                      <w:p>
                        <w:pPr>
                          <w:pStyle w:val="TableParagraph"/>
                          <w:spacing w:before="39"/>
                          <w:ind w:left="72"/>
                          <w:rPr>
                            <w:rFonts w:ascii="Calibri"/>
                            <w:sz w:val="22"/>
                          </w:rPr>
                        </w:pPr>
                        <w:r>
                          <w:rPr>
                            <w:rFonts w:ascii="Calibri"/>
                            <w:sz w:val="22"/>
                          </w:rPr>
                          <w:t>Preescolar</w:t>
                        </w:r>
                      </w:p>
                    </w:tc>
                    <w:tc>
                      <w:tcPr>
                        <w:tcW w:w="1201" w:type="dxa"/>
                      </w:tcPr>
                      <w:p>
                        <w:pPr>
                          <w:pStyle w:val="TableParagraph"/>
                          <w:spacing w:before="39"/>
                          <w:ind w:right="62"/>
                          <w:jc w:val="right"/>
                          <w:rPr>
                            <w:rFonts w:ascii="Calibri"/>
                            <w:sz w:val="22"/>
                          </w:rPr>
                        </w:pPr>
                        <w:r>
                          <w:rPr>
                            <w:rFonts w:ascii="Calibri"/>
                            <w:sz w:val="22"/>
                          </w:rPr>
                          <w:t>98</w:t>
                        </w:r>
                      </w:p>
                    </w:tc>
                    <w:tc>
                      <w:tcPr>
                        <w:tcW w:w="1200" w:type="dxa"/>
                      </w:tcPr>
                      <w:p>
                        <w:pPr>
                          <w:pStyle w:val="TableParagraph"/>
                          <w:spacing w:before="39"/>
                          <w:ind w:right="63"/>
                          <w:jc w:val="right"/>
                          <w:rPr>
                            <w:rFonts w:ascii="Calibri"/>
                            <w:sz w:val="22"/>
                          </w:rPr>
                        </w:pPr>
                        <w:r>
                          <w:rPr>
                            <w:rFonts w:ascii="Calibri"/>
                            <w:sz w:val="22"/>
                          </w:rPr>
                          <w:t>274</w:t>
                        </w:r>
                      </w:p>
                    </w:tc>
                    <w:tc>
                      <w:tcPr>
                        <w:tcW w:w="1201" w:type="dxa"/>
                      </w:tcPr>
                      <w:p>
                        <w:pPr>
                          <w:pStyle w:val="TableParagraph"/>
                          <w:spacing w:before="39"/>
                          <w:ind w:right="62"/>
                          <w:jc w:val="right"/>
                          <w:rPr>
                            <w:rFonts w:ascii="Calibri"/>
                            <w:sz w:val="22"/>
                          </w:rPr>
                        </w:pPr>
                        <w:r>
                          <w:rPr>
                            <w:rFonts w:ascii="Calibri"/>
                            <w:sz w:val="22"/>
                          </w:rPr>
                          <w:t>66</w:t>
                        </w:r>
                      </w:p>
                    </w:tc>
                    <w:tc>
                      <w:tcPr>
                        <w:tcW w:w="1200" w:type="dxa"/>
                      </w:tcPr>
                      <w:p>
                        <w:pPr>
                          <w:pStyle w:val="TableParagraph"/>
                          <w:spacing w:before="39"/>
                          <w:ind w:right="63"/>
                          <w:jc w:val="right"/>
                          <w:rPr>
                            <w:rFonts w:ascii="Calibri"/>
                            <w:sz w:val="22"/>
                          </w:rPr>
                        </w:pPr>
                        <w:r>
                          <w:rPr>
                            <w:rFonts w:ascii="Calibri"/>
                            <w:sz w:val="22"/>
                          </w:rPr>
                          <w:t>66</w:t>
                        </w:r>
                      </w:p>
                    </w:tc>
                    <w:tc>
                      <w:tcPr>
                        <w:tcW w:w="1201" w:type="dxa"/>
                      </w:tcPr>
                      <w:p>
                        <w:pPr>
                          <w:pStyle w:val="TableParagraph"/>
                          <w:spacing w:before="7"/>
                          <w:ind w:right="60"/>
                          <w:jc w:val="right"/>
                          <w:rPr>
                            <w:rFonts w:ascii="Calibri"/>
                            <w:sz w:val="22"/>
                          </w:rPr>
                        </w:pPr>
                        <w:r>
                          <w:rPr>
                            <w:rFonts w:ascii="Calibri"/>
                            <w:w w:val="101"/>
                            <w:sz w:val="22"/>
                          </w:rPr>
                          <w:t>4</w:t>
                        </w:r>
                      </w:p>
                    </w:tc>
                  </w:tr>
                  <w:tr>
                    <w:trPr>
                      <w:trHeight w:val="416" w:hRule="exact"/>
                    </w:trPr>
                    <w:tc>
                      <w:tcPr>
                        <w:tcW w:w="1545" w:type="dxa"/>
                      </w:tcPr>
                      <w:p>
                        <w:pPr>
                          <w:pStyle w:val="TableParagraph"/>
                          <w:spacing w:line="267" w:lineRule="exact"/>
                          <w:ind w:left="72"/>
                          <w:rPr>
                            <w:rFonts w:ascii="Calibri"/>
                            <w:sz w:val="22"/>
                          </w:rPr>
                        </w:pPr>
                        <w:r>
                          <w:rPr>
                            <w:rFonts w:ascii="Calibri"/>
                            <w:sz w:val="22"/>
                          </w:rPr>
                          <w:t>Primaria</w:t>
                        </w:r>
                      </w:p>
                    </w:tc>
                    <w:tc>
                      <w:tcPr>
                        <w:tcW w:w="1201" w:type="dxa"/>
                      </w:tcPr>
                      <w:p>
                        <w:pPr>
                          <w:pStyle w:val="TableParagraph"/>
                          <w:spacing w:line="267" w:lineRule="exact"/>
                          <w:ind w:right="62"/>
                          <w:jc w:val="right"/>
                          <w:rPr>
                            <w:rFonts w:ascii="Calibri"/>
                            <w:sz w:val="22"/>
                          </w:rPr>
                        </w:pPr>
                        <w:r>
                          <w:rPr>
                            <w:rFonts w:ascii="Calibri"/>
                            <w:sz w:val="22"/>
                          </w:rPr>
                          <w:t>94</w:t>
                        </w:r>
                      </w:p>
                    </w:tc>
                    <w:tc>
                      <w:tcPr>
                        <w:tcW w:w="1200" w:type="dxa"/>
                      </w:tcPr>
                      <w:p>
                        <w:pPr>
                          <w:pStyle w:val="TableParagraph"/>
                          <w:spacing w:line="267" w:lineRule="exact"/>
                          <w:ind w:right="63"/>
                          <w:jc w:val="right"/>
                          <w:rPr>
                            <w:rFonts w:ascii="Calibri"/>
                            <w:sz w:val="22"/>
                          </w:rPr>
                        </w:pPr>
                        <w:r>
                          <w:rPr>
                            <w:rFonts w:ascii="Calibri"/>
                            <w:sz w:val="22"/>
                          </w:rPr>
                          <w:t>234</w:t>
                        </w:r>
                      </w:p>
                    </w:tc>
                    <w:tc>
                      <w:tcPr>
                        <w:tcW w:w="1201" w:type="dxa"/>
                      </w:tcPr>
                      <w:p>
                        <w:pPr>
                          <w:pStyle w:val="TableParagraph"/>
                          <w:spacing w:line="267" w:lineRule="exact"/>
                          <w:ind w:right="62"/>
                          <w:jc w:val="right"/>
                          <w:rPr>
                            <w:rFonts w:ascii="Calibri"/>
                            <w:sz w:val="22"/>
                          </w:rPr>
                        </w:pPr>
                        <w:r>
                          <w:rPr>
                            <w:rFonts w:ascii="Calibri"/>
                            <w:sz w:val="22"/>
                          </w:rPr>
                          <w:t>49</w:t>
                        </w:r>
                      </w:p>
                    </w:tc>
                    <w:tc>
                      <w:tcPr>
                        <w:tcW w:w="1200" w:type="dxa"/>
                      </w:tcPr>
                      <w:p>
                        <w:pPr>
                          <w:pStyle w:val="TableParagraph"/>
                          <w:spacing w:line="267" w:lineRule="exact"/>
                          <w:ind w:right="63"/>
                          <w:jc w:val="right"/>
                          <w:rPr>
                            <w:rFonts w:ascii="Calibri"/>
                            <w:sz w:val="22"/>
                          </w:rPr>
                        </w:pPr>
                        <w:r>
                          <w:rPr>
                            <w:rFonts w:ascii="Calibri"/>
                            <w:sz w:val="22"/>
                          </w:rPr>
                          <w:t>49</w:t>
                        </w:r>
                      </w:p>
                    </w:tc>
                    <w:tc>
                      <w:tcPr>
                        <w:tcW w:w="1201" w:type="dxa"/>
                      </w:tcPr>
                      <w:p>
                        <w:pPr>
                          <w:pStyle w:val="TableParagraph"/>
                          <w:spacing w:line="267" w:lineRule="exact"/>
                          <w:ind w:right="60"/>
                          <w:jc w:val="right"/>
                          <w:rPr>
                            <w:rFonts w:ascii="Calibri"/>
                            <w:sz w:val="22"/>
                          </w:rPr>
                        </w:pPr>
                        <w:r>
                          <w:rPr>
                            <w:rFonts w:ascii="Calibri"/>
                            <w:w w:val="101"/>
                            <w:sz w:val="22"/>
                          </w:rPr>
                          <w:t>3</w:t>
                        </w:r>
                      </w:p>
                    </w:tc>
                  </w:tr>
                  <w:tr>
                    <w:trPr>
                      <w:trHeight w:val="409" w:hRule="exact"/>
                    </w:trPr>
                    <w:tc>
                      <w:tcPr>
                        <w:tcW w:w="1545" w:type="dxa"/>
                      </w:tcPr>
                      <w:p>
                        <w:pPr>
                          <w:pStyle w:val="TableParagraph"/>
                          <w:spacing w:line="267" w:lineRule="exact"/>
                          <w:ind w:left="72"/>
                          <w:rPr>
                            <w:rFonts w:ascii="Calibri"/>
                            <w:sz w:val="22"/>
                          </w:rPr>
                        </w:pPr>
                        <w:r>
                          <w:rPr>
                            <w:rFonts w:ascii="Calibri"/>
                            <w:sz w:val="22"/>
                          </w:rPr>
                          <w:t>Secundaria</w:t>
                        </w:r>
                      </w:p>
                    </w:tc>
                    <w:tc>
                      <w:tcPr>
                        <w:tcW w:w="1201" w:type="dxa"/>
                      </w:tcPr>
                      <w:p>
                        <w:pPr>
                          <w:pStyle w:val="TableParagraph"/>
                          <w:spacing w:line="267" w:lineRule="exact"/>
                          <w:ind w:right="62"/>
                          <w:jc w:val="right"/>
                          <w:rPr>
                            <w:rFonts w:ascii="Calibri"/>
                            <w:sz w:val="22"/>
                          </w:rPr>
                        </w:pPr>
                        <w:r>
                          <w:rPr>
                            <w:rFonts w:ascii="Calibri"/>
                            <w:sz w:val="22"/>
                          </w:rPr>
                          <w:t>43</w:t>
                        </w:r>
                      </w:p>
                    </w:tc>
                    <w:tc>
                      <w:tcPr>
                        <w:tcW w:w="1200" w:type="dxa"/>
                      </w:tcPr>
                      <w:p>
                        <w:pPr>
                          <w:pStyle w:val="TableParagraph"/>
                          <w:spacing w:line="267" w:lineRule="exact"/>
                          <w:ind w:right="63"/>
                          <w:jc w:val="right"/>
                          <w:rPr>
                            <w:rFonts w:ascii="Calibri"/>
                            <w:sz w:val="22"/>
                          </w:rPr>
                        </w:pPr>
                        <w:r>
                          <w:rPr>
                            <w:rFonts w:ascii="Calibri"/>
                            <w:sz w:val="22"/>
                          </w:rPr>
                          <w:t>138</w:t>
                        </w:r>
                      </w:p>
                    </w:tc>
                    <w:tc>
                      <w:tcPr>
                        <w:tcW w:w="1201" w:type="dxa"/>
                      </w:tcPr>
                      <w:p>
                        <w:pPr>
                          <w:pStyle w:val="TableParagraph"/>
                          <w:spacing w:line="267" w:lineRule="exact"/>
                          <w:ind w:right="62"/>
                          <w:jc w:val="right"/>
                          <w:rPr>
                            <w:rFonts w:ascii="Calibri"/>
                            <w:sz w:val="22"/>
                          </w:rPr>
                        </w:pPr>
                        <w:r>
                          <w:rPr>
                            <w:rFonts w:ascii="Calibri"/>
                            <w:sz w:val="22"/>
                          </w:rPr>
                          <w:t>36</w:t>
                        </w:r>
                      </w:p>
                    </w:tc>
                    <w:tc>
                      <w:tcPr>
                        <w:tcW w:w="1200" w:type="dxa"/>
                      </w:tcPr>
                      <w:p>
                        <w:pPr>
                          <w:pStyle w:val="TableParagraph"/>
                          <w:spacing w:line="267" w:lineRule="exact"/>
                          <w:ind w:right="63"/>
                          <w:jc w:val="right"/>
                          <w:rPr>
                            <w:rFonts w:ascii="Calibri"/>
                            <w:sz w:val="22"/>
                          </w:rPr>
                        </w:pPr>
                        <w:r>
                          <w:rPr>
                            <w:rFonts w:ascii="Calibri"/>
                            <w:sz w:val="22"/>
                          </w:rPr>
                          <w:t>36</w:t>
                        </w:r>
                      </w:p>
                    </w:tc>
                    <w:tc>
                      <w:tcPr>
                        <w:tcW w:w="1201" w:type="dxa"/>
                      </w:tcPr>
                      <w:p>
                        <w:pPr>
                          <w:pStyle w:val="TableParagraph"/>
                          <w:spacing w:line="267" w:lineRule="exact"/>
                          <w:ind w:right="60"/>
                          <w:jc w:val="right"/>
                          <w:rPr>
                            <w:rFonts w:ascii="Calibri"/>
                            <w:sz w:val="22"/>
                          </w:rPr>
                        </w:pPr>
                        <w:r>
                          <w:rPr>
                            <w:rFonts w:ascii="Calibri"/>
                            <w:w w:val="101"/>
                            <w:sz w:val="22"/>
                          </w:rPr>
                          <w:t>0</w:t>
                        </w:r>
                      </w:p>
                    </w:tc>
                  </w:tr>
                  <w:tr>
                    <w:trPr>
                      <w:trHeight w:val="416" w:hRule="exact"/>
                    </w:trPr>
                    <w:tc>
                      <w:tcPr>
                        <w:tcW w:w="1545" w:type="dxa"/>
                      </w:tcPr>
                      <w:p>
                        <w:pPr>
                          <w:pStyle w:val="TableParagraph"/>
                          <w:spacing w:before="6"/>
                          <w:ind w:left="72"/>
                          <w:rPr>
                            <w:rFonts w:ascii="Calibri"/>
                            <w:sz w:val="22"/>
                          </w:rPr>
                        </w:pPr>
                        <w:r>
                          <w:rPr>
                            <w:rFonts w:ascii="Calibri"/>
                            <w:sz w:val="22"/>
                          </w:rPr>
                          <w:t>Medio Superior</w:t>
                        </w:r>
                      </w:p>
                    </w:tc>
                    <w:tc>
                      <w:tcPr>
                        <w:tcW w:w="1201" w:type="dxa"/>
                      </w:tcPr>
                      <w:p>
                        <w:pPr>
                          <w:pStyle w:val="TableParagraph"/>
                          <w:spacing w:before="6"/>
                          <w:ind w:right="62"/>
                          <w:jc w:val="right"/>
                          <w:rPr>
                            <w:rFonts w:ascii="Calibri"/>
                            <w:sz w:val="22"/>
                          </w:rPr>
                        </w:pPr>
                        <w:r>
                          <w:rPr>
                            <w:rFonts w:ascii="Calibri"/>
                            <w:sz w:val="22"/>
                          </w:rPr>
                          <w:t>35</w:t>
                        </w:r>
                      </w:p>
                    </w:tc>
                    <w:tc>
                      <w:tcPr>
                        <w:tcW w:w="1200" w:type="dxa"/>
                      </w:tcPr>
                      <w:p>
                        <w:pPr>
                          <w:pStyle w:val="TableParagraph"/>
                          <w:spacing w:before="6"/>
                          <w:ind w:right="63"/>
                          <w:jc w:val="right"/>
                          <w:rPr>
                            <w:rFonts w:ascii="Calibri"/>
                            <w:sz w:val="22"/>
                          </w:rPr>
                        </w:pPr>
                        <w:r>
                          <w:rPr>
                            <w:rFonts w:ascii="Calibri"/>
                            <w:sz w:val="22"/>
                          </w:rPr>
                          <w:t>89</w:t>
                        </w:r>
                      </w:p>
                    </w:tc>
                    <w:tc>
                      <w:tcPr>
                        <w:tcW w:w="1201" w:type="dxa"/>
                      </w:tcPr>
                      <w:p>
                        <w:pPr>
                          <w:pStyle w:val="TableParagraph"/>
                          <w:spacing w:before="6"/>
                          <w:ind w:right="62"/>
                          <w:jc w:val="right"/>
                          <w:rPr>
                            <w:rFonts w:ascii="Calibri"/>
                            <w:sz w:val="22"/>
                          </w:rPr>
                        </w:pPr>
                        <w:r>
                          <w:rPr>
                            <w:rFonts w:ascii="Calibri"/>
                            <w:sz w:val="22"/>
                          </w:rPr>
                          <w:t>20</w:t>
                        </w:r>
                      </w:p>
                    </w:tc>
                    <w:tc>
                      <w:tcPr>
                        <w:tcW w:w="1200" w:type="dxa"/>
                      </w:tcPr>
                      <w:p>
                        <w:pPr>
                          <w:pStyle w:val="TableParagraph"/>
                          <w:spacing w:before="6"/>
                          <w:ind w:right="63"/>
                          <w:jc w:val="right"/>
                          <w:rPr>
                            <w:rFonts w:ascii="Calibri"/>
                            <w:sz w:val="22"/>
                          </w:rPr>
                        </w:pPr>
                        <w:r>
                          <w:rPr>
                            <w:rFonts w:ascii="Calibri"/>
                            <w:sz w:val="22"/>
                          </w:rPr>
                          <w:t>19</w:t>
                        </w:r>
                      </w:p>
                    </w:tc>
                    <w:tc>
                      <w:tcPr>
                        <w:tcW w:w="1201" w:type="dxa"/>
                      </w:tcPr>
                      <w:p>
                        <w:pPr>
                          <w:pStyle w:val="TableParagraph"/>
                          <w:spacing w:before="6"/>
                          <w:ind w:right="60"/>
                          <w:jc w:val="right"/>
                          <w:rPr>
                            <w:rFonts w:ascii="Calibri"/>
                            <w:sz w:val="22"/>
                          </w:rPr>
                        </w:pPr>
                        <w:r>
                          <w:rPr>
                            <w:rFonts w:ascii="Calibri"/>
                            <w:w w:val="101"/>
                            <w:sz w:val="22"/>
                          </w:rPr>
                          <w:t>0</w:t>
                        </w:r>
                      </w:p>
                    </w:tc>
                  </w:tr>
                  <w:tr>
                    <w:trPr>
                      <w:trHeight w:val="416" w:hRule="exact"/>
                    </w:trPr>
                    <w:tc>
                      <w:tcPr>
                        <w:tcW w:w="1545" w:type="dxa"/>
                      </w:tcPr>
                      <w:p>
                        <w:pPr>
                          <w:pStyle w:val="TableParagraph"/>
                          <w:spacing w:line="267" w:lineRule="exact"/>
                          <w:ind w:left="72"/>
                          <w:rPr>
                            <w:rFonts w:ascii="Calibri"/>
                            <w:sz w:val="22"/>
                          </w:rPr>
                        </w:pPr>
                        <w:r>
                          <w:rPr>
                            <w:rFonts w:ascii="Calibri"/>
                            <w:sz w:val="22"/>
                          </w:rPr>
                          <w:t>Superior</w:t>
                        </w:r>
                      </w:p>
                    </w:tc>
                    <w:tc>
                      <w:tcPr>
                        <w:tcW w:w="1201" w:type="dxa"/>
                      </w:tcPr>
                      <w:p>
                        <w:pPr>
                          <w:pStyle w:val="TableParagraph"/>
                          <w:spacing w:line="267" w:lineRule="exact"/>
                          <w:ind w:right="62"/>
                          <w:jc w:val="right"/>
                          <w:rPr>
                            <w:rFonts w:ascii="Calibri"/>
                            <w:sz w:val="22"/>
                          </w:rPr>
                        </w:pPr>
                        <w:r>
                          <w:rPr>
                            <w:rFonts w:ascii="Calibri"/>
                            <w:sz w:val="22"/>
                          </w:rPr>
                          <w:t>66</w:t>
                        </w:r>
                      </w:p>
                    </w:tc>
                    <w:tc>
                      <w:tcPr>
                        <w:tcW w:w="1200" w:type="dxa"/>
                      </w:tcPr>
                      <w:p>
                        <w:pPr>
                          <w:pStyle w:val="TableParagraph"/>
                          <w:spacing w:line="267" w:lineRule="exact"/>
                          <w:ind w:right="63"/>
                          <w:jc w:val="right"/>
                          <w:rPr>
                            <w:rFonts w:ascii="Calibri"/>
                            <w:sz w:val="22"/>
                          </w:rPr>
                        </w:pPr>
                        <w:r>
                          <w:rPr>
                            <w:rFonts w:ascii="Calibri"/>
                            <w:sz w:val="22"/>
                          </w:rPr>
                          <w:t>118</w:t>
                        </w:r>
                      </w:p>
                    </w:tc>
                    <w:tc>
                      <w:tcPr>
                        <w:tcW w:w="1201" w:type="dxa"/>
                      </w:tcPr>
                      <w:p>
                        <w:pPr>
                          <w:pStyle w:val="TableParagraph"/>
                          <w:spacing w:line="267" w:lineRule="exact"/>
                          <w:ind w:right="60"/>
                          <w:jc w:val="right"/>
                          <w:rPr>
                            <w:rFonts w:ascii="Calibri"/>
                            <w:sz w:val="22"/>
                          </w:rPr>
                        </w:pPr>
                        <w:r>
                          <w:rPr>
                            <w:rFonts w:ascii="Calibri"/>
                            <w:w w:val="101"/>
                            <w:sz w:val="22"/>
                          </w:rPr>
                          <w:t>1</w:t>
                        </w:r>
                      </w:p>
                    </w:tc>
                    <w:tc>
                      <w:tcPr>
                        <w:tcW w:w="1200" w:type="dxa"/>
                      </w:tcPr>
                      <w:p>
                        <w:pPr>
                          <w:pStyle w:val="TableParagraph"/>
                          <w:spacing w:line="267" w:lineRule="exact"/>
                          <w:ind w:right="60"/>
                          <w:jc w:val="right"/>
                          <w:rPr>
                            <w:rFonts w:ascii="Calibri"/>
                            <w:sz w:val="22"/>
                          </w:rPr>
                        </w:pPr>
                        <w:r>
                          <w:rPr>
                            <w:rFonts w:ascii="Calibri"/>
                            <w:w w:val="101"/>
                            <w:sz w:val="22"/>
                          </w:rPr>
                          <w:t>1</w:t>
                        </w:r>
                      </w:p>
                    </w:tc>
                    <w:tc>
                      <w:tcPr>
                        <w:tcW w:w="1201" w:type="dxa"/>
                      </w:tcPr>
                      <w:p>
                        <w:pPr>
                          <w:pStyle w:val="TableParagraph"/>
                          <w:spacing w:line="267" w:lineRule="exact"/>
                          <w:ind w:right="60"/>
                          <w:jc w:val="right"/>
                          <w:rPr>
                            <w:rFonts w:ascii="Calibri"/>
                            <w:sz w:val="22"/>
                          </w:rPr>
                        </w:pPr>
                        <w:r>
                          <w:rPr>
                            <w:rFonts w:ascii="Calibri"/>
                            <w:w w:val="101"/>
                            <w:sz w:val="22"/>
                          </w:rPr>
                          <w:t>0</w:t>
                        </w:r>
                      </w:p>
                    </w:tc>
                  </w:tr>
                  <w:tr>
                    <w:trPr>
                      <w:trHeight w:val="408" w:hRule="exact"/>
                    </w:trPr>
                    <w:tc>
                      <w:tcPr>
                        <w:tcW w:w="1545" w:type="dxa"/>
                      </w:tcPr>
                      <w:p>
                        <w:pPr>
                          <w:pStyle w:val="TableParagraph"/>
                          <w:spacing w:line="268" w:lineRule="exact"/>
                          <w:ind w:left="72"/>
                          <w:rPr>
                            <w:rFonts w:ascii="Calibri"/>
                            <w:sz w:val="22"/>
                          </w:rPr>
                        </w:pPr>
                        <w:r>
                          <w:rPr>
                            <w:rFonts w:ascii="Calibri"/>
                            <w:sz w:val="22"/>
                          </w:rPr>
                          <w:t>Mixto</w:t>
                        </w:r>
                      </w:p>
                    </w:tc>
                    <w:tc>
                      <w:tcPr>
                        <w:tcW w:w="1201" w:type="dxa"/>
                      </w:tcPr>
                      <w:p>
                        <w:pPr>
                          <w:pStyle w:val="TableParagraph"/>
                          <w:spacing w:line="268" w:lineRule="exact"/>
                          <w:ind w:right="62"/>
                          <w:jc w:val="right"/>
                          <w:rPr>
                            <w:rFonts w:ascii="Calibri"/>
                            <w:sz w:val="22"/>
                          </w:rPr>
                        </w:pPr>
                        <w:r>
                          <w:rPr>
                            <w:rFonts w:ascii="Calibri"/>
                            <w:sz w:val="22"/>
                          </w:rPr>
                          <w:t>49</w:t>
                        </w:r>
                      </w:p>
                    </w:tc>
                    <w:tc>
                      <w:tcPr>
                        <w:tcW w:w="1200" w:type="dxa"/>
                      </w:tcPr>
                      <w:p>
                        <w:pPr>
                          <w:pStyle w:val="TableParagraph"/>
                          <w:spacing w:line="268" w:lineRule="exact"/>
                          <w:ind w:right="63"/>
                          <w:jc w:val="right"/>
                          <w:rPr>
                            <w:rFonts w:ascii="Calibri"/>
                            <w:sz w:val="22"/>
                          </w:rPr>
                        </w:pPr>
                        <w:r>
                          <w:rPr>
                            <w:rFonts w:ascii="Calibri"/>
                            <w:sz w:val="22"/>
                          </w:rPr>
                          <w:t>116</w:t>
                        </w:r>
                      </w:p>
                    </w:tc>
                    <w:tc>
                      <w:tcPr>
                        <w:tcW w:w="1201" w:type="dxa"/>
                      </w:tcPr>
                      <w:p>
                        <w:pPr>
                          <w:pStyle w:val="TableParagraph"/>
                          <w:spacing w:line="268" w:lineRule="exact"/>
                          <w:ind w:right="60"/>
                          <w:jc w:val="right"/>
                          <w:rPr>
                            <w:rFonts w:ascii="Calibri"/>
                            <w:sz w:val="22"/>
                          </w:rPr>
                        </w:pPr>
                        <w:r>
                          <w:rPr>
                            <w:rFonts w:ascii="Calibri"/>
                            <w:w w:val="101"/>
                            <w:sz w:val="22"/>
                          </w:rPr>
                          <w:t>2</w:t>
                        </w:r>
                      </w:p>
                    </w:tc>
                    <w:tc>
                      <w:tcPr>
                        <w:tcW w:w="1200" w:type="dxa"/>
                      </w:tcPr>
                      <w:p>
                        <w:pPr>
                          <w:pStyle w:val="TableParagraph"/>
                          <w:spacing w:line="268" w:lineRule="exact"/>
                          <w:ind w:right="60"/>
                          <w:jc w:val="right"/>
                          <w:rPr>
                            <w:rFonts w:ascii="Calibri"/>
                            <w:sz w:val="22"/>
                          </w:rPr>
                        </w:pPr>
                        <w:r>
                          <w:rPr>
                            <w:rFonts w:ascii="Calibri"/>
                            <w:w w:val="101"/>
                            <w:sz w:val="22"/>
                          </w:rPr>
                          <w:t>4</w:t>
                        </w:r>
                      </w:p>
                    </w:tc>
                    <w:tc>
                      <w:tcPr>
                        <w:tcW w:w="1201" w:type="dxa"/>
                      </w:tcPr>
                      <w:p>
                        <w:pPr>
                          <w:pStyle w:val="TableParagraph"/>
                          <w:spacing w:line="268" w:lineRule="exact"/>
                          <w:ind w:right="60"/>
                          <w:jc w:val="right"/>
                          <w:rPr>
                            <w:rFonts w:ascii="Calibri"/>
                            <w:sz w:val="22"/>
                          </w:rPr>
                        </w:pPr>
                        <w:r>
                          <w:rPr>
                            <w:rFonts w:ascii="Calibri"/>
                            <w:w w:val="101"/>
                            <w:sz w:val="22"/>
                          </w:rPr>
                          <w:t>0</w:t>
                        </w:r>
                      </w:p>
                    </w:tc>
                  </w:tr>
                  <w:tr>
                    <w:trPr>
                      <w:trHeight w:val="416" w:hRule="exact"/>
                    </w:trPr>
                    <w:tc>
                      <w:tcPr>
                        <w:tcW w:w="1545" w:type="dxa"/>
                      </w:tcPr>
                      <w:p>
                        <w:pPr>
                          <w:pStyle w:val="TableParagraph"/>
                          <w:spacing w:line="267" w:lineRule="exact"/>
                          <w:ind w:left="72"/>
                          <w:rPr>
                            <w:rFonts w:ascii="Calibri"/>
                            <w:sz w:val="22"/>
                          </w:rPr>
                        </w:pPr>
                        <w:r>
                          <w:rPr>
                            <w:rFonts w:ascii="Calibri"/>
                            <w:sz w:val="22"/>
                          </w:rPr>
                          <w:t>Total por zona</w:t>
                        </w:r>
                      </w:p>
                    </w:tc>
                    <w:tc>
                      <w:tcPr>
                        <w:tcW w:w="1201" w:type="dxa"/>
                      </w:tcPr>
                      <w:p>
                        <w:pPr>
                          <w:pStyle w:val="TableParagraph"/>
                          <w:spacing w:line="267" w:lineRule="exact"/>
                          <w:ind w:right="62"/>
                          <w:jc w:val="right"/>
                          <w:rPr>
                            <w:rFonts w:ascii="Calibri"/>
                            <w:sz w:val="22"/>
                          </w:rPr>
                        </w:pPr>
                        <w:r>
                          <w:rPr>
                            <w:rFonts w:ascii="Calibri"/>
                            <w:sz w:val="22"/>
                          </w:rPr>
                          <w:t>385</w:t>
                        </w:r>
                      </w:p>
                    </w:tc>
                    <w:tc>
                      <w:tcPr>
                        <w:tcW w:w="1200" w:type="dxa"/>
                      </w:tcPr>
                      <w:p>
                        <w:pPr>
                          <w:pStyle w:val="TableParagraph"/>
                          <w:spacing w:line="267" w:lineRule="exact"/>
                          <w:ind w:right="63"/>
                          <w:jc w:val="right"/>
                          <w:rPr>
                            <w:rFonts w:ascii="Calibri"/>
                            <w:sz w:val="22"/>
                          </w:rPr>
                        </w:pPr>
                        <w:r>
                          <w:rPr>
                            <w:rFonts w:ascii="Calibri"/>
                            <w:sz w:val="22"/>
                          </w:rPr>
                          <w:t>969</w:t>
                        </w:r>
                      </w:p>
                    </w:tc>
                    <w:tc>
                      <w:tcPr>
                        <w:tcW w:w="1201" w:type="dxa"/>
                      </w:tcPr>
                      <w:p>
                        <w:pPr>
                          <w:pStyle w:val="TableParagraph"/>
                          <w:spacing w:line="267" w:lineRule="exact"/>
                          <w:ind w:right="62"/>
                          <w:jc w:val="right"/>
                          <w:rPr>
                            <w:rFonts w:ascii="Calibri"/>
                            <w:sz w:val="22"/>
                          </w:rPr>
                        </w:pPr>
                        <w:r>
                          <w:rPr>
                            <w:rFonts w:ascii="Calibri"/>
                            <w:sz w:val="22"/>
                          </w:rPr>
                          <w:t>174</w:t>
                        </w:r>
                      </w:p>
                    </w:tc>
                    <w:tc>
                      <w:tcPr>
                        <w:tcW w:w="1200" w:type="dxa"/>
                      </w:tcPr>
                      <w:p>
                        <w:pPr>
                          <w:pStyle w:val="TableParagraph"/>
                          <w:spacing w:line="267" w:lineRule="exact"/>
                          <w:ind w:right="63"/>
                          <w:jc w:val="right"/>
                          <w:rPr>
                            <w:rFonts w:ascii="Calibri"/>
                            <w:sz w:val="22"/>
                          </w:rPr>
                        </w:pPr>
                        <w:r>
                          <w:rPr>
                            <w:rFonts w:ascii="Calibri"/>
                            <w:sz w:val="22"/>
                          </w:rPr>
                          <w:t>176</w:t>
                        </w:r>
                      </w:p>
                    </w:tc>
                    <w:tc>
                      <w:tcPr>
                        <w:tcW w:w="1201" w:type="dxa"/>
                      </w:tcPr>
                      <w:p>
                        <w:pPr>
                          <w:pStyle w:val="TableParagraph"/>
                          <w:spacing w:line="267" w:lineRule="exact"/>
                          <w:ind w:right="60"/>
                          <w:jc w:val="right"/>
                          <w:rPr>
                            <w:rFonts w:ascii="Calibri"/>
                            <w:sz w:val="22"/>
                          </w:rPr>
                        </w:pPr>
                        <w:r>
                          <w:rPr>
                            <w:rFonts w:ascii="Calibri"/>
                            <w:w w:val="101"/>
                            <w:sz w:val="22"/>
                          </w:rPr>
                          <w:t>7</w:t>
                        </w:r>
                      </w:p>
                    </w:tc>
                  </w:tr>
                  <w:tr>
                    <w:trPr>
                      <w:trHeight w:val="313" w:hRule="exact"/>
                    </w:trPr>
                    <w:tc>
                      <w:tcPr>
                        <w:tcW w:w="1545" w:type="dxa"/>
                      </w:tcPr>
                      <w:p>
                        <w:pPr>
                          <w:pStyle w:val="TableParagraph"/>
                          <w:spacing w:before="30"/>
                          <w:ind w:left="72"/>
                          <w:rPr>
                            <w:rFonts w:ascii="Calibri"/>
                            <w:sz w:val="22"/>
                          </w:rPr>
                        </w:pPr>
                        <w:r>
                          <w:rPr>
                            <w:rFonts w:ascii="Calibri"/>
                            <w:sz w:val="22"/>
                          </w:rPr>
                          <w:t>Total escuelas</w:t>
                        </w:r>
                      </w:p>
                    </w:tc>
                    <w:tc>
                      <w:tcPr>
                        <w:tcW w:w="1201" w:type="dxa"/>
                      </w:tcPr>
                      <w:p>
                        <w:pPr>
                          <w:pStyle w:val="TableParagraph"/>
                          <w:spacing w:before="30"/>
                          <w:ind w:right="62"/>
                          <w:jc w:val="right"/>
                          <w:rPr>
                            <w:rFonts w:ascii="Calibri"/>
                            <w:sz w:val="22"/>
                          </w:rPr>
                        </w:pPr>
                        <w:r>
                          <w:rPr>
                            <w:rFonts w:ascii="Calibri"/>
                            <w:sz w:val="22"/>
                          </w:rPr>
                          <w:t>1704</w:t>
                        </w:r>
                      </w:p>
                    </w:tc>
                    <w:tc>
                      <w:tcPr>
                        <w:tcW w:w="1200" w:type="dxa"/>
                      </w:tcPr>
                      <w:p>
                        <w:pPr/>
                      </w:p>
                    </w:tc>
                    <w:tc>
                      <w:tcPr>
                        <w:tcW w:w="1201" w:type="dxa"/>
                      </w:tcPr>
                      <w:p>
                        <w:pPr/>
                      </w:p>
                    </w:tc>
                    <w:tc>
                      <w:tcPr>
                        <w:tcW w:w="1200" w:type="dxa"/>
                      </w:tcPr>
                      <w:p>
                        <w:pPr/>
                      </w:p>
                    </w:tc>
                    <w:tc>
                      <w:tcPr>
                        <w:tcW w:w="1201" w:type="dxa"/>
                      </w:tcPr>
                      <w:p>
                        <w:pPr/>
                      </w:p>
                    </w:tc>
                  </w:tr>
                </w:tbl>
                <w:p>
                  <w:pPr>
                    <w:pStyle w:val="BodyText"/>
                  </w:pPr>
                </w:p>
              </w:txbxContent>
            </v:textbox>
            <w10:wrap type="none"/>
          </v:shape>
        </w:pict>
      </w:r>
      <w:r>
        <w:rPr/>
        <w:t>Fuente. Elaboración propia a partir de INEGI 2010 Fase I Preventiva permanente</w:t>
      </w:r>
    </w:p>
    <w:p>
      <w:pPr>
        <w:pStyle w:val="BodyText"/>
        <w:spacing w:line="357" w:lineRule="auto" w:before="152"/>
        <w:ind w:left="105" w:right="118"/>
        <w:jc w:val="both"/>
      </w:pPr>
      <w:r>
        <w:rPr/>
        <w:t>De acuerdo con los parámetros existentes de Índice Metropolitano de la Calidad del Aire (IMECA), considera necesario establecer pre-contingencia ambiental cuando se alcanzan los 101-150 puntos en el caso de las partículas, equivalente a</w:t>
      </w:r>
    </w:p>
    <w:p>
      <w:pPr>
        <w:spacing w:after="0" w:line="357" w:lineRule="auto"/>
        <w:jc w:val="both"/>
        <w:sectPr>
          <w:footerReference w:type="default" r:id="rId62"/>
          <w:pgSz w:w="12240" w:h="15840"/>
          <w:pgMar w:footer="1001" w:header="0" w:top="1360" w:bottom="1200" w:left="1600" w:right="1580"/>
          <w:pgNumType w:start="101"/>
        </w:sectPr>
      </w:pPr>
    </w:p>
    <w:p>
      <w:pPr>
        <w:pStyle w:val="BodyText"/>
        <w:spacing w:line="360" w:lineRule="auto" w:before="48"/>
        <w:ind w:left="225" w:right="214"/>
        <w:jc w:val="both"/>
      </w:pPr>
      <w:r>
        <w:rPr/>
        <w:t>las concentraciones que van de los 100-160 microgramos por metro cúbico. Dadas las condiciones de contaminación atmosférica de la zona metropolitana Toluca, es necesario capacitar a la población para el entendimiento cognitivo del riesgo mediante actividades de educación ambiental consolidando así una fase preventiva, en la cual se priorice el control de las emisiones de partículas.</w:t>
      </w:r>
    </w:p>
    <w:p>
      <w:pPr>
        <w:pStyle w:val="BodyText"/>
        <w:spacing w:before="10"/>
      </w:pPr>
    </w:p>
    <w:p>
      <w:pPr>
        <w:pStyle w:val="BodyText"/>
        <w:spacing w:line="357" w:lineRule="auto"/>
        <w:ind w:left="225" w:right="217"/>
        <w:jc w:val="both"/>
      </w:pPr>
      <w:r>
        <w:rPr/>
        <w:t>Actividades a desarrollar condiciones menores a los 150 puntos IMECA por promedio de 24 horas en cualquiera de las siete estaciones. Las actividades a seguir así como los responsables se establecen en el cuadro 10.</w:t>
      </w:r>
    </w:p>
    <w:p>
      <w:pPr>
        <w:pStyle w:val="BodyText"/>
        <w:spacing w:before="1"/>
        <w:rPr>
          <w:sz w:val="25"/>
        </w:rPr>
      </w:pPr>
    </w:p>
    <w:p>
      <w:pPr>
        <w:pStyle w:val="BodyText"/>
        <w:ind w:left="1593" w:right="204"/>
      </w:pPr>
      <w:r>
        <w:rPr/>
        <w:t>Cuadro 10. Actividades y responsables durante la Fase 1</w:t>
      </w:r>
    </w:p>
    <w:p>
      <w:pPr>
        <w:pStyle w:val="BodyText"/>
        <w:rPr>
          <w:sz w:val="2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31"/>
        <w:gridCol w:w="4531"/>
      </w:tblGrid>
      <w:tr>
        <w:trPr>
          <w:trHeight w:val="216" w:hRule="exact"/>
        </w:trPr>
        <w:tc>
          <w:tcPr>
            <w:tcW w:w="4531" w:type="dxa"/>
          </w:tcPr>
          <w:p>
            <w:pPr>
              <w:pStyle w:val="TableParagraph"/>
              <w:spacing w:line="198" w:lineRule="exact"/>
              <w:ind w:left="112" w:right="95"/>
              <w:rPr>
                <w:sz w:val="18"/>
              </w:rPr>
            </w:pPr>
            <w:r>
              <w:rPr>
                <w:sz w:val="18"/>
              </w:rPr>
              <w:t>Actividad</w:t>
            </w:r>
          </w:p>
        </w:tc>
        <w:tc>
          <w:tcPr>
            <w:tcW w:w="4531" w:type="dxa"/>
          </w:tcPr>
          <w:p>
            <w:pPr>
              <w:pStyle w:val="TableParagraph"/>
              <w:spacing w:line="198" w:lineRule="exact"/>
              <w:ind w:left="104" w:right="95"/>
              <w:rPr>
                <w:sz w:val="18"/>
              </w:rPr>
            </w:pPr>
            <w:r>
              <w:rPr>
                <w:sz w:val="18"/>
              </w:rPr>
              <w:t>Responsables</w:t>
            </w:r>
          </w:p>
        </w:tc>
      </w:tr>
      <w:tr>
        <w:trPr>
          <w:trHeight w:val="424" w:hRule="exact"/>
        </w:trPr>
        <w:tc>
          <w:tcPr>
            <w:tcW w:w="4531" w:type="dxa"/>
          </w:tcPr>
          <w:p>
            <w:pPr>
              <w:pStyle w:val="TableParagraph"/>
              <w:ind w:left="112" w:right="95"/>
              <w:rPr>
                <w:sz w:val="18"/>
              </w:rPr>
            </w:pPr>
            <w:r>
              <w:rPr>
                <w:sz w:val="18"/>
              </w:rPr>
              <w:t>Impartición de conferencias sobre contaminación atmosférica en los diferentes niveles de  educación</w:t>
            </w:r>
          </w:p>
        </w:tc>
        <w:tc>
          <w:tcPr>
            <w:tcW w:w="4531" w:type="dxa"/>
          </w:tcPr>
          <w:p>
            <w:pPr>
              <w:pStyle w:val="TableParagraph"/>
              <w:spacing w:line="198" w:lineRule="exact"/>
              <w:ind w:left="104" w:right="95"/>
              <w:rPr>
                <w:sz w:val="18"/>
              </w:rPr>
            </w:pPr>
            <w:r>
              <w:rPr>
                <w:sz w:val="18"/>
              </w:rPr>
              <w:t>Secretaría de Medio Ambiente</w:t>
            </w:r>
          </w:p>
          <w:p>
            <w:pPr>
              <w:pStyle w:val="TableParagraph"/>
              <w:spacing w:before="1"/>
              <w:ind w:left="104" w:right="95"/>
              <w:rPr>
                <w:sz w:val="18"/>
              </w:rPr>
            </w:pPr>
            <w:r>
              <w:rPr>
                <w:sz w:val="18"/>
              </w:rPr>
              <w:t>Secretaría de Educación del Estado de México</w:t>
            </w:r>
          </w:p>
        </w:tc>
      </w:tr>
      <w:tr>
        <w:trPr>
          <w:trHeight w:val="632" w:hRule="exact"/>
        </w:trPr>
        <w:tc>
          <w:tcPr>
            <w:tcW w:w="4531" w:type="dxa"/>
          </w:tcPr>
          <w:p>
            <w:pPr>
              <w:pStyle w:val="TableParagraph"/>
              <w:ind w:left="112" w:right="94"/>
              <w:jc w:val="both"/>
              <w:rPr>
                <w:sz w:val="18"/>
              </w:rPr>
            </w:pPr>
            <w:r>
              <w:rPr>
                <w:sz w:val="18"/>
              </w:rPr>
              <w:t>Capacitación del indicador de calidad del aire (IMECA), así como del programa de contingencia ambiental</w:t>
            </w:r>
          </w:p>
        </w:tc>
        <w:tc>
          <w:tcPr>
            <w:tcW w:w="4531" w:type="dxa"/>
          </w:tcPr>
          <w:p>
            <w:pPr>
              <w:pStyle w:val="TableParagraph"/>
              <w:spacing w:line="199" w:lineRule="exact"/>
              <w:ind w:left="104" w:right="95"/>
              <w:rPr>
                <w:sz w:val="18"/>
              </w:rPr>
            </w:pPr>
            <w:r>
              <w:rPr>
                <w:sz w:val="18"/>
              </w:rPr>
              <w:t>Secretaría de Medio Ambiente</w:t>
            </w:r>
          </w:p>
          <w:p>
            <w:pPr>
              <w:pStyle w:val="TableParagraph"/>
              <w:spacing w:before="1"/>
              <w:ind w:left="104" w:right="95"/>
              <w:rPr>
                <w:sz w:val="18"/>
              </w:rPr>
            </w:pPr>
            <w:r>
              <w:rPr>
                <w:sz w:val="18"/>
              </w:rPr>
              <w:t>Secretaría de Educación del Estado de México</w:t>
            </w:r>
          </w:p>
        </w:tc>
      </w:tr>
      <w:tr>
        <w:trPr>
          <w:trHeight w:val="633" w:hRule="exact"/>
        </w:trPr>
        <w:tc>
          <w:tcPr>
            <w:tcW w:w="4531" w:type="dxa"/>
          </w:tcPr>
          <w:p>
            <w:pPr>
              <w:pStyle w:val="TableParagraph"/>
              <w:spacing w:line="198" w:lineRule="exact"/>
              <w:ind w:left="112" w:right="95"/>
              <w:rPr>
                <w:sz w:val="18"/>
              </w:rPr>
            </w:pPr>
            <w:r>
              <w:rPr>
                <w:sz w:val="18"/>
              </w:rPr>
              <w:t>Capacitación de Padres de  familia</w:t>
            </w:r>
          </w:p>
        </w:tc>
        <w:tc>
          <w:tcPr>
            <w:tcW w:w="4531" w:type="dxa"/>
          </w:tcPr>
          <w:p>
            <w:pPr>
              <w:pStyle w:val="TableParagraph"/>
              <w:spacing w:line="198" w:lineRule="exact"/>
              <w:ind w:left="104" w:right="95"/>
              <w:rPr>
                <w:sz w:val="18"/>
              </w:rPr>
            </w:pPr>
            <w:r>
              <w:rPr>
                <w:sz w:val="18"/>
              </w:rPr>
              <w:t>Secretaría de Medio Ambiente</w:t>
            </w:r>
          </w:p>
          <w:p>
            <w:pPr>
              <w:pStyle w:val="TableParagraph"/>
              <w:spacing w:before="1"/>
              <w:ind w:left="104" w:right="656"/>
              <w:rPr>
                <w:sz w:val="18"/>
              </w:rPr>
            </w:pPr>
            <w:r>
              <w:rPr>
                <w:sz w:val="18"/>
              </w:rPr>
              <w:t>Secretaría de Educación del Estado de México Secretaría de Salud</w:t>
            </w:r>
          </w:p>
        </w:tc>
      </w:tr>
      <w:tr>
        <w:trPr>
          <w:trHeight w:val="624" w:hRule="exact"/>
        </w:trPr>
        <w:tc>
          <w:tcPr>
            <w:tcW w:w="4531" w:type="dxa"/>
          </w:tcPr>
          <w:p>
            <w:pPr>
              <w:pStyle w:val="TableParagraph"/>
              <w:ind w:left="112" w:right="95"/>
              <w:rPr>
                <w:sz w:val="18"/>
              </w:rPr>
            </w:pPr>
            <w:r>
              <w:rPr>
                <w:sz w:val="18"/>
              </w:rPr>
              <w:t>Brindar orientación médica de los efectos de la contaminación atmosférica a la salud</w:t>
            </w:r>
          </w:p>
        </w:tc>
        <w:tc>
          <w:tcPr>
            <w:tcW w:w="4531" w:type="dxa"/>
          </w:tcPr>
          <w:p>
            <w:pPr>
              <w:pStyle w:val="TableParagraph"/>
              <w:ind w:left="104" w:right="1988"/>
              <w:rPr>
                <w:sz w:val="18"/>
              </w:rPr>
            </w:pPr>
            <w:r>
              <w:rPr>
                <w:sz w:val="18"/>
              </w:rPr>
              <w:t>Secretaría </w:t>
            </w:r>
            <w:r>
              <w:rPr>
                <w:spacing w:val="-4"/>
                <w:sz w:val="18"/>
              </w:rPr>
              <w:t>de Salud </w:t>
            </w:r>
            <w:r>
              <w:rPr>
                <w:sz w:val="18"/>
              </w:rPr>
              <w:t>Secretaría </w:t>
            </w:r>
            <w:r>
              <w:rPr>
                <w:spacing w:val="-4"/>
                <w:sz w:val="18"/>
              </w:rPr>
              <w:t>de </w:t>
            </w:r>
            <w:r>
              <w:rPr>
                <w:sz w:val="18"/>
              </w:rPr>
              <w:t>Medio</w:t>
            </w:r>
            <w:r>
              <w:rPr>
                <w:spacing w:val="27"/>
                <w:sz w:val="18"/>
              </w:rPr>
              <w:t> </w:t>
            </w:r>
            <w:r>
              <w:rPr>
                <w:spacing w:val="-4"/>
                <w:sz w:val="18"/>
              </w:rPr>
              <w:t>Ambiente</w:t>
            </w:r>
          </w:p>
          <w:p>
            <w:pPr>
              <w:pStyle w:val="TableParagraph"/>
              <w:spacing w:before="1"/>
              <w:ind w:left="104" w:right="95"/>
              <w:rPr>
                <w:sz w:val="18"/>
              </w:rPr>
            </w:pPr>
            <w:r>
              <w:rPr>
                <w:sz w:val="18"/>
              </w:rPr>
              <w:t>Secretaría de Educación del Estado de México</w:t>
            </w:r>
          </w:p>
        </w:tc>
      </w:tr>
      <w:tr>
        <w:trPr>
          <w:trHeight w:val="424" w:hRule="exact"/>
        </w:trPr>
        <w:tc>
          <w:tcPr>
            <w:tcW w:w="4531" w:type="dxa"/>
          </w:tcPr>
          <w:p>
            <w:pPr>
              <w:pStyle w:val="TableParagraph"/>
              <w:spacing w:line="206" w:lineRule="exact"/>
              <w:ind w:left="112" w:right="95"/>
              <w:rPr>
                <w:sz w:val="18"/>
              </w:rPr>
            </w:pPr>
            <w:r>
              <w:rPr>
                <w:sz w:val="18"/>
              </w:rPr>
              <w:t>Recomendar a la población compartir el automóvil</w:t>
            </w:r>
          </w:p>
        </w:tc>
        <w:tc>
          <w:tcPr>
            <w:tcW w:w="4531" w:type="dxa"/>
          </w:tcPr>
          <w:p>
            <w:pPr>
              <w:pStyle w:val="TableParagraph"/>
              <w:ind w:left="104" w:right="1937"/>
              <w:rPr>
                <w:sz w:val="18"/>
              </w:rPr>
            </w:pPr>
            <w:r>
              <w:rPr>
                <w:sz w:val="18"/>
              </w:rPr>
              <w:t>Secretaría de Transporte Secretaría de Medio Ambiente</w:t>
            </w:r>
          </w:p>
        </w:tc>
      </w:tr>
      <w:tr>
        <w:trPr>
          <w:trHeight w:val="424" w:hRule="exact"/>
        </w:trPr>
        <w:tc>
          <w:tcPr>
            <w:tcW w:w="4531" w:type="dxa"/>
          </w:tcPr>
          <w:p>
            <w:pPr>
              <w:pStyle w:val="TableParagraph"/>
              <w:ind w:left="112" w:right="95"/>
              <w:rPr>
                <w:sz w:val="18"/>
              </w:rPr>
            </w:pPr>
            <w:r>
              <w:rPr>
                <w:sz w:val="18"/>
              </w:rPr>
              <w:t>Fomentar el uso de la bicicleta como medio de transporte urbano</w:t>
            </w:r>
          </w:p>
        </w:tc>
        <w:tc>
          <w:tcPr>
            <w:tcW w:w="4531" w:type="dxa"/>
          </w:tcPr>
          <w:p>
            <w:pPr>
              <w:pStyle w:val="TableParagraph"/>
              <w:ind w:left="104" w:right="1937"/>
              <w:rPr>
                <w:sz w:val="18"/>
              </w:rPr>
            </w:pPr>
            <w:r>
              <w:rPr>
                <w:sz w:val="18"/>
              </w:rPr>
              <w:t>Secretaría de Transporte Secretaría de Medio Ambiente</w:t>
            </w:r>
          </w:p>
        </w:tc>
      </w:tr>
      <w:tr>
        <w:trPr>
          <w:trHeight w:val="633" w:hRule="exact"/>
        </w:trPr>
        <w:tc>
          <w:tcPr>
            <w:tcW w:w="4531" w:type="dxa"/>
          </w:tcPr>
          <w:p>
            <w:pPr>
              <w:pStyle w:val="TableParagraph"/>
              <w:ind w:left="112" w:right="95"/>
              <w:rPr>
                <w:sz w:val="18"/>
              </w:rPr>
            </w:pPr>
            <w:r>
              <w:rPr>
                <w:sz w:val="18"/>
              </w:rPr>
              <w:t>Mantener un programa continúo de reemplazo a unidades vehiculares anteriores a 1998</w:t>
            </w:r>
          </w:p>
        </w:tc>
        <w:tc>
          <w:tcPr>
            <w:tcW w:w="4531" w:type="dxa"/>
          </w:tcPr>
          <w:p>
            <w:pPr>
              <w:pStyle w:val="TableParagraph"/>
              <w:spacing w:line="237" w:lineRule="auto" w:before="1"/>
              <w:ind w:left="104" w:right="1937"/>
              <w:rPr>
                <w:sz w:val="18"/>
              </w:rPr>
            </w:pPr>
            <w:r>
              <w:rPr>
                <w:sz w:val="18"/>
              </w:rPr>
              <w:t>Secretaría de Transporte Secretaría de Medio Ambiente Secretaría de Finanzas</w:t>
            </w:r>
          </w:p>
        </w:tc>
      </w:tr>
      <w:tr>
        <w:trPr>
          <w:trHeight w:val="632" w:hRule="exact"/>
        </w:trPr>
        <w:tc>
          <w:tcPr>
            <w:tcW w:w="4531" w:type="dxa"/>
          </w:tcPr>
          <w:p>
            <w:pPr>
              <w:pStyle w:val="TableParagraph"/>
              <w:tabs>
                <w:tab w:pos="1294" w:val="left" w:leader="none"/>
                <w:tab w:pos="2309" w:val="left" w:leader="none"/>
                <w:tab w:pos="2988" w:val="left" w:leader="none"/>
                <w:tab w:pos="3444" w:val="left" w:leader="none"/>
                <w:tab w:pos="4227" w:val="left" w:leader="none"/>
              </w:tabs>
              <w:spacing w:line="200" w:lineRule="exact" w:before="8"/>
              <w:ind w:left="112" w:right="95"/>
              <w:rPr>
                <w:sz w:val="18"/>
              </w:rPr>
            </w:pPr>
            <w:r>
              <w:rPr>
                <w:sz w:val="18"/>
              </w:rPr>
              <w:t>Mantenerse</w:t>
              <w:tab/>
            </w:r>
            <w:r>
              <w:rPr>
                <w:spacing w:val="-3"/>
                <w:sz w:val="18"/>
              </w:rPr>
              <w:t>informado</w:t>
              <w:tab/>
            </w:r>
            <w:r>
              <w:rPr>
                <w:sz w:val="18"/>
              </w:rPr>
              <w:t>sobre</w:t>
              <w:tab/>
            </w:r>
            <w:r>
              <w:rPr>
                <w:spacing w:val="-3"/>
                <w:sz w:val="18"/>
              </w:rPr>
              <w:t>los</w:t>
              <w:tab/>
              <w:t>niveles</w:t>
              <w:tab/>
            </w:r>
            <w:r>
              <w:rPr>
                <w:spacing w:val="-4"/>
                <w:sz w:val="18"/>
              </w:rPr>
              <w:t>de </w:t>
            </w:r>
            <w:r>
              <w:rPr>
                <w:sz w:val="18"/>
              </w:rPr>
              <w:t>contaminación</w:t>
            </w:r>
          </w:p>
        </w:tc>
        <w:tc>
          <w:tcPr>
            <w:tcW w:w="4531" w:type="dxa"/>
          </w:tcPr>
          <w:p>
            <w:pPr>
              <w:pStyle w:val="TableParagraph"/>
              <w:spacing w:line="237" w:lineRule="auto" w:before="1"/>
              <w:ind w:left="104" w:right="1937"/>
              <w:rPr>
                <w:sz w:val="18"/>
              </w:rPr>
            </w:pPr>
            <w:r>
              <w:rPr>
                <w:sz w:val="18"/>
              </w:rPr>
              <w:t>Secretaría de Medio Ambiente Secretaría  de  Salud Secretaría de Comunicaciones</w:t>
            </w:r>
          </w:p>
        </w:tc>
      </w:tr>
      <w:tr>
        <w:trPr>
          <w:trHeight w:val="424" w:hRule="exact"/>
        </w:trPr>
        <w:tc>
          <w:tcPr>
            <w:tcW w:w="4531" w:type="dxa"/>
          </w:tcPr>
          <w:p>
            <w:pPr>
              <w:pStyle w:val="TableParagraph"/>
              <w:spacing w:line="242" w:lineRule="auto"/>
              <w:ind w:left="112" w:right="95"/>
              <w:rPr>
                <w:sz w:val="18"/>
              </w:rPr>
            </w:pPr>
            <w:r>
              <w:rPr>
                <w:sz w:val="18"/>
              </w:rPr>
              <w:t>Seguir las recomendaciones de las autoridades competentes</w:t>
            </w:r>
          </w:p>
        </w:tc>
        <w:tc>
          <w:tcPr>
            <w:tcW w:w="4531" w:type="dxa"/>
          </w:tcPr>
          <w:p>
            <w:pPr>
              <w:pStyle w:val="TableParagraph"/>
              <w:spacing w:line="198" w:lineRule="exact"/>
              <w:ind w:left="104" w:right="95"/>
              <w:rPr>
                <w:sz w:val="18"/>
              </w:rPr>
            </w:pPr>
            <w:r>
              <w:rPr>
                <w:sz w:val="18"/>
              </w:rPr>
              <w:t>Población en general</w:t>
            </w:r>
          </w:p>
        </w:tc>
      </w:tr>
    </w:tbl>
    <w:p>
      <w:pPr>
        <w:pStyle w:val="BodyText"/>
        <w:spacing w:line="523" w:lineRule="auto"/>
        <w:ind w:left="225" w:right="2738" w:firstLine="2962"/>
      </w:pPr>
      <w:r>
        <w:rPr/>
        <w:t>Fuente: Elaboración Propia Fase II Pre-contingencia Ambiental 151-199 puntos IMECA</w:t>
      </w:r>
    </w:p>
    <w:p>
      <w:pPr>
        <w:pStyle w:val="BodyText"/>
        <w:spacing w:line="352" w:lineRule="auto" w:before="103"/>
        <w:ind w:left="225" w:right="212"/>
        <w:jc w:val="both"/>
      </w:pPr>
      <w:r>
        <w:rPr/>
        <w:t>Esta fase deberá activarse </w:t>
      </w:r>
      <w:r>
        <w:rPr>
          <w:spacing w:val="-3"/>
        </w:rPr>
        <w:t>al </w:t>
      </w:r>
      <w:r>
        <w:rPr/>
        <w:t>presentarse valores </w:t>
      </w:r>
      <w:r>
        <w:rPr>
          <w:spacing w:val="5"/>
        </w:rPr>
        <w:t>de </w:t>
      </w:r>
      <w:r>
        <w:rPr/>
        <w:t>150 a 199 puntos IMECA o su equivalente a los </w:t>
      </w:r>
      <w:r>
        <w:rPr>
          <w:spacing w:val="2"/>
        </w:rPr>
        <w:t>160-175 </w:t>
      </w:r>
      <w:r>
        <w:rPr/>
        <w:t>mcg/m</w:t>
      </w:r>
      <w:r>
        <w:rPr>
          <w:position w:val="11"/>
          <w:sz w:val="16"/>
        </w:rPr>
        <w:t>3 </w:t>
      </w:r>
      <w:r>
        <w:rPr/>
        <w:t>de PM10, durante una hora </w:t>
      </w:r>
      <w:r>
        <w:rPr>
          <w:spacing w:val="-3"/>
        </w:rPr>
        <w:t>en </w:t>
      </w:r>
      <w:r>
        <w:rPr/>
        <w:t>cualquiera </w:t>
      </w:r>
      <w:r>
        <w:rPr>
          <w:spacing w:val="5"/>
        </w:rPr>
        <w:t>de </w:t>
      </w:r>
      <w:r>
        <w:rPr/>
        <w:t>las siete estaciones de monitoreo atmosférico. En este contexto se presenta que de acuerdo con los resultados obtenidos y presentados </w:t>
      </w:r>
      <w:r>
        <w:rPr>
          <w:spacing w:val="-3"/>
        </w:rPr>
        <w:t>en el </w:t>
      </w:r>
      <w:r>
        <w:rPr/>
        <w:t>artículo, la zona 1,2 y 3 se encuentran </w:t>
      </w:r>
      <w:r>
        <w:rPr>
          <w:spacing w:val="-3"/>
        </w:rPr>
        <w:t>en el </w:t>
      </w:r>
      <w:r>
        <w:rPr/>
        <w:t>límite de </w:t>
      </w:r>
      <w:r>
        <w:rPr>
          <w:spacing w:val="2"/>
        </w:rPr>
        <w:t>160-175 </w:t>
      </w:r>
      <w:r>
        <w:rPr/>
        <w:t>puntos IMECAS, ante </w:t>
      </w:r>
      <w:r>
        <w:rPr>
          <w:spacing w:val="-3"/>
        </w:rPr>
        <w:t>el </w:t>
      </w:r>
      <w:r>
        <w:rPr/>
        <w:t>cual se</w:t>
      </w:r>
      <w:r>
        <w:rPr>
          <w:spacing w:val="33"/>
        </w:rPr>
        <w:t> </w:t>
      </w:r>
      <w:r>
        <w:rPr/>
        <w:t>establece</w:t>
      </w:r>
    </w:p>
    <w:p>
      <w:pPr>
        <w:spacing w:after="0" w:line="352" w:lineRule="auto"/>
        <w:jc w:val="both"/>
        <w:sectPr>
          <w:pgSz w:w="12240" w:h="15840"/>
          <w:pgMar w:header="0" w:footer="1001" w:top="1360" w:bottom="1200" w:left="1480" w:right="1480"/>
        </w:sectPr>
      </w:pPr>
    </w:p>
    <w:p>
      <w:pPr>
        <w:pStyle w:val="BodyText"/>
        <w:spacing w:before="48"/>
        <w:ind w:left="185"/>
        <w:jc w:val="both"/>
      </w:pPr>
      <w:r>
        <w:rPr/>
        <w:t>la pre-contingencia ambiental. Las acciones a seguir se establecen en    el  cuadro</w:t>
      </w:r>
    </w:p>
    <w:p>
      <w:pPr>
        <w:pStyle w:val="ListParagraph"/>
        <w:numPr>
          <w:ilvl w:val="2"/>
          <w:numId w:val="15"/>
        </w:numPr>
        <w:tabs>
          <w:tab w:pos="634" w:val="left" w:leader="none"/>
        </w:tabs>
        <w:spacing w:line="357" w:lineRule="auto" w:before="140" w:after="0"/>
        <w:ind w:left="185" w:right="204" w:firstLine="0"/>
        <w:jc w:val="both"/>
        <w:rPr>
          <w:sz w:val="24"/>
        </w:rPr>
      </w:pPr>
      <w:r>
        <w:rPr>
          <w:sz w:val="24"/>
        </w:rPr>
        <w:t>Cabe señalar que </w:t>
      </w:r>
      <w:r>
        <w:rPr>
          <w:spacing w:val="-3"/>
          <w:sz w:val="24"/>
        </w:rPr>
        <w:t>es </w:t>
      </w:r>
      <w:r>
        <w:rPr>
          <w:sz w:val="24"/>
        </w:rPr>
        <w:t>las zonas 1,2 y 3 </w:t>
      </w:r>
      <w:r>
        <w:rPr>
          <w:spacing w:val="3"/>
          <w:sz w:val="24"/>
        </w:rPr>
        <w:t>se </w:t>
      </w:r>
      <w:r>
        <w:rPr>
          <w:sz w:val="24"/>
        </w:rPr>
        <w:t>presenta la mayor cantidad de escuelas y actividades laborales, teniendo como resultado la </w:t>
      </w:r>
      <w:r>
        <w:rPr>
          <w:spacing w:val="-3"/>
          <w:sz w:val="24"/>
        </w:rPr>
        <w:t>mayor </w:t>
      </w:r>
      <w:r>
        <w:rPr>
          <w:sz w:val="24"/>
        </w:rPr>
        <w:t>concentración de población con énfasis </w:t>
      </w:r>
      <w:r>
        <w:rPr>
          <w:spacing w:val="-3"/>
          <w:sz w:val="24"/>
        </w:rPr>
        <w:t>en el </w:t>
      </w:r>
      <w:r>
        <w:rPr>
          <w:sz w:val="24"/>
        </w:rPr>
        <w:t>grupo vulnerable de 0-15</w:t>
      </w:r>
      <w:r>
        <w:rPr>
          <w:spacing w:val="-7"/>
          <w:sz w:val="24"/>
        </w:rPr>
        <w:t> </w:t>
      </w:r>
      <w:r>
        <w:rPr>
          <w:sz w:val="24"/>
        </w:rPr>
        <w:t>años.</w:t>
      </w:r>
    </w:p>
    <w:p>
      <w:pPr>
        <w:pStyle w:val="BodyText"/>
        <w:spacing w:before="1"/>
        <w:rPr>
          <w:sz w:val="25"/>
        </w:rPr>
      </w:pPr>
    </w:p>
    <w:p>
      <w:pPr>
        <w:pStyle w:val="BodyText"/>
        <w:ind w:left="270" w:right="296"/>
        <w:jc w:val="center"/>
      </w:pPr>
      <w:r>
        <w:rPr/>
        <w:t>Cuadro11. Medidas en caso de Pre-contingencia Ambiental</w:t>
      </w:r>
    </w:p>
    <w:p>
      <w:pPr>
        <w:pStyle w:val="BodyText"/>
        <w:rPr>
          <w:sz w:val="2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12"/>
        <w:gridCol w:w="753"/>
        <w:gridCol w:w="1617"/>
        <w:gridCol w:w="3314"/>
        <w:gridCol w:w="2394"/>
      </w:tblGrid>
      <w:tr>
        <w:trPr>
          <w:trHeight w:val="296" w:hRule="exact"/>
        </w:trPr>
        <w:tc>
          <w:tcPr>
            <w:tcW w:w="912" w:type="dxa"/>
            <w:vMerge w:val="restart"/>
          </w:tcPr>
          <w:p>
            <w:pPr>
              <w:pStyle w:val="TableParagraph"/>
              <w:spacing w:line="198" w:lineRule="exact"/>
              <w:ind w:left="72"/>
              <w:rPr>
                <w:sz w:val="18"/>
              </w:rPr>
            </w:pPr>
            <w:r>
              <w:rPr>
                <w:sz w:val="18"/>
              </w:rPr>
              <w:t>µg/m3</w:t>
            </w:r>
          </w:p>
        </w:tc>
        <w:tc>
          <w:tcPr>
            <w:tcW w:w="753" w:type="dxa"/>
            <w:vMerge w:val="restart"/>
          </w:tcPr>
          <w:p>
            <w:pPr>
              <w:pStyle w:val="TableParagraph"/>
              <w:ind w:left="64" w:right="90"/>
              <w:rPr>
                <w:sz w:val="18"/>
              </w:rPr>
            </w:pPr>
            <w:r>
              <w:rPr>
                <w:sz w:val="18"/>
              </w:rPr>
              <w:t>Puntos IMECA</w:t>
            </w:r>
          </w:p>
        </w:tc>
        <w:tc>
          <w:tcPr>
            <w:tcW w:w="1617" w:type="dxa"/>
            <w:vMerge w:val="restart"/>
          </w:tcPr>
          <w:p>
            <w:pPr>
              <w:pStyle w:val="TableParagraph"/>
              <w:ind w:left="72" w:right="906"/>
              <w:rPr>
                <w:sz w:val="18"/>
              </w:rPr>
            </w:pPr>
            <w:r>
              <w:rPr>
                <w:sz w:val="18"/>
              </w:rPr>
              <w:t>Calidad de Aire</w:t>
            </w:r>
          </w:p>
        </w:tc>
        <w:tc>
          <w:tcPr>
            <w:tcW w:w="3314" w:type="dxa"/>
          </w:tcPr>
          <w:p>
            <w:pPr>
              <w:pStyle w:val="TableParagraph"/>
              <w:spacing w:line="198" w:lineRule="exact"/>
              <w:ind w:left="63" w:right="281"/>
              <w:rPr>
                <w:sz w:val="18"/>
              </w:rPr>
            </w:pPr>
            <w:r>
              <w:rPr>
                <w:sz w:val="18"/>
              </w:rPr>
              <w:t>Medidas</w:t>
            </w:r>
          </w:p>
        </w:tc>
        <w:tc>
          <w:tcPr>
            <w:tcW w:w="2394" w:type="dxa"/>
          </w:tcPr>
          <w:p>
            <w:pPr>
              <w:pStyle w:val="TableParagraph"/>
              <w:spacing w:line="198" w:lineRule="exact"/>
              <w:ind w:left="63" w:right="331"/>
              <w:rPr>
                <w:sz w:val="18"/>
              </w:rPr>
            </w:pPr>
            <w:r>
              <w:rPr>
                <w:sz w:val="18"/>
              </w:rPr>
              <w:t>Responsable</w:t>
            </w:r>
          </w:p>
        </w:tc>
      </w:tr>
      <w:tr>
        <w:trPr>
          <w:trHeight w:val="336" w:hRule="exact"/>
        </w:trPr>
        <w:tc>
          <w:tcPr>
            <w:tcW w:w="912" w:type="dxa"/>
            <w:vMerge/>
          </w:tcPr>
          <w:p>
            <w:pPr/>
          </w:p>
        </w:tc>
        <w:tc>
          <w:tcPr>
            <w:tcW w:w="753" w:type="dxa"/>
            <w:vMerge/>
          </w:tcPr>
          <w:p>
            <w:pPr/>
          </w:p>
        </w:tc>
        <w:tc>
          <w:tcPr>
            <w:tcW w:w="1617" w:type="dxa"/>
            <w:vMerge/>
          </w:tcPr>
          <w:p>
            <w:pPr/>
          </w:p>
        </w:tc>
        <w:tc>
          <w:tcPr>
            <w:tcW w:w="5708" w:type="dxa"/>
            <w:gridSpan w:val="2"/>
          </w:tcPr>
          <w:p>
            <w:pPr>
              <w:pStyle w:val="TableParagraph"/>
              <w:spacing w:line="198" w:lineRule="exact"/>
              <w:ind w:left="63"/>
              <w:rPr>
                <w:sz w:val="18"/>
              </w:rPr>
            </w:pPr>
            <w:r>
              <w:rPr>
                <w:sz w:val="18"/>
              </w:rPr>
              <w:t>Pre-contingencia</w:t>
            </w:r>
          </w:p>
        </w:tc>
      </w:tr>
      <w:tr>
        <w:trPr>
          <w:trHeight w:val="1249" w:hRule="exact"/>
        </w:trPr>
        <w:tc>
          <w:tcPr>
            <w:tcW w:w="912" w:type="dxa"/>
            <w:shd w:val="clear" w:color="auto" w:fill="FAD3B4"/>
          </w:tcPr>
          <w:p>
            <w:pPr>
              <w:pStyle w:val="TableParagraph"/>
              <w:spacing w:line="199" w:lineRule="exact"/>
              <w:ind w:left="96"/>
              <w:rPr>
                <w:sz w:val="18"/>
              </w:rPr>
            </w:pPr>
            <w:r>
              <w:rPr>
                <w:sz w:val="18"/>
              </w:rPr>
              <w:t>100- 120</w:t>
            </w:r>
          </w:p>
        </w:tc>
        <w:tc>
          <w:tcPr>
            <w:tcW w:w="753" w:type="dxa"/>
          </w:tcPr>
          <w:p>
            <w:pPr>
              <w:pStyle w:val="TableParagraph"/>
              <w:spacing w:line="199" w:lineRule="exact"/>
              <w:ind w:left="64" w:right="90"/>
              <w:rPr>
                <w:sz w:val="18"/>
              </w:rPr>
            </w:pPr>
            <w:r>
              <w:rPr>
                <w:sz w:val="18"/>
              </w:rPr>
              <w:t>101-</w:t>
            </w:r>
          </w:p>
          <w:p>
            <w:pPr>
              <w:pStyle w:val="TableParagraph"/>
              <w:spacing w:before="1"/>
              <w:ind w:left="64" w:right="90"/>
              <w:rPr>
                <w:sz w:val="18"/>
              </w:rPr>
            </w:pPr>
            <w:r>
              <w:rPr>
                <w:sz w:val="18"/>
              </w:rPr>
              <w:t>150</w:t>
            </w:r>
          </w:p>
        </w:tc>
        <w:tc>
          <w:tcPr>
            <w:tcW w:w="1617" w:type="dxa"/>
          </w:tcPr>
          <w:p>
            <w:pPr>
              <w:pStyle w:val="TableParagraph"/>
              <w:spacing w:line="199" w:lineRule="exact"/>
              <w:ind w:left="72"/>
              <w:rPr>
                <w:sz w:val="18"/>
              </w:rPr>
            </w:pPr>
            <w:r>
              <w:rPr>
                <w:sz w:val="18"/>
              </w:rPr>
              <w:t>Regular</w:t>
            </w:r>
          </w:p>
        </w:tc>
        <w:tc>
          <w:tcPr>
            <w:tcW w:w="3314" w:type="dxa"/>
          </w:tcPr>
          <w:p>
            <w:pPr>
              <w:pStyle w:val="TableParagraph"/>
              <w:ind w:left="63" w:right="281"/>
              <w:rPr>
                <w:sz w:val="18"/>
              </w:rPr>
            </w:pPr>
            <w:r>
              <w:rPr>
                <w:sz w:val="18"/>
              </w:rPr>
              <w:t>Alertar a la población de la condición de  pre-contingencia</w:t>
            </w:r>
          </w:p>
          <w:p>
            <w:pPr>
              <w:pStyle w:val="TableParagraph"/>
              <w:spacing w:line="237" w:lineRule="auto" w:before="3"/>
              <w:ind w:left="63" w:right="151"/>
              <w:rPr>
                <w:sz w:val="18"/>
              </w:rPr>
            </w:pPr>
            <w:r>
              <w:rPr>
                <w:sz w:val="18"/>
              </w:rPr>
              <w:t>Suspensión de actividades deportivas, cívicas, de recreo u otras al aire libre en los centros escolares y guarderías Evitar la combustión de  leña</w:t>
            </w:r>
          </w:p>
        </w:tc>
        <w:tc>
          <w:tcPr>
            <w:tcW w:w="2394" w:type="dxa"/>
          </w:tcPr>
          <w:p>
            <w:pPr>
              <w:pStyle w:val="TableParagraph"/>
              <w:ind w:left="63" w:right="723"/>
              <w:rPr>
                <w:sz w:val="18"/>
              </w:rPr>
            </w:pPr>
            <w:r>
              <w:rPr>
                <w:sz w:val="18"/>
              </w:rPr>
              <w:t>Secretaria </w:t>
            </w:r>
            <w:r>
              <w:rPr>
                <w:spacing w:val="-4"/>
                <w:sz w:val="18"/>
              </w:rPr>
              <w:t>de Medio </w:t>
            </w:r>
            <w:r>
              <w:rPr>
                <w:spacing w:val="-3"/>
                <w:sz w:val="18"/>
              </w:rPr>
              <w:t>Ambiente  </w:t>
            </w:r>
            <w:r>
              <w:rPr>
                <w:sz w:val="18"/>
              </w:rPr>
              <w:t>Secretaría </w:t>
            </w:r>
            <w:r>
              <w:rPr>
                <w:spacing w:val="-4"/>
                <w:sz w:val="18"/>
              </w:rPr>
              <w:t>de </w:t>
            </w:r>
            <w:r>
              <w:rPr>
                <w:spacing w:val="-3"/>
                <w:sz w:val="18"/>
              </w:rPr>
              <w:t>Comunicaciones</w:t>
            </w:r>
          </w:p>
          <w:p>
            <w:pPr>
              <w:pStyle w:val="TableParagraph"/>
              <w:spacing w:line="242" w:lineRule="auto"/>
              <w:ind w:left="63" w:right="331"/>
              <w:rPr>
                <w:sz w:val="18"/>
              </w:rPr>
            </w:pPr>
            <w:r>
              <w:rPr>
                <w:sz w:val="18"/>
              </w:rPr>
              <w:t>Secretaría de Educación Secretaría de Salud</w:t>
            </w:r>
          </w:p>
        </w:tc>
      </w:tr>
      <w:tr>
        <w:trPr>
          <w:trHeight w:val="840" w:hRule="exact"/>
        </w:trPr>
        <w:tc>
          <w:tcPr>
            <w:tcW w:w="912" w:type="dxa"/>
            <w:shd w:val="clear" w:color="auto" w:fill="FFFF00"/>
          </w:tcPr>
          <w:p>
            <w:pPr>
              <w:pStyle w:val="TableParagraph"/>
              <w:rPr>
                <w:sz w:val="18"/>
              </w:rPr>
            </w:pPr>
          </w:p>
          <w:p>
            <w:pPr>
              <w:pStyle w:val="TableParagraph"/>
              <w:rPr>
                <w:sz w:val="18"/>
              </w:rPr>
            </w:pPr>
          </w:p>
          <w:p>
            <w:pPr>
              <w:pStyle w:val="TableParagraph"/>
              <w:spacing w:before="5"/>
              <w:rPr>
                <w:sz w:val="17"/>
              </w:rPr>
            </w:pPr>
          </w:p>
          <w:p>
            <w:pPr>
              <w:pStyle w:val="TableParagraph"/>
              <w:ind w:left="72"/>
              <w:rPr>
                <w:sz w:val="18"/>
              </w:rPr>
            </w:pPr>
            <w:r>
              <w:rPr>
                <w:sz w:val="18"/>
              </w:rPr>
              <w:t>121- 140</w:t>
            </w:r>
          </w:p>
        </w:tc>
        <w:tc>
          <w:tcPr>
            <w:tcW w:w="753" w:type="dxa"/>
          </w:tcPr>
          <w:p>
            <w:pPr>
              <w:pStyle w:val="TableParagraph"/>
              <w:spacing w:line="198" w:lineRule="exact"/>
              <w:ind w:left="64" w:right="90"/>
              <w:rPr>
                <w:sz w:val="18"/>
              </w:rPr>
            </w:pPr>
            <w:r>
              <w:rPr>
                <w:sz w:val="18"/>
              </w:rPr>
              <w:t>101-</w:t>
            </w:r>
          </w:p>
          <w:p>
            <w:pPr>
              <w:pStyle w:val="TableParagraph"/>
              <w:spacing w:before="1"/>
              <w:ind w:left="64" w:right="90"/>
              <w:rPr>
                <w:sz w:val="18"/>
              </w:rPr>
            </w:pPr>
            <w:r>
              <w:rPr>
                <w:sz w:val="18"/>
              </w:rPr>
              <w:t>150</w:t>
            </w:r>
          </w:p>
        </w:tc>
        <w:tc>
          <w:tcPr>
            <w:tcW w:w="1617" w:type="dxa"/>
          </w:tcPr>
          <w:p>
            <w:pPr>
              <w:pStyle w:val="TableParagraph"/>
              <w:spacing w:line="198" w:lineRule="exact"/>
              <w:ind w:left="72"/>
              <w:rPr>
                <w:sz w:val="18"/>
              </w:rPr>
            </w:pPr>
            <w:r>
              <w:rPr>
                <w:sz w:val="18"/>
              </w:rPr>
              <w:t>Regular</w:t>
            </w:r>
          </w:p>
        </w:tc>
        <w:tc>
          <w:tcPr>
            <w:tcW w:w="3314" w:type="dxa"/>
          </w:tcPr>
          <w:p>
            <w:pPr>
              <w:pStyle w:val="TableParagraph"/>
              <w:ind w:left="63" w:right="151"/>
              <w:rPr>
                <w:sz w:val="18"/>
              </w:rPr>
            </w:pPr>
            <w:r>
              <w:rPr>
                <w:sz w:val="18"/>
              </w:rPr>
              <w:t>Suspensión de actividades deportivas, cívicas, de recreo u otras al aire libre en los centros escolares y guarderías Evitar la combustión de  leña</w:t>
            </w:r>
          </w:p>
        </w:tc>
        <w:tc>
          <w:tcPr>
            <w:tcW w:w="2394" w:type="dxa"/>
          </w:tcPr>
          <w:p>
            <w:pPr>
              <w:pStyle w:val="TableParagraph"/>
              <w:ind w:left="63" w:right="706"/>
              <w:rPr>
                <w:sz w:val="18"/>
              </w:rPr>
            </w:pPr>
            <w:r>
              <w:rPr>
                <w:sz w:val="18"/>
              </w:rPr>
              <w:t>Secretaria </w:t>
            </w:r>
            <w:r>
              <w:rPr>
                <w:spacing w:val="-4"/>
                <w:sz w:val="18"/>
              </w:rPr>
              <w:t>de Medio </w:t>
            </w:r>
            <w:r>
              <w:rPr>
                <w:spacing w:val="-3"/>
                <w:sz w:val="18"/>
              </w:rPr>
              <w:t>Ambiente  </w:t>
            </w:r>
            <w:r>
              <w:rPr>
                <w:sz w:val="18"/>
              </w:rPr>
              <w:t>Secretaría </w:t>
            </w:r>
            <w:r>
              <w:rPr>
                <w:spacing w:val="-4"/>
                <w:sz w:val="18"/>
              </w:rPr>
              <w:t>de</w:t>
            </w:r>
            <w:r>
              <w:rPr>
                <w:spacing w:val="17"/>
                <w:sz w:val="18"/>
              </w:rPr>
              <w:t> </w:t>
            </w:r>
            <w:r>
              <w:rPr>
                <w:spacing w:val="-4"/>
                <w:sz w:val="18"/>
              </w:rPr>
              <w:t>Salud</w:t>
            </w:r>
          </w:p>
          <w:p>
            <w:pPr>
              <w:pStyle w:val="TableParagraph"/>
              <w:spacing w:before="1"/>
              <w:ind w:left="63"/>
              <w:rPr>
                <w:sz w:val="18"/>
              </w:rPr>
            </w:pPr>
            <w:r>
              <w:rPr>
                <w:sz w:val="18"/>
              </w:rPr>
              <w:t>Secretaría de Educación</w:t>
            </w:r>
          </w:p>
        </w:tc>
      </w:tr>
      <w:tr>
        <w:trPr>
          <w:trHeight w:val="1257" w:hRule="exact"/>
        </w:trPr>
        <w:tc>
          <w:tcPr>
            <w:tcW w:w="912" w:type="dxa"/>
            <w:shd w:val="clear" w:color="auto" w:fill="E26C09"/>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7"/>
              </w:rPr>
            </w:pPr>
          </w:p>
          <w:p>
            <w:pPr>
              <w:pStyle w:val="TableParagraph"/>
              <w:ind w:left="72"/>
              <w:rPr>
                <w:sz w:val="18"/>
              </w:rPr>
            </w:pPr>
            <w:r>
              <w:rPr>
                <w:sz w:val="18"/>
              </w:rPr>
              <w:t>141- 160</w:t>
            </w:r>
          </w:p>
        </w:tc>
        <w:tc>
          <w:tcPr>
            <w:tcW w:w="753" w:type="dxa"/>
          </w:tcPr>
          <w:p>
            <w:pPr>
              <w:pStyle w:val="TableParagraph"/>
              <w:spacing w:line="198" w:lineRule="exact"/>
              <w:ind w:left="64" w:right="90"/>
              <w:rPr>
                <w:sz w:val="18"/>
              </w:rPr>
            </w:pPr>
            <w:r>
              <w:rPr>
                <w:sz w:val="18"/>
              </w:rPr>
              <w:t>101-</w:t>
            </w:r>
          </w:p>
          <w:p>
            <w:pPr>
              <w:pStyle w:val="TableParagraph"/>
              <w:spacing w:before="1"/>
              <w:ind w:left="64" w:right="90"/>
              <w:rPr>
                <w:sz w:val="18"/>
              </w:rPr>
            </w:pPr>
            <w:r>
              <w:rPr>
                <w:sz w:val="18"/>
              </w:rPr>
              <w:t>150</w:t>
            </w:r>
          </w:p>
        </w:tc>
        <w:tc>
          <w:tcPr>
            <w:tcW w:w="1617" w:type="dxa"/>
          </w:tcPr>
          <w:p>
            <w:pPr>
              <w:pStyle w:val="TableParagraph"/>
              <w:spacing w:line="198" w:lineRule="exact"/>
              <w:ind w:left="72"/>
              <w:rPr>
                <w:sz w:val="18"/>
              </w:rPr>
            </w:pPr>
            <w:r>
              <w:rPr>
                <w:sz w:val="18"/>
              </w:rPr>
              <w:t>Regular</w:t>
            </w:r>
          </w:p>
        </w:tc>
        <w:tc>
          <w:tcPr>
            <w:tcW w:w="3314" w:type="dxa"/>
          </w:tcPr>
          <w:p>
            <w:pPr>
              <w:pStyle w:val="TableParagraph"/>
              <w:ind w:left="63" w:right="151"/>
              <w:rPr>
                <w:sz w:val="18"/>
              </w:rPr>
            </w:pPr>
            <w:r>
              <w:rPr>
                <w:sz w:val="18"/>
              </w:rPr>
              <w:t>Suspensión de actividades deportivas, cívicas, de recreo u otras al aire libre en los centros escolares y guarderías Evitar la combustión de  leña</w:t>
            </w:r>
          </w:p>
        </w:tc>
        <w:tc>
          <w:tcPr>
            <w:tcW w:w="2394" w:type="dxa"/>
          </w:tcPr>
          <w:p>
            <w:pPr>
              <w:pStyle w:val="TableParagraph"/>
              <w:ind w:left="63" w:right="723"/>
              <w:rPr>
                <w:sz w:val="18"/>
              </w:rPr>
            </w:pPr>
            <w:r>
              <w:rPr>
                <w:sz w:val="18"/>
              </w:rPr>
              <w:t>Secretaria </w:t>
            </w:r>
            <w:r>
              <w:rPr>
                <w:spacing w:val="-4"/>
                <w:sz w:val="18"/>
              </w:rPr>
              <w:t>de Medio </w:t>
            </w:r>
            <w:r>
              <w:rPr>
                <w:spacing w:val="-3"/>
                <w:sz w:val="18"/>
              </w:rPr>
              <w:t>Ambiente  </w:t>
            </w:r>
            <w:r>
              <w:rPr>
                <w:sz w:val="18"/>
              </w:rPr>
              <w:t>Secretaría </w:t>
            </w:r>
            <w:r>
              <w:rPr>
                <w:spacing w:val="-4"/>
                <w:sz w:val="18"/>
              </w:rPr>
              <w:t>de </w:t>
            </w:r>
            <w:r>
              <w:rPr>
                <w:spacing w:val="-3"/>
                <w:sz w:val="18"/>
              </w:rPr>
              <w:t>Comunicaciones</w:t>
            </w:r>
          </w:p>
          <w:p>
            <w:pPr>
              <w:pStyle w:val="TableParagraph"/>
              <w:spacing w:line="200" w:lineRule="exact" w:before="10"/>
              <w:ind w:left="63" w:right="331"/>
              <w:rPr>
                <w:sz w:val="18"/>
              </w:rPr>
            </w:pPr>
            <w:r>
              <w:rPr>
                <w:sz w:val="18"/>
              </w:rPr>
              <w:t>Secretaría de Educación Secretaría de Salud</w:t>
            </w:r>
          </w:p>
        </w:tc>
      </w:tr>
    </w:tbl>
    <w:p>
      <w:pPr>
        <w:pStyle w:val="BodyText"/>
        <w:spacing w:line="516" w:lineRule="auto"/>
        <w:ind w:left="185" w:right="2650" w:firstLine="2962"/>
      </w:pPr>
      <w:r>
        <w:rPr/>
        <w:t>Fuente: Elaboración Propia Fase III Contingencia Ambiental 200 o más puntos IMECA</w:t>
      </w:r>
    </w:p>
    <w:p>
      <w:pPr>
        <w:pStyle w:val="BodyText"/>
        <w:spacing w:line="360" w:lineRule="auto" w:before="112"/>
        <w:ind w:left="185" w:right="194"/>
        <w:jc w:val="both"/>
      </w:pPr>
      <w:r>
        <w:rPr/>
        <w:t>Cuando los valores por lo cual son susceptibles a encontrarse en estado de pre- contingencia ambiental. Dado que las concentraciones de contaminantes aumentan durante la época fría y seca del año, las concentraciones pueden elevarse a niveles mayores a los 200 puntos IMECA, generando condiciones para decretarse contingencia ambiental. Es importante señalar que las zonas cuatro y cinco identificadas previamente son propensas a encontrarse en condiciones de contingencia ambiental con una mayor frecuencia que las zonas 1-3. Las medidas a seguir durante la contingencia Ambiental se presentan en el cuadro 12.</w:t>
      </w:r>
    </w:p>
    <w:p>
      <w:pPr>
        <w:spacing w:after="0" w:line="360" w:lineRule="auto"/>
        <w:jc w:val="both"/>
        <w:sectPr>
          <w:pgSz w:w="12240" w:h="15840"/>
          <w:pgMar w:header="0" w:footer="1001" w:top="1360" w:bottom="1200" w:left="1520" w:right="1500"/>
        </w:sectPr>
      </w:pPr>
    </w:p>
    <w:p>
      <w:pPr>
        <w:pStyle w:val="BodyText"/>
        <w:spacing w:before="48"/>
        <w:ind w:left="1553"/>
      </w:pPr>
      <w:r>
        <w:rPr/>
        <w:t>Cuadro12. Medidas en caso de Contingencia Ambiental</w:t>
      </w:r>
    </w:p>
    <w:p>
      <w:pPr>
        <w:pStyle w:val="BodyText"/>
        <w:rPr>
          <w:sz w:val="22"/>
        </w:rPr>
      </w:pPr>
    </w:p>
    <w:tbl>
      <w:tblPr>
        <w:tblW w:w="0" w:type="auto"/>
        <w:jc w:val="left"/>
        <w:tblInd w:w="3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49"/>
        <w:gridCol w:w="713"/>
        <w:gridCol w:w="1512"/>
        <w:gridCol w:w="3394"/>
        <w:gridCol w:w="1961"/>
      </w:tblGrid>
      <w:tr>
        <w:trPr>
          <w:trHeight w:val="632" w:hRule="exact"/>
        </w:trPr>
        <w:tc>
          <w:tcPr>
            <w:tcW w:w="849" w:type="dxa"/>
          </w:tcPr>
          <w:p>
            <w:pPr>
              <w:pStyle w:val="TableParagraph"/>
              <w:spacing w:line="198" w:lineRule="exact"/>
              <w:ind w:left="64"/>
              <w:rPr>
                <w:sz w:val="18"/>
              </w:rPr>
            </w:pPr>
            <w:r>
              <w:rPr>
                <w:sz w:val="18"/>
              </w:rPr>
              <w:t>µg/m3</w:t>
            </w:r>
          </w:p>
        </w:tc>
        <w:tc>
          <w:tcPr>
            <w:tcW w:w="713" w:type="dxa"/>
          </w:tcPr>
          <w:p>
            <w:pPr>
              <w:pStyle w:val="TableParagraph"/>
              <w:ind w:left="64" w:right="50"/>
              <w:rPr>
                <w:sz w:val="18"/>
              </w:rPr>
            </w:pPr>
            <w:r>
              <w:rPr>
                <w:sz w:val="18"/>
              </w:rPr>
              <w:t>Puntos IMECA</w:t>
            </w:r>
          </w:p>
        </w:tc>
        <w:tc>
          <w:tcPr>
            <w:tcW w:w="1512" w:type="dxa"/>
          </w:tcPr>
          <w:p>
            <w:pPr>
              <w:pStyle w:val="TableParagraph"/>
              <w:ind w:left="64" w:right="810"/>
              <w:rPr>
                <w:sz w:val="18"/>
              </w:rPr>
            </w:pPr>
            <w:r>
              <w:rPr>
                <w:sz w:val="18"/>
              </w:rPr>
              <w:t>Calidad de Aire</w:t>
            </w:r>
          </w:p>
        </w:tc>
        <w:tc>
          <w:tcPr>
            <w:tcW w:w="3394" w:type="dxa"/>
          </w:tcPr>
          <w:p>
            <w:pPr>
              <w:pStyle w:val="TableParagraph"/>
              <w:spacing w:line="198" w:lineRule="exact"/>
              <w:ind w:left="64" w:right="131"/>
              <w:rPr>
                <w:sz w:val="18"/>
              </w:rPr>
            </w:pPr>
            <w:r>
              <w:rPr>
                <w:sz w:val="18"/>
              </w:rPr>
              <w:t>Medidas</w:t>
            </w:r>
          </w:p>
        </w:tc>
        <w:tc>
          <w:tcPr>
            <w:tcW w:w="1961" w:type="dxa"/>
          </w:tcPr>
          <w:p>
            <w:pPr>
              <w:pStyle w:val="TableParagraph"/>
              <w:spacing w:line="198" w:lineRule="exact"/>
              <w:ind w:left="64" w:right="158"/>
              <w:rPr>
                <w:sz w:val="18"/>
              </w:rPr>
            </w:pPr>
            <w:r>
              <w:rPr>
                <w:sz w:val="18"/>
              </w:rPr>
              <w:t>Responsable</w:t>
            </w:r>
          </w:p>
        </w:tc>
      </w:tr>
      <w:tr>
        <w:trPr>
          <w:trHeight w:val="2489" w:hRule="exact"/>
        </w:trPr>
        <w:tc>
          <w:tcPr>
            <w:tcW w:w="849" w:type="dxa"/>
            <w:tcBorders>
              <w:bottom w:val="single" w:sz="3" w:space="0" w:color="FFFFFF"/>
            </w:tcBorders>
            <w:shd w:val="clear" w:color="auto" w:fill="C00000"/>
          </w:tcPr>
          <w:p>
            <w:pPr>
              <w:pStyle w:val="TableParagraph"/>
              <w:spacing w:line="198" w:lineRule="exact"/>
              <w:ind w:left="88"/>
              <w:rPr>
                <w:sz w:val="18"/>
              </w:rPr>
            </w:pPr>
            <w:r>
              <w:rPr>
                <w:sz w:val="18"/>
              </w:rPr>
              <w:t>161-180</w:t>
            </w:r>
          </w:p>
        </w:tc>
        <w:tc>
          <w:tcPr>
            <w:tcW w:w="713" w:type="dxa"/>
            <w:tcBorders>
              <w:bottom w:val="single" w:sz="3" w:space="0" w:color="FFFFFF"/>
            </w:tcBorders>
          </w:tcPr>
          <w:p>
            <w:pPr>
              <w:pStyle w:val="TableParagraph"/>
              <w:spacing w:line="198" w:lineRule="exact"/>
              <w:ind w:left="64"/>
              <w:rPr>
                <w:sz w:val="18"/>
              </w:rPr>
            </w:pPr>
            <w:r>
              <w:rPr>
                <w:sz w:val="18"/>
              </w:rPr>
              <w:t>151-</w:t>
            </w:r>
          </w:p>
          <w:p>
            <w:pPr>
              <w:pStyle w:val="TableParagraph"/>
              <w:spacing w:before="1"/>
              <w:ind w:left="64"/>
              <w:rPr>
                <w:sz w:val="18"/>
              </w:rPr>
            </w:pPr>
            <w:r>
              <w:rPr>
                <w:sz w:val="18"/>
              </w:rPr>
              <w:t>200</w:t>
            </w:r>
          </w:p>
        </w:tc>
        <w:tc>
          <w:tcPr>
            <w:tcW w:w="1512" w:type="dxa"/>
            <w:tcBorders>
              <w:bottom w:val="single" w:sz="3" w:space="0" w:color="FFFFFF"/>
            </w:tcBorders>
          </w:tcPr>
          <w:p>
            <w:pPr>
              <w:pStyle w:val="TableParagraph"/>
              <w:spacing w:line="198" w:lineRule="exact"/>
              <w:ind w:left="64"/>
              <w:rPr>
                <w:sz w:val="18"/>
              </w:rPr>
            </w:pPr>
            <w:r>
              <w:rPr>
                <w:sz w:val="18"/>
              </w:rPr>
              <w:t>Muy Mala</w:t>
            </w:r>
          </w:p>
        </w:tc>
        <w:tc>
          <w:tcPr>
            <w:tcW w:w="3394" w:type="dxa"/>
            <w:tcBorders>
              <w:bottom w:val="single" w:sz="3" w:space="0" w:color="FFFFFF"/>
            </w:tcBorders>
          </w:tcPr>
          <w:p>
            <w:pPr>
              <w:pStyle w:val="TableParagraph"/>
              <w:ind w:left="64" w:right="131"/>
              <w:rPr>
                <w:sz w:val="18"/>
              </w:rPr>
            </w:pPr>
            <w:r>
              <w:rPr>
                <w:sz w:val="18"/>
              </w:rPr>
              <w:t>Revisión </w:t>
            </w:r>
            <w:r>
              <w:rPr>
                <w:spacing w:val="-4"/>
                <w:sz w:val="18"/>
              </w:rPr>
              <w:t>de </w:t>
            </w:r>
            <w:r>
              <w:rPr>
                <w:spacing w:val="-3"/>
                <w:sz w:val="18"/>
              </w:rPr>
              <w:t>las </w:t>
            </w:r>
            <w:r>
              <w:rPr>
                <w:sz w:val="18"/>
              </w:rPr>
              <w:t>condiciones </w:t>
            </w:r>
            <w:r>
              <w:rPr>
                <w:spacing w:val="-4"/>
                <w:sz w:val="18"/>
              </w:rPr>
              <w:t>de </w:t>
            </w:r>
            <w:r>
              <w:rPr>
                <w:sz w:val="18"/>
              </w:rPr>
              <w:t>operación </w:t>
            </w:r>
            <w:r>
              <w:rPr>
                <w:spacing w:val="-4"/>
                <w:sz w:val="18"/>
              </w:rPr>
              <w:t>de </w:t>
            </w:r>
            <w:r>
              <w:rPr>
                <w:sz w:val="18"/>
              </w:rPr>
              <w:t>áreas </w:t>
            </w:r>
            <w:r>
              <w:rPr>
                <w:spacing w:val="-3"/>
                <w:sz w:val="18"/>
              </w:rPr>
              <w:t>industriales </w:t>
            </w:r>
            <w:r>
              <w:rPr>
                <w:sz w:val="18"/>
              </w:rPr>
              <w:t>y en su caso </w:t>
            </w:r>
            <w:r>
              <w:rPr>
                <w:spacing w:val="-3"/>
                <w:sz w:val="18"/>
              </w:rPr>
              <w:t>ordenar </w:t>
            </w:r>
            <w:r>
              <w:rPr>
                <w:sz w:val="18"/>
              </w:rPr>
              <w:t>el cierre </w:t>
            </w:r>
            <w:r>
              <w:rPr>
                <w:spacing w:val="-3"/>
                <w:sz w:val="18"/>
              </w:rPr>
              <w:t>parcial </w:t>
            </w:r>
            <w:r>
              <w:rPr>
                <w:sz w:val="18"/>
              </w:rPr>
              <w:t>o total Protección a </w:t>
            </w:r>
            <w:r>
              <w:rPr>
                <w:spacing w:val="-5"/>
                <w:sz w:val="18"/>
              </w:rPr>
              <w:t>la </w:t>
            </w:r>
            <w:r>
              <w:rPr>
                <w:spacing w:val="-4"/>
                <w:sz w:val="18"/>
              </w:rPr>
              <w:t>salud. </w:t>
            </w:r>
            <w:r>
              <w:rPr>
                <w:sz w:val="18"/>
              </w:rPr>
              <w:t>Evitar salir </w:t>
            </w:r>
            <w:r>
              <w:rPr>
                <w:spacing w:val="-4"/>
                <w:sz w:val="18"/>
              </w:rPr>
              <w:t>de </w:t>
            </w:r>
            <w:r>
              <w:rPr>
                <w:sz w:val="18"/>
              </w:rPr>
              <w:t>casa y </w:t>
            </w:r>
            <w:r>
              <w:rPr>
                <w:spacing w:val="-4"/>
                <w:sz w:val="18"/>
              </w:rPr>
              <w:t>mantener </w:t>
            </w:r>
            <w:r>
              <w:rPr>
                <w:spacing w:val="-3"/>
                <w:sz w:val="18"/>
              </w:rPr>
              <w:t>las ventanas </w:t>
            </w:r>
            <w:r>
              <w:rPr>
                <w:sz w:val="18"/>
              </w:rPr>
              <w:t>cerradas; estar al </w:t>
            </w:r>
            <w:r>
              <w:rPr>
                <w:spacing w:val="-3"/>
                <w:sz w:val="18"/>
              </w:rPr>
              <w:t>tanto </w:t>
            </w:r>
            <w:r>
              <w:rPr>
                <w:spacing w:val="-4"/>
                <w:sz w:val="18"/>
              </w:rPr>
              <w:t>de </w:t>
            </w:r>
            <w:r>
              <w:rPr>
                <w:spacing w:val="-5"/>
                <w:sz w:val="18"/>
              </w:rPr>
              <w:t>la </w:t>
            </w:r>
            <w:r>
              <w:rPr>
                <w:sz w:val="18"/>
              </w:rPr>
              <w:t>información </w:t>
            </w:r>
            <w:r>
              <w:rPr>
                <w:spacing w:val="-4"/>
                <w:sz w:val="18"/>
              </w:rPr>
              <w:t>de </w:t>
            </w:r>
            <w:r>
              <w:rPr>
                <w:spacing w:val="-5"/>
                <w:sz w:val="18"/>
              </w:rPr>
              <w:t>la </w:t>
            </w:r>
            <w:r>
              <w:rPr>
                <w:sz w:val="18"/>
              </w:rPr>
              <w:t>calidad del aire; acudir al </w:t>
            </w:r>
            <w:r>
              <w:rPr>
                <w:spacing w:val="-3"/>
                <w:sz w:val="18"/>
              </w:rPr>
              <w:t>médico </w:t>
            </w:r>
            <w:r>
              <w:rPr>
                <w:sz w:val="18"/>
              </w:rPr>
              <w:t>al presentar </w:t>
            </w:r>
            <w:r>
              <w:rPr>
                <w:spacing w:val="-3"/>
                <w:sz w:val="18"/>
              </w:rPr>
              <w:t>síntomas </w:t>
            </w:r>
            <w:r>
              <w:rPr>
                <w:sz w:val="18"/>
              </w:rPr>
              <w:t>respiratorios o cardiacos.</w:t>
            </w:r>
          </w:p>
          <w:p>
            <w:pPr>
              <w:pStyle w:val="TableParagraph"/>
              <w:spacing w:before="1"/>
              <w:ind w:left="64" w:right="244"/>
              <w:jc w:val="both"/>
              <w:rPr>
                <w:sz w:val="18"/>
              </w:rPr>
            </w:pPr>
            <w:r>
              <w:rPr>
                <w:sz w:val="18"/>
              </w:rPr>
              <w:t>Vigilancia </w:t>
            </w:r>
            <w:r>
              <w:rPr>
                <w:spacing w:val="-3"/>
                <w:sz w:val="18"/>
              </w:rPr>
              <w:t>epidemiológica </w:t>
            </w:r>
            <w:r>
              <w:rPr>
                <w:sz w:val="18"/>
              </w:rPr>
              <w:t>y difusión </w:t>
            </w:r>
            <w:r>
              <w:rPr>
                <w:spacing w:val="-4"/>
                <w:sz w:val="18"/>
              </w:rPr>
              <w:t>de </w:t>
            </w:r>
            <w:r>
              <w:rPr>
                <w:spacing w:val="-5"/>
                <w:sz w:val="18"/>
              </w:rPr>
              <w:t>la </w:t>
            </w:r>
            <w:r>
              <w:rPr>
                <w:sz w:val="18"/>
              </w:rPr>
              <w:t>información </w:t>
            </w:r>
            <w:r>
              <w:rPr>
                <w:spacing w:val="-3"/>
                <w:sz w:val="18"/>
              </w:rPr>
              <w:t>relativa </w:t>
            </w:r>
            <w:r>
              <w:rPr>
                <w:sz w:val="18"/>
              </w:rPr>
              <w:t>a </w:t>
            </w:r>
            <w:r>
              <w:rPr>
                <w:spacing w:val="-5"/>
                <w:sz w:val="18"/>
              </w:rPr>
              <w:t>la </w:t>
            </w:r>
            <w:r>
              <w:rPr>
                <w:sz w:val="18"/>
              </w:rPr>
              <w:t>prevención </w:t>
            </w:r>
            <w:r>
              <w:rPr>
                <w:spacing w:val="-4"/>
                <w:sz w:val="18"/>
              </w:rPr>
              <w:t>de </w:t>
            </w:r>
            <w:r>
              <w:rPr>
                <w:sz w:val="18"/>
              </w:rPr>
              <w:t>riesgos </w:t>
            </w:r>
            <w:r>
              <w:rPr>
                <w:spacing w:val="-3"/>
                <w:sz w:val="18"/>
              </w:rPr>
              <w:t>para </w:t>
            </w:r>
            <w:r>
              <w:rPr>
                <w:spacing w:val="-5"/>
                <w:sz w:val="18"/>
              </w:rPr>
              <w:t>la </w:t>
            </w:r>
            <w:r>
              <w:rPr>
                <w:spacing w:val="-4"/>
                <w:sz w:val="18"/>
              </w:rPr>
              <w:t> salud.</w:t>
            </w:r>
          </w:p>
        </w:tc>
        <w:tc>
          <w:tcPr>
            <w:tcW w:w="1961" w:type="dxa"/>
            <w:tcBorders>
              <w:bottom w:val="single" w:sz="3" w:space="0" w:color="FFFFFF"/>
            </w:tcBorders>
          </w:tcPr>
          <w:p>
            <w:pPr>
              <w:pStyle w:val="TableParagraph"/>
              <w:ind w:left="64" w:right="158"/>
              <w:rPr>
                <w:sz w:val="18"/>
              </w:rPr>
            </w:pPr>
            <w:r>
              <w:rPr>
                <w:sz w:val="18"/>
              </w:rPr>
              <w:t>Secretaria de Medio Ambiente y Recursos Naturales</w:t>
            </w:r>
          </w:p>
          <w:p>
            <w:pPr>
              <w:pStyle w:val="TableParagraph"/>
              <w:spacing w:line="204" w:lineRule="exact" w:before="1"/>
              <w:ind w:left="64" w:right="158"/>
              <w:rPr>
                <w:sz w:val="18"/>
              </w:rPr>
            </w:pPr>
            <w:r>
              <w:rPr>
                <w:sz w:val="18"/>
              </w:rPr>
              <w:t>Profepa</w:t>
            </w:r>
          </w:p>
          <w:p>
            <w:pPr>
              <w:pStyle w:val="TableParagraph"/>
              <w:ind w:left="64" w:right="290"/>
              <w:rPr>
                <w:sz w:val="18"/>
              </w:rPr>
            </w:pPr>
            <w:r>
              <w:rPr>
                <w:sz w:val="18"/>
              </w:rPr>
              <w:t>Secretaria </w:t>
            </w:r>
            <w:r>
              <w:rPr>
                <w:spacing w:val="-4"/>
                <w:sz w:val="18"/>
              </w:rPr>
              <w:t>de Medio </w:t>
            </w:r>
            <w:r>
              <w:rPr>
                <w:spacing w:val="-3"/>
                <w:sz w:val="18"/>
              </w:rPr>
              <w:t>Ambiente  </w:t>
            </w:r>
            <w:r>
              <w:rPr>
                <w:sz w:val="18"/>
              </w:rPr>
              <w:t>Secretaría </w:t>
            </w:r>
            <w:r>
              <w:rPr>
                <w:spacing w:val="-4"/>
                <w:sz w:val="18"/>
              </w:rPr>
              <w:t>de Salud </w:t>
            </w:r>
            <w:r>
              <w:rPr>
                <w:sz w:val="18"/>
              </w:rPr>
              <w:t>Secretaría </w:t>
            </w:r>
            <w:r>
              <w:rPr>
                <w:spacing w:val="-4"/>
                <w:sz w:val="18"/>
              </w:rPr>
              <w:t>de </w:t>
            </w:r>
            <w:r>
              <w:rPr>
                <w:sz w:val="18"/>
              </w:rPr>
              <w:t>Educación</w:t>
            </w:r>
          </w:p>
        </w:tc>
      </w:tr>
      <w:tr>
        <w:trPr>
          <w:trHeight w:val="2497" w:hRule="exact"/>
        </w:trPr>
        <w:tc>
          <w:tcPr>
            <w:tcW w:w="849" w:type="dxa"/>
            <w:tcBorders>
              <w:top w:val="single" w:sz="3" w:space="0" w:color="FFFFFF"/>
            </w:tcBorders>
            <w:shd w:val="clear" w:color="auto" w:fill="660033"/>
          </w:tcPr>
          <w:p>
            <w:pPr>
              <w:pStyle w:val="TableParagraph"/>
              <w:spacing w:line="206" w:lineRule="exact"/>
              <w:ind w:left="64"/>
              <w:rPr>
                <w:sz w:val="18"/>
              </w:rPr>
            </w:pPr>
            <w:r>
              <w:rPr>
                <w:sz w:val="18"/>
              </w:rPr>
              <w:t>181- 210</w:t>
            </w:r>
          </w:p>
        </w:tc>
        <w:tc>
          <w:tcPr>
            <w:tcW w:w="713" w:type="dxa"/>
            <w:tcBorders>
              <w:top w:val="single" w:sz="3" w:space="0" w:color="FFFFFF"/>
            </w:tcBorders>
          </w:tcPr>
          <w:p>
            <w:pPr>
              <w:pStyle w:val="TableParagraph"/>
              <w:spacing w:line="206" w:lineRule="exact"/>
              <w:ind w:left="64"/>
              <w:rPr>
                <w:sz w:val="18"/>
              </w:rPr>
            </w:pPr>
            <w:r>
              <w:rPr>
                <w:sz w:val="18"/>
              </w:rPr>
              <w:t>151-</w:t>
            </w:r>
          </w:p>
          <w:p>
            <w:pPr>
              <w:pStyle w:val="TableParagraph"/>
              <w:spacing w:before="1"/>
              <w:ind w:left="64"/>
              <w:rPr>
                <w:sz w:val="18"/>
              </w:rPr>
            </w:pPr>
            <w:r>
              <w:rPr>
                <w:sz w:val="18"/>
              </w:rPr>
              <w:t>200</w:t>
            </w:r>
          </w:p>
        </w:tc>
        <w:tc>
          <w:tcPr>
            <w:tcW w:w="1512" w:type="dxa"/>
            <w:tcBorders>
              <w:top w:val="single" w:sz="3" w:space="0" w:color="FFFFFF"/>
            </w:tcBorders>
          </w:tcPr>
          <w:p>
            <w:pPr>
              <w:pStyle w:val="TableParagraph"/>
              <w:ind w:left="64"/>
              <w:rPr>
                <w:sz w:val="18"/>
              </w:rPr>
            </w:pPr>
            <w:r>
              <w:rPr>
                <w:sz w:val="18"/>
              </w:rPr>
              <w:t>Extremadamente Mala</w:t>
            </w:r>
          </w:p>
        </w:tc>
        <w:tc>
          <w:tcPr>
            <w:tcW w:w="3394" w:type="dxa"/>
            <w:tcBorders>
              <w:top w:val="single" w:sz="3" w:space="0" w:color="FFFFFF"/>
            </w:tcBorders>
          </w:tcPr>
          <w:p>
            <w:pPr>
              <w:pStyle w:val="TableParagraph"/>
              <w:ind w:left="64" w:right="80"/>
              <w:rPr>
                <w:sz w:val="18"/>
              </w:rPr>
            </w:pPr>
            <w:r>
              <w:rPr>
                <w:sz w:val="18"/>
              </w:rPr>
              <w:t>Revisión de las condiciones de operación de áreas industriales y en su caso ordenar el cierre parcial o total Evitar salir de casa y mantener las ventanas cerradas; estar al tanto de la información de la calidad del aire; acudir al médico al presentar síntomas respiratorios o cardiacos; y no utilizar el automóvil.</w:t>
            </w:r>
          </w:p>
          <w:p>
            <w:pPr>
              <w:pStyle w:val="TableParagraph"/>
              <w:ind w:left="64" w:right="244"/>
              <w:jc w:val="both"/>
              <w:rPr>
                <w:sz w:val="18"/>
              </w:rPr>
            </w:pPr>
            <w:r>
              <w:rPr>
                <w:sz w:val="18"/>
              </w:rPr>
              <w:t>Vigilancia </w:t>
            </w:r>
            <w:r>
              <w:rPr>
                <w:spacing w:val="-3"/>
                <w:sz w:val="18"/>
              </w:rPr>
              <w:t>epidemiológica </w:t>
            </w:r>
            <w:r>
              <w:rPr>
                <w:sz w:val="18"/>
              </w:rPr>
              <w:t>y difusión </w:t>
            </w:r>
            <w:r>
              <w:rPr>
                <w:spacing w:val="-4"/>
                <w:sz w:val="18"/>
              </w:rPr>
              <w:t>de </w:t>
            </w:r>
            <w:r>
              <w:rPr>
                <w:spacing w:val="-5"/>
                <w:sz w:val="18"/>
              </w:rPr>
              <w:t>la </w:t>
            </w:r>
            <w:r>
              <w:rPr>
                <w:sz w:val="18"/>
              </w:rPr>
              <w:t>información </w:t>
            </w:r>
            <w:r>
              <w:rPr>
                <w:spacing w:val="-3"/>
                <w:sz w:val="18"/>
              </w:rPr>
              <w:t>relativa </w:t>
            </w:r>
            <w:r>
              <w:rPr>
                <w:sz w:val="18"/>
              </w:rPr>
              <w:t>a </w:t>
            </w:r>
            <w:r>
              <w:rPr>
                <w:spacing w:val="-5"/>
                <w:sz w:val="18"/>
              </w:rPr>
              <w:t>la </w:t>
            </w:r>
            <w:r>
              <w:rPr>
                <w:sz w:val="18"/>
              </w:rPr>
              <w:t>prevención </w:t>
            </w:r>
            <w:r>
              <w:rPr>
                <w:spacing w:val="-4"/>
                <w:sz w:val="18"/>
              </w:rPr>
              <w:t>de </w:t>
            </w:r>
            <w:r>
              <w:rPr>
                <w:sz w:val="18"/>
              </w:rPr>
              <w:t>riesgos </w:t>
            </w:r>
            <w:r>
              <w:rPr>
                <w:spacing w:val="-3"/>
                <w:sz w:val="18"/>
              </w:rPr>
              <w:t>para </w:t>
            </w:r>
            <w:r>
              <w:rPr>
                <w:spacing w:val="-5"/>
                <w:sz w:val="18"/>
              </w:rPr>
              <w:t>la </w:t>
            </w:r>
            <w:r>
              <w:rPr>
                <w:spacing w:val="-4"/>
                <w:sz w:val="18"/>
              </w:rPr>
              <w:t> salud.</w:t>
            </w:r>
          </w:p>
        </w:tc>
        <w:tc>
          <w:tcPr>
            <w:tcW w:w="1961" w:type="dxa"/>
            <w:tcBorders>
              <w:top w:val="single" w:sz="3" w:space="0" w:color="FFFFFF"/>
            </w:tcBorders>
          </w:tcPr>
          <w:p>
            <w:pPr>
              <w:pStyle w:val="TableParagraph"/>
              <w:spacing w:line="237" w:lineRule="auto" w:before="1"/>
              <w:ind w:left="64" w:right="158"/>
              <w:rPr>
                <w:sz w:val="18"/>
              </w:rPr>
            </w:pPr>
            <w:r>
              <w:rPr>
                <w:sz w:val="18"/>
              </w:rPr>
              <w:t>Secretaria de Medio Ambiente y Recursos Naturales</w:t>
            </w:r>
          </w:p>
          <w:p>
            <w:pPr>
              <w:pStyle w:val="TableParagraph"/>
              <w:spacing w:before="1"/>
              <w:ind w:left="64" w:right="158"/>
              <w:rPr>
                <w:sz w:val="18"/>
              </w:rPr>
            </w:pPr>
            <w:r>
              <w:rPr>
                <w:sz w:val="18"/>
              </w:rPr>
              <w:t>Profepa</w:t>
            </w:r>
          </w:p>
          <w:p>
            <w:pPr>
              <w:pStyle w:val="TableParagraph"/>
              <w:spacing w:before="1"/>
              <w:ind w:left="64" w:right="290"/>
              <w:rPr>
                <w:sz w:val="18"/>
              </w:rPr>
            </w:pPr>
            <w:r>
              <w:rPr>
                <w:sz w:val="18"/>
              </w:rPr>
              <w:t>Secretaria </w:t>
            </w:r>
            <w:r>
              <w:rPr>
                <w:spacing w:val="-4"/>
                <w:sz w:val="18"/>
              </w:rPr>
              <w:t>de Medio </w:t>
            </w:r>
            <w:r>
              <w:rPr>
                <w:spacing w:val="-3"/>
                <w:sz w:val="18"/>
              </w:rPr>
              <w:t>Ambiente  </w:t>
            </w:r>
            <w:r>
              <w:rPr>
                <w:sz w:val="18"/>
              </w:rPr>
              <w:t>Secretaría </w:t>
            </w:r>
            <w:r>
              <w:rPr>
                <w:spacing w:val="-4"/>
                <w:sz w:val="18"/>
              </w:rPr>
              <w:t>de Salud </w:t>
            </w:r>
            <w:r>
              <w:rPr>
                <w:sz w:val="18"/>
              </w:rPr>
              <w:t>Secretaría </w:t>
            </w:r>
            <w:r>
              <w:rPr>
                <w:spacing w:val="-4"/>
                <w:sz w:val="18"/>
              </w:rPr>
              <w:t>de </w:t>
            </w:r>
            <w:r>
              <w:rPr>
                <w:sz w:val="18"/>
              </w:rPr>
              <w:t>Educación</w:t>
            </w:r>
          </w:p>
        </w:tc>
      </w:tr>
    </w:tbl>
    <w:p>
      <w:pPr>
        <w:pStyle w:val="BodyText"/>
        <w:spacing w:line="267" w:lineRule="exact"/>
        <w:ind w:left="286" w:right="302"/>
        <w:jc w:val="center"/>
      </w:pPr>
      <w:r>
        <w:rPr/>
        <w:t>Fuente: Elaboración Propia</w:t>
      </w:r>
    </w:p>
    <w:p>
      <w:pPr>
        <w:pStyle w:val="BodyText"/>
        <w:spacing w:before="2"/>
        <w:rPr>
          <w:sz w:val="21"/>
        </w:rPr>
      </w:pPr>
    </w:p>
    <w:p>
      <w:pPr>
        <w:pStyle w:val="BodyText"/>
        <w:spacing w:line="276" w:lineRule="auto"/>
        <w:ind w:left="105" w:right="112"/>
        <w:jc w:val="both"/>
      </w:pPr>
      <w:r>
        <w:rPr/>
        <w:t>Es necesario mantener el monitoreo constante de las concentraciones de partículas y los cambios en la temperatura, precipitación y humedad relativa, que influyen directamente en el comportamiento. Así como en fenómenos meteorológicos que pueden influir en la problemática como son tormentas tropicales, huracanes, sequías, frentes fríos.  Los aspectos a evaluar son:</w:t>
      </w:r>
    </w:p>
    <w:p>
      <w:pPr>
        <w:pStyle w:val="ListParagraph"/>
        <w:numPr>
          <w:ilvl w:val="3"/>
          <w:numId w:val="15"/>
        </w:numPr>
        <w:tabs>
          <w:tab w:pos="825" w:val="left" w:leader="none"/>
          <w:tab w:pos="826" w:val="left" w:leader="none"/>
        </w:tabs>
        <w:spacing w:line="240" w:lineRule="auto" w:before="196" w:after="0"/>
        <w:ind w:left="825" w:right="0" w:hanging="360"/>
        <w:jc w:val="left"/>
        <w:rPr>
          <w:sz w:val="24"/>
        </w:rPr>
      </w:pPr>
      <w:r>
        <w:rPr>
          <w:sz w:val="24"/>
        </w:rPr>
        <w:t>Concentraciones </w:t>
      </w:r>
      <w:r>
        <w:rPr>
          <w:spacing w:val="5"/>
          <w:sz w:val="24"/>
        </w:rPr>
        <w:t>de</w:t>
      </w:r>
      <w:r>
        <w:rPr>
          <w:spacing w:val="-32"/>
          <w:sz w:val="24"/>
        </w:rPr>
        <w:t> </w:t>
      </w:r>
      <w:r>
        <w:rPr>
          <w:sz w:val="24"/>
        </w:rPr>
        <w:t>partículas</w:t>
      </w:r>
    </w:p>
    <w:p>
      <w:pPr>
        <w:pStyle w:val="ListParagraph"/>
        <w:numPr>
          <w:ilvl w:val="3"/>
          <w:numId w:val="15"/>
        </w:numPr>
        <w:tabs>
          <w:tab w:pos="825" w:val="left" w:leader="none"/>
          <w:tab w:pos="826" w:val="left" w:leader="none"/>
        </w:tabs>
        <w:spacing w:line="240" w:lineRule="auto" w:before="42" w:after="0"/>
        <w:ind w:left="825" w:right="0" w:hanging="360"/>
        <w:jc w:val="left"/>
        <w:rPr>
          <w:sz w:val="24"/>
        </w:rPr>
      </w:pPr>
      <w:r>
        <w:rPr>
          <w:sz w:val="24"/>
        </w:rPr>
        <w:t>Cambios </w:t>
      </w:r>
      <w:r>
        <w:rPr>
          <w:spacing w:val="-3"/>
          <w:sz w:val="24"/>
        </w:rPr>
        <w:t>en </w:t>
      </w:r>
      <w:r>
        <w:rPr>
          <w:spacing w:val="5"/>
          <w:sz w:val="24"/>
        </w:rPr>
        <w:t>la </w:t>
      </w:r>
      <w:r>
        <w:rPr>
          <w:sz w:val="24"/>
        </w:rPr>
        <w:t>temperatura, humedad relativa y</w:t>
      </w:r>
      <w:r>
        <w:rPr>
          <w:spacing w:val="-37"/>
          <w:sz w:val="24"/>
        </w:rPr>
        <w:t> </w:t>
      </w:r>
      <w:r>
        <w:rPr>
          <w:sz w:val="24"/>
        </w:rPr>
        <w:t>precipitación</w:t>
      </w:r>
    </w:p>
    <w:p>
      <w:pPr>
        <w:pStyle w:val="ListParagraph"/>
        <w:numPr>
          <w:ilvl w:val="3"/>
          <w:numId w:val="15"/>
        </w:numPr>
        <w:tabs>
          <w:tab w:pos="825" w:val="left" w:leader="none"/>
          <w:tab w:pos="826" w:val="left" w:leader="none"/>
        </w:tabs>
        <w:spacing w:line="240" w:lineRule="auto" w:before="42" w:after="0"/>
        <w:ind w:left="825" w:right="0" w:hanging="360"/>
        <w:jc w:val="left"/>
        <w:rPr>
          <w:sz w:val="24"/>
        </w:rPr>
      </w:pPr>
      <w:r>
        <w:rPr>
          <w:sz w:val="24"/>
        </w:rPr>
        <w:t>Presencia de</w:t>
      </w:r>
      <w:r>
        <w:rPr>
          <w:spacing w:val="-14"/>
          <w:sz w:val="24"/>
        </w:rPr>
        <w:t> </w:t>
      </w:r>
      <w:r>
        <w:rPr>
          <w:sz w:val="24"/>
        </w:rPr>
        <w:t>Huracanes</w:t>
      </w:r>
    </w:p>
    <w:p>
      <w:pPr>
        <w:pStyle w:val="ListParagraph"/>
        <w:numPr>
          <w:ilvl w:val="3"/>
          <w:numId w:val="15"/>
        </w:numPr>
        <w:tabs>
          <w:tab w:pos="825" w:val="left" w:leader="none"/>
          <w:tab w:pos="826" w:val="left" w:leader="none"/>
        </w:tabs>
        <w:spacing w:line="240" w:lineRule="auto" w:before="34" w:after="0"/>
        <w:ind w:left="825" w:right="0" w:hanging="360"/>
        <w:jc w:val="left"/>
        <w:rPr>
          <w:sz w:val="24"/>
        </w:rPr>
      </w:pPr>
      <w:r>
        <w:rPr>
          <w:sz w:val="24"/>
        </w:rPr>
        <w:t>Sequías</w:t>
      </w:r>
    </w:p>
    <w:p>
      <w:pPr>
        <w:pStyle w:val="ListParagraph"/>
        <w:numPr>
          <w:ilvl w:val="3"/>
          <w:numId w:val="15"/>
        </w:numPr>
        <w:tabs>
          <w:tab w:pos="825" w:val="left" w:leader="none"/>
          <w:tab w:pos="826" w:val="left" w:leader="none"/>
        </w:tabs>
        <w:spacing w:line="240" w:lineRule="auto" w:before="41" w:after="0"/>
        <w:ind w:left="825" w:right="0" w:hanging="360"/>
        <w:jc w:val="left"/>
        <w:rPr>
          <w:sz w:val="24"/>
        </w:rPr>
      </w:pPr>
      <w:r>
        <w:rPr>
          <w:sz w:val="24"/>
        </w:rPr>
        <w:t>Frentes</w:t>
      </w:r>
      <w:r>
        <w:rPr>
          <w:spacing w:val="-16"/>
          <w:sz w:val="24"/>
        </w:rPr>
        <w:t> </w:t>
      </w:r>
      <w:r>
        <w:rPr>
          <w:sz w:val="24"/>
        </w:rPr>
        <w:t>fríos</w:t>
      </w:r>
    </w:p>
    <w:p>
      <w:pPr>
        <w:pStyle w:val="BodyText"/>
        <w:rPr>
          <w:sz w:val="28"/>
        </w:rPr>
      </w:pPr>
    </w:p>
    <w:p>
      <w:pPr>
        <w:pStyle w:val="ListParagraph"/>
        <w:numPr>
          <w:ilvl w:val="1"/>
          <w:numId w:val="15"/>
        </w:numPr>
        <w:tabs>
          <w:tab w:pos="393" w:val="left" w:leader="none"/>
        </w:tabs>
        <w:spacing w:line="240" w:lineRule="auto" w:before="0" w:after="0"/>
        <w:ind w:left="393" w:right="0" w:hanging="288"/>
        <w:jc w:val="both"/>
        <w:rPr>
          <w:b/>
          <w:sz w:val="24"/>
        </w:rPr>
      </w:pPr>
      <w:r>
        <w:rPr>
          <w:b/>
          <w:sz w:val="24"/>
        </w:rPr>
        <w:t>Sistemas de Medición y</w:t>
      </w:r>
      <w:r>
        <w:rPr>
          <w:b/>
          <w:spacing w:val="-10"/>
          <w:sz w:val="24"/>
        </w:rPr>
        <w:t> </w:t>
      </w:r>
      <w:r>
        <w:rPr>
          <w:b/>
          <w:sz w:val="24"/>
        </w:rPr>
        <w:t>Monitoreo</w:t>
      </w:r>
    </w:p>
    <w:p>
      <w:pPr>
        <w:pStyle w:val="BodyText"/>
        <w:rPr>
          <w:b/>
        </w:rPr>
      </w:pPr>
    </w:p>
    <w:p>
      <w:pPr>
        <w:pStyle w:val="BodyText"/>
        <w:spacing w:line="360" w:lineRule="auto" w:before="144"/>
        <w:ind w:left="105" w:right="115"/>
        <w:jc w:val="both"/>
      </w:pPr>
      <w:r>
        <w:rPr/>
        <w:t>Consiste en el monitoreo continuo de los diferentes parámetros relacionados al fenómeno y la detección de precursores que permitan generar alertas precisas y oportunas. La confiabilidad y certeza de las mediciones permite contar con una base científica para la elaboración de pronósticos y predicciones. Es necesaria   la</w:t>
      </w:r>
    </w:p>
    <w:p>
      <w:pPr>
        <w:spacing w:after="0" w:line="360" w:lineRule="auto"/>
        <w:jc w:val="both"/>
        <w:sectPr>
          <w:pgSz w:w="12240" w:h="15840"/>
          <w:pgMar w:header="0" w:footer="1001" w:top="1360" w:bottom="1200" w:left="1600" w:right="1580"/>
        </w:sectPr>
      </w:pPr>
    </w:p>
    <w:p>
      <w:pPr>
        <w:pStyle w:val="BodyText"/>
        <w:spacing w:line="362" w:lineRule="auto" w:before="48"/>
        <w:ind w:left="225" w:right="227"/>
        <w:jc w:val="both"/>
      </w:pPr>
      <w:r>
        <w:rPr/>
        <w:t>participación de las instituciones locales y contar con los recursos técnicos, financieros y humanos necesarios.</w:t>
      </w:r>
    </w:p>
    <w:p>
      <w:pPr>
        <w:pStyle w:val="BodyText"/>
        <w:spacing w:before="7"/>
      </w:pPr>
    </w:p>
    <w:p>
      <w:pPr>
        <w:pStyle w:val="BodyText"/>
        <w:spacing w:line="360" w:lineRule="auto" w:before="1"/>
        <w:ind w:left="225" w:right="209"/>
        <w:jc w:val="both"/>
      </w:pPr>
      <w:r>
        <w:rPr/>
        <w:t>Como </w:t>
      </w:r>
      <w:r>
        <w:rPr>
          <w:spacing w:val="3"/>
        </w:rPr>
        <w:t>se </w:t>
      </w:r>
      <w:r>
        <w:rPr/>
        <w:t>mencionó anteriormente la RAMAT, cuenta únicamente con siete estaciones </w:t>
      </w:r>
      <w:r>
        <w:rPr>
          <w:spacing w:val="5"/>
        </w:rPr>
        <w:t>de </w:t>
      </w:r>
      <w:r>
        <w:rPr/>
        <w:t>monitoreo que limitan </w:t>
      </w:r>
      <w:r>
        <w:rPr>
          <w:spacing w:val="3"/>
        </w:rPr>
        <w:t>su </w:t>
      </w:r>
      <w:r>
        <w:rPr/>
        <w:t>cobertura a cinco municipios, pese a que </w:t>
      </w:r>
      <w:r>
        <w:rPr>
          <w:spacing w:val="-3"/>
        </w:rPr>
        <w:t>el </w:t>
      </w:r>
      <w:r>
        <w:rPr/>
        <w:t>Programa de Aire Limpio para </w:t>
      </w:r>
      <w:r>
        <w:rPr>
          <w:spacing w:val="-3"/>
        </w:rPr>
        <w:t>el </w:t>
      </w:r>
      <w:r>
        <w:rPr/>
        <w:t>Valle </w:t>
      </w:r>
      <w:r>
        <w:rPr>
          <w:spacing w:val="5"/>
        </w:rPr>
        <w:t>de </w:t>
      </w:r>
      <w:r>
        <w:rPr/>
        <w:t>Toluca 2006-2011 consideraba 12 municipios y su actualización 2012-2017 considera 22, ninguno contempla la ampliación de la Red de Monitoreo. Lo anterior repercute </w:t>
      </w:r>
      <w:r>
        <w:rPr>
          <w:spacing w:val="-3"/>
        </w:rPr>
        <w:t>en </w:t>
      </w:r>
      <w:r>
        <w:rPr>
          <w:spacing w:val="7"/>
        </w:rPr>
        <w:t>la </w:t>
      </w:r>
      <w:r>
        <w:rPr/>
        <w:t>fiabilidad de las condiciones de calidad del Aire </w:t>
      </w:r>
      <w:r>
        <w:rPr>
          <w:spacing w:val="-3"/>
        </w:rPr>
        <w:t>en </w:t>
      </w:r>
      <w:r>
        <w:rPr/>
        <w:t>los municipios que se encuentran fuera de la cobertura de la Red e impide generar información apropiada para </w:t>
      </w:r>
      <w:r>
        <w:rPr>
          <w:spacing w:val="-3"/>
        </w:rPr>
        <w:t>el </w:t>
      </w:r>
      <w:r>
        <w:rPr/>
        <w:t>monitoreo </w:t>
      </w:r>
      <w:r>
        <w:rPr>
          <w:spacing w:val="5"/>
        </w:rPr>
        <w:t>de </w:t>
      </w:r>
      <w:r>
        <w:rPr/>
        <w:t>la Zona</w:t>
      </w:r>
      <w:r>
        <w:rPr>
          <w:spacing w:val="-14"/>
        </w:rPr>
        <w:t> </w:t>
      </w:r>
      <w:r>
        <w:rPr/>
        <w:t>Metropolitana.</w:t>
      </w:r>
    </w:p>
    <w:p>
      <w:pPr>
        <w:pStyle w:val="BodyText"/>
        <w:spacing w:before="10"/>
      </w:pPr>
    </w:p>
    <w:p>
      <w:pPr>
        <w:pStyle w:val="BodyText"/>
        <w:spacing w:line="360" w:lineRule="auto"/>
        <w:ind w:left="225" w:right="213"/>
        <w:jc w:val="both"/>
      </w:pPr>
      <w:r>
        <w:rPr/>
        <w:t>Por otro lado las condiciones de operación de la red hacen necesario establecer medidas que permitan optimizar su funcionamiento, permitiendo la generación de información de mayor calidad que permita establecer pronósticos de mayor precisión.</w:t>
      </w:r>
    </w:p>
    <w:p>
      <w:pPr>
        <w:pStyle w:val="BodyText"/>
        <w:spacing w:before="10"/>
      </w:pPr>
    </w:p>
    <w:p>
      <w:pPr>
        <w:pStyle w:val="BodyText"/>
        <w:spacing w:line="357" w:lineRule="auto"/>
        <w:ind w:left="225" w:right="212"/>
        <w:jc w:val="both"/>
      </w:pPr>
      <w:r>
        <w:rPr/>
        <w:t>Por ello considerando las condiciones de las fuentes descritas en el primer aparto de este capítulo se considera necesario establecer estaciones de monitoreo en los municipios descritos en el cuadro 13.</w:t>
      </w:r>
    </w:p>
    <w:p>
      <w:pPr>
        <w:pStyle w:val="BodyText"/>
        <w:spacing w:before="1"/>
        <w:rPr>
          <w:sz w:val="25"/>
        </w:rPr>
      </w:pPr>
    </w:p>
    <w:p>
      <w:pPr>
        <w:pStyle w:val="BodyText"/>
        <w:spacing w:after="5"/>
        <w:ind w:left="945" w:right="204"/>
      </w:pPr>
      <w:r>
        <w:rPr/>
        <w:t>Cuadro 13. Municipios considerados para la ampliación de la RAMAT</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31"/>
        <w:gridCol w:w="4531"/>
      </w:tblGrid>
      <w:tr>
        <w:trPr>
          <w:trHeight w:val="216" w:hRule="exact"/>
        </w:trPr>
        <w:tc>
          <w:tcPr>
            <w:tcW w:w="4531" w:type="dxa"/>
          </w:tcPr>
          <w:p>
            <w:pPr>
              <w:pStyle w:val="TableParagraph"/>
              <w:spacing w:line="206" w:lineRule="exact"/>
              <w:ind w:left="112" w:right="95"/>
              <w:rPr>
                <w:b/>
                <w:sz w:val="18"/>
              </w:rPr>
            </w:pPr>
            <w:r>
              <w:rPr>
                <w:b/>
                <w:sz w:val="18"/>
              </w:rPr>
              <w:t>Municipio</w:t>
            </w:r>
          </w:p>
        </w:tc>
        <w:tc>
          <w:tcPr>
            <w:tcW w:w="4531" w:type="dxa"/>
          </w:tcPr>
          <w:p>
            <w:pPr>
              <w:pStyle w:val="TableParagraph"/>
              <w:spacing w:line="206" w:lineRule="exact"/>
              <w:ind w:left="104" w:right="95"/>
              <w:rPr>
                <w:b/>
                <w:sz w:val="18"/>
              </w:rPr>
            </w:pPr>
            <w:r>
              <w:rPr>
                <w:b/>
                <w:sz w:val="18"/>
              </w:rPr>
              <w:t>Justificación</w:t>
            </w:r>
          </w:p>
        </w:tc>
      </w:tr>
      <w:tr>
        <w:trPr>
          <w:trHeight w:val="840" w:hRule="exact"/>
        </w:trPr>
        <w:tc>
          <w:tcPr>
            <w:tcW w:w="4531" w:type="dxa"/>
          </w:tcPr>
          <w:p>
            <w:pPr>
              <w:pStyle w:val="TableParagraph"/>
              <w:spacing w:line="206" w:lineRule="exact"/>
              <w:ind w:left="112" w:right="95"/>
              <w:rPr>
                <w:sz w:val="18"/>
              </w:rPr>
            </w:pPr>
            <w:r>
              <w:rPr>
                <w:sz w:val="18"/>
              </w:rPr>
              <w:t>Calimaya</w:t>
            </w:r>
          </w:p>
        </w:tc>
        <w:tc>
          <w:tcPr>
            <w:tcW w:w="4531" w:type="dxa"/>
          </w:tcPr>
          <w:p>
            <w:pPr>
              <w:pStyle w:val="TableParagraph"/>
              <w:spacing w:line="237" w:lineRule="auto" w:before="1"/>
              <w:ind w:left="104" w:right="95"/>
              <w:jc w:val="both"/>
              <w:rPr>
                <w:sz w:val="18"/>
              </w:rPr>
            </w:pPr>
            <w:r>
              <w:rPr>
                <w:sz w:val="18"/>
              </w:rPr>
              <w:t>Es el municipio con la mayor presencia de minas, además de ser uno de los cinco municipios con más aportación de partículas resultado de la actividad agrícola</w:t>
            </w:r>
          </w:p>
        </w:tc>
      </w:tr>
      <w:tr>
        <w:trPr>
          <w:trHeight w:val="424" w:hRule="exact"/>
        </w:trPr>
        <w:tc>
          <w:tcPr>
            <w:tcW w:w="4531" w:type="dxa"/>
          </w:tcPr>
          <w:p>
            <w:pPr>
              <w:pStyle w:val="TableParagraph"/>
              <w:spacing w:line="198" w:lineRule="exact"/>
              <w:ind w:left="112" w:right="95"/>
              <w:rPr>
                <w:sz w:val="18"/>
              </w:rPr>
            </w:pPr>
            <w:r>
              <w:rPr>
                <w:sz w:val="18"/>
              </w:rPr>
              <w:t>Tenango</w:t>
            </w:r>
          </w:p>
        </w:tc>
        <w:tc>
          <w:tcPr>
            <w:tcW w:w="4531" w:type="dxa"/>
          </w:tcPr>
          <w:p>
            <w:pPr>
              <w:pStyle w:val="TableParagraph"/>
              <w:spacing w:line="242" w:lineRule="auto"/>
              <w:ind w:left="104" w:right="95"/>
              <w:rPr>
                <w:sz w:val="18"/>
              </w:rPr>
            </w:pPr>
            <w:r>
              <w:rPr>
                <w:sz w:val="18"/>
              </w:rPr>
              <w:t>Después de Toluca representa  el  municipio  con mayor actividad agrícola y aporte de  partículas</w:t>
            </w:r>
          </w:p>
        </w:tc>
      </w:tr>
      <w:tr>
        <w:trPr>
          <w:trHeight w:val="1049" w:hRule="exact"/>
        </w:trPr>
        <w:tc>
          <w:tcPr>
            <w:tcW w:w="4531" w:type="dxa"/>
          </w:tcPr>
          <w:p>
            <w:pPr>
              <w:pStyle w:val="TableParagraph"/>
              <w:spacing w:line="198" w:lineRule="exact"/>
              <w:ind w:left="112" w:right="95"/>
              <w:rPr>
                <w:sz w:val="18"/>
              </w:rPr>
            </w:pPr>
            <w:r>
              <w:rPr>
                <w:sz w:val="18"/>
              </w:rPr>
              <w:t>Otzolotepec  y Xonacatlán</w:t>
            </w:r>
          </w:p>
        </w:tc>
        <w:tc>
          <w:tcPr>
            <w:tcW w:w="4531" w:type="dxa"/>
          </w:tcPr>
          <w:p>
            <w:pPr>
              <w:pStyle w:val="TableParagraph"/>
              <w:spacing w:line="242" w:lineRule="auto"/>
              <w:ind w:left="104" w:right="103"/>
              <w:jc w:val="both"/>
              <w:rPr>
                <w:sz w:val="18"/>
              </w:rPr>
            </w:pPr>
            <w:r>
              <w:rPr>
                <w:sz w:val="18"/>
              </w:rPr>
              <w:t>Como resultado de la consolidación de la actividad industrial resulta preponderante el monitoreo de las condiciones de concentraciones de partícula en estos municipios localizados al noreste, zona donde se carece de información</w:t>
            </w:r>
          </w:p>
        </w:tc>
      </w:tr>
      <w:tr>
        <w:trPr>
          <w:trHeight w:val="840" w:hRule="exact"/>
        </w:trPr>
        <w:tc>
          <w:tcPr>
            <w:tcW w:w="4531" w:type="dxa"/>
          </w:tcPr>
          <w:p>
            <w:pPr>
              <w:pStyle w:val="TableParagraph"/>
              <w:spacing w:line="198" w:lineRule="exact"/>
              <w:ind w:left="112" w:right="95"/>
              <w:rPr>
                <w:sz w:val="18"/>
              </w:rPr>
            </w:pPr>
            <w:r>
              <w:rPr>
                <w:sz w:val="18"/>
              </w:rPr>
              <w:t>Zinacantepec</w:t>
            </w:r>
          </w:p>
        </w:tc>
        <w:tc>
          <w:tcPr>
            <w:tcW w:w="4531" w:type="dxa"/>
          </w:tcPr>
          <w:p>
            <w:pPr>
              <w:pStyle w:val="TableParagraph"/>
              <w:spacing w:line="242" w:lineRule="auto"/>
              <w:ind w:left="104" w:right="100"/>
              <w:jc w:val="both"/>
              <w:rPr>
                <w:sz w:val="18"/>
              </w:rPr>
            </w:pPr>
            <w:r>
              <w:rPr>
                <w:spacing w:val="-3"/>
                <w:sz w:val="18"/>
              </w:rPr>
              <w:t>Municipio </w:t>
            </w:r>
            <w:r>
              <w:rPr>
                <w:sz w:val="18"/>
              </w:rPr>
              <w:t>con </w:t>
            </w:r>
            <w:r>
              <w:rPr>
                <w:spacing w:val="-3"/>
                <w:sz w:val="18"/>
              </w:rPr>
              <w:t>importante actividad minera </w:t>
            </w:r>
            <w:r>
              <w:rPr>
                <w:sz w:val="18"/>
              </w:rPr>
              <w:t>y </w:t>
            </w:r>
            <w:r>
              <w:rPr>
                <w:spacing w:val="-3"/>
                <w:sz w:val="18"/>
              </w:rPr>
              <w:t>agrícola, </w:t>
            </w:r>
            <w:r>
              <w:rPr>
                <w:spacing w:val="-4"/>
                <w:sz w:val="18"/>
              </w:rPr>
              <w:t>dada </w:t>
            </w:r>
            <w:r>
              <w:rPr>
                <w:spacing w:val="-5"/>
                <w:sz w:val="18"/>
              </w:rPr>
              <w:t>la </w:t>
            </w:r>
            <w:r>
              <w:rPr>
                <w:spacing w:val="-3"/>
                <w:sz w:val="18"/>
              </w:rPr>
              <w:t>dinámica </w:t>
            </w:r>
            <w:r>
              <w:rPr>
                <w:spacing w:val="-4"/>
                <w:sz w:val="18"/>
              </w:rPr>
              <w:t>de </w:t>
            </w:r>
            <w:r>
              <w:rPr>
                <w:spacing w:val="-3"/>
                <w:sz w:val="18"/>
              </w:rPr>
              <w:t>vientos </w:t>
            </w:r>
            <w:r>
              <w:rPr>
                <w:sz w:val="18"/>
              </w:rPr>
              <w:t>sur-oeste noreste, </w:t>
            </w:r>
            <w:r>
              <w:rPr>
                <w:spacing w:val="-4"/>
                <w:sz w:val="18"/>
              </w:rPr>
              <w:t>es </w:t>
            </w:r>
            <w:r>
              <w:rPr>
                <w:sz w:val="18"/>
              </w:rPr>
              <w:t>necesario </w:t>
            </w:r>
            <w:r>
              <w:rPr>
                <w:spacing w:val="-3"/>
                <w:sz w:val="18"/>
              </w:rPr>
              <w:t>realizar  </w:t>
            </w:r>
            <w:r>
              <w:rPr>
                <w:sz w:val="18"/>
              </w:rPr>
              <w:t>el monitoreo </w:t>
            </w:r>
            <w:r>
              <w:rPr>
                <w:spacing w:val="-4"/>
                <w:sz w:val="18"/>
              </w:rPr>
              <w:t>de</w:t>
            </w:r>
            <w:r>
              <w:rPr>
                <w:spacing w:val="42"/>
                <w:sz w:val="18"/>
              </w:rPr>
              <w:t> </w:t>
            </w:r>
            <w:r>
              <w:rPr>
                <w:spacing w:val="-3"/>
                <w:sz w:val="18"/>
              </w:rPr>
              <w:t>las concentraciones </w:t>
            </w:r>
            <w:r>
              <w:rPr>
                <w:spacing w:val="-4"/>
                <w:sz w:val="18"/>
              </w:rPr>
              <w:t>de contaminantes  </w:t>
            </w:r>
            <w:r>
              <w:rPr>
                <w:sz w:val="18"/>
              </w:rPr>
              <w:t>en </w:t>
            </w:r>
            <w:r>
              <w:rPr>
                <w:spacing w:val="-5"/>
                <w:sz w:val="18"/>
              </w:rPr>
              <w:t>la  </w:t>
            </w:r>
            <w:r>
              <w:rPr>
                <w:spacing w:val="-3"/>
                <w:sz w:val="18"/>
              </w:rPr>
              <w:t>zona</w:t>
            </w:r>
            <w:r>
              <w:rPr>
                <w:spacing w:val="36"/>
                <w:sz w:val="18"/>
              </w:rPr>
              <w:t> </w:t>
            </w:r>
            <w:r>
              <w:rPr>
                <w:spacing w:val="-3"/>
                <w:sz w:val="18"/>
              </w:rPr>
              <w:t>urbana</w:t>
            </w:r>
          </w:p>
        </w:tc>
      </w:tr>
    </w:tbl>
    <w:p>
      <w:pPr>
        <w:pStyle w:val="BodyText"/>
        <w:spacing w:line="267" w:lineRule="exact"/>
        <w:ind w:left="234" w:right="233"/>
        <w:jc w:val="center"/>
      </w:pPr>
      <w:r>
        <w:rPr/>
        <w:t>Fuente: Elaboración propia</w:t>
      </w:r>
    </w:p>
    <w:p>
      <w:pPr>
        <w:pStyle w:val="BodyText"/>
        <w:spacing w:before="6"/>
        <w:rPr>
          <w:sz w:val="20"/>
        </w:rPr>
      </w:pPr>
    </w:p>
    <w:p>
      <w:pPr>
        <w:pStyle w:val="BodyText"/>
        <w:spacing w:line="278" w:lineRule="auto"/>
        <w:ind w:left="241" w:right="233"/>
        <w:jc w:val="center"/>
      </w:pPr>
      <w:r>
        <w:rPr/>
        <w:t>Por otro lado es necesario que las estaciones de monitoreo se sometan a un proceso de acreditación ante la Entidad Mexicana de Acreditación, con lo cual   se</w:t>
      </w:r>
    </w:p>
    <w:p>
      <w:pPr>
        <w:spacing w:after="0" w:line="278" w:lineRule="auto"/>
        <w:jc w:val="center"/>
        <w:sectPr>
          <w:pgSz w:w="12240" w:h="15840"/>
          <w:pgMar w:header="0" w:footer="1001" w:top="1360" w:bottom="1200" w:left="1480" w:right="1480"/>
        </w:sectPr>
      </w:pPr>
    </w:p>
    <w:p>
      <w:pPr>
        <w:pStyle w:val="BodyText"/>
        <w:spacing w:line="276" w:lineRule="auto" w:before="48"/>
        <w:ind w:left="105" w:right="121"/>
        <w:jc w:val="both"/>
      </w:pPr>
      <w:r>
        <w:rPr/>
        <w:t>dé por valido que las condiciones de administrativas y operativas de la RAMAT, son idóneas para el monitoreo de los contaminantes atmosféricos, apegada a criterios de calidad.</w:t>
      </w:r>
    </w:p>
    <w:p>
      <w:pPr>
        <w:pStyle w:val="ListParagraph"/>
        <w:numPr>
          <w:ilvl w:val="1"/>
          <w:numId w:val="15"/>
        </w:numPr>
        <w:tabs>
          <w:tab w:pos="385" w:val="left" w:leader="none"/>
        </w:tabs>
        <w:spacing w:line="240" w:lineRule="auto" w:before="204" w:after="0"/>
        <w:ind w:left="384" w:right="0" w:hanging="279"/>
        <w:jc w:val="both"/>
        <w:rPr>
          <w:b/>
          <w:sz w:val="24"/>
        </w:rPr>
      </w:pPr>
      <w:r>
        <w:rPr>
          <w:b/>
          <w:sz w:val="24"/>
        </w:rPr>
        <w:t>Difusión y</w:t>
      </w:r>
      <w:r>
        <w:rPr>
          <w:b/>
          <w:spacing w:val="-16"/>
          <w:sz w:val="24"/>
        </w:rPr>
        <w:t> </w:t>
      </w:r>
      <w:r>
        <w:rPr>
          <w:b/>
          <w:sz w:val="24"/>
        </w:rPr>
        <w:t>diseminación</w:t>
      </w:r>
    </w:p>
    <w:p>
      <w:pPr>
        <w:pStyle w:val="BodyText"/>
        <w:spacing w:before="2"/>
        <w:rPr>
          <w:b/>
          <w:sz w:val="28"/>
        </w:rPr>
      </w:pPr>
    </w:p>
    <w:p>
      <w:pPr>
        <w:pStyle w:val="BodyText"/>
        <w:spacing w:line="360" w:lineRule="auto"/>
        <w:ind w:left="105" w:right="118"/>
        <w:jc w:val="both"/>
      </w:pPr>
      <w:r>
        <w:rPr/>
        <w:t>Las alertas deben llegar de manera oportuna a la población expuesta, de forma precisa y clara, a través de canales, instrumentos y protocolos de comunicación a nivel local, regional y nacional. Por ello es necesario prever múltiples canales de comunicación. Además de fomentar la difusión de la información y la concientización de la población.</w:t>
      </w:r>
    </w:p>
    <w:p>
      <w:pPr>
        <w:pStyle w:val="BodyText"/>
        <w:spacing w:before="10"/>
      </w:pPr>
    </w:p>
    <w:p>
      <w:pPr>
        <w:pStyle w:val="BodyText"/>
        <w:spacing w:line="276" w:lineRule="auto"/>
        <w:ind w:left="105" w:right="121"/>
        <w:jc w:val="both"/>
      </w:pPr>
      <w:r>
        <w:rPr/>
        <w:t>La capacidad de respuesta implica la participación directa de las instituciones involucradas y la población expuesta, se encuentra vinculada a un proceso de evaluación mediante práctica y simulación. Lo anterior permite determinar la fiabilidad del plan y las alternativas de mejora. Los elementos a evaluar de forma periódica son:</w:t>
      </w:r>
    </w:p>
    <w:p>
      <w:pPr>
        <w:pStyle w:val="BodyText"/>
        <w:spacing w:before="9"/>
        <w:rPr>
          <w:sz w:val="19"/>
        </w:rPr>
      </w:pPr>
    </w:p>
    <w:p>
      <w:pPr>
        <w:pStyle w:val="ListParagraph"/>
        <w:numPr>
          <w:ilvl w:val="0"/>
          <w:numId w:val="16"/>
        </w:numPr>
        <w:tabs>
          <w:tab w:pos="825" w:val="left" w:leader="none"/>
          <w:tab w:pos="826" w:val="left" w:leader="none"/>
        </w:tabs>
        <w:spacing w:line="272" w:lineRule="exact" w:before="0" w:after="0"/>
        <w:ind w:left="825" w:right="702" w:hanging="360"/>
        <w:jc w:val="left"/>
        <w:rPr>
          <w:sz w:val="24"/>
        </w:rPr>
      </w:pPr>
      <w:r>
        <w:rPr>
          <w:sz w:val="24"/>
        </w:rPr>
        <w:t>Nivel de formación y entrenamiento </w:t>
      </w:r>
      <w:r>
        <w:rPr>
          <w:spacing w:val="5"/>
          <w:sz w:val="24"/>
        </w:rPr>
        <w:t>de </w:t>
      </w:r>
      <w:r>
        <w:rPr>
          <w:sz w:val="24"/>
        </w:rPr>
        <w:t>las personas involucradas </w:t>
      </w:r>
      <w:r>
        <w:rPr>
          <w:spacing w:val="-3"/>
          <w:sz w:val="24"/>
        </w:rPr>
        <w:t>en</w:t>
      </w:r>
      <w:r>
        <w:rPr>
          <w:spacing w:val="-32"/>
          <w:sz w:val="24"/>
        </w:rPr>
        <w:t> </w:t>
      </w:r>
      <w:r>
        <w:rPr>
          <w:spacing w:val="-3"/>
          <w:sz w:val="24"/>
        </w:rPr>
        <w:t>el </w:t>
      </w:r>
      <w:r>
        <w:rPr>
          <w:sz w:val="24"/>
        </w:rPr>
        <w:t>plan.</w:t>
      </w:r>
    </w:p>
    <w:p>
      <w:pPr>
        <w:pStyle w:val="ListParagraph"/>
        <w:numPr>
          <w:ilvl w:val="0"/>
          <w:numId w:val="16"/>
        </w:numPr>
        <w:tabs>
          <w:tab w:pos="825" w:val="left" w:leader="none"/>
          <w:tab w:pos="826" w:val="left" w:leader="none"/>
        </w:tabs>
        <w:spacing w:line="291" w:lineRule="exact" w:before="0" w:after="0"/>
        <w:ind w:left="825" w:right="0" w:hanging="360"/>
        <w:jc w:val="left"/>
        <w:rPr>
          <w:sz w:val="24"/>
        </w:rPr>
      </w:pPr>
      <w:r>
        <w:rPr>
          <w:sz w:val="24"/>
        </w:rPr>
        <w:t>Nivel de alcance </w:t>
      </w:r>
      <w:r>
        <w:rPr>
          <w:spacing w:val="5"/>
          <w:sz w:val="24"/>
        </w:rPr>
        <w:t>de la</w:t>
      </w:r>
      <w:r>
        <w:rPr>
          <w:spacing w:val="-43"/>
          <w:sz w:val="24"/>
        </w:rPr>
        <w:t> </w:t>
      </w:r>
      <w:r>
        <w:rPr>
          <w:sz w:val="24"/>
        </w:rPr>
        <w:t>información difundida</w:t>
      </w:r>
    </w:p>
    <w:p>
      <w:pPr>
        <w:pStyle w:val="ListParagraph"/>
        <w:numPr>
          <w:ilvl w:val="0"/>
          <w:numId w:val="16"/>
        </w:numPr>
        <w:tabs>
          <w:tab w:pos="825" w:val="left" w:leader="none"/>
          <w:tab w:pos="826" w:val="left" w:leader="none"/>
        </w:tabs>
        <w:spacing w:line="291" w:lineRule="exact" w:before="0" w:after="0"/>
        <w:ind w:left="825" w:right="0" w:hanging="360"/>
        <w:jc w:val="left"/>
        <w:rPr>
          <w:sz w:val="24"/>
        </w:rPr>
      </w:pPr>
      <w:r>
        <w:rPr>
          <w:sz w:val="24"/>
        </w:rPr>
        <w:t>Alcance y disponibilidad de los</w:t>
      </w:r>
      <w:r>
        <w:rPr>
          <w:spacing w:val="-27"/>
          <w:sz w:val="24"/>
        </w:rPr>
        <w:t> </w:t>
      </w:r>
      <w:r>
        <w:rPr>
          <w:sz w:val="24"/>
        </w:rPr>
        <w:t>recursos.</w:t>
      </w:r>
    </w:p>
    <w:p>
      <w:pPr>
        <w:pStyle w:val="ListParagraph"/>
        <w:numPr>
          <w:ilvl w:val="0"/>
          <w:numId w:val="16"/>
        </w:numPr>
        <w:tabs>
          <w:tab w:pos="825" w:val="left" w:leader="none"/>
          <w:tab w:pos="826" w:val="left" w:leader="none"/>
        </w:tabs>
        <w:spacing w:line="291" w:lineRule="exact" w:before="2" w:after="0"/>
        <w:ind w:left="825" w:right="0" w:hanging="360"/>
        <w:jc w:val="left"/>
        <w:rPr>
          <w:sz w:val="24"/>
        </w:rPr>
      </w:pPr>
      <w:r>
        <w:rPr>
          <w:sz w:val="24"/>
        </w:rPr>
        <w:t>Nivel de “concientización”</w:t>
      </w:r>
      <w:r>
        <w:rPr>
          <w:spacing w:val="-20"/>
          <w:sz w:val="24"/>
        </w:rPr>
        <w:t> </w:t>
      </w:r>
      <w:r>
        <w:rPr>
          <w:sz w:val="24"/>
        </w:rPr>
        <w:t>existente</w:t>
      </w:r>
    </w:p>
    <w:p>
      <w:pPr>
        <w:pStyle w:val="ListParagraph"/>
        <w:numPr>
          <w:ilvl w:val="0"/>
          <w:numId w:val="16"/>
        </w:numPr>
        <w:tabs>
          <w:tab w:pos="825" w:val="left" w:leader="none"/>
          <w:tab w:pos="826" w:val="left" w:leader="none"/>
        </w:tabs>
        <w:spacing w:line="291" w:lineRule="exact" w:before="0" w:after="0"/>
        <w:ind w:left="825" w:right="0" w:hanging="360"/>
        <w:jc w:val="left"/>
        <w:rPr>
          <w:sz w:val="24"/>
        </w:rPr>
      </w:pPr>
      <w:r>
        <w:rPr>
          <w:sz w:val="24"/>
        </w:rPr>
        <w:t>Tiempos de</w:t>
      </w:r>
      <w:r>
        <w:rPr>
          <w:spacing w:val="-16"/>
          <w:sz w:val="24"/>
        </w:rPr>
        <w:t> </w:t>
      </w:r>
      <w:r>
        <w:rPr>
          <w:sz w:val="24"/>
        </w:rPr>
        <w:t>respuesta.</w:t>
      </w:r>
    </w:p>
    <w:p>
      <w:pPr>
        <w:pStyle w:val="ListParagraph"/>
        <w:numPr>
          <w:ilvl w:val="0"/>
          <w:numId w:val="16"/>
        </w:numPr>
        <w:tabs>
          <w:tab w:pos="825" w:val="left" w:leader="none"/>
          <w:tab w:pos="826" w:val="left" w:leader="none"/>
        </w:tabs>
        <w:spacing w:line="240" w:lineRule="auto" w:before="2" w:after="0"/>
        <w:ind w:left="825" w:right="0" w:hanging="360"/>
        <w:jc w:val="left"/>
        <w:rPr>
          <w:sz w:val="24"/>
        </w:rPr>
      </w:pPr>
      <w:r>
        <w:rPr>
          <w:sz w:val="24"/>
        </w:rPr>
        <w:t>Ejecución de</w:t>
      </w:r>
      <w:r>
        <w:rPr>
          <w:spacing w:val="-16"/>
          <w:sz w:val="24"/>
        </w:rPr>
        <w:t> </w:t>
      </w:r>
      <w:r>
        <w:rPr>
          <w:sz w:val="24"/>
        </w:rPr>
        <w:t>procedimientos.</w:t>
      </w:r>
    </w:p>
    <w:p>
      <w:pPr>
        <w:pStyle w:val="ListParagraph"/>
        <w:numPr>
          <w:ilvl w:val="0"/>
          <w:numId w:val="16"/>
        </w:numPr>
        <w:tabs>
          <w:tab w:pos="825" w:val="left" w:leader="none"/>
          <w:tab w:pos="826" w:val="left" w:leader="none"/>
        </w:tabs>
        <w:spacing w:line="291" w:lineRule="exact" w:before="1" w:after="0"/>
        <w:ind w:left="825" w:right="0" w:hanging="360"/>
        <w:jc w:val="left"/>
        <w:rPr>
          <w:sz w:val="24"/>
        </w:rPr>
      </w:pPr>
      <w:r>
        <w:rPr>
          <w:sz w:val="24"/>
        </w:rPr>
        <w:t>Consecución de</w:t>
      </w:r>
      <w:r>
        <w:rPr>
          <w:spacing w:val="-13"/>
          <w:sz w:val="24"/>
        </w:rPr>
        <w:t> </w:t>
      </w:r>
      <w:r>
        <w:rPr>
          <w:sz w:val="24"/>
        </w:rPr>
        <w:t>objetivos.</w:t>
      </w:r>
    </w:p>
    <w:p>
      <w:pPr>
        <w:pStyle w:val="ListParagraph"/>
        <w:numPr>
          <w:ilvl w:val="0"/>
          <w:numId w:val="16"/>
        </w:numPr>
        <w:tabs>
          <w:tab w:pos="825" w:val="left" w:leader="none"/>
          <w:tab w:pos="826" w:val="left" w:leader="none"/>
        </w:tabs>
        <w:spacing w:line="291" w:lineRule="exact" w:before="0" w:after="0"/>
        <w:ind w:left="825" w:right="0" w:hanging="360"/>
        <w:jc w:val="left"/>
        <w:rPr>
          <w:sz w:val="24"/>
        </w:rPr>
      </w:pPr>
      <w:r>
        <w:rPr>
          <w:sz w:val="24"/>
        </w:rPr>
        <w:t>Nivel de participación del</w:t>
      </w:r>
      <w:r>
        <w:rPr>
          <w:spacing w:val="-25"/>
          <w:sz w:val="24"/>
        </w:rPr>
        <w:t> </w:t>
      </w:r>
      <w:r>
        <w:rPr>
          <w:sz w:val="24"/>
        </w:rPr>
        <w:t>personal.</w:t>
      </w:r>
    </w:p>
    <w:p>
      <w:pPr>
        <w:pStyle w:val="BodyText"/>
      </w:pPr>
    </w:p>
    <w:p>
      <w:pPr>
        <w:pStyle w:val="BodyText"/>
        <w:spacing w:before="9"/>
        <w:rPr>
          <w:sz w:val="22"/>
        </w:rPr>
      </w:pPr>
    </w:p>
    <w:p>
      <w:pPr>
        <w:pStyle w:val="BodyText"/>
        <w:spacing w:line="276" w:lineRule="auto"/>
        <w:ind w:left="105" w:right="112"/>
        <w:jc w:val="both"/>
      </w:pPr>
      <w:r>
        <w:rPr/>
        <w:t>Los programas de alerta temprana cuentan con unidades de monitoreo y elementos visuales que permiten a la población identificar la fase en la cual se encuentra los programas de prevención de riesgo. De forma general se utilizan semáforos los cuales son fácilmente legibles por la población. En el caso de la Zona metropolitana de Toluca se propone el uso del semáforo de cuatro colores que se presenta en el cuadro 14.</w:t>
      </w:r>
    </w:p>
    <w:p>
      <w:pPr>
        <w:spacing w:after="0" w:line="276" w:lineRule="auto"/>
        <w:jc w:val="both"/>
        <w:sectPr>
          <w:pgSz w:w="12240" w:h="15840"/>
          <w:pgMar w:header="0" w:footer="1001" w:top="1360" w:bottom="1200" w:left="1600" w:right="1580"/>
        </w:sectPr>
      </w:pPr>
    </w:p>
    <w:p>
      <w:pPr>
        <w:pStyle w:val="BodyText"/>
        <w:rPr>
          <w:sz w:val="20"/>
        </w:rPr>
      </w:pPr>
    </w:p>
    <w:p>
      <w:pPr>
        <w:pStyle w:val="BodyText"/>
        <w:spacing w:before="198"/>
        <w:ind w:left="2995" w:right="170"/>
      </w:pPr>
      <w:r>
        <w:rPr/>
        <w:t>Cuadro 14. Semáforo de alerta</w:t>
      </w:r>
    </w:p>
    <w:p>
      <w:pPr>
        <w:pStyle w:val="BodyText"/>
        <w:spacing w:before="3"/>
        <w:rPr>
          <w:sz w:val="21"/>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60"/>
        <w:gridCol w:w="5036"/>
        <w:gridCol w:w="2994"/>
      </w:tblGrid>
      <w:tr>
        <w:trPr>
          <w:trHeight w:val="289" w:hRule="exact"/>
        </w:trPr>
        <w:tc>
          <w:tcPr>
            <w:tcW w:w="960" w:type="dxa"/>
          </w:tcPr>
          <w:p>
            <w:pPr>
              <w:pStyle w:val="TableParagraph"/>
              <w:spacing w:line="275" w:lineRule="exact"/>
              <w:ind w:left="112"/>
              <w:rPr>
                <w:sz w:val="24"/>
              </w:rPr>
            </w:pPr>
            <w:r>
              <w:rPr>
                <w:sz w:val="24"/>
              </w:rPr>
              <w:t>Color</w:t>
            </w:r>
          </w:p>
        </w:tc>
        <w:tc>
          <w:tcPr>
            <w:tcW w:w="5036" w:type="dxa"/>
          </w:tcPr>
          <w:p>
            <w:pPr>
              <w:pStyle w:val="TableParagraph"/>
              <w:spacing w:line="275" w:lineRule="exact"/>
              <w:ind w:left="112"/>
              <w:rPr>
                <w:sz w:val="24"/>
              </w:rPr>
            </w:pPr>
            <w:r>
              <w:rPr>
                <w:sz w:val="24"/>
              </w:rPr>
              <w:t>Puntos IMECA/calidad</w:t>
            </w:r>
          </w:p>
        </w:tc>
        <w:tc>
          <w:tcPr>
            <w:tcW w:w="2994" w:type="dxa"/>
          </w:tcPr>
          <w:p>
            <w:pPr>
              <w:pStyle w:val="TableParagraph"/>
              <w:spacing w:line="275" w:lineRule="exact"/>
              <w:ind w:left="104"/>
              <w:rPr>
                <w:sz w:val="24"/>
              </w:rPr>
            </w:pPr>
            <w:r>
              <w:rPr>
                <w:sz w:val="24"/>
              </w:rPr>
              <w:t>Fase</w:t>
            </w:r>
          </w:p>
        </w:tc>
      </w:tr>
      <w:tr>
        <w:trPr>
          <w:trHeight w:val="288" w:hRule="exact"/>
        </w:trPr>
        <w:tc>
          <w:tcPr>
            <w:tcW w:w="960" w:type="dxa"/>
            <w:shd w:val="clear" w:color="auto" w:fill="94B3D6"/>
          </w:tcPr>
          <w:p>
            <w:pPr/>
          </w:p>
        </w:tc>
        <w:tc>
          <w:tcPr>
            <w:tcW w:w="5036" w:type="dxa"/>
            <w:tcBorders>
              <w:left w:val="single" w:sz="42" w:space="0" w:color="94B3D6"/>
            </w:tcBorders>
          </w:tcPr>
          <w:p>
            <w:pPr>
              <w:pStyle w:val="TableParagraph"/>
              <w:spacing w:line="267" w:lineRule="exact"/>
              <w:ind w:left="64"/>
              <w:rPr>
                <w:sz w:val="24"/>
              </w:rPr>
            </w:pPr>
            <w:r>
              <w:rPr>
                <w:sz w:val="24"/>
              </w:rPr>
              <w:t>Menor a 50 Buena</w:t>
            </w:r>
          </w:p>
        </w:tc>
        <w:tc>
          <w:tcPr>
            <w:tcW w:w="2994" w:type="dxa"/>
          </w:tcPr>
          <w:p>
            <w:pPr>
              <w:pStyle w:val="TableParagraph"/>
              <w:spacing w:line="267" w:lineRule="exact"/>
              <w:ind w:left="104"/>
              <w:rPr>
                <w:sz w:val="24"/>
              </w:rPr>
            </w:pPr>
            <w:r>
              <w:rPr>
                <w:sz w:val="24"/>
              </w:rPr>
              <w:t>Fase 1 Permanente</w:t>
            </w:r>
          </w:p>
        </w:tc>
      </w:tr>
      <w:tr>
        <w:trPr>
          <w:trHeight w:val="288" w:hRule="exact"/>
        </w:trPr>
        <w:tc>
          <w:tcPr>
            <w:tcW w:w="960" w:type="dxa"/>
            <w:shd w:val="clear" w:color="auto" w:fill="92D050"/>
          </w:tcPr>
          <w:p>
            <w:pPr/>
          </w:p>
        </w:tc>
        <w:tc>
          <w:tcPr>
            <w:tcW w:w="5036" w:type="dxa"/>
            <w:tcBorders>
              <w:left w:val="single" w:sz="42" w:space="0" w:color="92D050"/>
            </w:tcBorders>
          </w:tcPr>
          <w:p>
            <w:pPr>
              <w:pStyle w:val="TableParagraph"/>
              <w:tabs>
                <w:tab w:pos="1345" w:val="left" w:leader="none"/>
              </w:tabs>
              <w:spacing w:line="267" w:lineRule="exact"/>
              <w:ind w:left="64"/>
              <w:rPr>
                <w:sz w:val="24"/>
              </w:rPr>
            </w:pPr>
            <w:r>
              <w:rPr>
                <w:sz w:val="24"/>
              </w:rPr>
              <w:t>51-100</w:t>
              <w:tab/>
              <w:t>Aceptable</w:t>
            </w:r>
          </w:p>
        </w:tc>
        <w:tc>
          <w:tcPr>
            <w:tcW w:w="2994" w:type="dxa"/>
          </w:tcPr>
          <w:p>
            <w:pPr>
              <w:pStyle w:val="TableParagraph"/>
              <w:spacing w:line="267" w:lineRule="exact"/>
              <w:ind w:left="104"/>
              <w:rPr>
                <w:sz w:val="24"/>
              </w:rPr>
            </w:pPr>
            <w:r>
              <w:rPr>
                <w:sz w:val="24"/>
              </w:rPr>
              <w:t>Fase 1 Permanente</w:t>
            </w:r>
          </w:p>
        </w:tc>
      </w:tr>
      <w:tr>
        <w:trPr>
          <w:trHeight w:val="280" w:hRule="exact"/>
        </w:trPr>
        <w:tc>
          <w:tcPr>
            <w:tcW w:w="960" w:type="dxa"/>
            <w:tcBorders>
              <w:bottom w:val="single" w:sz="3" w:space="0" w:color="FFFFFF"/>
            </w:tcBorders>
            <w:shd w:val="clear" w:color="auto" w:fill="FFFF00"/>
          </w:tcPr>
          <w:p>
            <w:pPr/>
          </w:p>
        </w:tc>
        <w:tc>
          <w:tcPr>
            <w:tcW w:w="5036" w:type="dxa"/>
            <w:tcBorders>
              <w:left w:val="single" w:sz="42" w:space="0" w:color="FFFF00"/>
              <w:bottom w:val="single" w:sz="3" w:space="0" w:color="FFFFFF"/>
            </w:tcBorders>
          </w:tcPr>
          <w:p>
            <w:pPr>
              <w:pStyle w:val="TableParagraph"/>
              <w:tabs>
                <w:tab w:pos="1337" w:val="left" w:leader="none"/>
              </w:tabs>
              <w:spacing w:line="267" w:lineRule="exact"/>
              <w:ind w:left="64"/>
              <w:rPr>
                <w:sz w:val="24"/>
              </w:rPr>
            </w:pPr>
            <w:r>
              <w:rPr>
                <w:sz w:val="24"/>
              </w:rPr>
              <w:t>101-150</w:t>
              <w:tab/>
              <w:t>Mala</w:t>
            </w:r>
          </w:p>
        </w:tc>
        <w:tc>
          <w:tcPr>
            <w:tcW w:w="2994" w:type="dxa"/>
            <w:tcBorders>
              <w:bottom w:val="single" w:sz="3" w:space="0" w:color="FFFFFF"/>
            </w:tcBorders>
          </w:tcPr>
          <w:p>
            <w:pPr>
              <w:pStyle w:val="TableParagraph"/>
              <w:spacing w:line="267" w:lineRule="exact"/>
              <w:ind w:left="104"/>
              <w:rPr>
                <w:sz w:val="24"/>
              </w:rPr>
            </w:pPr>
            <w:r>
              <w:rPr>
                <w:sz w:val="24"/>
              </w:rPr>
              <w:t>Fase 2 Pre-contingencia</w:t>
            </w:r>
          </w:p>
        </w:tc>
      </w:tr>
      <w:tr>
        <w:trPr>
          <w:trHeight w:val="288" w:hRule="exact"/>
        </w:trPr>
        <w:tc>
          <w:tcPr>
            <w:tcW w:w="960" w:type="dxa"/>
            <w:tcBorders>
              <w:top w:val="single" w:sz="3" w:space="0" w:color="FFFFFF"/>
            </w:tcBorders>
            <w:shd w:val="clear" w:color="auto" w:fill="FF0000"/>
          </w:tcPr>
          <w:p>
            <w:pPr/>
          </w:p>
        </w:tc>
        <w:tc>
          <w:tcPr>
            <w:tcW w:w="5036" w:type="dxa"/>
            <w:tcBorders>
              <w:top w:val="single" w:sz="3" w:space="0" w:color="FFFFFF"/>
              <w:left w:val="single" w:sz="42" w:space="0" w:color="FF0000"/>
            </w:tcBorders>
          </w:tcPr>
          <w:p>
            <w:pPr>
              <w:pStyle w:val="TableParagraph"/>
              <w:tabs>
                <w:tab w:pos="1337" w:val="left" w:leader="none"/>
              </w:tabs>
              <w:spacing w:line="275" w:lineRule="exact"/>
              <w:ind w:left="64"/>
              <w:rPr>
                <w:sz w:val="24"/>
              </w:rPr>
            </w:pPr>
            <w:r>
              <w:rPr>
                <w:sz w:val="24"/>
              </w:rPr>
              <w:t>151-200</w:t>
              <w:tab/>
              <w:t>Muy</w:t>
            </w:r>
            <w:r>
              <w:rPr>
                <w:spacing w:val="1"/>
                <w:sz w:val="24"/>
              </w:rPr>
              <w:t> </w:t>
            </w:r>
            <w:r>
              <w:rPr>
                <w:sz w:val="24"/>
              </w:rPr>
              <w:t>Mala</w:t>
            </w:r>
          </w:p>
        </w:tc>
        <w:tc>
          <w:tcPr>
            <w:tcW w:w="2994" w:type="dxa"/>
            <w:tcBorders>
              <w:top w:val="single" w:sz="3" w:space="0" w:color="FFFFFF"/>
            </w:tcBorders>
          </w:tcPr>
          <w:p>
            <w:pPr>
              <w:pStyle w:val="TableParagraph"/>
              <w:spacing w:line="275" w:lineRule="exact"/>
              <w:ind w:left="104"/>
              <w:rPr>
                <w:sz w:val="24"/>
              </w:rPr>
            </w:pPr>
            <w:r>
              <w:rPr>
                <w:sz w:val="24"/>
              </w:rPr>
              <w:t>Fase 3 Contingencia</w:t>
            </w:r>
          </w:p>
        </w:tc>
      </w:tr>
    </w:tbl>
    <w:p>
      <w:pPr>
        <w:pStyle w:val="BodyText"/>
        <w:rPr>
          <w:sz w:val="20"/>
        </w:rPr>
      </w:pPr>
    </w:p>
    <w:p>
      <w:pPr>
        <w:pStyle w:val="BodyText"/>
        <w:spacing w:before="5"/>
        <w:rPr>
          <w:sz w:val="18"/>
        </w:rPr>
      </w:pPr>
    </w:p>
    <w:p>
      <w:pPr>
        <w:pStyle w:val="BodyText"/>
        <w:spacing w:line="276" w:lineRule="auto" w:before="69"/>
        <w:ind w:left="225" w:right="159" w:firstLine="64"/>
      </w:pPr>
      <w:r>
        <w:rPr/>
        <w:t>La difusión de la alerta </w:t>
      </w:r>
      <w:r>
        <w:rPr>
          <w:spacing w:val="-3"/>
        </w:rPr>
        <w:t>en </w:t>
      </w:r>
      <w:r>
        <w:rPr/>
        <w:t>caso de pre-contingencia y contingencia ambiental </w:t>
      </w:r>
      <w:r>
        <w:rPr>
          <w:spacing w:val="-3"/>
        </w:rPr>
        <w:t>es en </w:t>
      </w:r>
      <w:r>
        <w:rPr/>
        <w:t>primer término responsabilidad de la Secretaria </w:t>
      </w:r>
      <w:r>
        <w:rPr>
          <w:spacing w:val="5"/>
        </w:rPr>
        <w:t>de </w:t>
      </w:r>
      <w:r>
        <w:rPr/>
        <w:t>Medio Ambiente del Estado de México a través del Programa de Aire Limpio y la Red Automática </w:t>
      </w:r>
      <w:r>
        <w:rPr>
          <w:spacing w:val="5"/>
        </w:rPr>
        <w:t>de </w:t>
      </w:r>
      <w:r>
        <w:rPr/>
        <w:t>Monitoreo Atmosférico. Reside </w:t>
      </w:r>
      <w:r>
        <w:rPr>
          <w:spacing w:val="-3"/>
        </w:rPr>
        <w:t>en </w:t>
      </w:r>
      <w:r>
        <w:rPr/>
        <w:t>ella la obligación de capacitar a </w:t>
      </w:r>
      <w:r>
        <w:rPr>
          <w:spacing w:val="5"/>
        </w:rPr>
        <w:t>la </w:t>
      </w:r>
      <w:r>
        <w:rPr/>
        <w:t>población y mantenerla informada, así como dar aviso a las áreas corresponsables. El procedimiento de activación de contingencia y alerta </w:t>
      </w:r>
      <w:r>
        <w:rPr>
          <w:spacing w:val="3"/>
        </w:rPr>
        <w:t>se </w:t>
      </w:r>
      <w:r>
        <w:rPr/>
        <w:t>muestra </w:t>
      </w:r>
      <w:r>
        <w:rPr>
          <w:spacing w:val="-3"/>
        </w:rPr>
        <w:t>en </w:t>
      </w:r>
      <w:r>
        <w:rPr>
          <w:spacing w:val="5"/>
        </w:rPr>
        <w:t>la</w:t>
      </w:r>
      <w:r>
        <w:rPr>
          <w:spacing w:val="-47"/>
        </w:rPr>
        <w:t> </w:t>
      </w:r>
      <w:r>
        <w:rPr/>
        <w:t>figura </w:t>
      </w:r>
      <w:r>
        <w:rPr>
          <w:spacing w:val="4"/>
        </w:rPr>
        <w:t>12.</w:t>
      </w:r>
    </w:p>
    <w:p>
      <w:pPr>
        <w:pStyle w:val="BodyText"/>
        <w:spacing w:before="204"/>
        <w:ind w:left="270" w:right="208"/>
        <w:jc w:val="center"/>
      </w:pPr>
      <w:r>
        <w:rPr/>
        <w:t>Figura 12. Esquema de operación</w:t>
      </w:r>
    </w:p>
    <w:p>
      <w:pPr>
        <w:pStyle w:val="BodyText"/>
        <w:spacing w:before="3"/>
        <w:rPr>
          <w:sz w:val="18"/>
        </w:rPr>
      </w:pPr>
      <w:r>
        <w:rPr/>
        <w:drawing>
          <wp:anchor distT="0" distB="0" distL="0" distR="0" allowOverlap="1" layoutInCell="1" locked="0" behindDoc="0" simplePos="0" relativeHeight="1576">
            <wp:simplePos x="0" y="0"/>
            <wp:positionH relativeFrom="page">
              <wp:posOffset>1435353</wp:posOffset>
            </wp:positionH>
            <wp:positionV relativeFrom="paragraph">
              <wp:posOffset>158458</wp:posOffset>
            </wp:positionV>
            <wp:extent cx="4954179" cy="3185160"/>
            <wp:effectExtent l="0" t="0" r="0" b="0"/>
            <wp:wrapTopAndBottom/>
            <wp:docPr id="39" name="image29.png" descr=""/>
            <wp:cNvGraphicFramePr>
              <a:graphicFrameLocks noChangeAspect="1"/>
            </wp:cNvGraphicFramePr>
            <a:graphic>
              <a:graphicData uri="http://schemas.openxmlformats.org/drawingml/2006/picture">
                <pic:pic>
                  <pic:nvPicPr>
                    <pic:cNvPr id="40" name="image29.png"/>
                    <pic:cNvPicPr/>
                  </pic:nvPicPr>
                  <pic:blipFill>
                    <a:blip r:embed="rId64" cstate="print"/>
                    <a:stretch>
                      <a:fillRect/>
                    </a:stretch>
                  </pic:blipFill>
                  <pic:spPr>
                    <a:xfrm>
                      <a:off x="0" y="0"/>
                      <a:ext cx="4954179" cy="3185160"/>
                    </a:xfrm>
                    <a:prstGeom prst="rect">
                      <a:avLst/>
                    </a:prstGeom>
                  </pic:spPr>
                </pic:pic>
              </a:graphicData>
            </a:graphic>
          </wp:anchor>
        </w:drawing>
      </w:r>
    </w:p>
    <w:p>
      <w:pPr>
        <w:pStyle w:val="BodyText"/>
        <w:spacing w:before="160"/>
        <w:ind w:left="270" w:right="209"/>
        <w:jc w:val="center"/>
      </w:pPr>
      <w:r>
        <w:rPr/>
        <w:t>Fuente: Elaboración Propia</w:t>
      </w:r>
    </w:p>
    <w:p>
      <w:pPr>
        <w:pStyle w:val="BodyText"/>
        <w:spacing w:before="6"/>
        <w:rPr>
          <w:sz w:val="20"/>
        </w:rPr>
      </w:pPr>
    </w:p>
    <w:p>
      <w:pPr>
        <w:pStyle w:val="ListParagraph"/>
        <w:numPr>
          <w:ilvl w:val="1"/>
          <w:numId w:val="15"/>
        </w:numPr>
        <w:tabs>
          <w:tab w:pos="513" w:val="left" w:leader="none"/>
        </w:tabs>
        <w:spacing w:line="240" w:lineRule="auto" w:before="0" w:after="0"/>
        <w:ind w:left="513" w:right="0" w:hanging="288"/>
        <w:jc w:val="left"/>
        <w:rPr>
          <w:b/>
          <w:sz w:val="24"/>
        </w:rPr>
      </w:pPr>
      <w:r>
        <w:rPr>
          <w:b/>
          <w:sz w:val="24"/>
        </w:rPr>
        <w:t>Capacidad de</w:t>
      </w:r>
      <w:r>
        <w:rPr>
          <w:b/>
          <w:spacing w:val="-3"/>
          <w:sz w:val="24"/>
        </w:rPr>
        <w:t> </w:t>
      </w:r>
      <w:r>
        <w:rPr>
          <w:b/>
          <w:sz w:val="24"/>
        </w:rPr>
        <w:t>respuesta</w:t>
      </w:r>
    </w:p>
    <w:p>
      <w:pPr>
        <w:pStyle w:val="BodyText"/>
        <w:spacing w:before="2"/>
        <w:rPr>
          <w:b/>
          <w:sz w:val="28"/>
        </w:rPr>
      </w:pPr>
    </w:p>
    <w:p>
      <w:pPr>
        <w:pStyle w:val="BodyText"/>
        <w:spacing w:line="362" w:lineRule="auto"/>
        <w:ind w:left="225" w:right="159"/>
      </w:pPr>
      <w:r>
        <w:rPr/>
        <w:t>Implica </w:t>
      </w:r>
      <w:r>
        <w:rPr>
          <w:spacing w:val="5"/>
        </w:rPr>
        <w:t>la </w:t>
      </w:r>
      <w:r>
        <w:rPr/>
        <w:t>participación directa de la población expuesta, la cual debe contar con planes de respuesta actualizados, traducido </w:t>
      </w:r>
      <w:r>
        <w:rPr>
          <w:spacing w:val="-3"/>
        </w:rPr>
        <w:t>en el </w:t>
      </w:r>
      <w:r>
        <w:rPr/>
        <w:t>conocimiento de las medidas  </w:t>
      </w:r>
      <w:r>
        <w:rPr>
          <w:spacing w:val="53"/>
        </w:rPr>
        <w:t> </w:t>
      </w:r>
      <w:r>
        <w:rPr/>
        <w:t>o</w:t>
      </w:r>
    </w:p>
    <w:p>
      <w:pPr>
        <w:spacing w:after="0" w:line="362" w:lineRule="auto"/>
        <w:sectPr>
          <w:pgSz w:w="12240" w:h="15840"/>
          <w:pgMar w:header="0" w:footer="1001" w:top="1500" w:bottom="1200" w:left="1480" w:right="1540"/>
        </w:sectPr>
      </w:pPr>
    </w:p>
    <w:p>
      <w:pPr>
        <w:pStyle w:val="BodyText"/>
        <w:spacing w:line="362" w:lineRule="auto" w:before="48"/>
        <w:ind w:left="105" w:right="126"/>
        <w:jc w:val="both"/>
      </w:pPr>
      <w:r>
        <w:rPr/>
        <w:t>acciones pertinentes a desarrollarse durante la eventual activación de una contingencia. Los planes de respuesta deben ser practicados y probados.</w:t>
      </w:r>
    </w:p>
    <w:p>
      <w:pPr>
        <w:pStyle w:val="BodyText"/>
        <w:spacing w:before="8"/>
        <w:rPr>
          <w:sz w:val="26"/>
        </w:rPr>
      </w:pPr>
    </w:p>
    <w:p>
      <w:pPr>
        <w:pStyle w:val="ListParagraph"/>
        <w:numPr>
          <w:ilvl w:val="0"/>
          <w:numId w:val="17"/>
        </w:numPr>
        <w:tabs>
          <w:tab w:pos="825" w:val="left" w:leader="none"/>
          <w:tab w:pos="826" w:val="left" w:leader="none"/>
        </w:tabs>
        <w:spacing w:line="272" w:lineRule="exact" w:before="0" w:after="0"/>
        <w:ind w:left="825" w:right="706" w:hanging="360"/>
        <w:jc w:val="left"/>
        <w:rPr>
          <w:sz w:val="24"/>
        </w:rPr>
      </w:pPr>
      <w:r>
        <w:rPr>
          <w:sz w:val="24"/>
        </w:rPr>
        <w:t>Nivel de formación y entrenamiento </w:t>
      </w:r>
      <w:r>
        <w:rPr>
          <w:spacing w:val="5"/>
          <w:sz w:val="24"/>
        </w:rPr>
        <w:t>de </w:t>
      </w:r>
      <w:r>
        <w:rPr>
          <w:sz w:val="24"/>
        </w:rPr>
        <w:t>las personas involucradas </w:t>
      </w:r>
      <w:r>
        <w:rPr>
          <w:spacing w:val="-3"/>
          <w:sz w:val="24"/>
        </w:rPr>
        <w:t>en</w:t>
      </w:r>
      <w:r>
        <w:rPr>
          <w:spacing w:val="-36"/>
          <w:sz w:val="24"/>
        </w:rPr>
        <w:t> </w:t>
      </w:r>
      <w:r>
        <w:rPr>
          <w:spacing w:val="-3"/>
          <w:sz w:val="24"/>
        </w:rPr>
        <w:t>el </w:t>
      </w:r>
      <w:r>
        <w:rPr>
          <w:sz w:val="24"/>
        </w:rPr>
        <w:t>plan.</w:t>
      </w:r>
    </w:p>
    <w:p>
      <w:pPr>
        <w:pStyle w:val="ListParagraph"/>
        <w:numPr>
          <w:ilvl w:val="0"/>
          <w:numId w:val="17"/>
        </w:numPr>
        <w:tabs>
          <w:tab w:pos="825" w:val="left" w:leader="none"/>
          <w:tab w:pos="826" w:val="left" w:leader="none"/>
        </w:tabs>
        <w:spacing w:line="291" w:lineRule="exact" w:before="0" w:after="0"/>
        <w:ind w:left="825" w:right="0" w:hanging="360"/>
        <w:jc w:val="left"/>
        <w:rPr>
          <w:sz w:val="24"/>
        </w:rPr>
      </w:pPr>
      <w:r>
        <w:rPr>
          <w:sz w:val="24"/>
        </w:rPr>
        <w:t>Nivel de alcance </w:t>
      </w:r>
      <w:r>
        <w:rPr>
          <w:spacing w:val="5"/>
          <w:sz w:val="24"/>
        </w:rPr>
        <w:t>de la</w:t>
      </w:r>
      <w:r>
        <w:rPr>
          <w:spacing w:val="-43"/>
          <w:sz w:val="24"/>
        </w:rPr>
        <w:t> </w:t>
      </w:r>
      <w:r>
        <w:rPr>
          <w:sz w:val="24"/>
        </w:rPr>
        <w:t>información difundida</w:t>
      </w:r>
    </w:p>
    <w:p>
      <w:pPr>
        <w:pStyle w:val="ListParagraph"/>
        <w:numPr>
          <w:ilvl w:val="0"/>
          <w:numId w:val="17"/>
        </w:numPr>
        <w:tabs>
          <w:tab w:pos="825" w:val="left" w:leader="none"/>
          <w:tab w:pos="826" w:val="left" w:leader="none"/>
        </w:tabs>
        <w:spacing w:line="291" w:lineRule="exact" w:before="0" w:after="0"/>
        <w:ind w:left="825" w:right="0" w:hanging="360"/>
        <w:jc w:val="left"/>
        <w:rPr>
          <w:sz w:val="24"/>
        </w:rPr>
      </w:pPr>
      <w:r>
        <w:rPr>
          <w:sz w:val="24"/>
        </w:rPr>
        <w:t>Alcance y disponibilidad de los</w:t>
      </w:r>
      <w:r>
        <w:rPr>
          <w:spacing w:val="-27"/>
          <w:sz w:val="24"/>
        </w:rPr>
        <w:t> </w:t>
      </w:r>
      <w:r>
        <w:rPr>
          <w:sz w:val="24"/>
        </w:rPr>
        <w:t>recursos.</w:t>
      </w:r>
    </w:p>
    <w:p>
      <w:pPr>
        <w:pStyle w:val="ListParagraph"/>
        <w:numPr>
          <w:ilvl w:val="0"/>
          <w:numId w:val="17"/>
        </w:numPr>
        <w:tabs>
          <w:tab w:pos="825" w:val="left" w:leader="none"/>
          <w:tab w:pos="826" w:val="left" w:leader="none"/>
        </w:tabs>
        <w:spacing w:line="291" w:lineRule="exact" w:before="2" w:after="0"/>
        <w:ind w:left="825" w:right="0" w:hanging="360"/>
        <w:jc w:val="left"/>
        <w:rPr>
          <w:sz w:val="24"/>
        </w:rPr>
      </w:pPr>
      <w:r>
        <w:rPr>
          <w:sz w:val="24"/>
        </w:rPr>
        <w:t>Nivel de “concientización”</w:t>
      </w:r>
      <w:r>
        <w:rPr>
          <w:spacing w:val="-20"/>
          <w:sz w:val="24"/>
        </w:rPr>
        <w:t> </w:t>
      </w:r>
      <w:r>
        <w:rPr>
          <w:sz w:val="24"/>
        </w:rPr>
        <w:t>existente</w:t>
      </w:r>
    </w:p>
    <w:p>
      <w:pPr>
        <w:pStyle w:val="ListParagraph"/>
        <w:numPr>
          <w:ilvl w:val="0"/>
          <w:numId w:val="17"/>
        </w:numPr>
        <w:tabs>
          <w:tab w:pos="825" w:val="left" w:leader="none"/>
          <w:tab w:pos="826" w:val="left" w:leader="none"/>
        </w:tabs>
        <w:spacing w:line="291" w:lineRule="exact" w:before="0" w:after="0"/>
        <w:ind w:left="825" w:right="0" w:hanging="360"/>
        <w:jc w:val="left"/>
        <w:rPr>
          <w:sz w:val="24"/>
        </w:rPr>
      </w:pPr>
      <w:r>
        <w:rPr>
          <w:sz w:val="24"/>
        </w:rPr>
        <w:t>Tiempos de</w:t>
      </w:r>
      <w:r>
        <w:rPr>
          <w:spacing w:val="-16"/>
          <w:sz w:val="24"/>
        </w:rPr>
        <w:t> </w:t>
      </w:r>
      <w:r>
        <w:rPr>
          <w:sz w:val="24"/>
        </w:rPr>
        <w:t>respuesta.</w:t>
      </w:r>
    </w:p>
    <w:p>
      <w:pPr>
        <w:pStyle w:val="ListParagraph"/>
        <w:numPr>
          <w:ilvl w:val="0"/>
          <w:numId w:val="17"/>
        </w:numPr>
        <w:tabs>
          <w:tab w:pos="825" w:val="left" w:leader="none"/>
          <w:tab w:pos="826" w:val="left" w:leader="none"/>
        </w:tabs>
        <w:spacing w:line="291" w:lineRule="exact" w:before="2" w:after="0"/>
        <w:ind w:left="825" w:right="0" w:hanging="360"/>
        <w:jc w:val="left"/>
        <w:rPr>
          <w:sz w:val="24"/>
        </w:rPr>
      </w:pPr>
      <w:r>
        <w:rPr>
          <w:sz w:val="24"/>
        </w:rPr>
        <w:t>Ejecución de</w:t>
      </w:r>
      <w:r>
        <w:rPr>
          <w:spacing w:val="-16"/>
          <w:sz w:val="24"/>
        </w:rPr>
        <w:t> </w:t>
      </w:r>
      <w:r>
        <w:rPr>
          <w:sz w:val="24"/>
        </w:rPr>
        <w:t>procedimientos.</w:t>
      </w:r>
    </w:p>
    <w:p>
      <w:pPr>
        <w:pStyle w:val="ListParagraph"/>
        <w:numPr>
          <w:ilvl w:val="0"/>
          <w:numId w:val="17"/>
        </w:numPr>
        <w:tabs>
          <w:tab w:pos="825" w:val="left" w:leader="none"/>
          <w:tab w:pos="826" w:val="left" w:leader="none"/>
        </w:tabs>
        <w:spacing w:line="291" w:lineRule="exact" w:before="0" w:after="0"/>
        <w:ind w:left="825" w:right="0" w:hanging="360"/>
        <w:jc w:val="left"/>
        <w:rPr>
          <w:sz w:val="24"/>
        </w:rPr>
      </w:pPr>
      <w:r>
        <w:rPr>
          <w:sz w:val="24"/>
        </w:rPr>
        <w:t>Consecución de</w:t>
      </w:r>
      <w:r>
        <w:rPr>
          <w:spacing w:val="-18"/>
          <w:sz w:val="24"/>
        </w:rPr>
        <w:t> </w:t>
      </w:r>
      <w:r>
        <w:rPr>
          <w:sz w:val="24"/>
        </w:rPr>
        <w:t>objetivos.</w:t>
      </w:r>
    </w:p>
    <w:p>
      <w:pPr>
        <w:pStyle w:val="ListParagraph"/>
        <w:numPr>
          <w:ilvl w:val="0"/>
          <w:numId w:val="17"/>
        </w:numPr>
        <w:tabs>
          <w:tab w:pos="825" w:val="left" w:leader="none"/>
          <w:tab w:pos="826" w:val="left" w:leader="none"/>
        </w:tabs>
        <w:spacing w:line="240" w:lineRule="auto" w:before="1" w:after="0"/>
        <w:ind w:left="825" w:right="0" w:hanging="360"/>
        <w:jc w:val="left"/>
        <w:rPr>
          <w:sz w:val="24"/>
        </w:rPr>
      </w:pPr>
      <w:r>
        <w:rPr>
          <w:sz w:val="24"/>
        </w:rPr>
        <w:t>Nivel de participación del</w:t>
      </w:r>
      <w:r>
        <w:rPr>
          <w:spacing w:val="-25"/>
          <w:sz w:val="24"/>
        </w:rPr>
        <w:t> </w:t>
      </w:r>
      <w:r>
        <w:rPr>
          <w:sz w:val="24"/>
        </w:rPr>
        <w:t>personal.</w:t>
      </w:r>
    </w:p>
    <w:p>
      <w:pPr>
        <w:pStyle w:val="BodyText"/>
        <w:spacing w:before="11"/>
        <w:rPr>
          <w:sz w:val="25"/>
        </w:rPr>
      </w:pPr>
    </w:p>
    <w:p>
      <w:pPr>
        <w:pStyle w:val="BodyText"/>
        <w:spacing w:line="276" w:lineRule="auto"/>
        <w:ind w:left="105" w:right="113"/>
        <w:jc w:val="both"/>
      </w:pPr>
      <w:r>
        <w:rPr/>
        <w:t>Como mecanismo para medir la capacidad de respuesta, es necesario llevar a cabo simulacros, éstos deben llevarse realizarse al menos dos veces al año de manera programada, bajo diferentes condiciones de amenaza, considerando las condiciones de la estación seca y fría, así como las condiciones de la estación húmeda y cálida.</w:t>
      </w:r>
    </w:p>
    <w:p>
      <w:pPr>
        <w:pStyle w:val="BodyText"/>
        <w:spacing w:line="276" w:lineRule="auto" w:before="204"/>
        <w:ind w:left="105" w:right="121"/>
        <w:jc w:val="both"/>
      </w:pPr>
      <w:r>
        <w:rPr/>
        <w:t>Finalmente debe llevarse a cabo la evaluación post-contingencia, la cual permite medir la eficiencia de las acciones desarrolladas, permite conocer el estado real y la evolución del sistema de alerta temprana. En esta última fase los elementos a evaluar son:</w:t>
      </w:r>
    </w:p>
    <w:p>
      <w:pPr>
        <w:pStyle w:val="ListParagraph"/>
        <w:numPr>
          <w:ilvl w:val="0"/>
          <w:numId w:val="17"/>
        </w:numPr>
        <w:tabs>
          <w:tab w:pos="889" w:val="left" w:leader="none"/>
          <w:tab w:pos="890" w:val="left" w:leader="none"/>
        </w:tabs>
        <w:spacing w:line="268" w:lineRule="auto" w:before="204" w:after="0"/>
        <w:ind w:left="889" w:right="117" w:hanging="360"/>
        <w:jc w:val="left"/>
        <w:rPr>
          <w:sz w:val="24"/>
        </w:rPr>
      </w:pPr>
      <w:r>
        <w:rPr>
          <w:sz w:val="24"/>
        </w:rPr>
        <w:t>Admisiones a hospitales por afectaciones cardiovasculares y respiratorias </w:t>
      </w:r>
      <w:r>
        <w:rPr>
          <w:spacing w:val="-3"/>
          <w:sz w:val="24"/>
        </w:rPr>
        <w:t>en </w:t>
      </w:r>
      <w:r>
        <w:rPr>
          <w:sz w:val="24"/>
        </w:rPr>
        <w:t>días de pre-contingencia y contingencia</w:t>
      </w:r>
      <w:r>
        <w:rPr>
          <w:spacing w:val="-21"/>
          <w:sz w:val="24"/>
        </w:rPr>
        <w:t> </w:t>
      </w:r>
      <w:r>
        <w:rPr>
          <w:sz w:val="24"/>
        </w:rPr>
        <w:t>ambiental.</w:t>
      </w:r>
    </w:p>
    <w:p>
      <w:pPr>
        <w:pStyle w:val="ListParagraph"/>
        <w:numPr>
          <w:ilvl w:val="0"/>
          <w:numId w:val="17"/>
        </w:numPr>
        <w:tabs>
          <w:tab w:pos="889" w:val="left" w:leader="none"/>
          <w:tab w:pos="890" w:val="left" w:leader="none"/>
          <w:tab w:pos="1664" w:val="left" w:leader="none"/>
          <w:tab w:pos="2838" w:val="left" w:leader="none"/>
          <w:tab w:pos="3310" w:val="left" w:leader="none"/>
          <w:tab w:pos="4788" w:val="left" w:leader="none"/>
          <w:tab w:pos="5268" w:val="left" w:leader="none"/>
          <w:tab w:pos="7259" w:val="left" w:leader="none"/>
          <w:tab w:pos="7586" w:val="left" w:leader="none"/>
        </w:tabs>
        <w:spacing w:line="276" w:lineRule="auto" w:before="11" w:after="0"/>
        <w:ind w:left="889" w:right="115" w:hanging="360"/>
        <w:jc w:val="left"/>
        <w:rPr>
          <w:sz w:val="24"/>
        </w:rPr>
      </w:pPr>
      <w:r>
        <w:rPr>
          <w:sz w:val="24"/>
        </w:rPr>
        <w:t>Aforo</w:t>
        <w:tab/>
        <w:t>vehicular</w:t>
        <w:tab/>
      </w:r>
      <w:r>
        <w:rPr>
          <w:spacing w:val="-3"/>
          <w:sz w:val="24"/>
        </w:rPr>
        <w:t>en</w:t>
        <w:tab/>
      </w:r>
      <w:r>
        <w:rPr>
          <w:sz w:val="24"/>
        </w:rPr>
        <w:t>condiciones</w:t>
        <w:tab/>
        <w:t>de</w:t>
        <w:tab/>
        <w:t>pre-contingencia</w:t>
        <w:tab/>
        <w:t>y</w:t>
        <w:tab/>
        <w:t>contingencia ambiental.</w:t>
      </w:r>
    </w:p>
    <w:p>
      <w:pPr>
        <w:pStyle w:val="ListParagraph"/>
        <w:numPr>
          <w:ilvl w:val="0"/>
          <w:numId w:val="17"/>
        </w:numPr>
        <w:tabs>
          <w:tab w:pos="889" w:val="left" w:leader="none"/>
          <w:tab w:pos="890" w:val="left" w:leader="none"/>
        </w:tabs>
        <w:spacing w:line="240" w:lineRule="auto" w:before="3" w:after="0"/>
        <w:ind w:left="889" w:right="0" w:hanging="360"/>
        <w:jc w:val="left"/>
        <w:rPr>
          <w:sz w:val="24"/>
        </w:rPr>
      </w:pPr>
      <w:r>
        <w:rPr>
          <w:sz w:val="24"/>
        </w:rPr>
        <w:t>Alcance de la información</w:t>
      </w:r>
      <w:r>
        <w:rPr>
          <w:spacing w:val="-8"/>
          <w:sz w:val="24"/>
        </w:rPr>
        <w:t> </w:t>
      </w:r>
      <w:r>
        <w:rPr>
          <w:sz w:val="24"/>
        </w:rPr>
        <w:t>difundida.</w:t>
      </w:r>
    </w:p>
    <w:p>
      <w:pPr>
        <w:pStyle w:val="ListParagraph"/>
        <w:numPr>
          <w:ilvl w:val="0"/>
          <w:numId w:val="17"/>
        </w:numPr>
        <w:tabs>
          <w:tab w:pos="889" w:val="left" w:leader="none"/>
          <w:tab w:pos="890" w:val="left" w:leader="none"/>
        </w:tabs>
        <w:spacing w:line="276" w:lineRule="auto" w:before="34" w:after="0"/>
        <w:ind w:left="889" w:right="113" w:hanging="360"/>
        <w:jc w:val="left"/>
        <w:rPr>
          <w:sz w:val="24"/>
        </w:rPr>
      </w:pPr>
      <w:r>
        <w:rPr>
          <w:sz w:val="24"/>
        </w:rPr>
        <w:t>Tiempo de estabilización para desactivación de pre-contingencia y/o contingencia</w:t>
      </w:r>
      <w:r>
        <w:rPr>
          <w:spacing w:val="-14"/>
          <w:sz w:val="24"/>
        </w:rPr>
        <w:t> </w:t>
      </w:r>
      <w:r>
        <w:rPr>
          <w:sz w:val="24"/>
        </w:rPr>
        <w:t>ambiental.</w:t>
      </w:r>
    </w:p>
    <w:p>
      <w:pPr>
        <w:spacing w:after="0" w:line="276" w:lineRule="auto"/>
        <w:jc w:val="left"/>
        <w:rPr>
          <w:sz w:val="24"/>
        </w:rPr>
        <w:sectPr>
          <w:pgSz w:w="12240" w:h="15840"/>
          <w:pgMar w:header="0" w:footer="1001" w:top="1360" w:bottom="1200" w:left="1600" w:right="1580"/>
        </w:sectPr>
      </w:pPr>
    </w:p>
    <w:p>
      <w:pPr>
        <w:pStyle w:val="Heading3"/>
        <w:numPr>
          <w:ilvl w:val="0"/>
          <w:numId w:val="15"/>
        </w:numPr>
        <w:tabs>
          <w:tab w:pos="522" w:val="left" w:leader="none"/>
        </w:tabs>
        <w:spacing w:line="240" w:lineRule="auto" w:before="53" w:after="0"/>
        <w:ind w:left="521" w:right="0" w:hanging="296"/>
        <w:jc w:val="both"/>
      </w:pPr>
      <w:bookmarkStart w:name="_bookmark47" w:id="79"/>
      <w:bookmarkEnd w:id="79"/>
      <w:r>
        <w:rPr>
          <w:b w:val="0"/>
        </w:rPr>
      </w:r>
      <w:bookmarkStart w:name="_bookmark47" w:id="80"/>
      <w:bookmarkEnd w:id="80"/>
      <w:r>
        <w:rPr>
          <w:color w:val="4F81BC"/>
        </w:rPr>
        <w:t>E</w:t>
      </w:r>
      <w:r>
        <w:rPr>
          <w:color w:val="4F81BC"/>
        </w:rPr>
        <w:t>strategias de Control y</w:t>
      </w:r>
      <w:r>
        <w:rPr>
          <w:color w:val="4F81BC"/>
          <w:spacing w:val="-29"/>
        </w:rPr>
        <w:t> </w:t>
      </w:r>
      <w:r>
        <w:rPr>
          <w:color w:val="4F81BC"/>
        </w:rPr>
        <w:t>Mitigación</w:t>
      </w:r>
    </w:p>
    <w:p>
      <w:pPr>
        <w:pStyle w:val="BodyText"/>
        <w:rPr>
          <w:rFonts w:ascii="Cambria"/>
          <w:b/>
        </w:rPr>
      </w:pPr>
    </w:p>
    <w:p>
      <w:pPr>
        <w:pStyle w:val="BodyText"/>
        <w:spacing w:before="6"/>
        <w:rPr>
          <w:rFonts w:ascii="Cambria"/>
          <w:b/>
          <w:sz w:val="22"/>
        </w:rPr>
      </w:pPr>
    </w:p>
    <w:p>
      <w:pPr>
        <w:pStyle w:val="BodyText"/>
        <w:spacing w:line="360" w:lineRule="auto"/>
        <w:ind w:left="225" w:right="218"/>
        <w:jc w:val="both"/>
      </w:pPr>
      <w:r>
        <w:rPr/>
        <w:t>Finalmente </w:t>
      </w:r>
      <w:r>
        <w:rPr>
          <w:spacing w:val="-3"/>
        </w:rPr>
        <w:t>en el </w:t>
      </w:r>
      <w:r>
        <w:rPr/>
        <w:t>cuadro 14 se establecen las estrategias </w:t>
      </w:r>
      <w:r>
        <w:rPr>
          <w:spacing w:val="5"/>
        </w:rPr>
        <w:t>de </w:t>
      </w:r>
      <w:r>
        <w:rPr/>
        <w:t>control y mitigación, así como las acciones recomendables a seguir para fortalecer las acciones desarrolladas por </w:t>
      </w:r>
      <w:r>
        <w:rPr>
          <w:spacing w:val="-3"/>
        </w:rPr>
        <w:t>el </w:t>
      </w:r>
      <w:r>
        <w:rPr/>
        <w:t>Programa Aire Limpio </w:t>
      </w:r>
      <w:r>
        <w:rPr>
          <w:spacing w:val="2"/>
        </w:rPr>
        <w:t>del </w:t>
      </w:r>
      <w:r>
        <w:rPr>
          <w:spacing w:val="-3"/>
        </w:rPr>
        <w:t>Valle </w:t>
      </w:r>
      <w:r>
        <w:rPr/>
        <w:t>de Toluca y que de acuerdo a la revisión encuentran vinculación con la estrategia Nacional </w:t>
      </w:r>
      <w:r>
        <w:rPr>
          <w:spacing w:val="5"/>
        </w:rPr>
        <w:t>de</w:t>
      </w:r>
      <w:r>
        <w:rPr>
          <w:spacing w:val="-48"/>
        </w:rPr>
        <w:t> </w:t>
      </w:r>
      <w:r>
        <w:rPr/>
        <w:t>Cambio Climático.</w:t>
      </w:r>
    </w:p>
    <w:p>
      <w:pPr>
        <w:pStyle w:val="BodyText"/>
        <w:spacing w:before="10"/>
      </w:pPr>
    </w:p>
    <w:p>
      <w:pPr>
        <w:pStyle w:val="BodyText"/>
        <w:ind w:left="2162" w:right="204"/>
      </w:pPr>
      <w:r>
        <w:rPr/>
        <w:t>Cuadro 14. Estrategias de Control y Mitigación</w:t>
      </w:r>
    </w:p>
    <w:p>
      <w:pPr>
        <w:pStyle w:val="BodyText"/>
        <w:rPr>
          <w:sz w:val="20"/>
        </w:rPr>
      </w:pPr>
    </w:p>
    <w:p>
      <w:pPr>
        <w:pStyle w:val="BodyText"/>
        <w:spacing w:before="4"/>
        <w:rPr>
          <w:sz w:val="17"/>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77"/>
        <w:gridCol w:w="7485"/>
      </w:tblGrid>
      <w:tr>
        <w:trPr>
          <w:trHeight w:val="216" w:hRule="exact"/>
        </w:trPr>
        <w:tc>
          <w:tcPr>
            <w:tcW w:w="9062" w:type="dxa"/>
            <w:gridSpan w:val="2"/>
            <w:shd w:val="clear" w:color="auto" w:fill="8DB3E1"/>
          </w:tcPr>
          <w:p>
            <w:pPr>
              <w:pStyle w:val="TableParagraph"/>
              <w:spacing w:line="198" w:lineRule="exact"/>
              <w:ind w:left="3426" w:right="3402"/>
              <w:jc w:val="center"/>
              <w:rPr>
                <w:sz w:val="18"/>
              </w:rPr>
            </w:pPr>
            <w:r>
              <w:rPr>
                <w:sz w:val="18"/>
              </w:rPr>
              <w:t>Control</w:t>
            </w:r>
          </w:p>
        </w:tc>
      </w:tr>
      <w:tr>
        <w:trPr>
          <w:trHeight w:val="216" w:hRule="exact"/>
        </w:trPr>
        <w:tc>
          <w:tcPr>
            <w:tcW w:w="1577" w:type="dxa"/>
            <w:shd w:val="clear" w:color="auto" w:fill="DBE4F0"/>
          </w:tcPr>
          <w:p>
            <w:pPr>
              <w:pStyle w:val="TableParagraph"/>
              <w:spacing w:line="198" w:lineRule="exact"/>
              <w:ind w:left="92" w:right="79"/>
              <w:jc w:val="center"/>
              <w:rPr>
                <w:sz w:val="18"/>
              </w:rPr>
            </w:pPr>
            <w:r>
              <w:rPr>
                <w:sz w:val="18"/>
              </w:rPr>
              <w:t>Estrategia</w:t>
            </w:r>
          </w:p>
        </w:tc>
        <w:tc>
          <w:tcPr>
            <w:tcW w:w="7485" w:type="dxa"/>
            <w:shd w:val="clear" w:color="auto" w:fill="DBE4F0"/>
          </w:tcPr>
          <w:p>
            <w:pPr>
              <w:pStyle w:val="TableParagraph"/>
              <w:spacing w:line="198" w:lineRule="exact"/>
              <w:ind w:left="3358" w:right="3347"/>
              <w:jc w:val="center"/>
              <w:rPr>
                <w:sz w:val="18"/>
              </w:rPr>
            </w:pPr>
            <w:r>
              <w:rPr>
                <w:sz w:val="18"/>
              </w:rPr>
              <w:t>Acciones</w:t>
            </w:r>
          </w:p>
        </w:tc>
      </w:tr>
      <w:tr>
        <w:trPr>
          <w:trHeight w:val="1665" w:hRule="exact"/>
        </w:trPr>
        <w:tc>
          <w:tcPr>
            <w:tcW w:w="1577" w:type="dxa"/>
          </w:tcPr>
          <w:p>
            <w:pPr>
              <w:pStyle w:val="TableParagraph"/>
              <w:tabs>
                <w:tab w:pos="1166" w:val="left" w:leader="none"/>
              </w:tabs>
              <w:spacing w:line="242" w:lineRule="auto"/>
              <w:ind w:left="112" w:right="105"/>
              <w:rPr>
                <w:sz w:val="18"/>
              </w:rPr>
            </w:pPr>
            <w:r>
              <w:rPr>
                <w:spacing w:val="-3"/>
                <w:sz w:val="18"/>
              </w:rPr>
              <w:t>Impulsar </w:t>
            </w:r>
            <w:r>
              <w:rPr>
                <w:sz w:val="18"/>
              </w:rPr>
              <w:t>prácticas </w:t>
            </w:r>
            <w:r>
              <w:rPr>
                <w:spacing w:val="-3"/>
                <w:sz w:val="18"/>
              </w:rPr>
              <w:t>agrícolas</w:t>
              <w:tab/>
            </w:r>
            <w:r>
              <w:rPr>
                <w:spacing w:val="-5"/>
                <w:sz w:val="18"/>
              </w:rPr>
              <w:t>que</w:t>
            </w:r>
          </w:p>
          <w:p>
            <w:pPr>
              <w:pStyle w:val="TableParagraph"/>
              <w:tabs>
                <w:tab w:pos="1383" w:val="left" w:leader="none"/>
              </w:tabs>
              <w:ind w:left="112" w:right="91"/>
              <w:jc w:val="both"/>
              <w:rPr>
                <w:sz w:val="18"/>
              </w:rPr>
            </w:pPr>
            <w:r>
              <w:rPr>
                <w:sz w:val="18"/>
              </w:rPr>
              <w:t>preserven </w:t>
            </w:r>
            <w:r>
              <w:rPr>
                <w:spacing w:val="-5"/>
                <w:sz w:val="18"/>
              </w:rPr>
              <w:t>la </w:t>
            </w:r>
            <w:r>
              <w:rPr>
                <w:sz w:val="18"/>
              </w:rPr>
              <w:t>estructura </w:t>
            </w:r>
            <w:r>
              <w:rPr>
                <w:spacing w:val="-4"/>
                <w:sz w:val="18"/>
              </w:rPr>
              <w:t>de </w:t>
            </w:r>
            <w:r>
              <w:rPr>
                <w:spacing w:val="-3"/>
                <w:sz w:val="18"/>
              </w:rPr>
              <w:t>los </w:t>
            </w:r>
            <w:r>
              <w:rPr>
                <w:sz w:val="18"/>
              </w:rPr>
              <w:t>suelos</w:t>
              <w:tab/>
              <w:t>y</w:t>
            </w:r>
          </w:p>
          <w:p>
            <w:pPr>
              <w:pStyle w:val="TableParagraph"/>
              <w:tabs>
                <w:tab w:pos="1182" w:val="left" w:leader="none"/>
              </w:tabs>
              <w:spacing w:before="1"/>
              <w:ind w:left="112" w:right="100"/>
              <w:rPr>
                <w:sz w:val="18"/>
              </w:rPr>
            </w:pPr>
            <w:r>
              <w:rPr>
                <w:sz w:val="18"/>
              </w:rPr>
              <w:t>reducción</w:t>
              <w:tab/>
            </w:r>
            <w:r>
              <w:rPr>
                <w:spacing w:val="-1"/>
                <w:sz w:val="18"/>
              </w:rPr>
              <w:t>sus </w:t>
            </w:r>
            <w:r>
              <w:rPr>
                <w:sz w:val="18"/>
              </w:rPr>
              <w:t>emisiones.</w:t>
            </w:r>
          </w:p>
        </w:tc>
        <w:tc>
          <w:tcPr>
            <w:tcW w:w="7485" w:type="dxa"/>
          </w:tcPr>
          <w:p>
            <w:pPr>
              <w:pStyle w:val="TableParagraph"/>
              <w:spacing w:line="198" w:lineRule="exact"/>
              <w:ind w:left="103" w:right="90"/>
              <w:rPr>
                <w:sz w:val="18"/>
              </w:rPr>
            </w:pPr>
            <w:r>
              <w:rPr>
                <w:sz w:val="18"/>
              </w:rPr>
              <w:t>-Capacitar agricultores en uso de técnicas de labranza de   conservación</w:t>
            </w:r>
          </w:p>
          <w:p>
            <w:pPr>
              <w:pStyle w:val="TableParagraph"/>
              <w:spacing w:before="1"/>
              <w:ind w:left="103" w:right="90"/>
              <w:rPr>
                <w:sz w:val="18"/>
              </w:rPr>
            </w:pPr>
            <w:r>
              <w:rPr>
                <w:sz w:val="18"/>
              </w:rPr>
              <w:t>-Aplicación de abonos  orgánicos</w:t>
            </w:r>
          </w:p>
          <w:p>
            <w:pPr>
              <w:pStyle w:val="TableParagraph"/>
              <w:spacing w:before="1"/>
              <w:ind w:left="103" w:right="90"/>
              <w:rPr>
                <w:sz w:val="18"/>
              </w:rPr>
            </w:pPr>
            <w:r>
              <w:rPr>
                <w:sz w:val="18"/>
              </w:rPr>
              <w:t>-Establecimiento de  cortinas rompe vientos</w:t>
            </w:r>
          </w:p>
          <w:p>
            <w:pPr>
              <w:pStyle w:val="TableParagraph"/>
              <w:spacing w:before="1"/>
              <w:ind w:left="103" w:right="90"/>
              <w:rPr>
                <w:sz w:val="18"/>
              </w:rPr>
            </w:pPr>
            <w:r>
              <w:rPr>
                <w:sz w:val="18"/>
              </w:rPr>
              <w:t>-Impulso al desarrollo de policultivos</w:t>
            </w:r>
          </w:p>
        </w:tc>
      </w:tr>
      <w:tr>
        <w:trPr>
          <w:trHeight w:val="424" w:hRule="exact"/>
        </w:trPr>
        <w:tc>
          <w:tcPr>
            <w:tcW w:w="1577" w:type="dxa"/>
          </w:tcPr>
          <w:p>
            <w:pPr>
              <w:pStyle w:val="TableParagraph"/>
              <w:spacing w:line="206" w:lineRule="exact"/>
              <w:ind w:left="31" w:right="104"/>
              <w:jc w:val="center"/>
              <w:rPr>
                <w:sz w:val="18"/>
              </w:rPr>
            </w:pPr>
            <w:r>
              <w:rPr>
                <w:sz w:val="18"/>
              </w:rPr>
              <w:t>Industria Limpia</w:t>
            </w:r>
          </w:p>
        </w:tc>
        <w:tc>
          <w:tcPr>
            <w:tcW w:w="7485" w:type="dxa"/>
          </w:tcPr>
          <w:p>
            <w:pPr>
              <w:pStyle w:val="TableParagraph"/>
              <w:spacing w:line="206" w:lineRule="exact"/>
              <w:ind w:left="103" w:right="90"/>
              <w:rPr>
                <w:sz w:val="18"/>
              </w:rPr>
            </w:pPr>
            <w:r>
              <w:rPr>
                <w:sz w:val="18"/>
              </w:rPr>
              <w:t>-Fortalecer los procesos de auditoría  ambiental</w:t>
            </w:r>
          </w:p>
          <w:p>
            <w:pPr>
              <w:pStyle w:val="TableParagraph"/>
              <w:spacing w:before="1"/>
              <w:ind w:left="103" w:right="90"/>
              <w:rPr>
                <w:sz w:val="18"/>
              </w:rPr>
            </w:pPr>
            <w:r>
              <w:rPr>
                <w:sz w:val="18"/>
              </w:rPr>
              <w:t>-Fortalecer los estudios de inventarios de   emisiones</w:t>
            </w:r>
          </w:p>
        </w:tc>
      </w:tr>
      <w:tr>
        <w:trPr>
          <w:trHeight w:val="1465" w:hRule="exact"/>
        </w:trPr>
        <w:tc>
          <w:tcPr>
            <w:tcW w:w="1577" w:type="dxa"/>
          </w:tcPr>
          <w:p>
            <w:pPr>
              <w:pStyle w:val="TableParagraph"/>
              <w:spacing w:line="237" w:lineRule="auto" w:before="1"/>
              <w:ind w:left="112" w:right="606"/>
              <w:rPr>
                <w:sz w:val="18"/>
              </w:rPr>
            </w:pPr>
            <w:r>
              <w:rPr>
                <w:sz w:val="18"/>
              </w:rPr>
              <w:t>Control de procesos erosivos</w:t>
            </w:r>
          </w:p>
        </w:tc>
        <w:tc>
          <w:tcPr>
            <w:tcW w:w="7485" w:type="dxa"/>
          </w:tcPr>
          <w:p>
            <w:pPr>
              <w:pStyle w:val="TableParagraph"/>
              <w:ind w:left="103" w:right="90"/>
              <w:rPr>
                <w:sz w:val="18"/>
              </w:rPr>
            </w:pPr>
            <w:r>
              <w:rPr>
                <w:sz w:val="18"/>
              </w:rPr>
              <w:t>-Impulsar programas de preservación de ecosistemas mediante pagos por servicios ambientales</w:t>
            </w:r>
          </w:p>
          <w:p>
            <w:pPr>
              <w:pStyle w:val="TableParagraph"/>
              <w:ind w:left="103" w:right="90"/>
              <w:rPr>
                <w:sz w:val="18"/>
              </w:rPr>
            </w:pPr>
            <w:r>
              <w:rPr>
                <w:sz w:val="18"/>
              </w:rPr>
              <w:t>-Impulsar proyectos productivos de ecoturismo y aprovechamiento sustentable de recursos forestales</w:t>
            </w:r>
          </w:p>
          <w:p>
            <w:pPr>
              <w:pStyle w:val="TableParagraph"/>
              <w:spacing w:before="1"/>
              <w:ind w:left="103" w:right="90"/>
              <w:rPr>
                <w:sz w:val="18"/>
              </w:rPr>
            </w:pPr>
            <w:r>
              <w:rPr>
                <w:sz w:val="18"/>
              </w:rPr>
              <w:t>-Fortalecimiento de  programas  para el desarrollo de  plantaciones forestales</w:t>
            </w:r>
          </w:p>
          <w:p>
            <w:pPr>
              <w:pStyle w:val="TableParagraph"/>
              <w:spacing w:before="1"/>
              <w:ind w:left="103" w:right="209"/>
              <w:rPr>
                <w:sz w:val="18"/>
              </w:rPr>
            </w:pPr>
            <w:r>
              <w:rPr>
                <w:sz w:val="18"/>
              </w:rPr>
              <w:t>-Realizar la evaluación de campañas de reforestación y supervivencia de árboles plantados</w:t>
            </w:r>
          </w:p>
        </w:tc>
      </w:tr>
      <w:tr>
        <w:trPr>
          <w:trHeight w:val="1045" w:hRule="exact"/>
        </w:trPr>
        <w:tc>
          <w:tcPr>
            <w:tcW w:w="1577" w:type="dxa"/>
          </w:tcPr>
          <w:p>
            <w:pPr>
              <w:pStyle w:val="TableParagraph"/>
              <w:ind w:left="112" w:right="186"/>
              <w:rPr>
                <w:sz w:val="18"/>
              </w:rPr>
            </w:pPr>
            <w:r>
              <w:rPr>
                <w:sz w:val="18"/>
              </w:rPr>
              <w:t>Control de emisiones de fuentes móviles</w:t>
            </w:r>
          </w:p>
        </w:tc>
        <w:tc>
          <w:tcPr>
            <w:tcW w:w="7485" w:type="dxa"/>
          </w:tcPr>
          <w:p>
            <w:pPr>
              <w:pStyle w:val="TableParagraph"/>
              <w:spacing w:line="198" w:lineRule="exact"/>
              <w:ind w:left="103" w:right="90"/>
              <w:rPr>
                <w:sz w:val="18"/>
              </w:rPr>
            </w:pPr>
            <w:r>
              <w:rPr>
                <w:sz w:val="18"/>
              </w:rPr>
              <w:t>-Fortalecer el programa obligatorio de verificación  vehicular</w:t>
            </w:r>
          </w:p>
          <w:p>
            <w:pPr>
              <w:pStyle w:val="TableParagraph"/>
              <w:spacing w:before="1"/>
              <w:ind w:left="103" w:right="90"/>
              <w:rPr>
                <w:sz w:val="18"/>
              </w:rPr>
            </w:pPr>
            <w:r>
              <w:rPr>
                <w:sz w:val="18"/>
              </w:rPr>
              <w:t>-Retirar de circulación unidades que incumplan con la verificación y/o sean visiblemente contaminantes</w:t>
            </w:r>
          </w:p>
          <w:p>
            <w:pPr>
              <w:pStyle w:val="TableParagraph"/>
              <w:spacing w:line="200" w:lineRule="exact" w:before="10"/>
              <w:ind w:left="103" w:right="209"/>
              <w:rPr>
                <w:sz w:val="18"/>
              </w:rPr>
            </w:pPr>
            <w:r>
              <w:rPr>
                <w:sz w:val="18"/>
              </w:rPr>
              <w:t>-Incentivar </w:t>
            </w:r>
            <w:r>
              <w:rPr>
                <w:spacing w:val="-5"/>
                <w:sz w:val="18"/>
              </w:rPr>
              <w:t>la </w:t>
            </w:r>
            <w:r>
              <w:rPr>
                <w:sz w:val="18"/>
              </w:rPr>
              <w:t>renovación del </w:t>
            </w:r>
            <w:r>
              <w:rPr>
                <w:spacing w:val="-3"/>
                <w:sz w:val="18"/>
              </w:rPr>
              <w:t>parque </w:t>
            </w:r>
            <w:r>
              <w:rPr>
                <w:sz w:val="18"/>
              </w:rPr>
              <w:t>vehicular </w:t>
            </w:r>
            <w:r>
              <w:rPr>
                <w:spacing w:val="-3"/>
                <w:sz w:val="18"/>
              </w:rPr>
              <w:t>tanto  particular </w:t>
            </w:r>
            <w:r>
              <w:rPr>
                <w:sz w:val="18"/>
              </w:rPr>
              <w:t>como para el fines </w:t>
            </w:r>
            <w:r>
              <w:rPr>
                <w:spacing w:val="4"/>
                <w:sz w:val="18"/>
              </w:rPr>
              <w:t>de </w:t>
            </w:r>
            <w:r>
              <w:rPr>
                <w:sz w:val="18"/>
              </w:rPr>
              <w:t>carga   y transportes </w:t>
            </w:r>
            <w:r>
              <w:rPr>
                <w:spacing w:val="-4"/>
                <w:sz w:val="18"/>
              </w:rPr>
              <w:t>de </w:t>
            </w:r>
            <w:r>
              <w:rPr>
                <w:spacing w:val="-3"/>
                <w:sz w:val="18"/>
              </w:rPr>
              <w:t>pasajeros </w:t>
            </w:r>
            <w:r>
              <w:rPr>
                <w:spacing w:val="-4"/>
                <w:sz w:val="18"/>
              </w:rPr>
              <w:t>mediante </w:t>
            </w:r>
            <w:r>
              <w:rPr>
                <w:spacing w:val="-3"/>
                <w:sz w:val="18"/>
              </w:rPr>
              <w:t>estímulos </w:t>
            </w:r>
            <w:r>
              <w:rPr>
                <w:spacing w:val="30"/>
                <w:sz w:val="18"/>
              </w:rPr>
              <w:t> </w:t>
            </w:r>
            <w:r>
              <w:rPr>
                <w:sz w:val="18"/>
              </w:rPr>
              <w:t>fiscales</w:t>
            </w:r>
          </w:p>
        </w:tc>
      </w:tr>
      <w:tr>
        <w:trPr>
          <w:trHeight w:val="216" w:hRule="exact"/>
        </w:trPr>
        <w:tc>
          <w:tcPr>
            <w:tcW w:w="9062" w:type="dxa"/>
            <w:gridSpan w:val="2"/>
            <w:tcBorders>
              <w:bottom w:val="single" w:sz="6" w:space="0" w:color="FFFFFF"/>
            </w:tcBorders>
            <w:shd w:val="clear" w:color="auto" w:fill="8DB3E1"/>
          </w:tcPr>
          <w:p>
            <w:pPr>
              <w:pStyle w:val="TableParagraph"/>
              <w:spacing w:line="202" w:lineRule="exact"/>
              <w:ind w:left="3426" w:right="3398"/>
              <w:jc w:val="center"/>
              <w:rPr>
                <w:sz w:val="18"/>
              </w:rPr>
            </w:pPr>
            <w:r>
              <w:rPr>
                <w:sz w:val="18"/>
              </w:rPr>
              <w:t>Mitigación</w:t>
            </w:r>
          </w:p>
        </w:tc>
      </w:tr>
      <w:tr>
        <w:trPr>
          <w:trHeight w:val="220" w:hRule="exact"/>
        </w:trPr>
        <w:tc>
          <w:tcPr>
            <w:tcW w:w="1577" w:type="dxa"/>
            <w:tcBorders>
              <w:top w:val="single" w:sz="6" w:space="0" w:color="FFFFFF"/>
            </w:tcBorders>
            <w:shd w:val="clear" w:color="auto" w:fill="DBE4F0"/>
          </w:tcPr>
          <w:p>
            <w:pPr>
              <w:pStyle w:val="TableParagraph"/>
              <w:spacing w:line="198" w:lineRule="exact"/>
              <w:ind w:left="92" w:right="79"/>
              <w:jc w:val="center"/>
              <w:rPr>
                <w:sz w:val="18"/>
              </w:rPr>
            </w:pPr>
            <w:r>
              <w:rPr>
                <w:sz w:val="18"/>
              </w:rPr>
              <w:t>Estrategia</w:t>
            </w:r>
          </w:p>
        </w:tc>
        <w:tc>
          <w:tcPr>
            <w:tcW w:w="7485" w:type="dxa"/>
            <w:tcBorders>
              <w:top w:val="single" w:sz="6" w:space="0" w:color="FFFFFF"/>
            </w:tcBorders>
            <w:shd w:val="clear" w:color="auto" w:fill="DBE4F0"/>
          </w:tcPr>
          <w:p>
            <w:pPr>
              <w:pStyle w:val="TableParagraph"/>
              <w:spacing w:line="198" w:lineRule="exact"/>
              <w:ind w:left="3358" w:right="3347"/>
              <w:jc w:val="center"/>
              <w:rPr>
                <w:sz w:val="18"/>
              </w:rPr>
            </w:pPr>
            <w:r>
              <w:rPr>
                <w:sz w:val="18"/>
              </w:rPr>
              <w:t>Acciones</w:t>
            </w:r>
          </w:p>
        </w:tc>
      </w:tr>
      <w:tr>
        <w:trPr>
          <w:trHeight w:val="424" w:hRule="exact"/>
        </w:trPr>
        <w:tc>
          <w:tcPr>
            <w:tcW w:w="1577" w:type="dxa"/>
          </w:tcPr>
          <w:p>
            <w:pPr>
              <w:pStyle w:val="TableParagraph"/>
              <w:spacing w:line="198" w:lineRule="exact"/>
              <w:ind w:left="92" w:right="103"/>
              <w:jc w:val="center"/>
              <w:rPr>
                <w:sz w:val="18"/>
              </w:rPr>
            </w:pPr>
            <w:r>
              <w:rPr>
                <w:sz w:val="18"/>
              </w:rPr>
              <w:t>Energías limpias</w:t>
            </w:r>
          </w:p>
        </w:tc>
        <w:tc>
          <w:tcPr>
            <w:tcW w:w="7485" w:type="dxa"/>
          </w:tcPr>
          <w:p>
            <w:pPr>
              <w:pStyle w:val="TableParagraph"/>
              <w:spacing w:line="242" w:lineRule="auto"/>
              <w:ind w:left="103" w:right="90"/>
              <w:rPr>
                <w:sz w:val="18"/>
              </w:rPr>
            </w:pPr>
            <w:r>
              <w:rPr>
                <w:sz w:val="18"/>
              </w:rPr>
              <w:t>-Promover el uso de estufas ahorradoras de leña y calentadores solares que permitan la reducción en la quema de biomasa</w:t>
            </w:r>
          </w:p>
        </w:tc>
      </w:tr>
      <w:tr>
        <w:trPr>
          <w:trHeight w:val="624" w:hRule="exact"/>
        </w:trPr>
        <w:tc>
          <w:tcPr>
            <w:tcW w:w="1577" w:type="dxa"/>
          </w:tcPr>
          <w:p>
            <w:pPr>
              <w:pStyle w:val="TableParagraph"/>
              <w:ind w:left="112" w:right="496"/>
              <w:rPr>
                <w:sz w:val="18"/>
              </w:rPr>
            </w:pPr>
            <w:r>
              <w:rPr>
                <w:sz w:val="18"/>
              </w:rPr>
              <w:t>Forestación Urbana</w:t>
            </w:r>
          </w:p>
        </w:tc>
        <w:tc>
          <w:tcPr>
            <w:tcW w:w="7485" w:type="dxa"/>
          </w:tcPr>
          <w:p>
            <w:pPr>
              <w:pStyle w:val="TableParagraph"/>
              <w:ind w:left="103" w:right="90"/>
              <w:rPr>
                <w:sz w:val="18"/>
              </w:rPr>
            </w:pPr>
            <w:r>
              <w:rPr>
                <w:sz w:val="18"/>
              </w:rPr>
              <w:t>-Promover la forestación y naturación de áreas urbanas mediante la adecuación de áreas verdes, muros y azoteas verdes.</w:t>
            </w:r>
          </w:p>
          <w:p>
            <w:pPr>
              <w:pStyle w:val="TableParagraph"/>
              <w:spacing w:before="1"/>
              <w:ind w:left="103"/>
              <w:rPr>
                <w:sz w:val="18"/>
              </w:rPr>
            </w:pPr>
            <w:r>
              <w:rPr>
                <w:sz w:val="18"/>
              </w:rPr>
              <w:t>-Incentivar la arborización de calles y vialidades en bajo un esquema de estímulos  fiscales.</w:t>
            </w:r>
          </w:p>
        </w:tc>
      </w:tr>
      <w:tr>
        <w:trPr>
          <w:trHeight w:val="633" w:hRule="exact"/>
        </w:trPr>
        <w:tc>
          <w:tcPr>
            <w:tcW w:w="1577" w:type="dxa"/>
          </w:tcPr>
          <w:p>
            <w:pPr>
              <w:pStyle w:val="TableParagraph"/>
              <w:ind w:left="112" w:right="566"/>
              <w:rPr>
                <w:sz w:val="18"/>
              </w:rPr>
            </w:pPr>
            <w:r>
              <w:rPr>
                <w:sz w:val="18"/>
              </w:rPr>
              <w:t>Transporte Sostenible</w:t>
            </w:r>
          </w:p>
        </w:tc>
        <w:tc>
          <w:tcPr>
            <w:tcW w:w="7485" w:type="dxa"/>
          </w:tcPr>
          <w:p>
            <w:pPr>
              <w:pStyle w:val="TableParagraph"/>
              <w:spacing w:line="206" w:lineRule="exact"/>
              <w:ind w:left="103" w:right="90"/>
              <w:rPr>
                <w:sz w:val="18"/>
              </w:rPr>
            </w:pPr>
            <w:r>
              <w:rPr>
                <w:sz w:val="18"/>
              </w:rPr>
              <w:t>-Promover el uso de transportes libres de   emisiones</w:t>
            </w:r>
          </w:p>
          <w:p>
            <w:pPr>
              <w:pStyle w:val="TableParagraph"/>
              <w:spacing w:line="203" w:lineRule="exact" w:before="1"/>
              <w:ind w:left="103" w:right="90"/>
              <w:rPr>
                <w:sz w:val="18"/>
              </w:rPr>
            </w:pPr>
            <w:r>
              <w:rPr>
                <w:sz w:val="18"/>
              </w:rPr>
              <w:t>-Ampliar la infraestructura para la movilidad urbana mediante el uso de   bicicleta</w:t>
            </w:r>
          </w:p>
          <w:p>
            <w:pPr>
              <w:pStyle w:val="TableParagraph"/>
              <w:spacing w:line="203" w:lineRule="exact"/>
              <w:ind w:left="103" w:right="90"/>
              <w:rPr>
                <w:sz w:val="18"/>
              </w:rPr>
            </w:pPr>
            <w:r>
              <w:rPr>
                <w:sz w:val="18"/>
              </w:rPr>
              <w:t>-Promover la adecuación de áreas urbanas dando prioridad al peatón y al  ciclista</w:t>
            </w:r>
          </w:p>
        </w:tc>
      </w:tr>
      <w:tr>
        <w:trPr>
          <w:trHeight w:val="1465" w:hRule="exact"/>
        </w:trPr>
        <w:tc>
          <w:tcPr>
            <w:tcW w:w="1577" w:type="dxa"/>
          </w:tcPr>
          <w:p>
            <w:pPr>
              <w:pStyle w:val="TableParagraph"/>
              <w:spacing w:line="200" w:lineRule="exact" w:before="8"/>
              <w:ind w:left="112" w:right="246"/>
              <w:rPr>
                <w:sz w:val="18"/>
              </w:rPr>
            </w:pPr>
            <w:r>
              <w:rPr>
                <w:sz w:val="18"/>
              </w:rPr>
              <w:t>Protección a la salud</w:t>
            </w:r>
          </w:p>
        </w:tc>
        <w:tc>
          <w:tcPr>
            <w:tcW w:w="7485" w:type="dxa"/>
          </w:tcPr>
          <w:p>
            <w:pPr>
              <w:pStyle w:val="TableParagraph"/>
              <w:spacing w:line="200" w:lineRule="exact" w:before="8"/>
              <w:ind w:left="103" w:right="90"/>
              <w:rPr>
                <w:sz w:val="18"/>
              </w:rPr>
            </w:pPr>
            <w:r>
              <w:rPr>
                <w:sz w:val="18"/>
              </w:rPr>
              <w:t>-Mantener la vigilancia de admisiones a la salud por afecciones respiratorias y cardiovasculares</w:t>
            </w:r>
          </w:p>
          <w:p>
            <w:pPr>
              <w:pStyle w:val="TableParagraph"/>
              <w:ind w:left="103" w:right="90"/>
              <w:rPr>
                <w:sz w:val="18"/>
              </w:rPr>
            </w:pPr>
            <w:r>
              <w:rPr>
                <w:sz w:val="18"/>
              </w:rPr>
              <w:t>-Fomentar la forestación de escuelas para mitigar el efecto de los contaminantes en la población de edad escolar</w:t>
            </w:r>
          </w:p>
          <w:p>
            <w:pPr>
              <w:pStyle w:val="TableParagraph"/>
              <w:spacing w:before="1"/>
              <w:ind w:left="103" w:right="209"/>
              <w:rPr>
                <w:sz w:val="18"/>
              </w:rPr>
            </w:pPr>
            <w:r>
              <w:rPr>
                <w:sz w:val="18"/>
              </w:rPr>
              <w:t>-Desarrollar la programación de actividades al área libre en función de condiciones que regulen la exposición a altas concentraciones de partículas, durante el periodo seco y frío del año</w:t>
            </w:r>
          </w:p>
        </w:tc>
      </w:tr>
    </w:tbl>
    <w:p>
      <w:pPr>
        <w:spacing w:after="0"/>
        <w:rPr>
          <w:sz w:val="18"/>
        </w:rPr>
        <w:sectPr>
          <w:pgSz w:w="12240" w:h="15840"/>
          <w:pgMar w:header="0" w:footer="1001" w:top="1360" w:bottom="1200" w:left="1480" w:right="1480"/>
        </w:sectPr>
      </w:pPr>
    </w:p>
    <w:p>
      <w:pPr>
        <w:pStyle w:val="Heading1"/>
        <w:ind w:left="291"/>
      </w:pPr>
      <w:bookmarkStart w:name="_bookmark48" w:id="81"/>
      <w:bookmarkEnd w:id="81"/>
      <w:r>
        <w:rPr>
          <w:b w:val="0"/>
        </w:rPr>
      </w:r>
      <w:r>
        <w:rPr>
          <w:color w:val="365F91"/>
        </w:rPr>
        <w:t>Discusión General</w:t>
      </w:r>
    </w:p>
    <w:p>
      <w:pPr>
        <w:pStyle w:val="BodyText"/>
        <w:spacing w:before="7"/>
        <w:rPr>
          <w:rFonts w:ascii="Cambria"/>
          <w:b/>
          <w:sz w:val="28"/>
        </w:rPr>
      </w:pPr>
    </w:p>
    <w:p>
      <w:pPr>
        <w:pStyle w:val="BodyText"/>
        <w:spacing w:line="360" w:lineRule="auto"/>
        <w:ind w:left="105" w:right="108"/>
        <w:jc w:val="both"/>
      </w:pPr>
      <w:r>
        <w:rPr/>
        <w:t>El estudio expone que </w:t>
      </w:r>
      <w:r>
        <w:rPr>
          <w:spacing w:val="-3"/>
        </w:rPr>
        <w:t>en el </w:t>
      </w:r>
      <w:r>
        <w:rPr/>
        <w:t>período </w:t>
      </w:r>
      <w:r>
        <w:rPr>
          <w:spacing w:val="2"/>
        </w:rPr>
        <w:t>2011-2013, </w:t>
      </w:r>
      <w:r>
        <w:rPr/>
        <w:t>las concentraciones de partículas PM10 se han incrementado </w:t>
      </w:r>
      <w:r>
        <w:rPr>
          <w:spacing w:val="-3"/>
        </w:rPr>
        <w:t>en </w:t>
      </w:r>
      <w:r>
        <w:rPr/>
        <w:t>relación a los resultados obtenidos </w:t>
      </w:r>
      <w:r>
        <w:rPr>
          <w:spacing w:val="-3"/>
        </w:rPr>
        <w:t>en el </w:t>
      </w:r>
      <w:r>
        <w:rPr/>
        <w:t>período 1998-2005 (Flores, </w:t>
      </w:r>
      <w:r>
        <w:rPr>
          <w:spacing w:val="-3"/>
        </w:rPr>
        <w:t>et </w:t>
      </w:r>
      <w:r>
        <w:rPr/>
        <w:t>al., </w:t>
      </w:r>
      <w:r>
        <w:rPr>
          <w:spacing w:val="2"/>
        </w:rPr>
        <w:t>2010). </w:t>
      </w:r>
      <w:r>
        <w:rPr/>
        <w:t>En </w:t>
      </w:r>
      <w:r>
        <w:rPr>
          <w:spacing w:val="-3"/>
        </w:rPr>
        <w:t>el </w:t>
      </w:r>
      <w:r>
        <w:rPr/>
        <w:t>año 2011 </w:t>
      </w:r>
      <w:r>
        <w:rPr>
          <w:spacing w:val="-3"/>
        </w:rPr>
        <w:t>en </w:t>
      </w:r>
      <w:r>
        <w:rPr/>
        <w:t>las épocas seca fría, principalmente </w:t>
      </w:r>
      <w:r>
        <w:rPr>
          <w:spacing w:val="-3"/>
        </w:rPr>
        <w:t>en </w:t>
      </w:r>
      <w:r>
        <w:rPr/>
        <w:t>los meses de enero y febrero, e inicio </w:t>
      </w:r>
      <w:r>
        <w:rPr>
          <w:spacing w:val="5"/>
        </w:rPr>
        <w:t>de </w:t>
      </w:r>
      <w:r>
        <w:rPr/>
        <w:t>la época seca caliente </w:t>
      </w:r>
      <w:r>
        <w:rPr>
          <w:spacing w:val="-3"/>
        </w:rPr>
        <w:t>en </w:t>
      </w:r>
      <w:r>
        <w:rPr/>
        <w:t>marzo y abril, la condición del aire fue mala y muy mala con un </w:t>
      </w:r>
      <w:r>
        <w:rPr>
          <w:spacing w:val="3"/>
        </w:rPr>
        <w:t>índice </w:t>
      </w:r>
      <w:r>
        <w:rPr/>
        <w:t>IMECA de 101- 150 y 151 – 200; </w:t>
      </w:r>
      <w:r>
        <w:rPr>
          <w:spacing w:val="-3"/>
        </w:rPr>
        <w:t>en </w:t>
      </w:r>
      <w:r>
        <w:rPr/>
        <w:t>2012 </w:t>
      </w:r>
      <w:r>
        <w:rPr>
          <w:spacing w:val="-3"/>
        </w:rPr>
        <w:t>en </w:t>
      </w:r>
      <w:r>
        <w:rPr/>
        <w:t>las mismas épocas y meses, </w:t>
      </w:r>
      <w:r>
        <w:rPr>
          <w:spacing w:val="-3"/>
        </w:rPr>
        <w:t>el </w:t>
      </w:r>
      <w:r>
        <w:rPr/>
        <w:t>índice mostro una condición del aire de mala a regular, 101 – 150 y </w:t>
      </w:r>
      <w:r>
        <w:rPr>
          <w:spacing w:val="-3"/>
        </w:rPr>
        <w:t>51 </w:t>
      </w:r>
      <w:r>
        <w:rPr/>
        <w:t>– 100, y </w:t>
      </w:r>
      <w:r>
        <w:rPr>
          <w:spacing w:val="-3"/>
        </w:rPr>
        <w:t>en </w:t>
      </w:r>
      <w:r>
        <w:rPr/>
        <w:t>2013 </w:t>
      </w:r>
      <w:r>
        <w:rPr>
          <w:spacing w:val="-3"/>
        </w:rPr>
        <w:t>este </w:t>
      </w:r>
      <w:r>
        <w:rPr/>
        <w:t>patrón se repitió. </w:t>
      </w:r>
      <w:r>
        <w:rPr>
          <w:spacing w:val="3"/>
        </w:rPr>
        <w:t>Lo </w:t>
      </w:r>
      <w:r>
        <w:rPr/>
        <w:t>cual indica que </w:t>
      </w:r>
      <w:r>
        <w:rPr>
          <w:spacing w:val="-3"/>
        </w:rPr>
        <w:t>estas </w:t>
      </w:r>
      <w:r>
        <w:rPr/>
        <w:t>partículas contribuyen significativamente </w:t>
      </w:r>
      <w:r>
        <w:rPr>
          <w:spacing w:val="-3"/>
        </w:rPr>
        <w:t>en </w:t>
      </w:r>
      <w:r>
        <w:rPr/>
        <w:t>los niveles de contaminación atmosférica que alcanza la ciudad de Toluca </w:t>
      </w:r>
      <w:r>
        <w:rPr>
          <w:spacing w:val="-3"/>
        </w:rPr>
        <w:t>en </w:t>
      </w:r>
      <w:r>
        <w:rPr/>
        <w:t>la época seca y </w:t>
      </w:r>
      <w:r>
        <w:rPr>
          <w:spacing w:val="-3"/>
        </w:rPr>
        <w:t>en </w:t>
      </w:r>
      <w:r>
        <w:rPr/>
        <w:t>los meses de mayor temperatura, </w:t>
      </w:r>
      <w:r>
        <w:rPr>
          <w:spacing w:val="-3"/>
        </w:rPr>
        <w:t>en </w:t>
      </w:r>
      <w:r>
        <w:rPr/>
        <w:t>tanto que la contaminación declina </w:t>
      </w:r>
      <w:r>
        <w:rPr>
          <w:spacing w:val="-3"/>
        </w:rPr>
        <w:t>en </w:t>
      </w:r>
      <w:r>
        <w:rPr/>
        <w:t>la temporada de lluvia </w:t>
      </w:r>
      <w:r>
        <w:rPr>
          <w:spacing w:val="-3"/>
        </w:rPr>
        <w:t>en </w:t>
      </w:r>
      <w:r>
        <w:rPr/>
        <w:t>los meses de junio a octubre, </w:t>
      </w:r>
      <w:r>
        <w:rPr>
          <w:spacing w:val="-3"/>
        </w:rPr>
        <w:t>en </w:t>
      </w:r>
      <w:r>
        <w:rPr/>
        <w:t>estos </w:t>
      </w:r>
      <w:r>
        <w:rPr>
          <w:spacing w:val="-3"/>
        </w:rPr>
        <w:t>meses </w:t>
      </w:r>
      <w:r>
        <w:rPr/>
        <w:t>la calidad del aire </w:t>
      </w:r>
      <w:r>
        <w:rPr>
          <w:spacing w:val="2"/>
        </w:rPr>
        <w:t>fue </w:t>
      </w:r>
      <w:r>
        <w:rPr/>
        <w:t>de regular a</w:t>
      </w:r>
      <w:r>
        <w:rPr>
          <w:spacing w:val="-31"/>
        </w:rPr>
        <w:t> </w:t>
      </w:r>
      <w:r>
        <w:rPr/>
        <w:t>buena.</w:t>
      </w:r>
    </w:p>
    <w:p>
      <w:pPr>
        <w:pStyle w:val="BodyText"/>
        <w:spacing w:before="9"/>
      </w:pPr>
    </w:p>
    <w:p>
      <w:pPr>
        <w:pStyle w:val="BodyText"/>
        <w:spacing w:line="360" w:lineRule="auto"/>
        <w:ind w:left="105" w:right="110"/>
        <w:jc w:val="both"/>
      </w:pPr>
      <w:r>
        <w:rPr/>
        <w:t>Los resultados confirman que la contaminación por partículas PM 10 </w:t>
      </w:r>
      <w:r>
        <w:rPr>
          <w:spacing w:val="-3"/>
        </w:rPr>
        <w:t>en </w:t>
      </w:r>
      <w:r>
        <w:rPr/>
        <w:t>la Ciudad de Toluca, no </w:t>
      </w:r>
      <w:r>
        <w:rPr>
          <w:spacing w:val="-3"/>
        </w:rPr>
        <w:t>es </w:t>
      </w:r>
      <w:r>
        <w:rPr/>
        <w:t>homogénea, lo cual se debe a los factores meteorológicos, principalmente </w:t>
      </w:r>
      <w:r>
        <w:rPr>
          <w:spacing w:val="5"/>
        </w:rPr>
        <w:t>la </w:t>
      </w:r>
      <w:r>
        <w:rPr/>
        <w:t>precipitación que actúa como agente depurador y </w:t>
      </w:r>
      <w:r>
        <w:rPr>
          <w:spacing w:val="5"/>
        </w:rPr>
        <w:t>la </w:t>
      </w:r>
      <w:r>
        <w:rPr/>
        <w:t>temperatura que incrementa las concentraciones de partículas suspendidas. Estos factores presentaron fuerte correlación con los niveles </w:t>
      </w:r>
      <w:r>
        <w:rPr>
          <w:spacing w:val="5"/>
        </w:rPr>
        <w:t>de </w:t>
      </w:r>
      <w:r>
        <w:rPr/>
        <w:t>concentración de las partículas de la fracción respirable, </w:t>
      </w:r>
      <w:r>
        <w:rPr>
          <w:spacing w:val="3"/>
        </w:rPr>
        <w:t>la </w:t>
      </w:r>
      <w:r>
        <w:rPr/>
        <w:t>débil correlación de los vientos respecto </w:t>
      </w:r>
      <w:r>
        <w:rPr>
          <w:spacing w:val="-3"/>
        </w:rPr>
        <w:t>al </w:t>
      </w:r>
      <w:r>
        <w:rPr/>
        <w:t>incremento de las concentraciones de PM10, requiere </w:t>
      </w:r>
      <w:r>
        <w:rPr>
          <w:spacing w:val="5"/>
        </w:rPr>
        <w:t>de </w:t>
      </w:r>
      <w:r>
        <w:rPr/>
        <w:t>un estudio específico </w:t>
      </w:r>
      <w:r>
        <w:rPr>
          <w:spacing w:val="2"/>
        </w:rPr>
        <w:t>para </w:t>
      </w:r>
      <w:r>
        <w:rPr/>
        <w:t>descartar su influencia como determinante </w:t>
      </w:r>
      <w:r>
        <w:rPr>
          <w:spacing w:val="-3"/>
        </w:rPr>
        <w:t>en el </w:t>
      </w:r>
      <w:r>
        <w:rPr/>
        <w:t>caso </w:t>
      </w:r>
      <w:r>
        <w:rPr>
          <w:spacing w:val="5"/>
        </w:rPr>
        <w:t>de</w:t>
      </w:r>
      <w:r>
        <w:rPr>
          <w:spacing w:val="-23"/>
        </w:rPr>
        <w:t> </w:t>
      </w:r>
      <w:r>
        <w:rPr/>
        <w:t>estudio.</w:t>
      </w:r>
    </w:p>
    <w:p>
      <w:pPr>
        <w:pStyle w:val="BodyText"/>
        <w:spacing w:before="10"/>
      </w:pPr>
    </w:p>
    <w:p>
      <w:pPr>
        <w:pStyle w:val="BodyText"/>
        <w:spacing w:line="360" w:lineRule="auto"/>
        <w:ind w:left="105" w:right="115"/>
        <w:jc w:val="both"/>
      </w:pPr>
      <w:r>
        <w:rPr/>
        <w:t>En general la relación entre la distribución de la población y los niveles de concentración de la partículas PM 10, muestra una relación inversa. Esta relación identifica que mayor población, menor concentración de partículas suspendidas, este es el caso de las zonas 1 y 2 ubicadas al sur de la ciudad de Toluca, el caso opuesto se identificó en las zonas 3, 4 y 5, ubicadas al norte y noreste, en estas la población es menor y mayor la concentración de PM10.</w:t>
      </w:r>
    </w:p>
    <w:p>
      <w:pPr>
        <w:pStyle w:val="BodyText"/>
        <w:spacing w:before="2"/>
      </w:pPr>
    </w:p>
    <w:p>
      <w:pPr>
        <w:pStyle w:val="BodyText"/>
        <w:spacing w:line="362" w:lineRule="auto"/>
        <w:ind w:left="105" w:right="119"/>
        <w:jc w:val="both"/>
      </w:pPr>
      <w:r>
        <w:rPr/>
        <w:t>Aunque </w:t>
      </w:r>
      <w:r>
        <w:rPr>
          <w:spacing w:val="3"/>
        </w:rPr>
        <w:t>se </w:t>
      </w:r>
      <w:r>
        <w:rPr/>
        <w:t>identifican diferencias </w:t>
      </w:r>
      <w:r>
        <w:rPr>
          <w:spacing w:val="-3"/>
        </w:rPr>
        <w:t>en </w:t>
      </w:r>
      <w:r>
        <w:rPr/>
        <w:t>las concentraciones de PM 10, </w:t>
      </w:r>
      <w:r>
        <w:rPr>
          <w:spacing w:val="5"/>
        </w:rPr>
        <w:t>de </w:t>
      </w:r>
      <w:r>
        <w:rPr/>
        <w:t>acuerdo con los parámetros </w:t>
      </w:r>
      <w:r>
        <w:rPr>
          <w:spacing w:val="5"/>
        </w:rPr>
        <w:t>de </w:t>
      </w:r>
      <w:r>
        <w:rPr/>
        <w:t>calidad </w:t>
      </w:r>
      <w:r>
        <w:rPr>
          <w:spacing w:val="-3"/>
        </w:rPr>
        <w:t>el </w:t>
      </w:r>
      <w:r>
        <w:rPr/>
        <w:t>aire, todas las zonas presentan una condición</w:t>
      </w:r>
      <w:r>
        <w:rPr>
          <w:spacing w:val="62"/>
        </w:rPr>
        <w:t> </w:t>
      </w:r>
      <w:r>
        <w:rPr/>
        <w:t>de</w:t>
      </w:r>
    </w:p>
    <w:p>
      <w:pPr>
        <w:spacing w:after="0" w:line="362" w:lineRule="auto"/>
        <w:jc w:val="both"/>
        <w:sectPr>
          <w:footerReference w:type="default" r:id="rId65"/>
          <w:pgSz w:w="12240" w:h="15840"/>
          <w:pgMar w:footer="1001" w:header="0" w:top="1380" w:bottom="1200" w:left="1600" w:right="1580"/>
        </w:sectPr>
      </w:pPr>
    </w:p>
    <w:p>
      <w:pPr>
        <w:pStyle w:val="BodyText"/>
        <w:spacing w:line="360" w:lineRule="auto" w:before="48"/>
        <w:ind w:left="105" w:right="124"/>
        <w:jc w:val="both"/>
      </w:pPr>
      <w:r>
        <w:rPr/>
        <w:t>regular a mala. La población expuesta a la contaminación focaliza no sólo a los habitantes de cada una, sino principalmente a los estudiantes de niveles escolares diversos y la población que no habita en importantes centros de población urbana con actividad comercial y de servicios; como son, Metepec, Zinacantepec, San Mateo Atenco,.Lerma y el centro de la ciudad de Toluca, que se desplaza diariamente para el desarrollo de sus actividades laborales.</w:t>
      </w:r>
    </w:p>
    <w:p>
      <w:pPr>
        <w:pStyle w:val="BodyText"/>
        <w:spacing w:before="10"/>
      </w:pPr>
    </w:p>
    <w:p>
      <w:pPr>
        <w:pStyle w:val="BodyText"/>
        <w:spacing w:line="360" w:lineRule="auto"/>
        <w:ind w:left="105" w:right="118"/>
        <w:jc w:val="both"/>
      </w:pPr>
      <w:r>
        <w:rPr/>
        <w:t>Derivado del crecimiento urbano, es necesario optimizar y ampliar la Red Automática de Monitoreo Atmosférico, a fin de de fortalecer el monitoreo de la contaminación atmosférica y permitir su evaluación en los municpios que forman parte del Programa de para la Calidad del Aire de la Zona Metropolitana del Valle de Toluca y que hasta el moemento carecen de información sustancial de las condiciones prevalecientes en ellos.</w:t>
      </w:r>
    </w:p>
    <w:p>
      <w:pPr>
        <w:pStyle w:val="BodyText"/>
        <w:spacing w:before="10"/>
      </w:pPr>
    </w:p>
    <w:p>
      <w:pPr>
        <w:pStyle w:val="BodyText"/>
        <w:spacing w:line="360" w:lineRule="auto"/>
        <w:ind w:left="105" w:right="113"/>
        <w:jc w:val="both"/>
      </w:pPr>
      <w:r>
        <w:rPr/>
        <w:t>La tendencia de la calidad del aire a mantenerse por encima de los niveles aceptables, establecidos en la Norma Oficial Mexica SSA1-2014, exigen dar prioridad a establecer un programa de contingencia Ambiental y alerta temprana para la protección de la población expuesta. Si bien los prosesos erosivos deribados de la actividad agrícola contribuyen en las emisiones de partículas, son la quema de leña y la actividad industrial las principales fuentes de partículas en la zona de estudio.</w:t>
      </w:r>
    </w:p>
    <w:p>
      <w:pPr>
        <w:spacing w:after="0" w:line="360" w:lineRule="auto"/>
        <w:jc w:val="both"/>
        <w:sectPr>
          <w:footerReference w:type="default" r:id="rId66"/>
          <w:pgSz w:w="12240" w:h="15840"/>
          <w:pgMar w:footer="941" w:header="0" w:top="1360" w:bottom="1140" w:left="1600" w:right="1580"/>
          <w:pgNumType w:start="111"/>
        </w:sectPr>
      </w:pPr>
    </w:p>
    <w:p>
      <w:pPr>
        <w:pStyle w:val="Heading1"/>
      </w:pPr>
      <w:bookmarkStart w:name="_bookmark49" w:id="82"/>
      <w:bookmarkEnd w:id="82"/>
      <w:r>
        <w:rPr>
          <w:b w:val="0"/>
        </w:rPr>
      </w:r>
      <w:r>
        <w:rPr>
          <w:color w:val="365F91"/>
        </w:rPr>
        <w:t>Conclusiones</w:t>
      </w:r>
    </w:p>
    <w:p>
      <w:pPr>
        <w:pStyle w:val="BodyText"/>
        <w:spacing w:before="7"/>
        <w:rPr>
          <w:rFonts w:ascii="Cambria"/>
          <w:b/>
          <w:sz w:val="28"/>
        </w:rPr>
      </w:pPr>
    </w:p>
    <w:p>
      <w:pPr>
        <w:pStyle w:val="BodyText"/>
        <w:spacing w:line="360" w:lineRule="auto"/>
        <w:ind w:left="105" w:right="112"/>
        <w:jc w:val="both"/>
      </w:pPr>
      <w:r>
        <w:rPr/>
        <w:t>Los patrones espaciales de las partículas suspendidas (PM10) </w:t>
      </w:r>
      <w:r>
        <w:rPr>
          <w:spacing w:val="-3"/>
        </w:rPr>
        <w:t>en </w:t>
      </w:r>
      <w:r>
        <w:rPr/>
        <w:t>la ciudad de Toluca, </w:t>
      </w:r>
      <w:r>
        <w:rPr>
          <w:spacing w:val="-3"/>
        </w:rPr>
        <w:t>en el </w:t>
      </w:r>
      <w:r>
        <w:rPr/>
        <w:t>periodo </w:t>
      </w:r>
      <w:r>
        <w:rPr>
          <w:spacing w:val="2"/>
        </w:rPr>
        <w:t>2011-2013, </w:t>
      </w:r>
      <w:r>
        <w:rPr/>
        <w:t>plantean que la calidad del aire </w:t>
      </w:r>
      <w:r>
        <w:rPr>
          <w:spacing w:val="3"/>
        </w:rPr>
        <w:t>se </w:t>
      </w:r>
      <w:r>
        <w:rPr/>
        <w:t>mantuvo de mala a regular, de mantenerse estas condiciones de emisiones sin la aplicación de mecanismos regulatorios se mantendrán niveles por encima de </w:t>
      </w:r>
      <w:r>
        <w:rPr>
          <w:spacing w:val="5"/>
        </w:rPr>
        <w:t>la</w:t>
      </w:r>
      <w:r>
        <w:rPr>
          <w:spacing w:val="-49"/>
        </w:rPr>
        <w:t> </w:t>
      </w:r>
      <w:r>
        <w:rPr/>
        <w:t>norma.</w:t>
      </w:r>
    </w:p>
    <w:p>
      <w:pPr>
        <w:pStyle w:val="BodyText"/>
        <w:spacing w:before="10"/>
      </w:pPr>
    </w:p>
    <w:p>
      <w:pPr>
        <w:pStyle w:val="BodyText"/>
        <w:spacing w:line="360" w:lineRule="auto"/>
        <w:ind w:left="105" w:right="114"/>
        <w:jc w:val="both"/>
      </w:pPr>
      <w:r>
        <w:rPr/>
        <w:t>No obstante que las concentraciones de PM 10 </w:t>
      </w:r>
      <w:r>
        <w:rPr>
          <w:spacing w:val="-3"/>
        </w:rPr>
        <w:t>en </w:t>
      </w:r>
      <w:r>
        <w:rPr/>
        <w:t>las cinco zonas determinadas, presentan variaciones, los índices por arriba </w:t>
      </w:r>
      <w:r>
        <w:rPr>
          <w:spacing w:val="5"/>
        </w:rPr>
        <w:t>de </w:t>
      </w:r>
      <w:r>
        <w:rPr/>
        <w:t>los parámetros </w:t>
      </w:r>
      <w:r>
        <w:rPr>
          <w:spacing w:val="5"/>
        </w:rPr>
        <w:t>de </w:t>
      </w:r>
      <w:r>
        <w:rPr/>
        <w:t>una buena calidad del aire, advierten sobre la importancia </w:t>
      </w:r>
      <w:r>
        <w:rPr>
          <w:spacing w:val="5"/>
        </w:rPr>
        <w:t>de </w:t>
      </w:r>
      <w:r>
        <w:rPr/>
        <w:t>identificar las fuentes de  emisión e implementar medidas de control y mecanismos normativos </w:t>
      </w:r>
      <w:r>
        <w:rPr>
          <w:spacing w:val="3"/>
        </w:rPr>
        <w:t>para </w:t>
      </w:r>
      <w:r>
        <w:rPr/>
        <w:t>que desde </w:t>
      </w:r>
      <w:r>
        <w:rPr>
          <w:spacing w:val="-3"/>
        </w:rPr>
        <w:t>el </w:t>
      </w:r>
      <w:r>
        <w:rPr/>
        <w:t>origen se controlen las emisiones, así como estrategias de prevención diferencial para </w:t>
      </w:r>
      <w:r>
        <w:rPr>
          <w:spacing w:val="5"/>
        </w:rPr>
        <w:t>la </w:t>
      </w:r>
      <w:r>
        <w:rPr/>
        <w:t>población</w:t>
      </w:r>
      <w:r>
        <w:rPr>
          <w:spacing w:val="-39"/>
        </w:rPr>
        <w:t> </w:t>
      </w:r>
      <w:r>
        <w:rPr/>
        <w:t>expuesta.</w:t>
      </w:r>
    </w:p>
    <w:p>
      <w:pPr>
        <w:pStyle w:val="BodyText"/>
        <w:spacing w:before="10"/>
      </w:pPr>
    </w:p>
    <w:p>
      <w:pPr>
        <w:pStyle w:val="BodyText"/>
        <w:spacing w:line="357" w:lineRule="auto"/>
        <w:ind w:left="105" w:right="121"/>
        <w:jc w:val="both"/>
      </w:pPr>
      <w:r>
        <w:rPr/>
        <w:t>Para prevenir la exposición de la población vulnerable a las PM 10, </w:t>
      </w:r>
      <w:r>
        <w:rPr>
          <w:spacing w:val="-3"/>
        </w:rPr>
        <w:t>es  </w:t>
      </w:r>
      <w:r>
        <w:rPr/>
        <w:t>fundamental tomar </w:t>
      </w:r>
      <w:r>
        <w:rPr>
          <w:spacing w:val="-3"/>
        </w:rPr>
        <w:t>en </w:t>
      </w:r>
      <w:r>
        <w:rPr/>
        <w:t>consideración que las </w:t>
      </w:r>
      <w:r>
        <w:rPr>
          <w:spacing w:val="-3"/>
        </w:rPr>
        <w:t>altas </w:t>
      </w:r>
      <w:r>
        <w:rPr/>
        <w:t>concentraciones de </w:t>
      </w:r>
      <w:r>
        <w:rPr>
          <w:spacing w:val="-3"/>
        </w:rPr>
        <w:t>estas </w:t>
      </w:r>
      <w:r>
        <w:rPr/>
        <w:t>partículas </w:t>
      </w:r>
      <w:r>
        <w:rPr>
          <w:spacing w:val="3"/>
        </w:rPr>
        <w:t>se </w:t>
      </w:r>
      <w:r>
        <w:rPr/>
        <w:t>presentan </w:t>
      </w:r>
      <w:r>
        <w:rPr>
          <w:spacing w:val="-3"/>
        </w:rPr>
        <w:t>en </w:t>
      </w:r>
      <w:r>
        <w:rPr/>
        <w:t>horarios laborales y</w:t>
      </w:r>
      <w:r>
        <w:rPr>
          <w:spacing w:val="-23"/>
        </w:rPr>
        <w:t> </w:t>
      </w:r>
      <w:r>
        <w:rPr/>
        <w:t>escolares.</w:t>
      </w:r>
    </w:p>
    <w:p>
      <w:pPr>
        <w:pStyle w:val="BodyText"/>
        <w:spacing w:before="1"/>
        <w:rPr>
          <w:sz w:val="25"/>
        </w:rPr>
      </w:pPr>
    </w:p>
    <w:p>
      <w:pPr>
        <w:pStyle w:val="BodyText"/>
        <w:spacing w:line="360" w:lineRule="auto"/>
        <w:ind w:left="105" w:right="124"/>
        <w:jc w:val="both"/>
      </w:pPr>
      <w:r>
        <w:rPr/>
        <w:t>Es necesario avanzar en la cultura de la prevención, en principio a través del diseño de un programa de alerta temprana, que informe a la población sobre los riesgos que se presentan en las épocas seca y cálida del año, y las medidas de atención en condiciones de contingencia atmosférica.</w:t>
      </w:r>
    </w:p>
    <w:p>
      <w:pPr>
        <w:pStyle w:val="BodyText"/>
        <w:spacing w:before="10"/>
      </w:pPr>
    </w:p>
    <w:p>
      <w:pPr>
        <w:pStyle w:val="BodyText"/>
        <w:spacing w:line="360" w:lineRule="auto"/>
        <w:ind w:left="105" w:right="113"/>
        <w:jc w:val="both"/>
      </w:pPr>
      <w:r>
        <w:rPr/>
        <w:t>Los modelos geoestadisticos y los Sistemas </w:t>
      </w:r>
      <w:r>
        <w:rPr>
          <w:spacing w:val="5"/>
        </w:rPr>
        <w:t>de </w:t>
      </w:r>
      <w:r>
        <w:rPr/>
        <w:t>Información Geográfica, </w:t>
      </w:r>
      <w:r>
        <w:rPr>
          <w:spacing w:val="-3"/>
        </w:rPr>
        <w:t>fueron </w:t>
      </w:r>
      <w:r>
        <w:rPr/>
        <w:t>herramientas útiles para manejar gran cantidad </w:t>
      </w:r>
      <w:r>
        <w:rPr>
          <w:spacing w:val="5"/>
        </w:rPr>
        <w:t>de </w:t>
      </w:r>
      <w:r>
        <w:rPr/>
        <w:t>datos, modelar espacialmente las concentraciones de PM 10 e identificar las zonas críticas </w:t>
      </w:r>
      <w:r>
        <w:rPr>
          <w:spacing w:val="-3"/>
        </w:rPr>
        <w:t>en el </w:t>
      </w:r>
      <w:r>
        <w:rPr/>
        <w:t>área de estudio; sin embargo, las horas de trabajo invertidas para dar consistencia a la base de datos, sugiere la necesidad de mejorar la continuidad y la calidad de los registros, así como incorporar información sobre las fuentes de emisión, lo cual redundará  </w:t>
      </w:r>
      <w:r>
        <w:rPr>
          <w:spacing w:val="-3"/>
        </w:rPr>
        <w:t>en </w:t>
      </w:r>
      <w:r>
        <w:rPr/>
        <w:t>estudios longitudinales con series comparables, que coadyuvarán </w:t>
      </w:r>
      <w:r>
        <w:rPr>
          <w:spacing w:val="-3"/>
        </w:rPr>
        <w:t>en </w:t>
      </w:r>
      <w:r>
        <w:rPr/>
        <w:t>dar sustento a las políticas y estrategias de gestión para mejorar la calidad del aire y</w:t>
      </w:r>
      <w:r>
        <w:rPr>
          <w:spacing w:val="-43"/>
        </w:rPr>
        <w:t> </w:t>
      </w:r>
      <w:r>
        <w:rPr>
          <w:spacing w:val="5"/>
        </w:rPr>
        <w:t>la </w:t>
      </w:r>
      <w:r>
        <w:rPr/>
        <w:t>habitabilidad </w:t>
      </w:r>
      <w:r>
        <w:rPr>
          <w:spacing w:val="-3"/>
        </w:rPr>
        <w:t>en </w:t>
      </w:r>
      <w:r>
        <w:rPr/>
        <w:t>la ciudad de</w:t>
      </w:r>
      <w:r>
        <w:rPr>
          <w:spacing w:val="-15"/>
        </w:rPr>
        <w:t> </w:t>
      </w:r>
      <w:r>
        <w:rPr/>
        <w:t>Toluca.</w:t>
      </w:r>
    </w:p>
    <w:p>
      <w:pPr>
        <w:spacing w:after="0" w:line="360" w:lineRule="auto"/>
        <w:jc w:val="both"/>
        <w:sectPr>
          <w:pgSz w:w="12240" w:h="15840"/>
          <w:pgMar w:header="0" w:footer="941" w:top="1380" w:bottom="1200" w:left="1600" w:right="1580"/>
        </w:sectPr>
      </w:pPr>
    </w:p>
    <w:p>
      <w:pPr>
        <w:pStyle w:val="BodyText"/>
        <w:spacing w:line="360" w:lineRule="auto" w:before="48"/>
        <w:ind w:left="105" w:right="117"/>
        <w:jc w:val="both"/>
      </w:pPr>
      <w:r>
        <w:rPr/>
        <w:t>La consolidación de un programa de Contingencia Ambiental y Alerta temprana permitirá a la población reducir el riesgo de afectación por la condiciones de calidad del aire a las cuales se ve expuesta, al tiempo de repercutir en acciones de mitigación y control de emisiones de partículas.</w:t>
      </w:r>
    </w:p>
    <w:p>
      <w:pPr>
        <w:pStyle w:val="BodyText"/>
        <w:spacing w:before="10"/>
      </w:pPr>
    </w:p>
    <w:p>
      <w:pPr>
        <w:pStyle w:val="BodyText"/>
        <w:spacing w:line="360" w:lineRule="auto"/>
        <w:ind w:left="105" w:right="118"/>
        <w:jc w:val="both"/>
      </w:pPr>
      <w:r>
        <w:rPr/>
        <w:t>Es importante señalar que si bien la dirección de los vientos juegan un papel preponderante en la circulación y concentración de las partículas, la relación de la velocidad de los vientos y su efecto en las concentraciones fue menor a lo esperado, por lo cual este factor si bien puede incidir en los procesos erosivos no es sustancial en la explicación de la problemática de la zona metropolitana de Toluca, por lo cual deben establecerse líneas de investigación encaminadas al control y mitigación de las fuentes de área que contribuyen en mayor medida en la contaminación atmosférica de la zona de estudio.</w:t>
      </w:r>
    </w:p>
    <w:p>
      <w:pPr>
        <w:spacing w:after="0" w:line="360" w:lineRule="auto"/>
        <w:jc w:val="both"/>
        <w:sectPr>
          <w:pgSz w:w="12240" w:h="15840"/>
          <w:pgMar w:header="0" w:footer="941" w:top="1360" w:bottom="1200" w:left="1600" w:right="1580"/>
        </w:sectPr>
      </w:pPr>
    </w:p>
    <w:p>
      <w:pPr>
        <w:pStyle w:val="Heading1"/>
        <w:ind w:left="2602" w:right="0"/>
        <w:jc w:val="left"/>
      </w:pPr>
      <w:bookmarkStart w:name="_bookmark50" w:id="83"/>
      <w:bookmarkEnd w:id="83"/>
      <w:r>
        <w:rPr>
          <w:b w:val="0"/>
        </w:rPr>
      </w:r>
      <w:r>
        <w:rPr>
          <w:color w:val="365F91"/>
        </w:rPr>
        <w:t>Referencias Bibliográficas</w:t>
      </w:r>
    </w:p>
    <w:p>
      <w:pPr>
        <w:pStyle w:val="BodyText"/>
        <w:rPr>
          <w:rFonts w:ascii="Cambria"/>
          <w:b/>
          <w:sz w:val="32"/>
        </w:rPr>
      </w:pPr>
    </w:p>
    <w:p>
      <w:pPr>
        <w:spacing w:line="256" w:lineRule="exact" w:before="205"/>
        <w:ind w:left="825" w:right="119" w:hanging="721"/>
        <w:jc w:val="left"/>
        <w:rPr>
          <w:rFonts w:ascii="Calibri"/>
          <w:sz w:val="22"/>
        </w:rPr>
      </w:pPr>
      <w:r>
        <w:rPr>
          <w:rFonts w:ascii="Calibri"/>
          <w:sz w:val="22"/>
        </w:rPr>
        <w:t>Al-Saadi, J., Szykman, J., Pierce, B., &amp; Kittaka, C. (2005). Improving National Air quali ty forecasts with satellite aerosol observations. </w:t>
      </w:r>
      <w:r>
        <w:rPr>
          <w:rFonts w:ascii="Calibri"/>
          <w:i/>
          <w:sz w:val="22"/>
        </w:rPr>
        <w:t>BAMS, </w:t>
      </w:r>
      <w:r>
        <w:rPr>
          <w:rFonts w:ascii="Calibri"/>
          <w:sz w:val="22"/>
        </w:rPr>
        <w:t>124  129-1261.</w:t>
      </w:r>
    </w:p>
    <w:p>
      <w:pPr>
        <w:spacing w:line="235" w:lineRule="auto" w:before="23"/>
        <w:ind w:left="825" w:right="476" w:hanging="721"/>
        <w:jc w:val="left"/>
        <w:rPr>
          <w:rFonts w:ascii="Calibri" w:hAnsi="Calibri"/>
          <w:sz w:val="22"/>
        </w:rPr>
      </w:pPr>
      <w:r>
        <w:rPr>
          <w:rFonts w:ascii="Calibri" w:hAnsi="Calibri"/>
          <w:sz w:val="22"/>
        </w:rPr>
        <w:t>Allende, D., Mulena, P., &amp; Puliafito, E. (2012). Transporte de Aerosoles Generados por Erosión durante fuertes vientos: Un estudio de Modelado. </w:t>
      </w:r>
      <w:r>
        <w:rPr>
          <w:rFonts w:ascii="Calibri" w:hAnsi="Calibri"/>
          <w:i/>
          <w:sz w:val="22"/>
        </w:rPr>
        <w:t>Avences en Energías Renovables y </w:t>
      </w:r>
      <w:r>
        <w:rPr>
          <w:rFonts w:ascii="Calibri" w:hAnsi="Calibri"/>
          <w:i/>
          <w:sz w:val="22"/>
        </w:rPr>
        <w:t>Medio Ambiente, 16,  </w:t>
      </w:r>
      <w:r>
        <w:rPr>
          <w:rFonts w:ascii="Calibri" w:hAnsi="Calibri"/>
          <w:sz w:val="22"/>
        </w:rPr>
        <w:t>15-21.</w:t>
      </w:r>
    </w:p>
    <w:p>
      <w:pPr>
        <w:spacing w:before="4"/>
        <w:ind w:left="105" w:right="0" w:firstLine="0"/>
        <w:jc w:val="left"/>
        <w:rPr>
          <w:rFonts w:ascii="Calibri" w:hAnsi="Calibri"/>
          <w:sz w:val="22"/>
        </w:rPr>
      </w:pPr>
      <w:r>
        <w:rPr>
          <w:rFonts w:ascii="Calibri" w:hAnsi="Calibri"/>
          <w:sz w:val="22"/>
        </w:rPr>
        <w:t>Alvira, F. (1996). </w:t>
      </w:r>
      <w:r>
        <w:rPr>
          <w:rFonts w:ascii="Calibri" w:hAnsi="Calibri"/>
          <w:i/>
          <w:sz w:val="22"/>
        </w:rPr>
        <w:t>El análisis de la realidad social. Métodos y técnicas de investigación</w:t>
      </w:r>
      <w:r>
        <w:rPr>
          <w:rFonts w:ascii="Calibri" w:hAnsi="Calibri"/>
          <w:sz w:val="22"/>
        </w:rPr>
        <w:t>. Madrid.</w:t>
      </w:r>
    </w:p>
    <w:p>
      <w:pPr>
        <w:spacing w:line="264" w:lineRule="exact" w:before="1"/>
        <w:ind w:left="825" w:right="0" w:hanging="721"/>
        <w:jc w:val="left"/>
        <w:rPr>
          <w:rFonts w:ascii="Calibri" w:hAnsi="Calibri"/>
          <w:sz w:val="22"/>
        </w:rPr>
      </w:pPr>
      <w:r>
        <w:rPr>
          <w:rFonts w:ascii="Calibri" w:hAnsi="Calibri"/>
          <w:sz w:val="22"/>
        </w:rPr>
        <w:t>Arciniégas, S., César Augusto. (2012). Diagnóstico y control de material particulado: Partículas suspendidas totales y fracciones respirables PM10. </w:t>
      </w:r>
      <w:r>
        <w:rPr>
          <w:rFonts w:ascii="Calibri" w:hAnsi="Calibri"/>
          <w:i/>
          <w:sz w:val="22"/>
        </w:rPr>
        <w:t>Luna Azul, 34,   </w:t>
      </w:r>
      <w:r>
        <w:rPr>
          <w:rFonts w:ascii="Calibri" w:hAnsi="Calibri"/>
          <w:sz w:val="22"/>
        </w:rPr>
        <w:t>195-213.</w:t>
      </w:r>
    </w:p>
    <w:p>
      <w:pPr>
        <w:spacing w:line="240" w:lineRule="auto" w:before="10"/>
        <w:ind w:left="825" w:right="0" w:hanging="721"/>
        <w:jc w:val="left"/>
        <w:rPr>
          <w:rFonts w:ascii="Calibri"/>
          <w:sz w:val="22"/>
        </w:rPr>
      </w:pPr>
      <w:r>
        <w:rPr>
          <w:rFonts w:ascii="Calibri"/>
          <w:sz w:val="22"/>
        </w:rPr>
        <w:t>Ashworth, D. C., Fuller, G. W., Toledano, M. B., Font, A., Elliott, P., Hansell, A. L., &amp; De Hoogh, K. (2013). Comparative assessment of particulate air pollution exposure from municipal solid waste incinerator emissions. </w:t>
      </w:r>
      <w:r>
        <w:rPr>
          <w:rFonts w:ascii="Calibri"/>
          <w:i/>
          <w:sz w:val="22"/>
        </w:rPr>
        <w:t>Journal of Environmental and Public Health, 2013</w:t>
      </w:r>
      <w:r>
        <w:rPr>
          <w:rFonts w:ascii="Calibri"/>
          <w:sz w:val="22"/>
        </w:rPr>
        <w:t>. doi:10.1155/2013/560342</w:t>
      </w:r>
    </w:p>
    <w:p>
      <w:pPr>
        <w:spacing w:line="240" w:lineRule="auto" w:before="0"/>
        <w:ind w:left="825" w:right="164" w:hanging="721"/>
        <w:jc w:val="left"/>
        <w:rPr>
          <w:rFonts w:ascii="Calibri"/>
          <w:sz w:val="22"/>
        </w:rPr>
      </w:pPr>
      <w:r>
        <w:rPr>
          <w:rFonts w:ascii="Calibri"/>
          <w:sz w:val="22"/>
        </w:rPr>
        <w:t>Auras, M., Beer, S., Bundschuh, P., Eichhorn, J., Mach, M., Scheuvens, D., . . . Weinbruch, S. (2013). Traffic-related immissions and their impact on historic buildings: Implications from a pilot study at two German cities. </w:t>
      </w:r>
      <w:r>
        <w:rPr>
          <w:rFonts w:ascii="Calibri"/>
          <w:i/>
          <w:sz w:val="22"/>
        </w:rPr>
        <w:t>Environmental Earth Sciences, 69</w:t>
      </w:r>
      <w:r>
        <w:rPr>
          <w:rFonts w:ascii="Calibri"/>
          <w:sz w:val="22"/>
        </w:rPr>
        <w:t>(4), 1135-1147. doi:10.1007/s12665-013-2276-4</w:t>
      </w:r>
    </w:p>
    <w:p>
      <w:pPr>
        <w:spacing w:line="256" w:lineRule="exact" w:before="8"/>
        <w:ind w:left="825" w:right="0" w:hanging="721"/>
        <w:jc w:val="left"/>
        <w:rPr>
          <w:rFonts w:ascii="Calibri" w:hAnsi="Calibri"/>
          <w:sz w:val="22"/>
        </w:rPr>
      </w:pPr>
      <w:r>
        <w:rPr>
          <w:rFonts w:ascii="Calibri" w:hAnsi="Calibri"/>
          <w:sz w:val="22"/>
        </w:rPr>
        <w:t>Barón, L., A. (2003). Modelos Geoespaciales de la distribución de las variables climatológicas en el territorio  colombiano.  </w:t>
      </w:r>
      <w:r>
        <w:rPr>
          <w:rFonts w:ascii="Calibri" w:hAnsi="Calibri"/>
          <w:i/>
          <w:sz w:val="22"/>
        </w:rPr>
        <w:t>Meteorología  Colombiana, 7, </w:t>
      </w:r>
      <w:r>
        <w:rPr>
          <w:rFonts w:ascii="Calibri" w:hAnsi="Calibri"/>
          <w:sz w:val="22"/>
        </w:rPr>
        <w:t>81-89.</w:t>
      </w:r>
    </w:p>
    <w:p>
      <w:pPr>
        <w:spacing w:line="240" w:lineRule="auto" w:before="19"/>
        <w:ind w:left="825" w:right="206" w:hanging="721"/>
        <w:jc w:val="both"/>
        <w:rPr>
          <w:rFonts w:ascii="Calibri"/>
          <w:sz w:val="22"/>
        </w:rPr>
      </w:pPr>
      <w:r>
        <w:rPr>
          <w:rFonts w:ascii="Calibri"/>
          <w:spacing w:val="-4"/>
          <w:sz w:val="22"/>
        </w:rPr>
        <w:t>Benas, N., </w:t>
      </w:r>
      <w:r>
        <w:rPr>
          <w:rFonts w:ascii="Calibri"/>
          <w:spacing w:val="-3"/>
          <w:sz w:val="22"/>
        </w:rPr>
        <w:t>Beloconi, </w:t>
      </w:r>
      <w:r>
        <w:rPr>
          <w:rFonts w:ascii="Calibri"/>
          <w:sz w:val="22"/>
        </w:rPr>
        <w:t>A., &amp; </w:t>
      </w:r>
      <w:r>
        <w:rPr>
          <w:rFonts w:ascii="Calibri"/>
          <w:spacing w:val="-3"/>
          <w:sz w:val="22"/>
        </w:rPr>
        <w:t>Chrysoulakis, </w:t>
      </w:r>
      <w:r>
        <w:rPr>
          <w:rFonts w:ascii="Calibri"/>
          <w:spacing w:val="-5"/>
          <w:sz w:val="22"/>
        </w:rPr>
        <w:t>N. </w:t>
      </w:r>
      <w:r>
        <w:rPr>
          <w:rFonts w:ascii="Calibri"/>
          <w:sz w:val="22"/>
        </w:rPr>
        <w:t>(2013). </w:t>
      </w:r>
      <w:r>
        <w:rPr>
          <w:rFonts w:ascii="Calibri"/>
          <w:spacing w:val="-3"/>
          <w:sz w:val="22"/>
        </w:rPr>
        <w:t>Estimation </w:t>
      </w:r>
      <w:r>
        <w:rPr>
          <w:rFonts w:ascii="Calibri"/>
          <w:spacing w:val="-4"/>
          <w:sz w:val="22"/>
        </w:rPr>
        <w:t>of </w:t>
      </w:r>
      <w:r>
        <w:rPr>
          <w:rFonts w:ascii="Calibri"/>
          <w:spacing w:val="-3"/>
          <w:sz w:val="22"/>
        </w:rPr>
        <w:t>urban </w:t>
      </w:r>
      <w:r>
        <w:rPr>
          <w:rFonts w:ascii="Calibri"/>
          <w:sz w:val="22"/>
        </w:rPr>
        <w:t>PM10 </w:t>
      </w:r>
      <w:r>
        <w:rPr>
          <w:rFonts w:ascii="Calibri"/>
          <w:spacing w:val="-3"/>
          <w:sz w:val="22"/>
        </w:rPr>
        <w:t>concentration, based  </w:t>
      </w:r>
      <w:r>
        <w:rPr>
          <w:rFonts w:ascii="Calibri"/>
          <w:spacing w:val="-4"/>
          <w:sz w:val="22"/>
        </w:rPr>
        <w:t>on </w:t>
      </w:r>
      <w:r>
        <w:rPr>
          <w:rFonts w:ascii="Calibri"/>
          <w:sz w:val="22"/>
        </w:rPr>
        <w:t>MODIS and </w:t>
      </w:r>
      <w:r>
        <w:rPr>
          <w:rFonts w:ascii="Calibri"/>
          <w:spacing w:val="-3"/>
          <w:sz w:val="22"/>
        </w:rPr>
        <w:t>MERIS/AATSR </w:t>
      </w:r>
      <w:r>
        <w:rPr>
          <w:rFonts w:ascii="Calibri"/>
          <w:sz w:val="22"/>
        </w:rPr>
        <w:t>synergistic </w:t>
      </w:r>
      <w:r>
        <w:rPr>
          <w:rFonts w:ascii="Calibri"/>
          <w:spacing w:val="-3"/>
          <w:sz w:val="22"/>
        </w:rPr>
        <w:t>observations. </w:t>
      </w:r>
      <w:r>
        <w:rPr>
          <w:rFonts w:ascii="Calibri"/>
          <w:i/>
          <w:spacing w:val="-3"/>
          <w:sz w:val="22"/>
        </w:rPr>
        <w:t>Atmospheric Environment, </w:t>
      </w:r>
      <w:r>
        <w:rPr>
          <w:rFonts w:ascii="Calibri"/>
          <w:i/>
          <w:sz w:val="22"/>
        </w:rPr>
        <w:t>79</w:t>
      </w:r>
      <w:r>
        <w:rPr>
          <w:rFonts w:ascii="Calibri"/>
          <w:sz w:val="22"/>
        </w:rPr>
        <w:t>, 448- 454. </w:t>
      </w:r>
      <w:r>
        <w:rPr>
          <w:rFonts w:ascii="Calibri"/>
          <w:spacing w:val="27"/>
          <w:sz w:val="22"/>
        </w:rPr>
        <w:t> </w:t>
      </w:r>
      <w:r>
        <w:rPr>
          <w:rFonts w:ascii="Calibri"/>
          <w:spacing w:val="-3"/>
          <w:sz w:val="22"/>
        </w:rPr>
        <w:t>doi:10.1016/j.atmosenv.2013.07.012</w:t>
      </w:r>
    </w:p>
    <w:p>
      <w:pPr>
        <w:spacing w:line="256" w:lineRule="exact" w:before="8"/>
        <w:ind w:left="825" w:right="0" w:hanging="721"/>
        <w:jc w:val="left"/>
        <w:rPr>
          <w:rFonts w:ascii="Calibri" w:hAnsi="Calibri"/>
          <w:sz w:val="22"/>
        </w:rPr>
      </w:pPr>
      <w:r>
        <w:rPr>
          <w:rFonts w:ascii="Calibri" w:hAnsi="Calibri"/>
          <w:sz w:val="22"/>
        </w:rPr>
        <w:t>Botero, S. (2004). Contaminación por partículas suspendidas totales en las comunas 6 y 7 de Cali, Colombia. </w:t>
      </w:r>
      <w:r>
        <w:rPr>
          <w:rFonts w:ascii="Calibri" w:hAnsi="Calibri"/>
          <w:i/>
          <w:sz w:val="22"/>
        </w:rPr>
        <w:t>Ingeniería de Recursos Naturales y del Ambiente, 1,   </w:t>
      </w:r>
      <w:r>
        <w:rPr>
          <w:rFonts w:ascii="Calibri" w:hAnsi="Calibri"/>
          <w:sz w:val="22"/>
        </w:rPr>
        <w:t>24-32.</w:t>
      </w:r>
    </w:p>
    <w:p>
      <w:pPr>
        <w:spacing w:line="242" w:lineRule="auto" w:before="11"/>
        <w:ind w:left="825" w:right="0" w:hanging="721"/>
        <w:jc w:val="left"/>
        <w:rPr>
          <w:rFonts w:ascii="Calibri" w:hAnsi="Calibri"/>
          <w:sz w:val="22"/>
        </w:rPr>
      </w:pPr>
      <w:r>
        <w:rPr>
          <w:rFonts w:ascii="Calibri" w:hAnsi="Calibri"/>
          <w:sz w:val="22"/>
        </w:rPr>
        <w:t>Campos, A. (2006). </w:t>
      </w:r>
      <w:r>
        <w:rPr>
          <w:rFonts w:ascii="Calibri" w:hAnsi="Calibri"/>
          <w:i/>
          <w:sz w:val="22"/>
        </w:rPr>
        <w:t>Evaluación de partículas atmosféricas pst y pm10 en la ciudad de chihuahua, </w:t>
      </w:r>
      <w:r>
        <w:rPr>
          <w:rFonts w:ascii="Calibri" w:hAnsi="Calibri"/>
          <w:i/>
          <w:sz w:val="22"/>
        </w:rPr>
        <w:t>méxico: niveles de concentración. </w:t>
      </w:r>
      <w:r>
        <w:rPr>
          <w:rFonts w:ascii="Calibri" w:hAnsi="Calibri"/>
          <w:sz w:val="22"/>
        </w:rPr>
        <w:t>(Doctorado), Universidad Autónoma de Chihuahua, México.</w:t>
      </w:r>
    </w:p>
    <w:p>
      <w:pPr>
        <w:spacing w:line="244" w:lineRule="auto" w:before="0"/>
        <w:ind w:left="825" w:right="0" w:hanging="721"/>
        <w:jc w:val="left"/>
        <w:rPr>
          <w:rFonts w:ascii="Calibri" w:hAnsi="Calibri"/>
          <w:sz w:val="22"/>
        </w:rPr>
      </w:pPr>
      <w:r>
        <w:rPr>
          <w:rFonts w:ascii="Calibri" w:hAnsi="Calibri"/>
          <w:sz w:val="22"/>
        </w:rPr>
        <w:t>CCA. (2008). Partículas suspendidas. El mosaico de América del Norte: panorama de los problemas ambientales  más relevantes.</w:t>
      </w:r>
    </w:p>
    <w:p>
      <w:pPr>
        <w:spacing w:line="235" w:lineRule="auto" w:before="2"/>
        <w:ind w:left="825" w:right="0" w:hanging="721"/>
        <w:jc w:val="left"/>
        <w:rPr>
          <w:rFonts w:ascii="Calibri"/>
          <w:sz w:val="22"/>
        </w:rPr>
      </w:pPr>
      <w:r>
        <w:rPr>
          <w:rFonts w:ascii="Calibri"/>
          <w:sz w:val="22"/>
        </w:rPr>
        <w:t>Chan, Y., Simpson, R., Mctainsh, G., Vowles, P., &amp; Cohen, D. (1999). Source apportionment of visibility degradation problems in Brisbane (Australia) using the multiple linear regression techniques  </w:t>
      </w:r>
      <w:r>
        <w:rPr>
          <w:rFonts w:ascii="Calibri"/>
          <w:i/>
          <w:sz w:val="22"/>
        </w:rPr>
        <w:t>Atmospheric  Enviromment, </w:t>
      </w:r>
      <w:r>
        <w:rPr>
          <w:rFonts w:ascii="Calibri"/>
          <w:sz w:val="22"/>
        </w:rPr>
        <w:t>3227-3250.</w:t>
      </w:r>
    </w:p>
    <w:p>
      <w:pPr>
        <w:spacing w:before="5"/>
        <w:ind w:left="105" w:right="0" w:firstLine="0"/>
        <w:jc w:val="left"/>
        <w:rPr>
          <w:rFonts w:ascii="Calibri"/>
          <w:sz w:val="22"/>
        </w:rPr>
      </w:pPr>
      <w:r>
        <w:rPr>
          <w:rFonts w:ascii="Calibri"/>
          <w:sz w:val="22"/>
        </w:rPr>
        <w:t>Chan, Y. C., Simpson, R. W., Mctainsh, G. H., Vowles, P. D.,   Cohen, D. D., &amp; Bailey, G. M. (1999).</w:t>
      </w:r>
    </w:p>
    <w:p>
      <w:pPr>
        <w:spacing w:line="256" w:lineRule="exact" w:before="8"/>
        <w:ind w:left="825" w:right="0" w:firstLine="0"/>
        <w:jc w:val="left"/>
        <w:rPr>
          <w:rFonts w:ascii="Calibri"/>
          <w:sz w:val="22"/>
        </w:rPr>
      </w:pPr>
      <w:r>
        <w:rPr>
          <w:rFonts w:ascii="Calibri"/>
          <w:sz w:val="22"/>
        </w:rPr>
        <w:t>Source apportionment of visibility degradation problems in Brisbane (Australia) using the multiple linear regression techniques </w:t>
      </w:r>
      <w:r>
        <w:rPr>
          <w:rFonts w:ascii="Calibri"/>
          <w:i/>
          <w:sz w:val="22"/>
        </w:rPr>
        <w:t>Atmospheric Enviromment,  </w:t>
      </w:r>
      <w:r>
        <w:rPr>
          <w:rFonts w:ascii="Calibri"/>
          <w:sz w:val="22"/>
        </w:rPr>
        <w:t>3227-3250.</w:t>
      </w:r>
    </w:p>
    <w:p>
      <w:pPr>
        <w:spacing w:line="242" w:lineRule="auto" w:before="11"/>
        <w:ind w:left="105" w:right="2027" w:firstLine="0"/>
        <w:jc w:val="left"/>
        <w:rPr>
          <w:rFonts w:ascii="Calibri" w:hAnsi="Calibri"/>
          <w:sz w:val="22"/>
        </w:rPr>
      </w:pPr>
      <w:r>
        <w:rPr>
          <w:rFonts w:ascii="Calibri" w:hAnsi="Calibri"/>
          <w:sz w:val="22"/>
        </w:rPr>
        <w:t>Contrerás, L. (2013). Confirman mala calidad del Valle de Toluca. </w:t>
      </w:r>
      <w:r>
        <w:rPr>
          <w:rFonts w:ascii="Calibri" w:hAnsi="Calibri"/>
          <w:i/>
          <w:sz w:val="22"/>
        </w:rPr>
        <w:t>Portal, </w:t>
      </w:r>
      <w:r>
        <w:rPr>
          <w:rFonts w:ascii="Calibri" w:hAnsi="Calibri"/>
          <w:sz w:val="22"/>
        </w:rPr>
        <w:t>p. 6. Dickson, T. R. (2003). </w:t>
      </w:r>
      <w:r>
        <w:rPr>
          <w:rFonts w:ascii="Calibri" w:hAnsi="Calibri"/>
          <w:i/>
          <w:sz w:val="22"/>
        </w:rPr>
        <w:t>Química enfoque ecológico </w:t>
      </w:r>
      <w:r>
        <w:rPr>
          <w:rFonts w:ascii="Calibri" w:hAnsi="Calibri"/>
          <w:sz w:val="22"/>
        </w:rPr>
        <w:t>(LIMUSA Ed.). México, D.   F.</w:t>
      </w:r>
    </w:p>
    <w:p>
      <w:pPr>
        <w:spacing w:line="242" w:lineRule="auto" w:before="0"/>
        <w:ind w:left="825" w:right="164" w:hanging="721"/>
        <w:jc w:val="left"/>
        <w:rPr>
          <w:rFonts w:ascii="Calibri" w:hAnsi="Calibri"/>
          <w:sz w:val="22"/>
        </w:rPr>
      </w:pPr>
      <w:r>
        <w:rPr>
          <w:rFonts w:ascii="Calibri" w:hAnsi="Calibri"/>
          <w:sz w:val="22"/>
        </w:rPr>
        <w:t>DOF. (1998). </w:t>
      </w:r>
      <w:r>
        <w:rPr>
          <w:rFonts w:ascii="Calibri" w:hAnsi="Calibri"/>
          <w:i/>
          <w:sz w:val="22"/>
        </w:rPr>
        <w:t>Reglamento de la Ley General del Equilibrio Ecológico y Protección al ambiente en </w:t>
      </w:r>
      <w:r>
        <w:rPr>
          <w:rFonts w:ascii="Calibri" w:hAnsi="Calibri"/>
          <w:i/>
          <w:sz w:val="22"/>
        </w:rPr>
        <w:t>Materia de Prevención y Control de la Contaminación Atmosférica</w:t>
      </w:r>
      <w:r>
        <w:rPr>
          <w:rFonts w:ascii="Calibri" w:hAnsi="Calibri"/>
          <w:sz w:val="22"/>
        </w:rPr>
        <w:t>. México: Diario Oficial de la Federación.</w:t>
      </w:r>
    </w:p>
    <w:p>
      <w:pPr>
        <w:spacing w:line="242" w:lineRule="auto" w:before="0"/>
        <w:ind w:left="825" w:right="119" w:hanging="721"/>
        <w:jc w:val="left"/>
        <w:rPr>
          <w:rFonts w:ascii="Calibri" w:hAnsi="Calibri"/>
          <w:sz w:val="22"/>
        </w:rPr>
      </w:pPr>
      <w:r>
        <w:rPr>
          <w:rFonts w:ascii="Calibri" w:hAnsi="Calibri"/>
          <w:sz w:val="22"/>
        </w:rPr>
        <w:t>DOF. (2004). </w:t>
      </w:r>
      <w:r>
        <w:rPr>
          <w:rFonts w:ascii="Calibri" w:hAnsi="Calibri"/>
          <w:i/>
          <w:sz w:val="22"/>
        </w:rPr>
        <w:t>Reglamento de la Ley General del Equilibrio Ecológico y Protección al Ambiente en </w:t>
      </w:r>
      <w:r>
        <w:rPr>
          <w:rFonts w:ascii="Calibri" w:hAnsi="Calibri"/>
          <w:i/>
          <w:sz w:val="22"/>
        </w:rPr>
        <w:t>materia de Prevención y Control de la COntaminación de la Atmósfera</w:t>
      </w:r>
      <w:r>
        <w:rPr>
          <w:rFonts w:ascii="Calibri" w:hAnsi="Calibri"/>
          <w:sz w:val="22"/>
        </w:rPr>
        <w:t>. México: Diario Oficial de la Federación.</w:t>
      </w:r>
    </w:p>
    <w:p>
      <w:pPr>
        <w:spacing w:line="262" w:lineRule="exact" w:before="0"/>
        <w:ind w:left="105" w:right="0" w:firstLine="0"/>
        <w:jc w:val="left"/>
        <w:rPr>
          <w:rFonts w:ascii="Calibri" w:hAnsi="Calibri"/>
          <w:sz w:val="22"/>
        </w:rPr>
      </w:pPr>
      <w:r>
        <w:rPr>
          <w:rFonts w:ascii="Calibri" w:hAnsi="Calibri"/>
          <w:sz w:val="22"/>
        </w:rPr>
        <w:t>Díaz Viera, M. (2002). </w:t>
      </w:r>
      <w:r>
        <w:rPr>
          <w:rFonts w:ascii="Calibri" w:hAnsi="Calibri"/>
          <w:i/>
          <w:sz w:val="22"/>
        </w:rPr>
        <w:t>Geostadística Aplicada </w:t>
      </w:r>
      <w:r>
        <w:rPr>
          <w:rFonts w:ascii="Calibri" w:hAnsi="Calibri"/>
          <w:sz w:val="22"/>
        </w:rPr>
        <w:t>(UNAM Ed.): Instituto de Geofísica UNAM.</w:t>
      </w:r>
    </w:p>
    <w:p>
      <w:pPr>
        <w:spacing w:after="0" w:line="262" w:lineRule="exact"/>
        <w:jc w:val="left"/>
        <w:rPr>
          <w:rFonts w:ascii="Calibri" w:hAnsi="Calibri"/>
          <w:sz w:val="22"/>
        </w:rPr>
        <w:sectPr>
          <w:pgSz w:w="12240" w:h="15840"/>
          <w:pgMar w:header="0" w:footer="941" w:top="1380" w:bottom="1200" w:left="1600" w:right="1580"/>
        </w:sectPr>
      </w:pPr>
    </w:p>
    <w:p>
      <w:pPr>
        <w:spacing w:line="242" w:lineRule="auto" w:before="47"/>
        <w:ind w:left="825" w:right="526" w:hanging="721"/>
        <w:jc w:val="left"/>
        <w:rPr>
          <w:rFonts w:ascii="Calibri" w:hAnsi="Calibri"/>
          <w:sz w:val="22"/>
        </w:rPr>
      </w:pPr>
      <w:r>
        <w:rPr>
          <w:rFonts w:ascii="Calibri" w:hAnsi="Calibri"/>
          <w:sz w:val="22"/>
        </w:rPr>
        <w:t>EDOMEX. (2012a). </w:t>
      </w:r>
      <w:r>
        <w:rPr>
          <w:rFonts w:ascii="Calibri" w:hAnsi="Calibri"/>
          <w:i/>
          <w:sz w:val="22"/>
        </w:rPr>
        <w:t>Los efectos agudos de la contaminación del aire en la salud de la población: </w:t>
      </w:r>
      <w:r>
        <w:rPr>
          <w:rFonts w:ascii="Calibri" w:hAnsi="Calibri"/>
          <w:i/>
          <w:sz w:val="22"/>
        </w:rPr>
        <w:t>evidencias de estudios epidemiológicos</w:t>
      </w:r>
      <w:r>
        <w:rPr>
          <w:rFonts w:ascii="Calibri" w:hAnsi="Calibri"/>
          <w:sz w:val="22"/>
        </w:rPr>
        <w:t>. México: Gobierno del Estado de  México.</w:t>
      </w:r>
    </w:p>
    <w:p>
      <w:pPr>
        <w:spacing w:line="261" w:lineRule="exact" w:before="0"/>
        <w:ind w:left="105" w:right="0" w:firstLine="0"/>
        <w:jc w:val="left"/>
        <w:rPr>
          <w:rFonts w:ascii="Calibri"/>
          <w:sz w:val="22"/>
        </w:rPr>
      </w:pPr>
      <w:r>
        <w:rPr>
          <w:rFonts w:ascii="Calibri"/>
          <w:sz w:val="22"/>
        </w:rPr>
        <w:t>EDOMEX. (2012b). </w:t>
      </w:r>
      <w:r>
        <w:rPr>
          <w:rFonts w:ascii="Calibri"/>
          <w:i/>
          <w:sz w:val="22"/>
        </w:rPr>
        <w:t>Programa para mejorar la calidad del aire del Valle de Toluca 2012-201  7</w:t>
      </w:r>
      <w:r>
        <w:rPr>
          <w:rFonts w:ascii="Calibri"/>
          <w:sz w:val="22"/>
        </w:rPr>
        <w:t>.</w:t>
      </w:r>
    </w:p>
    <w:p>
      <w:pPr>
        <w:spacing w:line="262" w:lineRule="exact" w:before="11"/>
        <w:ind w:left="825" w:right="0" w:firstLine="0"/>
        <w:jc w:val="left"/>
        <w:rPr>
          <w:rFonts w:ascii="Calibri" w:hAnsi="Calibri"/>
          <w:sz w:val="22"/>
        </w:rPr>
      </w:pPr>
      <w:r>
        <w:rPr>
          <w:rFonts w:ascii="Calibri" w:hAnsi="Calibri"/>
          <w:sz w:val="22"/>
        </w:rPr>
        <w:t>México: Gobierno del Estado de México.</w:t>
      </w:r>
    </w:p>
    <w:p>
      <w:pPr>
        <w:spacing w:line="262" w:lineRule="exact" w:before="0"/>
        <w:ind w:left="105" w:right="0" w:firstLine="0"/>
        <w:jc w:val="left"/>
        <w:rPr>
          <w:rFonts w:ascii="Calibri" w:hAnsi="Calibri"/>
          <w:sz w:val="22"/>
        </w:rPr>
      </w:pPr>
      <w:r>
        <w:rPr>
          <w:rFonts w:ascii="Calibri" w:hAnsi="Calibri"/>
          <w:spacing w:val="-3"/>
          <w:sz w:val="22"/>
        </w:rPr>
        <w:t>ENCC. (2013). </w:t>
      </w:r>
      <w:r>
        <w:rPr>
          <w:rFonts w:ascii="Calibri" w:hAnsi="Calibri"/>
          <w:i/>
          <w:sz w:val="22"/>
        </w:rPr>
        <w:t>Estrategia Nacional de </w:t>
      </w:r>
      <w:r>
        <w:rPr>
          <w:rFonts w:ascii="Calibri" w:hAnsi="Calibri"/>
          <w:i/>
          <w:spacing w:val="-2"/>
          <w:sz w:val="22"/>
        </w:rPr>
        <w:t>Cambio </w:t>
      </w:r>
      <w:r>
        <w:rPr>
          <w:rFonts w:ascii="Calibri" w:hAnsi="Calibri"/>
          <w:i/>
          <w:sz w:val="22"/>
        </w:rPr>
        <w:t>Climático 10-20-40</w:t>
      </w:r>
      <w:r>
        <w:rPr>
          <w:rFonts w:ascii="Calibri" w:hAnsi="Calibri"/>
          <w:sz w:val="22"/>
        </w:rPr>
        <w:t>. </w:t>
      </w:r>
      <w:r>
        <w:rPr>
          <w:rFonts w:ascii="Calibri" w:hAnsi="Calibri"/>
          <w:spacing w:val="-4"/>
          <w:sz w:val="22"/>
        </w:rPr>
        <w:t>México.</w:t>
      </w:r>
    </w:p>
    <w:p>
      <w:pPr>
        <w:spacing w:line="235" w:lineRule="auto" w:before="18"/>
        <w:ind w:left="825" w:right="378" w:hanging="721"/>
        <w:jc w:val="left"/>
        <w:rPr>
          <w:rFonts w:ascii="Calibri"/>
          <w:sz w:val="22"/>
        </w:rPr>
      </w:pPr>
      <w:r>
        <w:rPr>
          <w:rFonts w:ascii="Calibri"/>
          <w:position w:val="3"/>
          <w:sz w:val="22"/>
        </w:rPr>
        <w:t>Flores, M., &amp; Shukula, K. (2011). </w:t>
      </w:r>
      <w:r>
        <w:rPr>
          <w:rFonts w:ascii="Calibri"/>
          <w:sz w:val="14"/>
        </w:rPr>
        <w:t>Particulate matter dispersed by vehicles on unpaved roads </w:t>
      </w:r>
      <w:r>
        <w:rPr>
          <w:rFonts w:ascii="Calibri"/>
          <w:position w:val="3"/>
          <w:sz w:val="22"/>
        </w:rPr>
        <w:t>In H. Knudsen &amp; N. </w:t>
      </w:r>
      <w:r>
        <w:rPr>
          <w:rFonts w:ascii="Calibri"/>
          <w:sz w:val="22"/>
        </w:rPr>
        <w:t>Rasmussen (Eds.), </w:t>
      </w:r>
      <w:r>
        <w:rPr>
          <w:rFonts w:ascii="Calibri"/>
          <w:i/>
          <w:sz w:val="22"/>
        </w:rPr>
        <w:t>Particulate Matter: Sources, Emission Rates and Health Effects </w:t>
      </w:r>
      <w:r>
        <w:rPr>
          <w:rFonts w:ascii="Calibri"/>
          <w:sz w:val="22"/>
        </w:rPr>
        <w:t>(pp. 1- 23): Nova.</w:t>
      </w:r>
    </w:p>
    <w:p>
      <w:pPr>
        <w:spacing w:line="264" w:lineRule="exact" w:before="3"/>
        <w:ind w:left="825" w:right="378" w:hanging="721"/>
        <w:jc w:val="left"/>
        <w:rPr>
          <w:rFonts w:ascii="Calibri" w:hAnsi="Calibri"/>
          <w:sz w:val="22"/>
        </w:rPr>
      </w:pPr>
      <w:r>
        <w:rPr>
          <w:rFonts w:ascii="Calibri" w:hAnsi="Calibri"/>
          <w:spacing w:val="-3"/>
          <w:sz w:val="22"/>
        </w:rPr>
        <w:t>Flores, </w:t>
      </w:r>
      <w:r>
        <w:rPr>
          <w:rFonts w:ascii="Calibri" w:hAnsi="Calibri"/>
          <w:sz w:val="22"/>
        </w:rPr>
        <w:t>R., </w:t>
      </w:r>
      <w:r>
        <w:rPr>
          <w:rFonts w:ascii="Calibri" w:hAnsi="Calibri"/>
          <w:spacing w:val="-3"/>
          <w:sz w:val="22"/>
        </w:rPr>
        <w:t>Jesús </w:t>
      </w:r>
      <w:r>
        <w:rPr>
          <w:rFonts w:ascii="Calibri" w:hAnsi="Calibri"/>
          <w:sz w:val="22"/>
        </w:rPr>
        <w:t>Hernán, </w:t>
      </w:r>
      <w:r>
        <w:rPr>
          <w:rFonts w:ascii="Calibri" w:hAnsi="Calibri"/>
          <w:spacing w:val="-3"/>
          <w:sz w:val="22"/>
        </w:rPr>
        <w:t>Peña, G., Pablo, </w:t>
      </w:r>
      <w:r>
        <w:rPr>
          <w:rFonts w:ascii="Calibri" w:hAnsi="Calibri"/>
          <w:sz w:val="22"/>
        </w:rPr>
        <w:t>Madrigal, </w:t>
      </w:r>
      <w:r>
        <w:rPr>
          <w:rFonts w:ascii="Calibri" w:hAnsi="Calibri"/>
          <w:spacing w:val="-3"/>
          <w:sz w:val="22"/>
        </w:rPr>
        <w:t>U., Delfino, </w:t>
      </w:r>
      <w:r>
        <w:rPr>
          <w:rFonts w:ascii="Calibri" w:hAnsi="Calibri"/>
          <w:sz w:val="22"/>
        </w:rPr>
        <w:t>Ramos, </w:t>
      </w:r>
      <w:r>
        <w:rPr>
          <w:rFonts w:ascii="Calibri" w:hAnsi="Calibri"/>
          <w:spacing w:val="-3"/>
          <w:sz w:val="22"/>
        </w:rPr>
        <w:t>C., </w:t>
      </w:r>
      <w:r>
        <w:rPr>
          <w:rFonts w:ascii="Calibri" w:hAnsi="Calibri"/>
          <w:spacing w:val="-4"/>
          <w:sz w:val="22"/>
        </w:rPr>
        <w:t>Leonardo, López, </w:t>
      </w:r>
      <w:r>
        <w:rPr>
          <w:rFonts w:ascii="Calibri" w:hAnsi="Calibri"/>
          <w:sz w:val="22"/>
        </w:rPr>
        <w:t>M. A.,   &amp; </w:t>
      </w:r>
      <w:r>
        <w:rPr>
          <w:rFonts w:ascii="Calibri" w:hAnsi="Calibri"/>
          <w:spacing w:val="-3"/>
          <w:sz w:val="22"/>
        </w:rPr>
        <w:t>Morales, </w:t>
      </w:r>
      <w:r>
        <w:rPr>
          <w:rFonts w:ascii="Calibri" w:hAnsi="Calibri"/>
          <w:sz w:val="22"/>
        </w:rPr>
        <w:t>M., </w:t>
      </w:r>
      <w:r>
        <w:rPr>
          <w:rFonts w:ascii="Calibri" w:hAnsi="Calibri"/>
          <w:spacing w:val="-3"/>
          <w:sz w:val="22"/>
        </w:rPr>
        <w:t>José. </w:t>
      </w:r>
      <w:r>
        <w:rPr>
          <w:rFonts w:ascii="Calibri" w:hAnsi="Calibri"/>
          <w:sz w:val="22"/>
        </w:rPr>
        <w:t>(2010). </w:t>
      </w:r>
      <w:r>
        <w:rPr>
          <w:rFonts w:ascii="Calibri" w:hAnsi="Calibri"/>
          <w:spacing w:val="-3"/>
          <w:sz w:val="22"/>
        </w:rPr>
        <w:t>Estimación </w:t>
      </w:r>
      <w:r>
        <w:rPr>
          <w:rFonts w:ascii="Calibri" w:hAnsi="Calibri"/>
          <w:spacing w:val="-2"/>
          <w:sz w:val="22"/>
        </w:rPr>
        <w:t>del </w:t>
      </w:r>
      <w:r>
        <w:rPr>
          <w:rFonts w:ascii="Calibri" w:hAnsi="Calibri"/>
          <w:spacing w:val="-3"/>
          <w:sz w:val="22"/>
        </w:rPr>
        <w:t>riesgo </w:t>
      </w:r>
      <w:r>
        <w:rPr>
          <w:rFonts w:ascii="Calibri" w:hAnsi="Calibri"/>
          <w:sz w:val="22"/>
        </w:rPr>
        <w:t>a la </w:t>
      </w:r>
      <w:r>
        <w:rPr>
          <w:rFonts w:ascii="Calibri" w:hAnsi="Calibri"/>
          <w:spacing w:val="-3"/>
          <w:sz w:val="22"/>
        </w:rPr>
        <w:t>exposición </w:t>
      </w:r>
      <w:r>
        <w:rPr>
          <w:rFonts w:ascii="Calibri" w:hAnsi="Calibri"/>
          <w:sz w:val="22"/>
        </w:rPr>
        <w:t>de </w:t>
      </w:r>
      <w:r>
        <w:rPr>
          <w:rFonts w:ascii="Calibri" w:hAnsi="Calibri"/>
          <w:spacing w:val="-3"/>
          <w:sz w:val="22"/>
        </w:rPr>
        <w:t>partículas  suspendidas </w:t>
      </w:r>
      <w:r>
        <w:rPr>
          <w:rFonts w:ascii="Calibri" w:hAnsi="Calibri"/>
          <w:spacing w:val="-4"/>
          <w:sz w:val="22"/>
        </w:rPr>
        <w:t>en el </w:t>
      </w:r>
      <w:r>
        <w:rPr>
          <w:rFonts w:ascii="Calibri" w:hAnsi="Calibri"/>
          <w:sz w:val="22"/>
        </w:rPr>
        <w:t>Valle de Toluca. </w:t>
      </w:r>
      <w:r>
        <w:rPr>
          <w:rFonts w:ascii="Calibri" w:hAnsi="Calibri"/>
          <w:i/>
          <w:sz w:val="22"/>
        </w:rPr>
        <w:t>Ciencia y Ergo Sum, 17, </w:t>
      </w:r>
      <w:r>
        <w:rPr>
          <w:rFonts w:ascii="Calibri" w:hAnsi="Calibri"/>
          <w:i/>
          <w:spacing w:val="8"/>
          <w:sz w:val="22"/>
        </w:rPr>
        <w:t> </w:t>
      </w:r>
      <w:r>
        <w:rPr>
          <w:rFonts w:ascii="Calibri" w:hAnsi="Calibri"/>
          <w:spacing w:val="-3"/>
          <w:sz w:val="22"/>
        </w:rPr>
        <w:t>72-80.</w:t>
      </w:r>
    </w:p>
    <w:p>
      <w:pPr>
        <w:spacing w:line="242" w:lineRule="auto" w:before="2"/>
        <w:ind w:left="825" w:right="119" w:hanging="721"/>
        <w:jc w:val="left"/>
        <w:rPr>
          <w:rFonts w:ascii="Calibri" w:hAnsi="Calibri"/>
          <w:sz w:val="22"/>
        </w:rPr>
      </w:pPr>
      <w:r>
        <w:rPr>
          <w:rFonts w:ascii="Calibri" w:hAnsi="Calibri"/>
          <w:sz w:val="22"/>
        </w:rPr>
        <w:t>GEM. (2014). </w:t>
      </w:r>
      <w:r>
        <w:rPr>
          <w:rFonts w:ascii="Calibri" w:hAnsi="Calibri"/>
          <w:i/>
          <w:sz w:val="22"/>
        </w:rPr>
        <w:t>Mosaico de la calidad del aire por partículas suspendidas fracción respirable (PM10) </w:t>
      </w:r>
      <w:r>
        <w:rPr>
          <w:rFonts w:ascii="Calibri" w:hAnsi="Calibri"/>
          <w:i/>
          <w:sz w:val="22"/>
        </w:rPr>
        <w:t>en la zona metropolitana del valle de Toluca (1998-2015)</w:t>
      </w:r>
      <w:r>
        <w:rPr>
          <w:rFonts w:ascii="Calibri" w:hAnsi="Calibri"/>
          <w:sz w:val="22"/>
        </w:rPr>
        <w:t>. México:  SMA.</w:t>
      </w:r>
    </w:p>
    <w:p>
      <w:pPr>
        <w:spacing w:line="242" w:lineRule="auto" w:before="0"/>
        <w:ind w:left="825" w:right="736" w:hanging="721"/>
        <w:jc w:val="left"/>
        <w:rPr>
          <w:rFonts w:ascii="Calibri" w:hAnsi="Calibri"/>
          <w:sz w:val="22"/>
        </w:rPr>
      </w:pPr>
      <w:r>
        <w:rPr>
          <w:rFonts w:ascii="Calibri" w:hAnsi="Calibri"/>
          <w:sz w:val="22"/>
        </w:rPr>
        <w:t>Giraldo, H., Ramón. (2003). </w:t>
      </w:r>
      <w:r>
        <w:rPr>
          <w:rFonts w:ascii="Calibri" w:hAnsi="Calibri"/>
          <w:i/>
          <w:sz w:val="22"/>
        </w:rPr>
        <w:t>Introducción a la Geosteadística </w:t>
      </w:r>
      <w:r>
        <w:rPr>
          <w:rFonts w:ascii="Calibri" w:hAnsi="Calibri"/>
          <w:sz w:val="22"/>
        </w:rPr>
        <w:t>(U. N. d. Colombia Ed.). Bogotá, Colombia:  Facultad  de Ciencias, Departamento  de Estadística.</w:t>
      </w:r>
    </w:p>
    <w:p>
      <w:pPr>
        <w:spacing w:line="240" w:lineRule="auto" w:before="1"/>
        <w:ind w:left="825" w:right="164" w:hanging="721"/>
        <w:jc w:val="left"/>
        <w:rPr>
          <w:rFonts w:ascii="Calibri" w:hAnsi="Calibri"/>
          <w:sz w:val="22"/>
        </w:rPr>
      </w:pPr>
      <w:r>
        <w:rPr>
          <w:rFonts w:ascii="Calibri" w:hAnsi="Calibri"/>
          <w:sz w:val="22"/>
        </w:rPr>
        <w:t>González Guerrero, M. A., &amp; Villafaña Esquivel, L. F. (2003). Contaminación Atmosférica. In L. M. Solís Segura &amp; J. A. López Arriaga (Eds.), </w:t>
      </w:r>
      <w:r>
        <w:rPr>
          <w:rFonts w:ascii="Calibri" w:hAnsi="Calibri"/>
          <w:i/>
          <w:sz w:val="22"/>
        </w:rPr>
        <w:t>Principios básicos de contaminación ambiental </w:t>
      </w:r>
      <w:r>
        <w:rPr>
          <w:rFonts w:ascii="Calibri" w:hAnsi="Calibri"/>
          <w:sz w:val="22"/>
        </w:rPr>
        <w:t>(pp. 1994-1216). Toluca, México: UAEMEX.</w:t>
      </w:r>
    </w:p>
    <w:p>
      <w:pPr>
        <w:spacing w:line="242" w:lineRule="auto" w:before="0"/>
        <w:ind w:left="825" w:right="216" w:hanging="721"/>
        <w:jc w:val="left"/>
        <w:rPr>
          <w:rFonts w:ascii="Calibri" w:hAnsi="Calibri"/>
          <w:sz w:val="22"/>
        </w:rPr>
      </w:pPr>
      <w:r>
        <w:rPr>
          <w:rFonts w:ascii="Calibri" w:hAnsi="Calibri"/>
          <w:sz w:val="22"/>
        </w:rPr>
        <w:t>Gutiérrez, Q., Estatio José. (2006). Advecciones de polvo africano sobre la costa central de venezolana y sus efectos sobre el desarrollo de la nubosidad. </w:t>
      </w:r>
      <w:r>
        <w:rPr>
          <w:rFonts w:ascii="Calibri" w:hAnsi="Calibri"/>
          <w:i/>
          <w:sz w:val="22"/>
        </w:rPr>
        <w:t>Terra Nueva Etapa, XXII, </w:t>
      </w:r>
      <w:r>
        <w:rPr>
          <w:rFonts w:ascii="Calibri" w:hAnsi="Calibri"/>
          <w:sz w:val="22"/>
        </w:rPr>
        <w:t>13- 39.</w:t>
      </w:r>
    </w:p>
    <w:p>
      <w:pPr>
        <w:spacing w:line="240" w:lineRule="auto" w:before="0"/>
        <w:ind w:left="825" w:right="307" w:hanging="721"/>
        <w:jc w:val="left"/>
        <w:rPr>
          <w:rFonts w:ascii="Calibri" w:hAnsi="Calibri"/>
          <w:sz w:val="22"/>
        </w:rPr>
      </w:pPr>
      <w:r>
        <w:rPr>
          <w:rFonts w:ascii="Calibri" w:hAnsi="Calibri"/>
          <w:sz w:val="22"/>
        </w:rPr>
        <w:t>Hernández R, J., Madrigral U, D., &amp; Morales M, C. (2004). Comportamiento del monóxido de carbono y el clima en la Ciudad de Toluca de 1995 a 2001. </w:t>
      </w:r>
      <w:r>
        <w:rPr>
          <w:rFonts w:ascii="Calibri" w:hAnsi="Calibri"/>
          <w:i/>
          <w:sz w:val="22"/>
        </w:rPr>
        <w:t>Ciencia Ergo Sum, 1405-0269, </w:t>
      </w:r>
      <w:r>
        <w:rPr>
          <w:rFonts w:ascii="Calibri" w:hAnsi="Calibri"/>
          <w:sz w:val="22"/>
        </w:rPr>
        <w:t>263-274.</w:t>
      </w:r>
    </w:p>
    <w:p>
      <w:pPr>
        <w:spacing w:line="235" w:lineRule="auto" w:before="0"/>
        <w:ind w:left="825" w:right="0" w:hanging="721"/>
        <w:jc w:val="left"/>
        <w:rPr>
          <w:rFonts w:ascii="Calibri" w:hAnsi="Calibri"/>
          <w:sz w:val="22"/>
        </w:rPr>
      </w:pPr>
      <w:r>
        <w:rPr>
          <w:rFonts w:ascii="Calibri" w:hAnsi="Calibri"/>
          <w:sz w:val="22"/>
        </w:rPr>
        <w:t>INE. (2011). </w:t>
      </w:r>
      <w:r>
        <w:rPr>
          <w:rFonts w:ascii="Calibri" w:hAnsi="Calibri"/>
          <w:i/>
          <w:sz w:val="22"/>
        </w:rPr>
        <w:t>Cuarto Almanaque de Datos y tendencias de la Calidad del aire en 20 ciudades </w:t>
      </w:r>
      <w:r>
        <w:rPr>
          <w:rFonts w:ascii="Calibri" w:hAnsi="Calibri"/>
          <w:i/>
          <w:sz w:val="22"/>
        </w:rPr>
        <w:t>mexicanas (2000-2009)</w:t>
      </w:r>
      <w:r>
        <w:rPr>
          <w:rFonts w:ascii="Calibri" w:hAnsi="Calibri"/>
          <w:sz w:val="22"/>
        </w:rPr>
        <w:t>. Retrieved from  México:</w:t>
      </w:r>
    </w:p>
    <w:p>
      <w:pPr>
        <w:spacing w:line="264" w:lineRule="exact" w:before="3"/>
        <w:ind w:left="105" w:right="1131" w:firstLine="0"/>
        <w:jc w:val="left"/>
        <w:rPr>
          <w:rFonts w:ascii="Calibri" w:hAnsi="Calibri"/>
          <w:sz w:val="22"/>
        </w:rPr>
      </w:pPr>
      <w:r>
        <w:rPr>
          <w:rFonts w:ascii="Calibri" w:hAnsi="Calibri"/>
          <w:sz w:val="22"/>
        </w:rPr>
        <w:t>INEGI. (2010). </w:t>
      </w:r>
      <w:r>
        <w:rPr>
          <w:rFonts w:ascii="Calibri" w:hAnsi="Calibri"/>
          <w:i/>
          <w:sz w:val="22"/>
        </w:rPr>
        <w:t>Censo General de Población y vivienda 2010</w:t>
      </w:r>
      <w:r>
        <w:rPr>
          <w:rFonts w:ascii="Calibri" w:hAnsi="Calibri"/>
          <w:sz w:val="22"/>
        </w:rPr>
        <w:t>. Retrieved from México: INEGI. (2015). </w:t>
      </w:r>
      <w:r>
        <w:rPr>
          <w:rFonts w:ascii="Calibri" w:hAnsi="Calibri"/>
          <w:i/>
          <w:sz w:val="22"/>
        </w:rPr>
        <w:t>Directorio Estadístico Nacional Interactivo</w:t>
      </w:r>
      <w:r>
        <w:rPr>
          <w:rFonts w:ascii="Calibri" w:hAnsi="Calibri"/>
          <w:sz w:val="22"/>
        </w:rPr>
        <w:t>. Méxcio:  INEGI.</w:t>
      </w:r>
    </w:p>
    <w:p>
      <w:pPr>
        <w:spacing w:line="235" w:lineRule="auto" w:before="22"/>
        <w:ind w:left="825" w:right="326" w:hanging="721"/>
        <w:jc w:val="left"/>
        <w:rPr>
          <w:rFonts w:ascii="Calibri"/>
          <w:sz w:val="22"/>
        </w:rPr>
      </w:pPr>
      <w:r>
        <w:rPr>
          <w:rFonts w:ascii="Calibri"/>
          <w:sz w:val="22"/>
        </w:rPr>
        <w:t>Janssen, N. A. H., Fischer, P., Marra, M., Ameling, C., &amp; Cassee, F. R. (2013). Short-term effects of PM2.5, PM10 and PM2.5-10 on daily mortality in the Netherlands. </w:t>
      </w:r>
      <w:r>
        <w:rPr>
          <w:rFonts w:ascii="Calibri"/>
          <w:i/>
          <w:sz w:val="22"/>
        </w:rPr>
        <w:t>Science of the Total </w:t>
      </w:r>
      <w:r>
        <w:rPr>
          <w:rFonts w:ascii="Calibri"/>
          <w:i/>
          <w:sz w:val="22"/>
        </w:rPr>
        <w:t>Environment,  463-464</w:t>
      </w:r>
      <w:r>
        <w:rPr>
          <w:rFonts w:ascii="Calibri"/>
          <w:sz w:val="22"/>
        </w:rPr>
        <w:t>,  20-26. doi:10.1016/j.scitotenv.2013.05.062</w:t>
      </w:r>
    </w:p>
    <w:p>
      <w:pPr>
        <w:spacing w:before="4"/>
        <w:ind w:left="105" w:right="0" w:firstLine="0"/>
        <w:jc w:val="left"/>
        <w:rPr>
          <w:rFonts w:ascii="Calibri" w:hAnsi="Calibri"/>
          <w:sz w:val="22"/>
        </w:rPr>
      </w:pPr>
      <w:r>
        <w:rPr>
          <w:rFonts w:ascii="Calibri" w:hAnsi="Calibri"/>
          <w:sz w:val="22"/>
        </w:rPr>
        <w:t>Manahan, S., E. (2011). </w:t>
      </w:r>
      <w:r>
        <w:rPr>
          <w:rFonts w:ascii="Calibri" w:hAnsi="Calibri"/>
          <w:i/>
          <w:sz w:val="22"/>
        </w:rPr>
        <w:t>Química Ambiental </w:t>
      </w:r>
      <w:r>
        <w:rPr>
          <w:rFonts w:ascii="Calibri" w:hAnsi="Calibri"/>
          <w:sz w:val="22"/>
        </w:rPr>
        <w:t>(R. E. UNAM Ed. 1    ed ed.). México.</w:t>
      </w:r>
    </w:p>
    <w:p>
      <w:pPr>
        <w:spacing w:line="266" w:lineRule="exact" w:before="3"/>
        <w:ind w:left="105" w:right="0" w:firstLine="0"/>
        <w:jc w:val="left"/>
        <w:rPr>
          <w:rFonts w:ascii="Calibri"/>
          <w:sz w:val="22"/>
        </w:rPr>
      </w:pPr>
      <w:r>
        <w:rPr>
          <w:rFonts w:ascii="Calibri"/>
          <w:sz w:val="22"/>
        </w:rPr>
        <w:t>Mao, Y., Wilson, J. D., &amp; Kort, J. (2013). Effects of a shelterbelt on road dust dispersion.</w:t>
      </w:r>
    </w:p>
    <w:p>
      <w:pPr>
        <w:spacing w:line="264" w:lineRule="exact" w:before="0"/>
        <w:ind w:left="825" w:right="0" w:firstLine="0"/>
        <w:jc w:val="left"/>
        <w:rPr>
          <w:rFonts w:ascii="Calibri"/>
          <w:sz w:val="22"/>
        </w:rPr>
      </w:pPr>
      <w:r>
        <w:rPr>
          <w:rFonts w:ascii="Calibri"/>
          <w:i/>
          <w:sz w:val="22"/>
        </w:rPr>
        <w:t>Atmospheric  Environment,  79</w:t>
      </w:r>
      <w:r>
        <w:rPr>
          <w:rFonts w:ascii="Calibri"/>
          <w:sz w:val="22"/>
        </w:rPr>
        <w:t>,  590-598. doi:10.1016/j.atmosenv.2013.07.015</w:t>
      </w:r>
    </w:p>
    <w:p>
      <w:pPr>
        <w:spacing w:line="242" w:lineRule="auto" w:before="0"/>
        <w:ind w:left="825" w:right="0" w:hanging="721"/>
        <w:jc w:val="left"/>
        <w:rPr>
          <w:rFonts w:ascii="Calibri"/>
          <w:sz w:val="22"/>
        </w:rPr>
      </w:pPr>
      <w:r>
        <w:rPr>
          <w:rFonts w:ascii="Calibri"/>
          <w:sz w:val="22"/>
        </w:rPr>
        <w:t>Martuzzi, M., Francesco, M., Ivano, L., &amp; Maria, S. (2006). </w:t>
      </w:r>
      <w:r>
        <w:rPr>
          <w:rFonts w:ascii="Calibri"/>
          <w:i/>
          <w:sz w:val="22"/>
        </w:rPr>
        <w:t>Health impact of PM10 and ozone in 13 </w:t>
      </w:r>
      <w:r>
        <w:rPr>
          <w:rFonts w:ascii="Calibri"/>
          <w:i/>
          <w:sz w:val="22"/>
        </w:rPr>
        <w:t>Italian Cities</w:t>
      </w:r>
      <w:r>
        <w:rPr>
          <w:rFonts w:ascii="Calibri"/>
          <w:sz w:val="22"/>
        </w:rPr>
        <w:t>. Europe: World Health  Organization.</w:t>
      </w:r>
    </w:p>
    <w:p>
      <w:pPr>
        <w:spacing w:line="235" w:lineRule="auto" w:before="13"/>
        <w:ind w:left="825" w:right="626" w:hanging="721"/>
        <w:jc w:val="left"/>
        <w:rPr>
          <w:rFonts w:ascii="Calibri" w:hAnsi="Calibri"/>
          <w:sz w:val="22"/>
        </w:rPr>
      </w:pPr>
      <w:r>
        <w:rPr>
          <w:rFonts w:ascii="Calibri" w:hAnsi="Calibri"/>
          <w:sz w:val="22"/>
        </w:rPr>
        <w:t>Meza, L., Quintero, M., García, R., &amp; Ramírez, J. (2010). Estimación de Factores de Emisión de PM10 y PM2.5, en Vías Urbanas en Mexicali, Baja California, México. </w:t>
      </w:r>
      <w:r>
        <w:rPr>
          <w:rFonts w:ascii="Calibri" w:hAnsi="Calibri"/>
          <w:i/>
          <w:sz w:val="22"/>
        </w:rPr>
        <w:t>Información </w:t>
      </w:r>
      <w:r>
        <w:rPr>
          <w:rFonts w:ascii="Calibri" w:hAnsi="Calibri"/>
          <w:i/>
          <w:sz w:val="22"/>
        </w:rPr>
        <w:t>Tecnológica, 21</w:t>
      </w:r>
      <w:r>
        <w:rPr>
          <w:rFonts w:ascii="Calibri" w:hAnsi="Calibri"/>
          <w:sz w:val="22"/>
        </w:rPr>
        <w:t>.</w:t>
      </w:r>
    </w:p>
    <w:p>
      <w:pPr>
        <w:spacing w:line="242" w:lineRule="auto" w:before="0"/>
        <w:ind w:left="825" w:right="202" w:hanging="721"/>
        <w:jc w:val="left"/>
        <w:rPr>
          <w:rFonts w:ascii="Calibri" w:hAnsi="Calibri"/>
          <w:sz w:val="22"/>
        </w:rPr>
      </w:pPr>
      <w:r>
        <w:rPr>
          <w:rFonts w:ascii="Calibri" w:hAnsi="Calibri"/>
          <w:sz w:val="22"/>
        </w:rPr>
        <w:t>Morales, C., Madrigal, D., &amp; González, L. (2007). Isla de calor en Toluca, México. </w:t>
      </w:r>
      <w:r>
        <w:rPr>
          <w:rFonts w:ascii="Calibri" w:hAnsi="Calibri"/>
          <w:i/>
          <w:sz w:val="22"/>
        </w:rPr>
        <w:t>Ciencia Ergo Sum, </w:t>
      </w:r>
      <w:r>
        <w:rPr>
          <w:rFonts w:ascii="Calibri" w:hAnsi="Calibri"/>
          <w:i/>
          <w:sz w:val="22"/>
        </w:rPr>
        <w:t>14, </w:t>
      </w:r>
      <w:r>
        <w:rPr>
          <w:rFonts w:ascii="Calibri" w:hAnsi="Calibri"/>
          <w:sz w:val="22"/>
        </w:rPr>
        <w:t>307-316.</w:t>
      </w:r>
    </w:p>
    <w:p>
      <w:pPr>
        <w:spacing w:line="242" w:lineRule="auto" w:before="0"/>
        <w:ind w:left="825" w:right="0" w:hanging="721"/>
        <w:jc w:val="left"/>
        <w:rPr>
          <w:rFonts w:ascii="Calibri" w:hAnsi="Calibri"/>
          <w:sz w:val="22"/>
        </w:rPr>
      </w:pPr>
      <w:r>
        <w:rPr>
          <w:rFonts w:ascii="Calibri" w:hAnsi="Calibri"/>
          <w:sz w:val="22"/>
        </w:rPr>
        <w:t>Morelos Martínez, J. (2009). </w:t>
      </w:r>
      <w:r>
        <w:rPr>
          <w:rFonts w:ascii="Calibri" w:hAnsi="Calibri"/>
          <w:i/>
          <w:sz w:val="22"/>
        </w:rPr>
        <w:t>Análisis Univariante de la Distribución Espacial de las PM10 </w:t>
      </w:r>
      <w:r>
        <w:rPr>
          <w:rFonts w:ascii="Calibri" w:hAnsi="Calibri"/>
          <w:i/>
          <w:sz w:val="22"/>
        </w:rPr>
        <w:t>Aerotrasportadas en la Zona Metropólitana del Valle de Toluca / José Morelos Martínez ; director, Elizabeth Teresita Romero Guzmán. </w:t>
      </w:r>
      <w:r>
        <w:rPr>
          <w:rFonts w:ascii="Calibri" w:hAnsi="Calibri"/>
          <w:sz w:val="22"/>
        </w:rPr>
        <w:t>(MAESTRÍA), UAEM, Mexico.    (MCA 23</w:t>
      </w:r>
    </w:p>
    <w:p>
      <w:pPr>
        <w:spacing w:before="1"/>
        <w:ind w:left="825" w:right="0" w:firstLine="0"/>
        <w:jc w:val="left"/>
        <w:rPr>
          <w:rFonts w:ascii="Calibri"/>
          <w:sz w:val="22"/>
        </w:rPr>
      </w:pPr>
      <w:r>
        <w:rPr>
          <w:rFonts w:ascii="Calibri"/>
          <w:sz w:val="22"/>
        </w:rPr>
        <w:t>.M674 2009)</w:t>
      </w:r>
    </w:p>
    <w:p>
      <w:pPr>
        <w:spacing w:line="264" w:lineRule="exact" w:before="2"/>
        <w:ind w:left="825" w:right="369" w:hanging="721"/>
        <w:jc w:val="left"/>
        <w:rPr>
          <w:rFonts w:ascii="Calibri" w:hAnsi="Calibri"/>
          <w:sz w:val="22"/>
        </w:rPr>
      </w:pPr>
      <w:r>
        <w:rPr>
          <w:rFonts w:ascii="Calibri" w:hAnsi="Calibri"/>
          <w:sz w:val="22"/>
        </w:rPr>
        <w:t>Moølgaard, B., Birmili, W., Clifford, S., Massling, A., Eleftheriadis, K., Norman, M., . . . Hussein, T. (2013). Evaluation of a statistical forecast model for size-fractionated urban particle</w:t>
      </w:r>
    </w:p>
    <w:p>
      <w:pPr>
        <w:spacing w:after="0" w:line="264" w:lineRule="exact"/>
        <w:jc w:val="left"/>
        <w:rPr>
          <w:rFonts w:ascii="Calibri" w:hAnsi="Calibri"/>
          <w:sz w:val="22"/>
        </w:rPr>
        <w:sectPr>
          <w:pgSz w:w="12240" w:h="15840"/>
          <w:pgMar w:header="0" w:footer="941" w:top="1360" w:bottom="1200" w:left="1600" w:right="1580"/>
        </w:sectPr>
      </w:pPr>
    </w:p>
    <w:p>
      <w:pPr>
        <w:spacing w:line="242" w:lineRule="auto" w:before="47"/>
        <w:ind w:left="825" w:right="395" w:firstLine="0"/>
        <w:jc w:val="left"/>
        <w:rPr>
          <w:rFonts w:ascii="Calibri"/>
          <w:sz w:val="22"/>
        </w:rPr>
      </w:pPr>
      <w:r>
        <w:rPr>
          <w:rFonts w:ascii="Calibri"/>
          <w:sz w:val="22"/>
        </w:rPr>
        <w:t>number concentrations using data from five European cities. </w:t>
      </w:r>
      <w:r>
        <w:rPr>
          <w:rFonts w:ascii="Calibri"/>
          <w:i/>
          <w:sz w:val="22"/>
        </w:rPr>
        <w:t>Journal of Aerosol Science, </w:t>
      </w:r>
      <w:r>
        <w:rPr>
          <w:rFonts w:ascii="Calibri"/>
          <w:i/>
          <w:sz w:val="22"/>
        </w:rPr>
        <w:t>66</w:t>
      </w:r>
      <w:r>
        <w:rPr>
          <w:rFonts w:ascii="Calibri"/>
          <w:sz w:val="22"/>
        </w:rPr>
        <w:t>, 96-110.</w:t>
      </w:r>
    </w:p>
    <w:p>
      <w:pPr>
        <w:spacing w:line="235" w:lineRule="auto" w:before="5"/>
        <w:ind w:left="825" w:right="307" w:hanging="721"/>
        <w:jc w:val="left"/>
        <w:rPr>
          <w:rFonts w:ascii="Calibri" w:hAnsi="Calibri"/>
          <w:sz w:val="22"/>
        </w:rPr>
      </w:pPr>
      <w:r>
        <w:rPr>
          <w:rFonts w:ascii="Calibri" w:hAnsi="Calibri"/>
          <w:spacing w:val="-3"/>
          <w:sz w:val="22"/>
        </w:rPr>
        <w:t>Najera </w:t>
      </w:r>
      <w:r>
        <w:rPr>
          <w:rFonts w:ascii="Calibri" w:hAnsi="Calibri"/>
          <w:spacing w:val="-4"/>
          <w:sz w:val="22"/>
        </w:rPr>
        <w:t>Cedillo, </w:t>
      </w:r>
      <w:r>
        <w:rPr>
          <w:rFonts w:ascii="Calibri" w:hAnsi="Calibri"/>
          <w:sz w:val="22"/>
        </w:rPr>
        <w:t>M. </w:t>
      </w:r>
      <w:r>
        <w:rPr>
          <w:rFonts w:ascii="Calibri" w:hAnsi="Calibri"/>
          <w:spacing w:val="-3"/>
          <w:sz w:val="22"/>
        </w:rPr>
        <w:t>C., </w:t>
      </w:r>
      <w:r>
        <w:rPr>
          <w:rFonts w:ascii="Calibri" w:hAnsi="Calibri"/>
          <w:sz w:val="22"/>
        </w:rPr>
        <w:t>Márquez </w:t>
      </w:r>
      <w:r>
        <w:rPr>
          <w:rFonts w:ascii="Calibri" w:hAnsi="Calibri"/>
          <w:spacing w:val="-3"/>
          <w:sz w:val="22"/>
        </w:rPr>
        <w:t>Argúa, </w:t>
      </w:r>
      <w:r>
        <w:rPr>
          <w:rFonts w:ascii="Calibri" w:hAnsi="Calibri"/>
          <w:sz w:val="22"/>
        </w:rPr>
        <w:t>B., Rubén, </w:t>
      </w:r>
      <w:r>
        <w:rPr>
          <w:rFonts w:ascii="Calibri" w:hAnsi="Calibri"/>
          <w:spacing w:val="-4"/>
          <w:sz w:val="22"/>
        </w:rPr>
        <w:t>S. </w:t>
      </w:r>
      <w:r>
        <w:rPr>
          <w:rFonts w:ascii="Calibri" w:hAnsi="Calibri"/>
          <w:spacing w:val="-3"/>
          <w:sz w:val="22"/>
        </w:rPr>
        <w:t>G., </w:t>
      </w:r>
      <w:r>
        <w:rPr>
          <w:rFonts w:ascii="Calibri" w:hAnsi="Calibri"/>
          <w:sz w:val="22"/>
        </w:rPr>
        <w:t>&amp; </w:t>
      </w:r>
      <w:r>
        <w:rPr>
          <w:rFonts w:ascii="Calibri" w:hAnsi="Calibri"/>
          <w:spacing w:val="-4"/>
          <w:sz w:val="22"/>
        </w:rPr>
        <w:t>Corona, </w:t>
      </w:r>
      <w:r>
        <w:rPr>
          <w:rFonts w:ascii="Calibri" w:hAnsi="Calibri"/>
          <w:sz w:val="22"/>
        </w:rPr>
        <w:t>J. </w:t>
      </w:r>
      <w:r>
        <w:rPr>
          <w:rFonts w:ascii="Calibri" w:hAnsi="Calibri"/>
          <w:spacing w:val="-3"/>
          <w:sz w:val="22"/>
        </w:rPr>
        <w:t>(2005). </w:t>
      </w:r>
      <w:r>
        <w:rPr>
          <w:rFonts w:ascii="Calibri" w:hAnsi="Calibri"/>
          <w:sz w:val="22"/>
        </w:rPr>
        <w:t>Los </w:t>
      </w:r>
      <w:r>
        <w:rPr>
          <w:rFonts w:ascii="Calibri" w:hAnsi="Calibri"/>
          <w:spacing w:val="-3"/>
          <w:sz w:val="22"/>
        </w:rPr>
        <w:t>sistemas </w:t>
      </w:r>
      <w:r>
        <w:rPr>
          <w:rFonts w:ascii="Calibri" w:hAnsi="Calibri"/>
          <w:sz w:val="22"/>
        </w:rPr>
        <w:t>de </w:t>
      </w:r>
      <w:r>
        <w:rPr>
          <w:rFonts w:ascii="Calibri" w:hAnsi="Calibri"/>
          <w:spacing w:val="-3"/>
          <w:sz w:val="22"/>
        </w:rPr>
        <w:t>infromación </w:t>
      </w:r>
      <w:r>
        <w:rPr>
          <w:rFonts w:ascii="Calibri" w:hAnsi="Calibri"/>
          <w:sz w:val="22"/>
        </w:rPr>
        <w:t>geográfica </w:t>
      </w:r>
      <w:r>
        <w:rPr>
          <w:rFonts w:ascii="Calibri" w:hAnsi="Calibri"/>
          <w:spacing w:val="-3"/>
          <w:sz w:val="22"/>
        </w:rPr>
        <w:t>como herramienta para </w:t>
      </w:r>
      <w:r>
        <w:rPr>
          <w:rFonts w:ascii="Calibri" w:hAnsi="Calibri"/>
          <w:sz w:val="22"/>
        </w:rPr>
        <w:t>observar </w:t>
      </w:r>
      <w:r>
        <w:rPr>
          <w:rFonts w:ascii="Calibri" w:hAnsi="Calibri"/>
          <w:spacing w:val="-4"/>
          <w:sz w:val="22"/>
        </w:rPr>
        <w:t>el </w:t>
      </w:r>
      <w:r>
        <w:rPr>
          <w:rFonts w:ascii="Calibri" w:hAnsi="Calibri"/>
          <w:spacing w:val="-3"/>
          <w:sz w:val="22"/>
        </w:rPr>
        <w:t>comportamiento </w:t>
      </w:r>
      <w:r>
        <w:rPr>
          <w:rFonts w:ascii="Calibri" w:hAnsi="Calibri"/>
          <w:spacing w:val="-2"/>
          <w:sz w:val="22"/>
        </w:rPr>
        <w:t>del </w:t>
      </w:r>
      <w:r>
        <w:rPr>
          <w:rFonts w:ascii="Calibri" w:hAnsi="Calibri"/>
          <w:spacing w:val="-3"/>
          <w:sz w:val="22"/>
        </w:rPr>
        <w:t>ozono </w:t>
      </w:r>
      <w:r>
        <w:rPr>
          <w:rFonts w:ascii="Calibri" w:hAnsi="Calibri"/>
          <w:sz w:val="22"/>
        </w:rPr>
        <w:t>en la Zona </w:t>
      </w:r>
      <w:r>
        <w:rPr>
          <w:rFonts w:ascii="Calibri" w:hAnsi="Calibri"/>
          <w:spacing w:val="-3"/>
          <w:sz w:val="22"/>
        </w:rPr>
        <w:t>Metropolitana de Guadalajara. </w:t>
      </w:r>
      <w:r>
        <w:rPr>
          <w:rFonts w:ascii="Calibri" w:hAnsi="Calibri"/>
          <w:i/>
          <w:sz w:val="22"/>
        </w:rPr>
        <w:t>GEOS, </w:t>
      </w:r>
      <w:r>
        <w:rPr>
          <w:rFonts w:ascii="Calibri" w:hAnsi="Calibri"/>
          <w:i/>
          <w:spacing w:val="27"/>
          <w:sz w:val="22"/>
        </w:rPr>
        <w:t> </w:t>
      </w:r>
      <w:r>
        <w:rPr>
          <w:rFonts w:ascii="Calibri" w:hAnsi="Calibri"/>
          <w:i/>
          <w:sz w:val="22"/>
        </w:rPr>
        <w:t>25</w:t>
      </w:r>
      <w:r>
        <w:rPr>
          <w:rFonts w:ascii="Calibri" w:hAnsi="Calibri"/>
          <w:sz w:val="22"/>
        </w:rPr>
        <w:t>.</w:t>
      </w:r>
    </w:p>
    <w:p>
      <w:pPr>
        <w:spacing w:line="242" w:lineRule="auto" w:before="12"/>
        <w:ind w:left="825" w:right="0" w:hanging="721"/>
        <w:jc w:val="left"/>
        <w:rPr>
          <w:rFonts w:ascii="Calibri"/>
          <w:sz w:val="22"/>
        </w:rPr>
      </w:pPr>
      <w:r>
        <w:rPr>
          <w:rFonts w:ascii="Calibri"/>
          <w:sz w:val="22"/>
        </w:rPr>
        <w:t>Salud ambiental. Criterios para evaluar la calidad del aire ambiente, con respecto a material particulado,   (1986).</w:t>
      </w:r>
    </w:p>
    <w:p>
      <w:pPr>
        <w:spacing w:line="240" w:lineRule="auto" w:before="0"/>
        <w:ind w:left="825" w:right="93" w:hanging="721"/>
        <w:jc w:val="left"/>
        <w:rPr>
          <w:rFonts w:ascii="Calibri" w:hAnsi="Calibri"/>
          <w:sz w:val="22"/>
        </w:rPr>
      </w:pPr>
      <w:r>
        <w:rPr>
          <w:rFonts w:ascii="Calibri" w:hAnsi="Calibri"/>
          <w:sz w:val="22"/>
        </w:rPr>
        <w:t>Pérez-Vidal, García, Fernández, &amp; Romero. (2010). Análisis de partículas suspendidas totales (pst) y partículas fracción respirable (pm10), en Cunduacán, Tabasco. </w:t>
      </w:r>
      <w:r>
        <w:rPr>
          <w:rFonts w:ascii="Calibri" w:hAnsi="Calibri"/>
          <w:b/>
          <w:i/>
          <w:sz w:val="22"/>
        </w:rPr>
        <w:t>Universidad y Ciencia</w:t>
      </w:r>
      <w:r>
        <w:rPr>
          <w:rFonts w:ascii="Calibri" w:hAnsi="Calibri"/>
          <w:i/>
          <w:sz w:val="22"/>
        </w:rPr>
        <w:t>, 26, </w:t>
      </w:r>
      <w:r>
        <w:rPr>
          <w:rFonts w:ascii="Calibri" w:hAnsi="Calibri"/>
          <w:sz w:val="22"/>
        </w:rPr>
        <w:t>151-162.</w:t>
      </w:r>
    </w:p>
    <w:p>
      <w:pPr>
        <w:spacing w:line="264" w:lineRule="exact" w:before="0"/>
        <w:ind w:left="105" w:right="0" w:firstLine="0"/>
        <w:jc w:val="left"/>
        <w:rPr>
          <w:rFonts w:ascii="Calibri" w:hAnsi="Calibri"/>
          <w:sz w:val="22"/>
        </w:rPr>
      </w:pPr>
      <w:r>
        <w:rPr>
          <w:rFonts w:ascii="Calibri" w:hAnsi="Calibri"/>
          <w:sz w:val="22"/>
        </w:rPr>
        <w:t>Quadri, T. G. (1992). </w:t>
      </w:r>
      <w:r>
        <w:rPr>
          <w:rFonts w:ascii="Calibri" w:hAnsi="Calibri"/>
          <w:i/>
          <w:sz w:val="22"/>
        </w:rPr>
        <w:t>La ciudad de México y la contaminación atmosférica</w:t>
      </w:r>
      <w:r>
        <w:rPr>
          <w:rFonts w:ascii="Calibri" w:hAnsi="Calibri"/>
          <w:sz w:val="22"/>
        </w:rPr>
        <w:t>. México:    Limusa.</w:t>
      </w:r>
    </w:p>
    <w:p>
      <w:pPr>
        <w:spacing w:line="240" w:lineRule="auto" w:before="4"/>
        <w:ind w:left="825" w:right="259" w:hanging="721"/>
        <w:jc w:val="left"/>
        <w:rPr>
          <w:rFonts w:ascii="Calibri" w:hAnsi="Calibri"/>
          <w:sz w:val="22"/>
        </w:rPr>
      </w:pPr>
      <w:r>
        <w:rPr>
          <w:rFonts w:ascii="Calibri" w:hAnsi="Calibri"/>
          <w:sz w:val="22"/>
        </w:rPr>
        <w:t>Rodríguez-Germade, I., Mohamed, K. J., Rey, D., Rubio, B., &amp; García, Á. (2014). The influence of weather and climate on the reliability of magnetic properties of tree leaves as proxies for air pollution monitoring. </w:t>
      </w:r>
      <w:r>
        <w:rPr>
          <w:rFonts w:ascii="Calibri" w:hAnsi="Calibri"/>
          <w:i/>
          <w:sz w:val="22"/>
        </w:rPr>
        <w:t>Science of The Total Environment, 468–469</w:t>
      </w:r>
      <w:r>
        <w:rPr>
          <w:rFonts w:ascii="Calibri" w:hAnsi="Calibri"/>
          <w:sz w:val="22"/>
        </w:rPr>
        <w:t>(0), 892-902. doi</w:t>
      </w:r>
      <w:hyperlink r:id="rId56">
        <w:r>
          <w:rPr>
            <w:rFonts w:ascii="Calibri" w:hAnsi="Calibri"/>
            <w:sz w:val="22"/>
          </w:rPr>
          <w:t>:</w:t>
        </w:r>
        <w:r>
          <w:rPr>
            <w:rFonts w:ascii="Calibri" w:hAnsi="Calibri"/>
            <w:color w:val="0000FF"/>
            <w:sz w:val="22"/>
            <w:u w:val="single" w:color="0000FF"/>
          </w:rPr>
          <w:t>http://dx.doi.org/10.1016/j.scitotenv.2013.09.009</w:t>
        </w:r>
      </w:hyperlink>
    </w:p>
    <w:p>
      <w:pPr>
        <w:spacing w:line="262" w:lineRule="exact" w:before="4"/>
        <w:ind w:left="105" w:right="-4" w:firstLine="0"/>
        <w:jc w:val="left"/>
        <w:rPr>
          <w:rFonts w:ascii="Calibri" w:hAnsi="Calibri"/>
          <w:sz w:val="22"/>
        </w:rPr>
      </w:pPr>
      <w:r>
        <w:rPr>
          <w:rFonts w:ascii="Calibri" w:hAnsi="Calibri"/>
          <w:sz w:val="22"/>
        </w:rPr>
        <w:t>Rojas Bracho, L., &amp; Verónica, G. B. (2003a).  Las  partículas suspendidas, aeropartículas o   aerosoles:</w:t>
      </w:r>
    </w:p>
    <w:p>
      <w:pPr>
        <w:spacing w:line="262" w:lineRule="exact" w:before="0"/>
        <w:ind w:left="825" w:right="0" w:firstLine="0"/>
        <w:jc w:val="left"/>
        <w:rPr>
          <w:rFonts w:ascii="Calibri" w:hAnsi="Calibri"/>
          <w:sz w:val="22"/>
        </w:rPr>
      </w:pPr>
      <w:r>
        <w:rPr>
          <w:rFonts w:ascii="Calibri" w:hAnsi="Calibri"/>
          <w:sz w:val="22"/>
        </w:rPr>
        <w:t>¿hacen daño a la salud?; ¿podemos hacer algo? </w:t>
      </w:r>
      <w:r>
        <w:rPr>
          <w:rFonts w:ascii="Calibri" w:hAnsi="Calibri"/>
          <w:i/>
          <w:sz w:val="22"/>
        </w:rPr>
        <w:t>Gaceta Ecológica, </w:t>
      </w:r>
      <w:r>
        <w:rPr>
          <w:rFonts w:ascii="Calibri" w:hAnsi="Calibri"/>
          <w:sz w:val="22"/>
        </w:rPr>
        <w:t>29-44.</w:t>
      </w:r>
    </w:p>
    <w:p>
      <w:pPr>
        <w:spacing w:line="256" w:lineRule="exact" w:before="16"/>
        <w:ind w:left="825" w:right="0" w:hanging="721"/>
        <w:jc w:val="left"/>
        <w:rPr>
          <w:rFonts w:ascii="Calibri" w:hAnsi="Calibri"/>
          <w:sz w:val="22"/>
        </w:rPr>
      </w:pPr>
      <w:r>
        <w:rPr>
          <w:rFonts w:ascii="Calibri" w:hAnsi="Calibri"/>
          <w:sz w:val="22"/>
        </w:rPr>
        <w:t>Romero, T., &amp; Reyes, L. (2013). Influencia de emisiones naturales y antropogénicas en el material aerotransportado del Valle de Toluca. </w:t>
      </w:r>
      <w:r>
        <w:rPr>
          <w:rFonts w:ascii="Calibri" w:hAnsi="Calibri"/>
          <w:i/>
          <w:sz w:val="22"/>
        </w:rPr>
        <w:t>Contacto Nuclear, Julio  2013</w:t>
      </w:r>
      <w:r>
        <w:rPr>
          <w:rFonts w:ascii="Calibri" w:hAnsi="Calibri"/>
          <w:sz w:val="22"/>
        </w:rPr>
        <w:t>.</w:t>
      </w:r>
    </w:p>
    <w:p>
      <w:pPr>
        <w:spacing w:line="240" w:lineRule="auto" w:before="20"/>
        <w:ind w:left="825" w:right="476" w:hanging="721"/>
        <w:jc w:val="left"/>
        <w:rPr>
          <w:rFonts w:ascii="Calibri" w:hAnsi="Calibri"/>
          <w:sz w:val="22"/>
        </w:rPr>
      </w:pPr>
      <w:r>
        <w:rPr>
          <w:rFonts w:ascii="Calibri" w:hAnsi="Calibri"/>
          <w:sz w:val="22"/>
        </w:rPr>
        <w:t>Norma Oficial Méxicana 025-SSA1-2014 Salud ambiental. Valores límite permisibles para la concentración de partículas suspendidas PM10 y PM2.5 en el aire ambiente y criterios para su evaluación, 025 C.F.R.  (2014).</w:t>
      </w:r>
    </w:p>
    <w:p>
      <w:pPr>
        <w:spacing w:line="262" w:lineRule="exact" w:before="3"/>
        <w:ind w:left="105" w:right="0" w:firstLine="0"/>
        <w:jc w:val="left"/>
        <w:rPr>
          <w:rFonts w:ascii="Calibri"/>
          <w:sz w:val="22"/>
        </w:rPr>
      </w:pPr>
      <w:r>
        <w:rPr>
          <w:rFonts w:ascii="Calibri"/>
          <w:sz w:val="22"/>
        </w:rPr>
        <w:t>SEGOB. (2014).  Sistema de Alerta Temprana Ciclones  Tropicales.</w:t>
      </w:r>
    </w:p>
    <w:p>
      <w:pPr>
        <w:spacing w:line="242" w:lineRule="auto" w:before="0"/>
        <w:ind w:left="825" w:right="976" w:hanging="721"/>
        <w:jc w:val="left"/>
        <w:rPr>
          <w:rFonts w:ascii="Calibri" w:hAnsi="Calibri"/>
          <w:sz w:val="22"/>
        </w:rPr>
      </w:pPr>
      <w:r>
        <w:rPr>
          <w:rFonts w:ascii="Calibri" w:hAnsi="Calibri"/>
          <w:sz w:val="22"/>
        </w:rPr>
        <w:t>SEMARNAT. (2012). </w:t>
      </w:r>
      <w:r>
        <w:rPr>
          <w:rFonts w:ascii="Calibri" w:hAnsi="Calibri"/>
          <w:i/>
          <w:sz w:val="22"/>
        </w:rPr>
        <w:t>Aire Limpio: Programa para el Valle de Toluca 2005-2011, informe de </w:t>
      </w:r>
      <w:r>
        <w:rPr>
          <w:rFonts w:ascii="Calibri" w:hAnsi="Calibri"/>
          <w:i/>
          <w:sz w:val="22"/>
        </w:rPr>
        <w:t>evaluación</w:t>
      </w:r>
      <w:r>
        <w:rPr>
          <w:rFonts w:ascii="Calibri" w:hAnsi="Calibri"/>
          <w:sz w:val="22"/>
        </w:rPr>
        <w:t>. México: SEMARNAT.</w:t>
      </w:r>
    </w:p>
    <w:p>
      <w:pPr>
        <w:spacing w:line="240" w:lineRule="auto" w:before="0"/>
        <w:ind w:left="825" w:right="219" w:hanging="721"/>
        <w:jc w:val="left"/>
        <w:rPr>
          <w:rFonts w:ascii="Calibri"/>
          <w:sz w:val="22"/>
        </w:rPr>
      </w:pPr>
      <w:r>
        <w:rPr>
          <w:rFonts w:ascii="Calibri"/>
          <w:sz w:val="22"/>
        </w:rPr>
        <w:t>Shuhaili, A. F. A., Ihsan, S. I., &amp; Faris, W. F. (2013). Air pollution study of vehicles emission in high volume traffic: Selangor, Malaysia as a case study. </w:t>
      </w:r>
      <w:r>
        <w:rPr>
          <w:rFonts w:ascii="Calibri"/>
          <w:i/>
          <w:sz w:val="22"/>
        </w:rPr>
        <w:t>WSEAS Transactions on Systems, 12</w:t>
      </w:r>
      <w:r>
        <w:rPr>
          <w:rFonts w:ascii="Calibri"/>
          <w:sz w:val="22"/>
        </w:rPr>
        <w:t>(2), 67-84.</w:t>
      </w:r>
    </w:p>
    <w:p>
      <w:pPr>
        <w:spacing w:line="242" w:lineRule="auto" w:before="3"/>
        <w:ind w:left="825" w:right="0" w:hanging="721"/>
        <w:jc w:val="left"/>
        <w:rPr>
          <w:rFonts w:ascii="Calibri" w:hAnsi="Calibri"/>
          <w:sz w:val="22"/>
        </w:rPr>
      </w:pPr>
      <w:r>
        <w:rPr>
          <w:rFonts w:ascii="Calibri" w:hAnsi="Calibri"/>
          <w:sz w:val="22"/>
        </w:rPr>
        <w:t>Sibato, W., &amp; Yudego, C. (2004). Geostadística y Medio Ambiente. In G. Conesa, C. &amp; G. J. Mertínez (Eds.), (pp. 11-25). España: Universidad de  Murcia.</w:t>
      </w:r>
    </w:p>
    <w:p>
      <w:pPr>
        <w:spacing w:line="260" w:lineRule="exact" w:before="0"/>
        <w:ind w:left="105" w:right="0" w:firstLine="0"/>
        <w:jc w:val="left"/>
        <w:rPr>
          <w:rFonts w:ascii="Calibri" w:hAnsi="Calibri"/>
          <w:sz w:val="22"/>
        </w:rPr>
      </w:pPr>
      <w:r>
        <w:rPr>
          <w:rFonts w:ascii="Calibri" w:hAnsi="Calibri"/>
          <w:sz w:val="22"/>
        </w:rPr>
        <w:t>SIEM. (2015).  Sistema de Información Empresarial.</w:t>
      </w:r>
    </w:p>
    <w:p>
      <w:pPr>
        <w:spacing w:line="242" w:lineRule="auto" w:before="0"/>
        <w:ind w:left="825" w:right="0" w:hanging="721"/>
        <w:jc w:val="left"/>
        <w:rPr>
          <w:rFonts w:ascii="Calibri" w:hAnsi="Calibri"/>
          <w:sz w:val="22"/>
        </w:rPr>
      </w:pPr>
      <w:r>
        <w:rPr>
          <w:rFonts w:ascii="Calibri" w:hAnsi="Calibri"/>
          <w:sz w:val="22"/>
        </w:rPr>
        <w:t>Silva, P. A. (2007). </w:t>
      </w:r>
      <w:r>
        <w:rPr>
          <w:rFonts w:ascii="Calibri" w:hAnsi="Calibri"/>
          <w:i/>
          <w:sz w:val="22"/>
        </w:rPr>
        <w:t>Caracterización de las intrusiones de polvo africano en canarias </w:t>
      </w:r>
      <w:r>
        <w:rPr>
          <w:rFonts w:ascii="Calibri" w:hAnsi="Calibri"/>
          <w:sz w:val="22"/>
        </w:rPr>
        <w:t>(Doctorado en Ciencias  Físicas),  La  Laguna, Tenerife, España.</w:t>
      </w:r>
    </w:p>
    <w:p>
      <w:pPr>
        <w:spacing w:line="237" w:lineRule="auto" w:before="3"/>
        <w:ind w:left="825" w:right="326" w:hanging="721"/>
        <w:jc w:val="left"/>
        <w:rPr>
          <w:rFonts w:ascii="Calibri" w:hAnsi="Calibri"/>
          <w:sz w:val="22"/>
        </w:rPr>
      </w:pPr>
      <w:r>
        <w:rPr>
          <w:rFonts w:ascii="Calibri" w:hAnsi="Calibri"/>
          <w:spacing w:val="-3"/>
          <w:sz w:val="22"/>
        </w:rPr>
        <w:t>Terralledas, E., Cmino, C., </w:t>
      </w:r>
      <w:r>
        <w:rPr>
          <w:rFonts w:ascii="Calibri" w:hAnsi="Calibri"/>
          <w:sz w:val="22"/>
        </w:rPr>
        <w:t>Alonxo-Pérez, </w:t>
      </w:r>
      <w:r>
        <w:rPr>
          <w:rFonts w:ascii="Calibri" w:hAnsi="Calibri"/>
          <w:spacing w:val="-3"/>
          <w:sz w:val="22"/>
        </w:rPr>
        <w:t>S., </w:t>
      </w:r>
      <w:r>
        <w:rPr>
          <w:rFonts w:ascii="Calibri" w:hAnsi="Calibri"/>
          <w:sz w:val="22"/>
        </w:rPr>
        <w:t>Basart, </w:t>
      </w:r>
      <w:r>
        <w:rPr>
          <w:rFonts w:ascii="Calibri" w:hAnsi="Calibri"/>
          <w:spacing w:val="-3"/>
          <w:sz w:val="22"/>
        </w:rPr>
        <w:t>S., </w:t>
      </w:r>
      <w:r>
        <w:rPr>
          <w:rFonts w:ascii="Calibri" w:hAnsi="Calibri"/>
          <w:sz w:val="22"/>
        </w:rPr>
        <w:t>&amp; </w:t>
      </w:r>
      <w:r>
        <w:rPr>
          <w:rFonts w:ascii="Calibri" w:hAnsi="Calibri"/>
          <w:spacing w:val="-3"/>
          <w:sz w:val="22"/>
        </w:rPr>
        <w:t>Baldasano, </w:t>
      </w:r>
      <w:r>
        <w:rPr>
          <w:rFonts w:ascii="Calibri" w:hAnsi="Calibri"/>
          <w:sz w:val="22"/>
        </w:rPr>
        <w:t>J. </w:t>
      </w:r>
      <w:r>
        <w:rPr>
          <w:rFonts w:ascii="Calibri" w:hAnsi="Calibri"/>
          <w:spacing w:val="-3"/>
          <w:sz w:val="22"/>
        </w:rPr>
        <w:t>(2012). </w:t>
      </w:r>
      <w:r>
        <w:rPr>
          <w:rFonts w:ascii="Calibri" w:hAnsi="Calibri"/>
          <w:sz w:val="22"/>
        </w:rPr>
        <w:t>Distribución </w:t>
      </w:r>
      <w:r>
        <w:rPr>
          <w:rFonts w:ascii="Calibri" w:hAnsi="Calibri"/>
          <w:spacing w:val="-3"/>
          <w:sz w:val="22"/>
        </w:rPr>
        <w:t>espacial   </w:t>
      </w:r>
      <w:r>
        <w:rPr>
          <w:rFonts w:ascii="Calibri" w:hAnsi="Calibri"/>
          <w:sz w:val="22"/>
        </w:rPr>
        <w:t>y temporal </w:t>
      </w:r>
      <w:r>
        <w:rPr>
          <w:rFonts w:ascii="Calibri" w:hAnsi="Calibri"/>
          <w:spacing w:val="-2"/>
          <w:sz w:val="22"/>
        </w:rPr>
        <w:t>del </w:t>
      </w:r>
      <w:r>
        <w:rPr>
          <w:rFonts w:ascii="Calibri" w:hAnsi="Calibri"/>
          <w:sz w:val="22"/>
        </w:rPr>
        <w:t>polvo </w:t>
      </w:r>
      <w:r>
        <w:rPr>
          <w:rFonts w:ascii="Calibri" w:hAnsi="Calibri"/>
          <w:spacing w:val="-3"/>
          <w:sz w:val="22"/>
        </w:rPr>
        <w:t>mineral </w:t>
      </w:r>
      <w:r>
        <w:rPr>
          <w:rFonts w:ascii="Calibri" w:hAnsi="Calibri"/>
          <w:sz w:val="22"/>
        </w:rPr>
        <w:t>en </w:t>
      </w:r>
      <w:r>
        <w:rPr>
          <w:rFonts w:ascii="Calibri" w:hAnsi="Calibri"/>
          <w:spacing w:val="-4"/>
          <w:sz w:val="22"/>
        </w:rPr>
        <w:t>el </w:t>
      </w:r>
      <w:r>
        <w:rPr>
          <w:rFonts w:ascii="Calibri" w:hAnsi="Calibri"/>
          <w:sz w:val="22"/>
        </w:rPr>
        <w:t>norte de África y oriente medio estimada a </w:t>
      </w:r>
      <w:r>
        <w:rPr>
          <w:rFonts w:ascii="Calibri" w:hAnsi="Calibri"/>
          <w:spacing w:val="-3"/>
          <w:sz w:val="22"/>
        </w:rPr>
        <w:t>partir </w:t>
      </w:r>
      <w:r>
        <w:rPr>
          <w:rFonts w:ascii="Calibri" w:hAnsi="Calibri"/>
          <w:sz w:val="22"/>
        </w:rPr>
        <w:t>de </w:t>
      </w:r>
      <w:r>
        <w:rPr>
          <w:rFonts w:ascii="Calibri" w:hAnsi="Calibri"/>
          <w:spacing w:val="-3"/>
          <w:sz w:val="22"/>
        </w:rPr>
        <w:t>visibilidad horizontal. </w:t>
      </w:r>
      <w:r>
        <w:rPr>
          <w:rFonts w:ascii="Calibri" w:hAnsi="Calibri"/>
          <w:i/>
          <w:sz w:val="22"/>
        </w:rPr>
        <w:t>XXXII </w:t>
      </w:r>
      <w:r>
        <w:rPr>
          <w:rFonts w:ascii="Calibri" w:hAnsi="Calibri"/>
          <w:i/>
          <w:spacing w:val="-4"/>
          <w:sz w:val="22"/>
        </w:rPr>
        <w:t>Jornadas </w:t>
      </w:r>
      <w:r>
        <w:rPr>
          <w:rFonts w:ascii="Calibri" w:hAnsi="Calibri"/>
          <w:i/>
          <w:sz w:val="22"/>
        </w:rPr>
        <w:t>Científicas de la Asociación </w:t>
      </w:r>
      <w:r>
        <w:rPr>
          <w:rFonts w:ascii="Calibri" w:hAnsi="Calibri"/>
          <w:i/>
          <w:spacing w:val="-3"/>
          <w:sz w:val="22"/>
        </w:rPr>
        <w:t>Meteorológica </w:t>
      </w:r>
      <w:r>
        <w:rPr>
          <w:rFonts w:ascii="Calibri" w:hAnsi="Calibri"/>
          <w:i/>
          <w:spacing w:val="-3"/>
          <w:sz w:val="22"/>
        </w:rPr>
        <w:t>Española.Meteorología </w:t>
      </w:r>
      <w:r>
        <w:rPr>
          <w:rFonts w:ascii="Calibri" w:hAnsi="Calibri"/>
          <w:i/>
          <w:sz w:val="22"/>
        </w:rPr>
        <w:t>y </w:t>
      </w:r>
      <w:r>
        <w:rPr>
          <w:rFonts w:ascii="Calibri" w:hAnsi="Calibri"/>
          <w:i/>
          <w:spacing w:val="-3"/>
          <w:sz w:val="22"/>
        </w:rPr>
        <w:t>Calidad </w:t>
      </w:r>
      <w:r>
        <w:rPr>
          <w:rFonts w:ascii="Calibri" w:hAnsi="Calibri"/>
          <w:i/>
          <w:sz w:val="22"/>
        </w:rPr>
        <w:t>del </w:t>
      </w:r>
      <w:r>
        <w:rPr>
          <w:rFonts w:ascii="Calibri" w:hAnsi="Calibri"/>
          <w:i/>
          <w:spacing w:val="16"/>
          <w:sz w:val="22"/>
        </w:rPr>
        <w:t> </w:t>
      </w:r>
      <w:r>
        <w:rPr>
          <w:rFonts w:ascii="Calibri" w:hAnsi="Calibri"/>
          <w:i/>
          <w:sz w:val="22"/>
        </w:rPr>
        <w:t>Aire</w:t>
      </w:r>
      <w:r>
        <w:rPr>
          <w:rFonts w:ascii="Calibri" w:hAnsi="Calibri"/>
          <w:sz w:val="22"/>
        </w:rPr>
        <w:t>.</w:t>
      </w:r>
    </w:p>
    <w:p>
      <w:pPr>
        <w:spacing w:line="237" w:lineRule="auto" w:before="6"/>
        <w:ind w:left="825" w:right="358" w:hanging="721"/>
        <w:jc w:val="left"/>
        <w:rPr>
          <w:rFonts w:ascii="Calibri"/>
          <w:sz w:val="22"/>
        </w:rPr>
      </w:pPr>
      <w:r>
        <w:rPr>
          <w:rFonts w:ascii="Calibri"/>
          <w:sz w:val="22"/>
        </w:rPr>
        <w:t>Ul-Saufie, A. Z., Yahaya, A. S., Ramli, N. A., Rosaida, N., &amp; Hamid, H. A. (2013). Future daily PM10 concentrations prediction by combining regression models and feedforward backpropagation models with principle component analysis (PCA). </w:t>
      </w:r>
      <w:r>
        <w:rPr>
          <w:rFonts w:ascii="Calibri"/>
          <w:i/>
          <w:sz w:val="22"/>
        </w:rPr>
        <w:t>Atmospheric </w:t>
      </w:r>
      <w:r>
        <w:rPr>
          <w:rFonts w:ascii="Calibri"/>
          <w:i/>
          <w:sz w:val="22"/>
        </w:rPr>
        <w:t>Environment,  77</w:t>
      </w:r>
      <w:r>
        <w:rPr>
          <w:rFonts w:ascii="Calibri"/>
          <w:sz w:val="22"/>
        </w:rPr>
        <w:t>,  621-630. doi:10.1016/j.atmosenv.2013.05.017</w:t>
      </w:r>
    </w:p>
    <w:p>
      <w:pPr>
        <w:spacing w:line="247" w:lineRule="auto" w:before="0"/>
        <w:ind w:left="825" w:right="0" w:hanging="721"/>
        <w:jc w:val="left"/>
        <w:rPr>
          <w:rFonts w:ascii="Calibri" w:hAnsi="Calibri"/>
          <w:sz w:val="22"/>
        </w:rPr>
      </w:pPr>
      <w:r>
        <w:rPr>
          <w:rFonts w:ascii="Calibri" w:hAnsi="Calibri"/>
          <w:sz w:val="22"/>
        </w:rPr>
        <w:t>Vitoriano, B. (2012). </w:t>
      </w:r>
      <w:r>
        <w:rPr>
          <w:rFonts w:ascii="Calibri" w:hAnsi="Calibri"/>
          <w:i/>
          <w:sz w:val="22"/>
        </w:rPr>
        <w:t>Modelos y métodos de simulación estocástica. Aplicación en la valoración de </w:t>
      </w:r>
      <w:r>
        <w:rPr>
          <w:rFonts w:ascii="Calibri" w:hAnsi="Calibri"/>
          <w:i/>
          <w:sz w:val="22"/>
        </w:rPr>
        <w:t>opciones financieras </w:t>
      </w:r>
      <w:r>
        <w:rPr>
          <w:rFonts w:ascii="Calibri" w:hAnsi="Calibri"/>
          <w:sz w:val="22"/>
        </w:rPr>
        <w:t>(F. d. Matemáticas Ed.). Madrid, España: Universidad Complutense de Madrid España.</w:t>
      </w:r>
    </w:p>
    <w:p>
      <w:pPr>
        <w:spacing w:line="235" w:lineRule="auto" w:before="0"/>
        <w:ind w:left="825" w:right="669" w:hanging="721"/>
        <w:jc w:val="left"/>
        <w:rPr>
          <w:rFonts w:ascii="Calibri" w:hAnsi="Calibri"/>
          <w:sz w:val="22"/>
        </w:rPr>
      </w:pPr>
      <w:r>
        <w:rPr>
          <w:rFonts w:ascii="Calibri" w:hAnsi="Calibri"/>
          <w:spacing w:val="-3"/>
          <w:sz w:val="22"/>
        </w:rPr>
        <w:t>Zabalza, </w:t>
      </w:r>
      <w:r>
        <w:rPr>
          <w:rFonts w:ascii="Calibri" w:hAnsi="Calibri"/>
          <w:sz w:val="22"/>
        </w:rPr>
        <w:t>J., </w:t>
      </w:r>
      <w:r>
        <w:rPr>
          <w:rFonts w:ascii="Calibri" w:hAnsi="Calibri"/>
          <w:spacing w:val="-4"/>
          <w:sz w:val="22"/>
        </w:rPr>
        <w:t>Santamarina, </w:t>
      </w:r>
      <w:r>
        <w:rPr>
          <w:rFonts w:ascii="Calibri" w:hAnsi="Calibri"/>
          <w:sz w:val="22"/>
        </w:rPr>
        <w:t>J. M., Alastuey, A., &amp; </w:t>
      </w:r>
      <w:r>
        <w:rPr>
          <w:rFonts w:ascii="Calibri" w:hAnsi="Calibri"/>
          <w:spacing w:val="-3"/>
          <w:sz w:val="22"/>
        </w:rPr>
        <w:t>Qerol, X. (2010). </w:t>
      </w:r>
      <w:r>
        <w:rPr>
          <w:rFonts w:ascii="Calibri" w:hAnsi="Calibri"/>
          <w:sz w:val="22"/>
        </w:rPr>
        <w:t>Diagnóstico </w:t>
      </w:r>
      <w:r>
        <w:rPr>
          <w:rFonts w:ascii="Calibri" w:hAnsi="Calibri"/>
          <w:spacing w:val="-3"/>
          <w:sz w:val="22"/>
        </w:rPr>
        <w:t>de contribución de fuentes </w:t>
      </w:r>
      <w:r>
        <w:rPr>
          <w:rFonts w:ascii="Calibri" w:hAnsi="Calibri"/>
          <w:spacing w:val="-4"/>
          <w:sz w:val="22"/>
        </w:rPr>
        <w:t>en </w:t>
      </w:r>
      <w:r>
        <w:rPr>
          <w:rFonts w:ascii="Calibri" w:hAnsi="Calibri"/>
          <w:sz w:val="22"/>
        </w:rPr>
        <w:t>PM10 </w:t>
      </w:r>
      <w:r>
        <w:rPr>
          <w:rFonts w:ascii="Calibri" w:hAnsi="Calibri"/>
          <w:spacing w:val="-4"/>
          <w:sz w:val="22"/>
        </w:rPr>
        <w:t>en </w:t>
      </w:r>
      <w:r>
        <w:rPr>
          <w:rFonts w:ascii="Calibri" w:hAnsi="Calibri"/>
          <w:sz w:val="22"/>
        </w:rPr>
        <w:t>la zona urbana de </w:t>
      </w:r>
      <w:r>
        <w:rPr>
          <w:rFonts w:ascii="Calibri" w:hAnsi="Calibri"/>
          <w:spacing w:val="-3"/>
          <w:sz w:val="22"/>
        </w:rPr>
        <w:t>Altsasu/Alsasua: niveles </w:t>
      </w:r>
      <w:r>
        <w:rPr>
          <w:rFonts w:ascii="Calibri" w:hAnsi="Calibri"/>
          <w:sz w:val="22"/>
        </w:rPr>
        <w:t>y </w:t>
      </w:r>
      <w:r>
        <w:rPr>
          <w:rFonts w:ascii="Calibri" w:hAnsi="Calibri"/>
          <w:spacing w:val="-3"/>
          <w:sz w:val="22"/>
        </w:rPr>
        <w:t>composición de   </w:t>
      </w:r>
      <w:r>
        <w:rPr>
          <w:rFonts w:ascii="Calibri" w:hAnsi="Calibri"/>
          <w:sz w:val="22"/>
        </w:rPr>
        <w:t>PM10</w:t>
      </w:r>
      <w:r>
        <w:rPr>
          <w:rFonts w:ascii="Calibri" w:hAnsi="Calibri"/>
          <w:spacing w:val="6"/>
          <w:sz w:val="22"/>
        </w:rPr>
        <w:t> </w:t>
      </w:r>
      <w:r>
        <w:rPr>
          <w:rFonts w:ascii="Calibri" w:hAnsi="Calibri"/>
          <w:i/>
          <w:sz w:val="22"/>
        </w:rPr>
        <w:t>CSIC</w:t>
      </w:r>
      <w:r>
        <w:rPr>
          <w:rFonts w:ascii="Calibri" w:hAnsi="Calibri"/>
          <w:sz w:val="22"/>
        </w:rPr>
        <w:t>.</w:t>
      </w:r>
    </w:p>
    <w:p>
      <w:pPr>
        <w:spacing w:after="0" w:line="235" w:lineRule="auto"/>
        <w:jc w:val="left"/>
        <w:rPr>
          <w:rFonts w:ascii="Calibri" w:hAnsi="Calibri"/>
          <w:sz w:val="22"/>
        </w:rPr>
        <w:sectPr>
          <w:pgSz w:w="12240" w:h="15840"/>
          <w:pgMar w:header="0" w:footer="941" w:top="1360" w:bottom="1200" w:left="1600" w:right="158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10"/>
        </w:rPr>
      </w:pPr>
    </w:p>
    <w:p>
      <w:pPr>
        <w:pStyle w:val="BodyText"/>
        <w:spacing w:line="20" w:lineRule="exact"/>
        <w:ind w:left="117"/>
        <w:rPr>
          <w:rFonts w:ascii="Times New Roman"/>
          <w:sz w:val="2"/>
        </w:rPr>
      </w:pPr>
      <w:r>
        <w:rPr>
          <w:rFonts w:ascii="Times New Roman"/>
          <w:sz w:val="2"/>
        </w:rPr>
        <w:pict>
          <v:group style="width:144.9pt;height:.8pt;mso-position-horizontal-relative:char;mso-position-vertical-relative:line" coordorigin="0,0" coordsize="2898,16">
            <v:line style="position:absolute" from="8,8" to="2890,8" stroked="true" strokeweight=".8pt" strokecolor="#000000"/>
          </v:group>
        </w:pict>
      </w:r>
      <w:r>
        <w:rPr>
          <w:rFonts w:ascii="Times New Roman"/>
          <w:sz w:val="2"/>
        </w:rPr>
      </w:r>
    </w:p>
    <w:sectPr>
      <w:pgSz w:w="12240" w:h="15840"/>
      <w:pgMar w:header="0" w:footer="941" w:top="1500" w:bottom="114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Segoe UI">
    <w:altName w:val="Segoe UI"/>
    <w:charset w:val="0"/>
    <w:family w:val="swiss"/>
    <w:pitch w:val="variable"/>
  </w:font>
  <w:font w:name="Verdana">
    <w:altName w:val="Verdana"/>
    <w:charset w:val="0"/>
    <w:family w:val="swiss"/>
    <w:pitch w:val="variable"/>
  </w:font>
  <w:font w:name="Trebuchet MS">
    <w:altName w:val="Trebuchet MS"/>
    <w:charset w:val="0"/>
    <w:family w:val="swiss"/>
    <w:pitch w:val="variable"/>
  </w:font>
  <w:font w:name="Palatino Linotype">
    <w:altName w:val="Palatino Linotype"/>
    <w:charset w:val="0"/>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950012pt;margin-top:730.974976pt;width:9.7pt;height:13.2pt;mso-position-horizontal-relative:page;mso-position-vertical-relative:page;z-index:-112912"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w w:val="101"/>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696"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672" type="#_x0000_t202" filled="false" stroked="false">
          <v:textbox inset="0,0,0,0">
            <w:txbxContent>
              <w:p>
                <w:pPr>
                  <w:spacing w:line="247" w:lineRule="exact" w:before="0"/>
                  <w:ind w:left="20" w:right="0" w:firstLine="0"/>
                  <w:jc w:val="left"/>
                  <w:rPr>
                    <w:rFonts w:ascii="Calibri"/>
                    <w:sz w:val="22"/>
                  </w:rPr>
                </w:pPr>
                <w:r>
                  <w:rPr>
                    <w:rFonts w:ascii="Calibri"/>
                    <w:sz w:val="22"/>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648"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624" type="#_x0000_t202" filled="false" stroked="false">
          <v:textbox inset="0,0,0,0">
            <w:txbxContent>
              <w:p>
                <w:pPr>
                  <w:spacing w:line="247" w:lineRule="exact" w:before="0"/>
                  <w:ind w:left="20" w:right="0" w:firstLine="0"/>
                  <w:jc w:val="left"/>
                  <w:rPr>
                    <w:rFonts w:ascii="Calibri"/>
                    <w:sz w:val="22"/>
                  </w:rPr>
                </w:pPr>
                <w:r>
                  <w:rPr>
                    <w:rFonts w:ascii="Calibri"/>
                    <w:sz w:val="22"/>
                  </w:rPr>
                  <w:t>70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600"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576" type="#_x0000_t202" filled="false" stroked="false">
          <v:textbox inset="0,0,0,0">
            <w:txbxContent>
              <w:p>
                <w:pPr>
                  <w:spacing w:line="247" w:lineRule="exact" w:before="0"/>
                  <w:ind w:left="20" w:right="0" w:firstLine="0"/>
                  <w:jc w:val="left"/>
                  <w:rPr>
                    <w:rFonts w:ascii="Calibri"/>
                    <w:sz w:val="22"/>
                  </w:rPr>
                </w:pPr>
                <w:r>
                  <w:rPr>
                    <w:rFonts w:ascii="Calibri"/>
                    <w:sz w:val="22"/>
                  </w:rPr>
                  <w:t>80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552"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528" type="#_x0000_t202" filled="false" stroked="false">
          <v:textbox inset="0,0,0,0">
            <w:txbxContent>
              <w:p>
                <w:pPr>
                  <w:spacing w:line="247" w:lineRule="exact" w:before="0"/>
                  <w:ind w:left="20" w:right="0" w:firstLine="0"/>
                  <w:jc w:val="left"/>
                  <w:rPr>
                    <w:rFonts w:ascii="Calibri"/>
                    <w:sz w:val="22"/>
                  </w:rPr>
                </w:pPr>
                <w:r>
                  <w:rPr>
                    <w:rFonts w:ascii="Calibri"/>
                    <w:sz w:val="22"/>
                  </w:rPr>
                  <w:t>90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504"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30011pt;margin-top:730.974976pt;width:18.8pt;height:13.2pt;mso-position-horizontal-relative:page;mso-position-vertical-relative:page;z-index:-112480" type="#_x0000_t202" filled="false" stroked="false">
          <v:textbox inset="0,0,0,0">
            <w:txbxContent>
              <w:p>
                <w:pPr>
                  <w:spacing w:line="247" w:lineRule="exact" w:before="0"/>
                  <w:ind w:left="20" w:right="0" w:firstLine="0"/>
                  <w:jc w:val="left"/>
                  <w:rPr>
                    <w:rFonts w:ascii="Calibri"/>
                    <w:sz w:val="22"/>
                  </w:rPr>
                </w:pPr>
                <w:r>
                  <w:rPr>
                    <w:rFonts w:ascii="Calibri"/>
                    <w:sz w:val="22"/>
                  </w:rPr>
                  <w:t>100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888" type="#_x0000_t202" filled="false" stroked="false">
          <v:textbox inset="0,0,0,0">
            <w:txbxContent>
              <w:p>
                <w:pPr>
                  <w:spacing w:line="247"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730011pt;margin-top:730.974976pt;width:20.85pt;height:13.2pt;mso-position-horizontal-relative:page;mso-position-vertical-relative:page;z-index:-112456"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730011pt;margin-top:730.974976pt;width:18.8pt;height:13.2pt;mso-position-horizontal-relative:page;mso-position-vertical-relative:page;z-index:-112432" type="#_x0000_t202" filled="false" stroked="false">
          <v:textbox inset="0,0,0,0">
            <w:txbxContent>
              <w:p>
                <w:pPr>
                  <w:spacing w:line="247" w:lineRule="exact" w:before="0"/>
                  <w:ind w:left="20" w:right="0" w:firstLine="0"/>
                  <w:jc w:val="left"/>
                  <w:rPr>
                    <w:rFonts w:ascii="Calibri"/>
                    <w:sz w:val="22"/>
                  </w:rPr>
                </w:pPr>
                <w:r>
                  <w:rPr>
                    <w:rFonts w:ascii="Calibri"/>
                    <w:sz w:val="22"/>
                  </w:rPr>
                  <w:t>110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730011pt;margin-top:730.974976pt;width:20.85pt;height:13.2pt;mso-position-horizontal-relative:page;mso-position-vertical-relative:page;z-index:-112408"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864"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3pt;height:13.2pt;mso-position-horizontal-relative:page;mso-position-vertical-relative:page;z-index:-112840"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816" type="#_x0000_t202" filled="false" stroked="false">
          <v:textbox inset="0,0,0,0">
            <w:txbxContent>
              <w:p>
                <w:pPr>
                  <w:spacing w:line="247" w:lineRule="exact" w:before="0"/>
                  <w:ind w:left="20" w:right="0" w:firstLine="0"/>
                  <w:jc w:val="left"/>
                  <w:rPr>
                    <w:rFonts w:ascii="Calibri"/>
                    <w:sz w:val="22"/>
                  </w:rPr>
                </w:pPr>
                <w:r>
                  <w:rPr>
                    <w:rFonts w:ascii="Calibri"/>
                    <w:sz w:val="22"/>
                  </w:rPr>
                  <w:t>30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792"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768" type="#_x0000_t202" filled="false" stroked="false">
          <v:textbox inset="0,0,0,0">
            <w:txbxContent>
              <w:p>
                <w:pPr>
                  <w:spacing w:line="247" w:lineRule="exact" w:before="0"/>
                  <w:ind w:left="20" w:right="0" w:firstLine="0"/>
                  <w:jc w:val="left"/>
                  <w:rPr>
                    <w:rFonts w:ascii="Calibri"/>
                    <w:sz w:val="22"/>
                  </w:rPr>
                </w:pPr>
                <w:r>
                  <w:rPr>
                    <w:rFonts w:ascii="Calibri"/>
                    <w:sz w:val="22"/>
                  </w:rPr>
                  <w:t>40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330017pt;margin-top:730.974976pt;width:15.25pt;height:13.2pt;mso-position-horizontal-relative:page;mso-position-vertical-relative:page;z-index:-112744" type="#_x0000_t202" filled="false" stroked="false">
          <v:textbox inset="0,0,0,0">
            <w:txbxContent>
              <w:p>
                <w:pPr>
                  <w:spacing w:line="247"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330017pt;margin-top:730.974976pt;width:13.2pt;height:13.2pt;mso-position-horizontal-relative:page;mso-position-vertical-relative:page;z-index:-112720" type="#_x0000_t202" filled="false" stroked="false">
          <v:textbox inset="0,0,0,0">
            <w:txbxContent>
              <w:p>
                <w:pPr>
                  <w:spacing w:line="247" w:lineRule="exact" w:before="0"/>
                  <w:ind w:left="20" w:right="0" w:firstLine="0"/>
                  <w:jc w:val="left"/>
                  <w:rPr>
                    <w:rFonts w:ascii="Calibri"/>
                    <w:sz w:val="22"/>
                  </w:rPr>
                </w:pPr>
                <w:r>
                  <w:rPr>
                    <w:rFonts w:ascii="Calibri"/>
                    <w:sz w:val="22"/>
                  </w:rPr>
                  <w:t>50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bullet"/>
      <w:lvlText w:val=""/>
      <w:lvlJc w:val="left"/>
      <w:pPr>
        <w:ind w:left="825"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5">
    <w:multiLevelType w:val="hybridMultilevel"/>
    <w:lvl w:ilvl="0">
      <w:start w:val="1"/>
      <w:numFmt w:val="bullet"/>
      <w:lvlText w:val=""/>
      <w:lvlJc w:val="left"/>
      <w:pPr>
        <w:ind w:left="825"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decimal"/>
      <w:lvlText w:val="%1)"/>
      <w:lvlJc w:val="left"/>
      <w:pPr>
        <w:ind w:left="401" w:hanging="297"/>
        <w:jc w:val="right"/>
      </w:pPr>
      <w:rPr>
        <w:rFonts w:hint="default" w:ascii="Cambria" w:hAnsi="Cambria" w:eastAsia="Cambria" w:cs="Cambria"/>
        <w:b/>
        <w:bCs/>
        <w:color w:val="4F81BC"/>
        <w:spacing w:val="0"/>
        <w:w w:val="100"/>
        <w:sz w:val="24"/>
        <w:szCs w:val="24"/>
      </w:rPr>
    </w:lvl>
    <w:lvl w:ilvl="1">
      <w:start w:val="1"/>
      <w:numFmt w:val="lowerLetter"/>
      <w:lvlText w:val="%2)"/>
      <w:lvlJc w:val="left"/>
      <w:pPr>
        <w:ind w:left="384" w:hanging="280"/>
        <w:jc w:val="right"/>
      </w:pPr>
      <w:rPr>
        <w:rFonts w:hint="default" w:ascii="Arial" w:hAnsi="Arial" w:eastAsia="Arial" w:cs="Arial"/>
        <w:b/>
        <w:bCs/>
        <w:spacing w:val="0"/>
        <w:w w:val="99"/>
        <w:sz w:val="24"/>
        <w:szCs w:val="24"/>
      </w:rPr>
    </w:lvl>
    <w:lvl w:ilvl="2">
      <w:start w:val="11"/>
      <w:numFmt w:val="decimal"/>
      <w:lvlText w:val="%3."/>
      <w:lvlJc w:val="left"/>
      <w:pPr>
        <w:ind w:left="185" w:hanging="449"/>
        <w:jc w:val="left"/>
      </w:pPr>
      <w:rPr>
        <w:rFonts w:hint="default" w:ascii="Arial" w:hAnsi="Arial" w:eastAsia="Arial" w:cs="Arial"/>
        <w:spacing w:val="0"/>
        <w:w w:val="99"/>
        <w:sz w:val="24"/>
        <w:szCs w:val="24"/>
      </w:rPr>
    </w:lvl>
    <w:lvl w:ilvl="3">
      <w:start w:val="1"/>
      <w:numFmt w:val="bullet"/>
      <w:lvlText w:val=""/>
      <w:lvlJc w:val="left"/>
      <w:pPr>
        <w:ind w:left="825" w:hanging="360"/>
      </w:pPr>
      <w:rPr>
        <w:rFonts w:hint="default" w:ascii="Symbol" w:hAnsi="Symbol" w:eastAsia="Symbol" w:cs="Symbol"/>
        <w:w w:val="100"/>
        <w:sz w:val="24"/>
        <w:szCs w:val="24"/>
      </w:rPr>
    </w:lvl>
    <w:lvl w:ilvl="4">
      <w:start w:val="1"/>
      <w:numFmt w:val="bullet"/>
      <w:lvlText w:val="•"/>
      <w:lvlJc w:val="left"/>
      <w:pPr>
        <w:ind w:left="1997" w:hanging="360"/>
      </w:pPr>
      <w:rPr>
        <w:rFonts w:hint="default"/>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13">
    <w:multiLevelType w:val="hybridMultilevel"/>
    <w:lvl w:ilvl="0">
      <w:start w:val="2"/>
      <w:numFmt w:val="decimal"/>
      <w:lvlText w:val="%1"/>
      <w:lvlJc w:val="left"/>
      <w:pPr>
        <w:ind w:left="536" w:hanging="432"/>
        <w:jc w:val="left"/>
      </w:pPr>
      <w:rPr>
        <w:rFonts w:hint="default"/>
      </w:rPr>
    </w:lvl>
    <w:lvl w:ilvl="1">
      <w:start w:val="3"/>
      <w:numFmt w:val="decimal"/>
      <w:lvlText w:val="%1.%2"/>
      <w:lvlJc w:val="left"/>
      <w:pPr>
        <w:ind w:left="536" w:hanging="432"/>
        <w:jc w:val="left"/>
      </w:pPr>
      <w:rPr>
        <w:rFonts w:hint="default" w:ascii="Cambria" w:hAnsi="Cambria" w:eastAsia="Cambria" w:cs="Cambria"/>
        <w:b/>
        <w:bCs/>
        <w:color w:val="4F81BC"/>
        <w:spacing w:val="-6"/>
        <w:w w:val="101"/>
        <w:sz w:val="26"/>
        <w:szCs w:val="26"/>
      </w:rPr>
    </w:lvl>
    <w:lvl w:ilvl="2">
      <w:start w:val="1"/>
      <w:numFmt w:val="decimal"/>
      <w:lvlText w:val="%1.%2.%3"/>
      <w:lvlJc w:val="left"/>
      <w:pPr>
        <w:ind w:left="752" w:hanging="648"/>
        <w:jc w:val="left"/>
      </w:pPr>
      <w:rPr>
        <w:rFonts w:hint="default" w:ascii="Cambria" w:hAnsi="Cambria" w:eastAsia="Cambria" w:cs="Cambria"/>
        <w:b/>
        <w:bCs/>
        <w:color w:val="4F81BC"/>
        <w:spacing w:val="-6"/>
        <w:w w:val="101"/>
        <w:sz w:val="26"/>
        <w:szCs w:val="26"/>
      </w:rPr>
    </w:lvl>
    <w:lvl w:ilvl="3">
      <w:start w:val="1"/>
      <w:numFmt w:val="bullet"/>
      <w:lvlText w:val=""/>
      <w:lvlJc w:val="left"/>
      <w:pPr>
        <w:ind w:left="825"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2">
    <w:multiLevelType w:val="hybridMultilevel"/>
    <w:lvl w:ilvl="0">
      <w:start w:val="2"/>
      <w:numFmt w:val="decimal"/>
      <w:lvlText w:val="%1"/>
      <w:lvlJc w:val="left"/>
      <w:pPr>
        <w:ind w:left="697" w:hanging="593"/>
        <w:jc w:val="left"/>
      </w:pPr>
      <w:rPr>
        <w:rFonts w:hint="default"/>
      </w:rPr>
    </w:lvl>
    <w:lvl w:ilvl="1">
      <w:start w:val="1"/>
      <w:numFmt w:val="decimal"/>
      <w:lvlText w:val="%1.%2"/>
      <w:lvlJc w:val="left"/>
      <w:pPr>
        <w:ind w:left="697" w:hanging="593"/>
        <w:jc w:val="left"/>
      </w:pPr>
      <w:rPr>
        <w:rFonts w:hint="default"/>
      </w:rPr>
    </w:lvl>
    <w:lvl w:ilvl="2">
      <w:start w:val="2"/>
      <w:numFmt w:val="decimal"/>
      <w:lvlText w:val="%1.%2.%3"/>
      <w:lvlJc w:val="left"/>
      <w:pPr>
        <w:ind w:left="697" w:hanging="593"/>
        <w:jc w:val="right"/>
      </w:pPr>
      <w:rPr>
        <w:rFonts w:hint="default" w:ascii="Cambria" w:hAnsi="Cambria" w:eastAsia="Cambria" w:cs="Cambria"/>
        <w:b/>
        <w:bCs/>
        <w:color w:val="4F81BC"/>
        <w:spacing w:val="0"/>
        <w:w w:val="100"/>
        <w:sz w:val="24"/>
        <w:szCs w:val="24"/>
      </w:rPr>
    </w:lvl>
    <w:lvl w:ilvl="3">
      <w:start w:val="1"/>
      <w:numFmt w:val="bullet"/>
      <w:lvlText w:val="•"/>
      <w:lvlJc w:val="left"/>
      <w:pPr>
        <w:ind w:left="3208" w:hanging="593"/>
      </w:pPr>
      <w:rPr>
        <w:rFonts w:hint="default"/>
      </w:rPr>
    </w:lvl>
    <w:lvl w:ilvl="4">
      <w:start w:val="1"/>
      <w:numFmt w:val="bullet"/>
      <w:lvlText w:val="•"/>
      <w:lvlJc w:val="left"/>
      <w:pPr>
        <w:ind w:left="4044" w:hanging="593"/>
      </w:pPr>
      <w:rPr>
        <w:rFonts w:hint="default"/>
      </w:rPr>
    </w:lvl>
    <w:lvl w:ilvl="5">
      <w:start w:val="1"/>
      <w:numFmt w:val="bullet"/>
      <w:lvlText w:val="•"/>
      <w:lvlJc w:val="left"/>
      <w:pPr>
        <w:ind w:left="4880" w:hanging="593"/>
      </w:pPr>
      <w:rPr>
        <w:rFonts w:hint="default"/>
      </w:rPr>
    </w:lvl>
    <w:lvl w:ilvl="6">
      <w:start w:val="1"/>
      <w:numFmt w:val="bullet"/>
      <w:lvlText w:val="•"/>
      <w:lvlJc w:val="left"/>
      <w:pPr>
        <w:ind w:left="5716" w:hanging="593"/>
      </w:pPr>
      <w:rPr>
        <w:rFonts w:hint="default"/>
      </w:rPr>
    </w:lvl>
    <w:lvl w:ilvl="7">
      <w:start w:val="1"/>
      <w:numFmt w:val="bullet"/>
      <w:lvlText w:val="•"/>
      <w:lvlJc w:val="left"/>
      <w:pPr>
        <w:ind w:left="6552" w:hanging="593"/>
      </w:pPr>
      <w:rPr>
        <w:rFonts w:hint="default"/>
      </w:rPr>
    </w:lvl>
    <w:lvl w:ilvl="8">
      <w:start w:val="1"/>
      <w:numFmt w:val="bullet"/>
      <w:lvlText w:val="•"/>
      <w:lvlJc w:val="left"/>
      <w:pPr>
        <w:ind w:left="7388" w:hanging="593"/>
      </w:pPr>
      <w:rPr>
        <w:rFonts w:hint="default"/>
      </w:rPr>
    </w:lvl>
  </w:abstractNum>
  <w:abstractNum w:abstractNumId="11">
    <w:multiLevelType w:val="hybridMultilevel"/>
    <w:lvl w:ilvl="0">
      <w:start w:val="1"/>
      <w:numFmt w:val="decimal"/>
      <w:lvlText w:val="%1"/>
      <w:lvlJc w:val="left"/>
      <w:pPr>
        <w:ind w:left="537" w:hanging="433"/>
        <w:jc w:val="left"/>
      </w:pPr>
      <w:rPr>
        <w:rFonts w:hint="default"/>
      </w:rPr>
    </w:lvl>
    <w:lvl w:ilvl="1">
      <w:start w:val="7"/>
      <w:numFmt w:val="decimal"/>
      <w:lvlText w:val="%1.%2"/>
      <w:lvlJc w:val="left"/>
      <w:pPr>
        <w:ind w:left="537" w:hanging="433"/>
        <w:jc w:val="left"/>
      </w:pPr>
      <w:rPr>
        <w:rFonts w:hint="default" w:ascii="Cambria" w:hAnsi="Cambria" w:eastAsia="Cambria" w:cs="Cambria"/>
        <w:b/>
        <w:bCs/>
        <w:color w:val="4F81BC"/>
        <w:spacing w:val="-5"/>
        <w:w w:val="101"/>
        <w:sz w:val="26"/>
        <w:szCs w:val="26"/>
      </w:rPr>
    </w:lvl>
    <w:lvl w:ilvl="2">
      <w:start w:val="1"/>
      <w:numFmt w:val="decimal"/>
      <w:lvlText w:val="%1.%2.%3"/>
      <w:lvlJc w:val="left"/>
      <w:pPr>
        <w:ind w:left="697" w:hanging="593"/>
        <w:jc w:val="left"/>
      </w:pPr>
      <w:rPr>
        <w:rFonts w:hint="default" w:ascii="Cambria" w:hAnsi="Cambria" w:eastAsia="Cambria" w:cs="Cambria"/>
        <w:b/>
        <w:bCs/>
        <w:color w:val="4F81BC"/>
        <w:spacing w:val="0"/>
        <w:w w:val="100"/>
        <w:sz w:val="24"/>
        <w:szCs w:val="24"/>
      </w:rPr>
    </w:lvl>
    <w:lvl w:ilvl="3">
      <w:start w:val="1"/>
      <w:numFmt w:val="bullet"/>
      <w:lvlText w:val="•"/>
      <w:lvlJc w:val="left"/>
      <w:pPr>
        <w:ind w:left="1230" w:hanging="593"/>
      </w:pPr>
      <w:rPr>
        <w:rFonts w:hint="default"/>
      </w:rPr>
    </w:lvl>
    <w:lvl w:ilvl="4">
      <w:start w:val="1"/>
      <w:numFmt w:val="bullet"/>
      <w:lvlText w:val="•"/>
      <w:lvlJc w:val="left"/>
      <w:pPr>
        <w:ind w:left="1495" w:hanging="593"/>
      </w:pPr>
      <w:rPr>
        <w:rFonts w:hint="default"/>
      </w:rPr>
    </w:lvl>
    <w:lvl w:ilvl="5">
      <w:start w:val="1"/>
      <w:numFmt w:val="bullet"/>
      <w:lvlText w:val="•"/>
      <w:lvlJc w:val="left"/>
      <w:pPr>
        <w:ind w:left="1761" w:hanging="593"/>
      </w:pPr>
      <w:rPr>
        <w:rFonts w:hint="default"/>
      </w:rPr>
    </w:lvl>
    <w:lvl w:ilvl="6">
      <w:start w:val="1"/>
      <w:numFmt w:val="bullet"/>
      <w:lvlText w:val="•"/>
      <w:lvlJc w:val="left"/>
      <w:pPr>
        <w:ind w:left="2026" w:hanging="593"/>
      </w:pPr>
      <w:rPr>
        <w:rFonts w:hint="default"/>
      </w:rPr>
    </w:lvl>
    <w:lvl w:ilvl="7">
      <w:start w:val="1"/>
      <w:numFmt w:val="bullet"/>
      <w:lvlText w:val="•"/>
      <w:lvlJc w:val="left"/>
      <w:pPr>
        <w:ind w:left="2291" w:hanging="593"/>
      </w:pPr>
      <w:rPr>
        <w:rFonts w:hint="default"/>
      </w:rPr>
    </w:lvl>
    <w:lvl w:ilvl="8">
      <w:start w:val="1"/>
      <w:numFmt w:val="bullet"/>
      <w:lvlText w:val="•"/>
      <w:lvlJc w:val="left"/>
      <w:pPr>
        <w:ind w:left="2557" w:hanging="593"/>
      </w:pPr>
      <w:rPr>
        <w:rFonts w:hint="default"/>
      </w:rPr>
    </w:lvl>
  </w:abstractNum>
  <w:abstractNum w:abstractNumId="10">
    <w:multiLevelType w:val="hybridMultilevel"/>
    <w:lvl w:ilvl="0">
      <w:start w:val="1"/>
      <w:numFmt w:val="decimal"/>
      <w:lvlText w:val="%1"/>
      <w:lvlJc w:val="left"/>
      <w:pPr>
        <w:ind w:left="705" w:hanging="601"/>
        <w:jc w:val="left"/>
      </w:pPr>
      <w:rPr>
        <w:rFonts w:hint="default"/>
      </w:rPr>
    </w:lvl>
    <w:lvl w:ilvl="1">
      <w:start w:val="6"/>
      <w:numFmt w:val="decimal"/>
      <w:lvlText w:val="%1.%2"/>
      <w:lvlJc w:val="left"/>
      <w:pPr>
        <w:ind w:left="705" w:hanging="601"/>
        <w:jc w:val="left"/>
      </w:pPr>
      <w:rPr>
        <w:rFonts w:hint="default"/>
      </w:rPr>
    </w:lvl>
    <w:lvl w:ilvl="2">
      <w:start w:val="1"/>
      <w:numFmt w:val="decimal"/>
      <w:lvlText w:val="%1.%2.%3"/>
      <w:lvlJc w:val="left"/>
      <w:pPr>
        <w:ind w:left="705" w:hanging="601"/>
        <w:jc w:val="left"/>
      </w:pPr>
      <w:rPr>
        <w:rFonts w:hint="default" w:ascii="Cambria" w:hAnsi="Cambria" w:eastAsia="Cambria" w:cs="Cambria"/>
        <w:b/>
        <w:bCs/>
        <w:color w:val="4F81BC"/>
        <w:spacing w:val="0"/>
        <w:w w:val="100"/>
        <w:sz w:val="24"/>
        <w:szCs w:val="24"/>
      </w:rPr>
    </w:lvl>
    <w:lvl w:ilvl="3">
      <w:start w:val="1"/>
      <w:numFmt w:val="bullet"/>
      <w:lvlText w:val="•"/>
      <w:lvlJc w:val="left"/>
      <w:pPr>
        <w:ind w:left="3208" w:hanging="601"/>
      </w:pPr>
      <w:rPr>
        <w:rFonts w:hint="default"/>
      </w:rPr>
    </w:lvl>
    <w:lvl w:ilvl="4">
      <w:start w:val="1"/>
      <w:numFmt w:val="bullet"/>
      <w:lvlText w:val="•"/>
      <w:lvlJc w:val="left"/>
      <w:pPr>
        <w:ind w:left="4044" w:hanging="601"/>
      </w:pPr>
      <w:rPr>
        <w:rFonts w:hint="default"/>
      </w:rPr>
    </w:lvl>
    <w:lvl w:ilvl="5">
      <w:start w:val="1"/>
      <w:numFmt w:val="bullet"/>
      <w:lvlText w:val="•"/>
      <w:lvlJc w:val="left"/>
      <w:pPr>
        <w:ind w:left="4880" w:hanging="601"/>
      </w:pPr>
      <w:rPr>
        <w:rFonts w:hint="default"/>
      </w:rPr>
    </w:lvl>
    <w:lvl w:ilvl="6">
      <w:start w:val="1"/>
      <w:numFmt w:val="bullet"/>
      <w:lvlText w:val="•"/>
      <w:lvlJc w:val="left"/>
      <w:pPr>
        <w:ind w:left="5716" w:hanging="601"/>
      </w:pPr>
      <w:rPr>
        <w:rFonts w:hint="default"/>
      </w:rPr>
    </w:lvl>
    <w:lvl w:ilvl="7">
      <w:start w:val="1"/>
      <w:numFmt w:val="bullet"/>
      <w:lvlText w:val="•"/>
      <w:lvlJc w:val="left"/>
      <w:pPr>
        <w:ind w:left="6552" w:hanging="601"/>
      </w:pPr>
      <w:rPr>
        <w:rFonts w:hint="default"/>
      </w:rPr>
    </w:lvl>
    <w:lvl w:ilvl="8">
      <w:start w:val="1"/>
      <w:numFmt w:val="bullet"/>
      <w:lvlText w:val="•"/>
      <w:lvlJc w:val="left"/>
      <w:pPr>
        <w:ind w:left="7388" w:hanging="601"/>
      </w:pPr>
      <w:rPr>
        <w:rFonts w:hint="default"/>
      </w:rPr>
    </w:lvl>
  </w:abstractNum>
  <w:abstractNum w:abstractNumId="9">
    <w:multiLevelType w:val="hybridMultilevel"/>
    <w:lvl w:ilvl="0">
      <w:start w:val="1"/>
      <w:numFmt w:val="bullet"/>
      <w:lvlText w:val=""/>
      <w:lvlJc w:val="left"/>
      <w:pPr>
        <w:ind w:left="825"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bullet"/>
      <w:lvlText w:val=""/>
      <w:lvlJc w:val="left"/>
      <w:pPr>
        <w:ind w:left="825" w:hanging="360"/>
      </w:pPr>
      <w:rPr>
        <w:rFonts w:hint="default"/>
        <w:w w:val="101"/>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decimal"/>
      <w:lvlText w:val="%1)"/>
      <w:lvlJc w:val="left"/>
      <w:pPr>
        <w:ind w:left="347" w:hanging="243"/>
        <w:jc w:val="left"/>
      </w:pPr>
      <w:rPr>
        <w:rFonts w:hint="default" w:ascii="Cambria" w:hAnsi="Cambria" w:eastAsia="Cambria" w:cs="Cambria"/>
        <w:b/>
        <w:bCs/>
        <w:color w:val="4F81BC"/>
        <w:spacing w:val="-2"/>
        <w:w w:val="100"/>
        <w:sz w:val="24"/>
        <w:szCs w:val="24"/>
      </w:rPr>
    </w:lvl>
    <w:lvl w:ilvl="1">
      <w:start w:val="1"/>
      <w:numFmt w:val="bullet"/>
      <w:lvlText w:val="•"/>
      <w:lvlJc w:val="left"/>
      <w:pPr>
        <w:ind w:left="1212" w:hanging="243"/>
      </w:pPr>
      <w:rPr>
        <w:rFonts w:hint="default"/>
      </w:rPr>
    </w:lvl>
    <w:lvl w:ilvl="2">
      <w:start w:val="1"/>
      <w:numFmt w:val="bullet"/>
      <w:lvlText w:val="•"/>
      <w:lvlJc w:val="left"/>
      <w:pPr>
        <w:ind w:left="2084" w:hanging="243"/>
      </w:pPr>
      <w:rPr>
        <w:rFonts w:hint="default"/>
      </w:rPr>
    </w:lvl>
    <w:lvl w:ilvl="3">
      <w:start w:val="1"/>
      <w:numFmt w:val="bullet"/>
      <w:lvlText w:val="•"/>
      <w:lvlJc w:val="left"/>
      <w:pPr>
        <w:ind w:left="2956" w:hanging="243"/>
      </w:pPr>
      <w:rPr>
        <w:rFonts w:hint="default"/>
      </w:rPr>
    </w:lvl>
    <w:lvl w:ilvl="4">
      <w:start w:val="1"/>
      <w:numFmt w:val="bullet"/>
      <w:lvlText w:val="•"/>
      <w:lvlJc w:val="left"/>
      <w:pPr>
        <w:ind w:left="3828" w:hanging="243"/>
      </w:pPr>
      <w:rPr>
        <w:rFonts w:hint="default"/>
      </w:rPr>
    </w:lvl>
    <w:lvl w:ilvl="5">
      <w:start w:val="1"/>
      <w:numFmt w:val="bullet"/>
      <w:lvlText w:val="•"/>
      <w:lvlJc w:val="left"/>
      <w:pPr>
        <w:ind w:left="4700" w:hanging="243"/>
      </w:pPr>
      <w:rPr>
        <w:rFonts w:hint="default"/>
      </w:rPr>
    </w:lvl>
    <w:lvl w:ilvl="6">
      <w:start w:val="1"/>
      <w:numFmt w:val="bullet"/>
      <w:lvlText w:val="•"/>
      <w:lvlJc w:val="left"/>
      <w:pPr>
        <w:ind w:left="5572" w:hanging="243"/>
      </w:pPr>
      <w:rPr>
        <w:rFonts w:hint="default"/>
      </w:rPr>
    </w:lvl>
    <w:lvl w:ilvl="7">
      <w:start w:val="1"/>
      <w:numFmt w:val="bullet"/>
      <w:lvlText w:val="•"/>
      <w:lvlJc w:val="left"/>
      <w:pPr>
        <w:ind w:left="6444" w:hanging="243"/>
      </w:pPr>
      <w:rPr>
        <w:rFonts w:hint="default"/>
      </w:rPr>
    </w:lvl>
    <w:lvl w:ilvl="8">
      <w:start w:val="1"/>
      <w:numFmt w:val="bullet"/>
      <w:lvlText w:val="•"/>
      <w:lvlJc w:val="left"/>
      <w:pPr>
        <w:ind w:left="7316" w:hanging="243"/>
      </w:pPr>
      <w:rPr>
        <w:rFonts w:hint="default"/>
      </w:rPr>
    </w:lvl>
  </w:abstractNum>
  <w:abstractNum w:abstractNumId="6">
    <w:multiLevelType w:val="hybridMultilevel"/>
    <w:lvl w:ilvl="0">
      <w:start w:val="1"/>
      <w:numFmt w:val="decimal"/>
      <w:lvlText w:val="%1)"/>
      <w:lvlJc w:val="left"/>
      <w:pPr>
        <w:ind w:left="400" w:hanging="296"/>
        <w:jc w:val="left"/>
      </w:pPr>
      <w:rPr>
        <w:rFonts w:hint="default" w:ascii="Cambria" w:hAnsi="Cambria" w:eastAsia="Cambria" w:cs="Cambria"/>
        <w:b/>
        <w:bCs/>
        <w:color w:val="4F81BC"/>
        <w:spacing w:val="-4"/>
        <w:w w:val="100"/>
        <w:sz w:val="24"/>
        <w:szCs w:val="24"/>
      </w:rPr>
    </w:lvl>
    <w:lvl w:ilvl="1">
      <w:start w:val="1"/>
      <w:numFmt w:val="lowerLetter"/>
      <w:lvlText w:val="%2)"/>
      <w:lvlJc w:val="left"/>
      <w:pPr>
        <w:ind w:left="369" w:hanging="265"/>
        <w:jc w:val="left"/>
      </w:pPr>
      <w:rPr>
        <w:rFonts w:hint="default" w:ascii="Cambria" w:hAnsi="Cambria" w:eastAsia="Cambria" w:cs="Cambria"/>
        <w:b/>
        <w:bCs/>
        <w:i/>
        <w:color w:val="4F81BC"/>
        <w:w w:val="101"/>
        <w:sz w:val="22"/>
        <w:szCs w:val="22"/>
      </w:rPr>
    </w:lvl>
    <w:lvl w:ilvl="2">
      <w:start w:val="1"/>
      <w:numFmt w:val="bullet"/>
      <w:lvlText w:val="•"/>
      <w:lvlJc w:val="left"/>
      <w:pPr>
        <w:ind w:left="1362" w:hanging="265"/>
      </w:pPr>
      <w:rPr>
        <w:rFonts w:hint="default"/>
      </w:rPr>
    </w:lvl>
    <w:lvl w:ilvl="3">
      <w:start w:val="1"/>
      <w:numFmt w:val="bullet"/>
      <w:lvlText w:val="•"/>
      <w:lvlJc w:val="left"/>
      <w:pPr>
        <w:ind w:left="2324" w:hanging="265"/>
      </w:pPr>
      <w:rPr>
        <w:rFonts w:hint="default"/>
      </w:rPr>
    </w:lvl>
    <w:lvl w:ilvl="4">
      <w:start w:val="1"/>
      <w:numFmt w:val="bullet"/>
      <w:lvlText w:val="•"/>
      <w:lvlJc w:val="left"/>
      <w:pPr>
        <w:ind w:left="3286" w:hanging="265"/>
      </w:pPr>
      <w:rPr>
        <w:rFonts w:hint="default"/>
      </w:rPr>
    </w:lvl>
    <w:lvl w:ilvl="5">
      <w:start w:val="1"/>
      <w:numFmt w:val="bullet"/>
      <w:lvlText w:val="•"/>
      <w:lvlJc w:val="left"/>
      <w:pPr>
        <w:ind w:left="4248" w:hanging="265"/>
      </w:pPr>
      <w:rPr>
        <w:rFonts w:hint="default"/>
      </w:rPr>
    </w:lvl>
    <w:lvl w:ilvl="6">
      <w:start w:val="1"/>
      <w:numFmt w:val="bullet"/>
      <w:lvlText w:val="•"/>
      <w:lvlJc w:val="left"/>
      <w:pPr>
        <w:ind w:left="5211" w:hanging="265"/>
      </w:pPr>
      <w:rPr>
        <w:rFonts w:hint="default"/>
      </w:rPr>
    </w:lvl>
    <w:lvl w:ilvl="7">
      <w:start w:val="1"/>
      <w:numFmt w:val="bullet"/>
      <w:lvlText w:val="•"/>
      <w:lvlJc w:val="left"/>
      <w:pPr>
        <w:ind w:left="6173" w:hanging="265"/>
      </w:pPr>
      <w:rPr>
        <w:rFonts w:hint="default"/>
      </w:rPr>
    </w:lvl>
    <w:lvl w:ilvl="8">
      <w:start w:val="1"/>
      <w:numFmt w:val="bullet"/>
      <w:lvlText w:val="•"/>
      <w:lvlJc w:val="left"/>
      <w:pPr>
        <w:ind w:left="7135" w:hanging="265"/>
      </w:pPr>
      <w:rPr>
        <w:rFonts w:hint="default"/>
      </w:rPr>
    </w:lvl>
  </w:abstractNum>
  <w:abstractNum w:abstractNumId="5">
    <w:multiLevelType w:val="hybridMultilevel"/>
    <w:lvl w:ilvl="0">
      <w:start w:val="1"/>
      <w:numFmt w:val="decimal"/>
      <w:lvlText w:val="%1"/>
      <w:lvlJc w:val="left"/>
      <w:pPr>
        <w:ind w:left="752" w:hanging="648"/>
        <w:jc w:val="left"/>
      </w:pPr>
      <w:rPr>
        <w:rFonts w:hint="default"/>
      </w:rPr>
    </w:lvl>
    <w:lvl w:ilvl="1">
      <w:start w:val="2"/>
      <w:numFmt w:val="decimal"/>
      <w:lvlText w:val="%1.%2"/>
      <w:lvlJc w:val="left"/>
      <w:pPr>
        <w:ind w:left="752" w:hanging="648"/>
        <w:jc w:val="left"/>
      </w:pPr>
      <w:rPr>
        <w:rFonts w:hint="default"/>
      </w:rPr>
    </w:lvl>
    <w:lvl w:ilvl="2">
      <w:start w:val="1"/>
      <w:numFmt w:val="decimal"/>
      <w:lvlText w:val="%1.%2.%3"/>
      <w:lvlJc w:val="left"/>
      <w:pPr>
        <w:ind w:left="704" w:hanging="600"/>
        <w:jc w:val="left"/>
      </w:pPr>
      <w:rPr>
        <w:rFonts w:hint="default"/>
        <w:b/>
        <w:bCs/>
        <w:spacing w:val="0"/>
        <w:w w:val="100"/>
      </w:rPr>
    </w:lvl>
    <w:lvl w:ilvl="3">
      <w:start w:val="1"/>
      <w:numFmt w:val="bullet"/>
      <w:lvlText w:val=""/>
      <w:lvlJc w:val="left"/>
      <w:pPr>
        <w:ind w:left="825" w:hanging="360"/>
      </w:pPr>
      <w:rPr>
        <w:rFonts w:hint="default"/>
        <w:w w:val="100"/>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4">
    <w:multiLevelType w:val="hybridMultilevel"/>
    <w:lvl w:ilvl="0">
      <w:start w:val="2"/>
      <w:numFmt w:val="decimal"/>
      <w:lvlText w:val="%1"/>
      <w:lvlJc w:val="left"/>
      <w:pPr>
        <w:ind w:left="657" w:hanging="328"/>
        <w:jc w:val="left"/>
      </w:pPr>
      <w:rPr>
        <w:rFonts w:hint="default"/>
      </w:rPr>
    </w:lvl>
    <w:lvl w:ilvl="1">
      <w:start w:val="3"/>
      <w:numFmt w:val="decimal"/>
      <w:lvlText w:val="%1.%2"/>
      <w:lvlJc w:val="left"/>
      <w:pPr>
        <w:ind w:left="657" w:hanging="328"/>
        <w:jc w:val="left"/>
      </w:pPr>
      <w:rPr>
        <w:rFonts w:hint="default" w:ascii="Calibri" w:hAnsi="Calibri" w:eastAsia="Calibri" w:cs="Calibri"/>
        <w:spacing w:val="-2"/>
        <w:w w:val="101"/>
        <w:sz w:val="22"/>
        <w:szCs w:val="22"/>
      </w:rPr>
    </w:lvl>
    <w:lvl w:ilvl="2">
      <w:start w:val="1"/>
      <w:numFmt w:val="decimal"/>
      <w:lvlText w:val="%3)"/>
      <w:lvlJc w:val="left"/>
      <w:pPr>
        <w:ind w:left="769" w:hanging="224"/>
        <w:jc w:val="left"/>
      </w:pPr>
      <w:rPr>
        <w:rFonts w:hint="default" w:ascii="Calibri" w:hAnsi="Calibri" w:eastAsia="Calibri" w:cs="Calibri"/>
        <w:spacing w:val="-2"/>
        <w:w w:val="101"/>
        <w:sz w:val="22"/>
        <w:szCs w:val="22"/>
      </w:rPr>
    </w:lvl>
    <w:lvl w:ilvl="3">
      <w:start w:val="1"/>
      <w:numFmt w:val="bullet"/>
      <w:lvlText w:val="•"/>
      <w:lvlJc w:val="left"/>
      <w:pPr>
        <w:ind w:left="1850" w:hanging="224"/>
      </w:pPr>
      <w:rPr>
        <w:rFonts w:hint="default"/>
      </w:rPr>
    </w:lvl>
    <w:lvl w:ilvl="4">
      <w:start w:val="1"/>
      <w:numFmt w:val="bullet"/>
      <w:lvlText w:val="•"/>
      <w:lvlJc w:val="left"/>
      <w:pPr>
        <w:ind w:left="2880" w:hanging="224"/>
      </w:pPr>
      <w:rPr>
        <w:rFonts w:hint="default"/>
      </w:rPr>
    </w:lvl>
    <w:lvl w:ilvl="5">
      <w:start w:val="1"/>
      <w:numFmt w:val="bullet"/>
      <w:lvlText w:val="•"/>
      <w:lvlJc w:val="left"/>
      <w:pPr>
        <w:ind w:left="3910" w:hanging="224"/>
      </w:pPr>
      <w:rPr>
        <w:rFonts w:hint="default"/>
      </w:rPr>
    </w:lvl>
    <w:lvl w:ilvl="6">
      <w:start w:val="1"/>
      <w:numFmt w:val="bullet"/>
      <w:lvlText w:val="•"/>
      <w:lvlJc w:val="left"/>
      <w:pPr>
        <w:ind w:left="4940" w:hanging="224"/>
      </w:pPr>
      <w:rPr>
        <w:rFonts w:hint="default"/>
      </w:rPr>
    </w:lvl>
    <w:lvl w:ilvl="7">
      <w:start w:val="1"/>
      <w:numFmt w:val="bullet"/>
      <w:lvlText w:val="•"/>
      <w:lvlJc w:val="left"/>
      <w:pPr>
        <w:ind w:left="5970" w:hanging="224"/>
      </w:pPr>
      <w:rPr>
        <w:rFonts w:hint="default"/>
      </w:rPr>
    </w:lvl>
    <w:lvl w:ilvl="8">
      <w:start w:val="1"/>
      <w:numFmt w:val="bullet"/>
      <w:lvlText w:val="•"/>
      <w:lvlJc w:val="left"/>
      <w:pPr>
        <w:ind w:left="7000" w:hanging="224"/>
      </w:pPr>
      <w:rPr>
        <w:rFonts w:hint="default"/>
      </w:rPr>
    </w:lvl>
  </w:abstractNum>
  <w:abstractNum w:abstractNumId="3">
    <w:multiLevelType w:val="hybridMultilevel"/>
    <w:lvl w:ilvl="0">
      <w:start w:val="2"/>
      <w:numFmt w:val="decimal"/>
      <w:lvlText w:val="%1"/>
      <w:lvlJc w:val="left"/>
      <w:pPr>
        <w:ind w:left="657" w:hanging="328"/>
        <w:jc w:val="left"/>
      </w:pPr>
      <w:rPr>
        <w:rFonts w:hint="default"/>
      </w:rPr>
    </w:lvl>
    <w:lvl w:ilvl="1">
      <w:start w:val="1"/>
      <w:numFmt w:val="decimal"/>
      <w:lvlText w:val="%1.%2"/>
      <w:lvlJc w:val="left"/>
      <w:pPr>
        <w:ind w:left="657" w:hanging="328"/>
        <w:jc w:val="left"/>
      </w:pPr>
      <w:rPr>
        <w:rFonts w:hint="default" w:ascii="Calibri" w:hAnsi="Calibri" w:eastAsia="Calibri" w:cs="Calibri"/>
        <w:spacing w:val="-2"/>
        <w:w w:val="101"/>
        <w:sz w:val="22"/>
        <w:szCs w:val="22"/>
      </w:rPr>
    </w:lvl>
    <w:lvl w:ilvl="2">
      <w:start w:val="1"/>
      <w:numFmt w:val="decimal"/>
      <w:lvlText w:val="%1.%2.%3"/>
      <w:lvlJc w:val="left"/>
      <w:pPr>
        <w:ind w:left="1041" w:hanging="496"/>
        <w:jc w:val="left"/>
      </w:pPr>
      <w:rPr>
        <w:rFonts w:hint="default" w:ascii="Calibri" w:hAnsi="Calibri" w:eastAsia="Calibri" w:cs="Calibri"/>
        <w:spacing w:val="-2"/>
        <w:w w:val="101"/>
        <w:sz w:val="22"/>
        <w:szCs w:val="22"/>
      </w:rPr>
    </w:lvl>
    <w:lvl w:ilvl="3">
      <w:start w:val="1"/>
      <w:numFmt w:val="bullet"/>
      <w:lvlText w:val="•"/>
      <w:lvlJc w:val="left"/>
      <w:pPr>
        <w:ind w:left="2822" w:hanging="496"/>
      </w:pPr>
      <w:rPr>
        <w:rFonts w:hint="default"/>
      </w:rPr>
    </w:lvl>
    <w:lvl w:ilvl="4">
      <w:start w:val="1"/>
      <w:numFmt w:val="bullet"/>
      <w:lvlText w:val="•"/>
      <w:lvlJc w:val="left"/>
      <w:pPr>
        <w:ind w:left="3713" w:hanging="496"/>
      </w:pPr>
      <w:rPr>
        <w:rFonts w:hint="default"/>
      </w:rPr>
    </w:lvl>
    <w:lvl w:ilvl="5">
      <w:start w:val="1"/>
      <w:numFmt w:val="bullet"/>
      <w:lvlText w:val="•"/>
      <w:lvlJc w:val="left"/>
      <w:pPr>
        <w:ind w:left="4604" w:hanging="496"/>
      </w:pPr>
      <w:rPr>
        <w:rFonts w:hint="default"/>
      </w:rPr>
    </w:lvl>
    <w:lvl w:ilvl="6">
      <w:start w:val="1"/>
      <w:numFmt w:val="bullet"/>
      <w:lvlText w:val="•"/>
      <w:lvlJc w:val="left"/>
      <w:pPr>
        <w:ind w:left="5495" w:hanging="496"/>
      </w:pPr>
      <w:rPr>
        <w:rFonts w:hint="default"/>
      </w:rPr>
    </w:lvl>
    <w:lvl w:ilvl="7">
      <w:start w:val="1"/>
      <w:numFmt w:val="bullet"/>
      <w:lvlText w:val="•"/>
      <w:lvlJc w:val="left"/>
      <w:pPr>
        <w:ind w:left="6386" w:hanging="496"/>
      </w:pPr>
      <w:rPr>
        <w:rFonts w:hint="default"/>
      </w:rPr>
    </w:lvl>
    <w:lvl w:ilvl="8">
      <w:start w:val="1"/>
      <w:numFmt w:val="bullet"/>
      <w:lvlText w:val="•"/>
      <w:lvlJc w:val="left"/>
      <w:pPr>
        <w:ind w:left="7277" w:hanging="496"/>
      </w:pPr>
      <w:rPr>
        <w:rFonts w:hint="default"/>
      </w:rPr>
    </w:lvl>
  </w:abstractNum>
  <w:abstractNum w:abstractNumId="2">
    <w:multiLevelType w:val="hybridMultilevel"/>
    <w:lvl w:ilvl="0">
      <w:start w:val="1"/>
      <w:numFmt w:val="decimal"/>
      <w:lvlText w:val="%1"/>
      <w:lvlJc w:val="left"/>
      <w:pPr>
        <w:ind w:left="1041" w:hanging="496"/>
        <w:jc w:val="left"/>
      </w:pPr>
      <w:rPr>
        <w:rFonts w:hint="default"/>
      </w:rPr>
    </w:lvl>
    <w:lvl w:ilvl="1">
      <w:start w:val="6"/>
      <w:numFmt w:val="decimal"/>
      <w:lvlText w:val="%1.%2"/>
      <w:lvlJc w:val="left"/>
      <w:pPr>
        <w:ind w:left="1041" w:hanging="496"/>
        <w:jc w:val="right"/>
      </w:pPr>
      <w:rPr>
        <w:rFonts w:hint="default"/>
      </w:rPr>
    </w:lvl>
    <w:lvl w:ilvl="2">
      <w:start w:val="1"/>
      <w:numFmt w:val="decimal"/>
      <w:lvlText w:val="%1.%2.%3"/>
      <w:lvlJc w:val="left"/>
      <w:pPr>
        <w:ind w:left="1041" w:hanging="496"/>
        <w:jc w:val="left"/>
      </w:pPr>
      <w:rPr>
        <w:rFonts w:hint="default" w:ascii="Calibri" w:hAnsi="Calibri" w:eastAsia="Calibri" w:cs="Calibri"/>
        <w:spacing w:val="-2"/>
        <w:w w:val="101"/>
        <w:sz w:val="22"/>
        <w:szCs w:val="22"/>
      </w:rPr>
    </w:lvl>
    <w:lvl w:ilvl="3">
      <w:start w:val="1"/>
      <w:numFmt w:val="bullet"/>
      <w:lvlText w:val="•"/>
      <w:lvlJc w:val="left"/>
      <w:pPr>
        <w:ind w:left="3446" w:hanging="496"/>
      </w:pPr>
      <w:rPr>
        <w:rFonts w:hint="default"/>
      </w:rPr>
    </w:lvl>
    <w:lvl w:ilvl="4">
      <w:start w:val="1"/>
      <w:numFmt w:val="bullet"/>
      <w:lvlText w:val="•"/>
      <w:lvlJc w:val="left"/>
      <w:pPr>
        <w:ind w:left="4248" w:hanging="496"/>
      </w:pPr>
      <w:rPr>
        <w:rFonts w:hint="default"/>
      </w:rPr>
    </w:lvl>
    <w:lvl w:ilvl="5">
      <w:start w:val="1"/>
      <w:numFmt w:val="bullet"/>
      <w:lvlText w:val="•"/>
      <w:lvlJc w:val="left"/>
      <w:pPr>
        <w:ind w:left="5050" w:hanging="496"/>
      </w:pPr>
      <w:rPr>
        <w:rFonts w:hint="default"/>
      </w:rPr>
    </w:lvl>
    <w:lvl w:ilvl="6">
      <w:start w:val="1"/>
      <w:numFmt w:val="bullet"/>
      <w:lvlText w:val="•"/>
      <w:lvlJc w:val="left"/>
      <w:pPr>
        <w:ind w:left="5852" w:hanging="496"/>
      </w:pPr>
      <w:rPr>
        <w:rFonts w:hint="default"/>
      </w:rPr>
    </w:lvl>
    <w:lvl w:ilvl="7">
      <w:start w:val="1"/>
      <w:numFmt w:val="bullet"/>
      <w:lvlText w:val="•"/>
      <w:lvlJc w:val="left"/>
      <w:pPr>
        <w:ind w:left="6654" w:hanging="496"/>
      </w:pPr>
      <w:rPr>
        <w:rFonts w:hint="default"/>
      </w:rPr>
    </w:lvl>
    <w:lvl w:ilvl="8">
      <w:start w:val="1"/>
      <w:numFmt w:val="bullet"/>
      <w:lvlText w:val="•"/>
      <w:lvlJc w:val="left"/>
      <w:pPr>
        <w:ind w:left="7456" w:hanging="496"/>
      </w:pPr>
      <w:rPr>
        <w:rFonts w:hint="default"/>
      </w:rPr>
    </w:lvl>
  </w:abstractNum>
  <w:abstractNum w:abstractNumId="1">
    <w:multiLevelType w:val="hybridMultilevel"/>
    <w:lvl w:ilvl="0">
      <w:start w:val="1"/>
      <w:numFmt w:val="decimal"/>
      <w:lvlText w:val="%1)"/>
      <w:lvlJc w:val="left"/>
      <w:pPr>
        <w:ind w:left="769" w:hanging="224"/>
        <w:jc w:val="left"/>
      </w:pPr>
      <w:rPr>
        <w:rFonts w:hint="default" w:ascii="Calibri" w:hAnsi="Calibri" w:eastAsia="Calibri" w:cs="Calibri"/>
        <w:spacing w:val="-2"/>
        <w:w w:val="101"/>
        <w:sz w:val="22"/>
        <w:szCs w:val="22"/>
      </w:rPr>
    </w:lvl>
    <w:lvl w:ilvl="1">
      <w:start w:val="1"/>
      <w:numFmt w:val="bullet"/>
      <w:lvlText w:val="•"/>
      <w:lvlJc w:val="left"/>
      <w:pPr>
        <w:ind w:left="1590" w:hanging="224"/>
      </w:pPr>
      <w:rPr>
        <w:rFonts w:hint="default"/>
      </w:rPr>
    </w:lvl>
    <w:lvl w:ilvl="2">
      <w:start w:val="1"/>
      <w:numFmt w:val="bullet"/>
      <w:lvlText w:val="•"/>
      <w:lvlJc w:val="left"/>
      <w:pPr>
        <w:ind w:left="2420" w:hanging="224"/>
      </w:pPr>
      <w:rPr>
        <w:rFonts w:hint="default"/>
      </w:rPr>
    </w:lvl>
    <w:lvl w:ilvl="3">
      <w:start w:val="1"/>
      <w:numFmt w:val="bullet"/>
      <w:lvlText w:val="•"/>
      <w:lvlJc w:val="left"/>
      <w:pPr>
        <w:ind w:left="3250" w:hanging="224"/>
      </w:pPr>
      <w:rPr>
        <w:rFonts w:hint="default"/>
      </w:rPr>
    </w:lvl>
    <w:lvl w:ilvl="4">
      <w:start w:val="1"/>
      <w:numFmt w:val="bullet"/>
      <w:lvlText w:val="•"/>
      <w:lvlJc w:val="left"/>
      <w:pPr>
        <w:ind w:left="4080" w:hanging="224"/>
      </w:pPr>
      <w:rPr>
        <w:rFonts w:hint="default"/>
      </w:rPr>
    </w:lvl>
    <w:lvl w:ilvl="5">
      <w:start w:val="1"/>
      <w:numFmt w:val="bullet"/>
      <w:lvlText w:val="•"/>
      <w:lvlJc w:val="left"/>
      <w:pPr>
        <w:ind w:left="4910" w:hanging="224"/>
      </w:pPr>
      <w:rPr>
        <w:rFonts w:hint="default"/>
      </w:rPr>
    </w:lvl>
    <w:lvl w:ilvl="6">
      <w:start w:val="1"/>
      <w:numFmt w:val="bullet"/>
      <w:lvlText w:val="•"/>
      <w:lvlJc w:val="left"/>
      <w:pPr>
        <w:ind w:left="5740" w:hanging="224"/>
      </w:pPr>
      <w:rPr>
        <w:rFonts w:hint="default"/>
      </w:rPr>
    </w:lvl>
    <w:lvl w:ilvl="7">
      <w:start w:val="1"/>
      <w:numFmt w:val="bullet"/>
      <w:lvlText w:val="•"/>
      <w:lvlJc w:val="left"/>
      <w:pPr>
        <w:ind w:left="6570" w:hanging="224"/>
      </w:pPr>
      <w:rPr>
        <w:rFonts w:hint="default"/>
      </w:rPr>
    </w:lvl>
    <w:lvl w:ilvl="8">
      <w:start w:val="1"/>
      <w:numFmt w:val="bullet"/>
      <w:lvlText w:val="•"/>
      <w:lvlJc w:val="left"/>
      <w:pPr>
        <w:ind w:left="7400" w:hanging="224"/>
      </w:pPr>
      <w:rPr>
        <w:rFonts w:hint="default"/>
      </w:rPr>
    </w:lvl>
  </w:abstractNum>
  <w:abstractNum w:abstractNumId="0">
    <w:multiLevelType w:val="hybridMultilevel"/>
    <w:lvl w:ilvl="0">
      <w:start w:val="1"/>
      <w:numFmt w:val="decimal"/>
      <w:lvlText w:val="%1"/>
      <w:lvlJc w:val="left"/>
      <w:pPr>
        <w:ind w:left="825" w:hanging="496"/>
        <w:jc w:val="left"/>
      </w:pPr>
      <w:rPr>
        <w:rFonts w:hint="default"/>
      </w:rPr>
    </w:lvl>
    <w:lvl w:ilvl="1">
      <w:start w:val="2"/>
      <w:numFmt w:val="decimal"/>
      <w:lvlText w:val="%1.%2"/>
      <w:lvlJc w:val="left"/>
      <w:pPr>
        <w:ind w:left="825" w:hanging="496"/>
        <w:jc w:val="left"/>
      </w:pPr>
      <w:rPr>
        <w:rFonts w:hint="default"/>
      </w:rPr>
    </w:lvl>
    <w:lvl w:ilvl="2">
      <w:start w:val="1"/>
      <w:numFmt w:val="decimal"/>
      <w:lvlText w:val="%1.%2.%3"/>
      <w:lvlJc w:val="left"/>
      <w:pPr>
        <w:ind w:left="825" w:hanging="496"/>
        <w:jc w:val="left"/>
      </w:pPr>
      <w:rPr>
        <w:rFonts w:hint="default" w:ascii="Calibri" w:hAnsi="Calibri" w:eastAsia="Calibri" w:cs="Calibri"/>
        <w:spacing w:val="-2"/>
        <w:w w:val="101"/>
        <w:sz w:val="22"/>
        <w:szCs w:val="22"/>
      </w:rPr>
    </w:lvl>
    <w:lvl w:ilvl="3">
      <w:start w:val="1"/>
      <w:numFmt w:val="decimal"/>
      <w:lvlText w:val="%4)"/>
      <w:lvlJc w:val="left"/>
      <w:pPr>
        <w:ind w:left="726" w:hanging="181"/>
        <w:jc w:val="left"/>
      </w:pPr>
      <w:rPr>
        <w:rFonts w:hint="default" w:ascii="Calibri" w:hAnsi="Calibri" w:eastAsia="Calibri" w:cs="Calibri"/>
        <w:spacing w:val="-4"/>
        <w:w w:val="101"/>
        <w:sz w:val="22"/>
        <w:szCs w:val="22"/>
      </w:rPr>
    </w:lvl>
    <w:lvl w:ilvl="4">
      <w:start w:val="1"/>
      <w:numFmt w:val="bullet"/>
      <w:lvlText w:val="•"/>
      <w:lvlJc w:val="left"/>
      <w:pPr>
        <w:ind w:left="3045" w:hanging="181"/>
      </w:pPr>
      <w:rPr>
        <w:rFonts w:hint="default"/>
      </w:rPr>
    </w:lvl>
    <w:lvl w:ilvl="5">
      <w:start w:val="1"/>
      <w:numFmt w:val="bullet"/>
      <w:lvlText w:val="•"/>
      <w:lvlJc w:val="left"/>
      <w:pPr>
        <w:ind w:left="4047" w:hanging="181"/>
      </w:pPr>
      <w:rPr>
        <w:rFonts w:hint="default"/>
      </w:rPr>
    </w:lvl>
    <w:lvl w:ilvl="6">
      <w:start w:val="1"/>
      <w:numFmt w:val="bullet"/>
      <w:lvlText w:val="•"/>
      <w:lvlJc w:val="left"/>
      <w:pPr>
        <w:ind w:left="5050" w:hanging="181"/>
      </w:pPr>
      <w:rPr>
        <w:rFonts w:hint="default"/>
      </w:rPr>
    </w:lvl>
    <w:lvl w:ilvl="7">
      <w:start w:val="1"/>
      <w:numFmt w:val="bullet"/>
      <w:lvlText w:val="•"/>
      <w:lvlJc w:val="left"/>
      <w:pPr>
        <w:ind w:left="6052" w:hanging="181"/>
      </w:pPr>
      <w:rPr>
        <w:rFonts w:hint="default"/>
      </w:rPr>
    </w:lvl>
    <w:lvl w:ilvl="8">
      <w:start w:val="1"/>
      <w:numFmt w:val="bullet"/>
      <w:lvlText w:val="•"/>
      <w:lvlJc w:val="left"/>
      <w:pPr>
        <w:ind w:left="7055" w:hanging="181"/>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5"/>
    </w:pPr>
    <w:rPr>
      <w:rFonts w:ascii="Calibri" w:hAnsi="Calibri" w:eastAsia="Calibri" w:cs="Calibri"/>
      <w:sz w:val="22"/>
      <w:szCs w:val="22"/>
    </w:rPr>
  </w:style>
  <w:style w:styleId="TOC2" w:type="paragraph">
    <w:name w:val="TOC 2"/>
    <w:basedOn w:val="Normal"/>
    <w:uiPriority w:val="1"/>
    <w:qFormat/>
    <w:pPr>
      <w:spacing w:before="139"/>
      <w:ind w:left="657" w:hanging="328"/>
    </w:pPr>
    <w:rPr>
      <w:rFonts w:ascii="Calibri" w:hAnsi="Calibri" w:eastAsia="Calibri" w:cs="Calibri"/>
      <w:sz w:val="22"/>
      <w:szCs w:val="22"/>
    </w:rPr>
  </w:style>
  <w:style w:styleId="TOC3" w:type="paragraph">
    <w:name w:val="TOC 3"/>
    <w:basedOn w:val="Normal"/>
    <w:uiPriority w:val="1"/>
    <w:qFormat/>
    <w:pPr>
      <w:spacing w:before="139"/>
      <w:ind w:left="1041" w:hanging="496"/>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9"/>
      <w:ind w:left="293" w:right="302"/>
      <w:jc w:val="center"/>
      <w:outlineLvl w:val="1"/>
    </w:pPr>
    <w:rPr>
      <w:rFonts w:ascii="Cambria" w:hAnsi="Cambria" w:eastAsia="Cambria" w:cs="Cambria"/>
      <w:b/>
      <w:bCs/>
      <w:sz w:val="32"/>
      <w:szCs w:val="32"/>
    </w:rPr>
  </w:style>
  <w:style w:styleId="Heading2" w:type="paragraph">
    <w:name w:val="Heading 2"/>
    <w:basedOn w:val="Normal"/>
    <w:uiPriority w:val="1"/>
    <w:qFormat/>
    <w:pPr>
      <w:ind w:left="105"/>
      <w:jc w:val="both"/>
      <w:outlineLvl w:val="2"/>
    </w:pPr>
    <w:rPr>
      <w:rFonts w:ascii="Cambria" w:hAnsi="Cambria" w:eastAsia="Cambria" w:cs="Cambria"/>
      <w:b/>
      <w:bCs/>
      <w:sz w:val="26"/>
      <w:szCs w:val="26"/>
    </w:rPr>
  </w:style>
  <w:style w:styleId="Heading3" w:type="paragraph">
    <w:name w:val="Heading 3"/>
    <w:basedOn w:val="Normal"/>
    <w:uiPriority w:val="1"/>
    <w:qFormat/>
    <w:pPr>
      <w:ind w:left="105"/>
      <w:jc w:val="both"/>
      <w:outlineLvl w:val="3"/>
    </w:pPr>
    <w:rPr>
      <w:rFonts w:ascii="Cambria" w:hAnsi="Cambria" w:eastAsia="Cambria" w:cs="Cambria"/>
      <w:b/>
      <w:bCs/>
      <w:sz w:val="24"/>
      <w:szCs w:val="24"/>
    </w:rPr>
  </w:style>
  <w:style w:styleId="ListParagraph" w:type="paragraph">
    <w:name w:val="List Paragraph"/>
    <w:basedOn w:val="Normal"/>
    <w:uiPriority w:val="1"/>
    <w:qFormat/>
    <w:pPr>
      <w:ind w:left="825"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image" Target="media/image6.jpeg"/><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jpeg"/><Relationship Id="rId23" Type="http://schemas.openxmlformats.org/officeDocument/2006/relationships/image" Target="media/image11.png"/><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footer" Target="footer11.xml"/><Relationship Id="rId31" Type="http://schemas.openxmlformats.org/officeDocument/2006/relationships/hyperlink" Target="http://www.inecc.gob.mx/calaire-informacion-basica/564-calaire-normatividad#lgeepa" TargetMode="External"/><Relationship Id="rId32" Type="http://schemas.openxmlformats.org/officeDocument/2006/relationships/hyperlink" Target="http://www.inecc.gob.mx/calaire-informacion-basica/564-calaire-normatividad#reglamento" TargetMode="External"/><Relationship Id="rId33" Type="http://schemas.openxmlformats.org/officeDocument/2006/relationships/hyperlink" Target="http://www.inecc.gob.mx/calaire-informacion-basica/564-calaire-normatividad#normas" TargetMode="External"/><Relationship Id="rId34" Type="http://schemas.openxmlformats.org/officeDocument/2006/relationships/hyperlink" Target="http://www.inecc.gob.mx/calaire-informacion-basica/564-calaire-normatividad#fte_fijas" TargetMode="External"/><Relationship Id="rId35" Type="http://schemas.openxmlformats.org/officeDocument/2006/relationships/hyperlink" Target="http://www.inecc.gob.mx/calaire-informacion-basica/564-calaire-normatividad#fte_moviles" TargetMode="External"/><Relationship Id="rId36" Type="http://schemas.openxmlformats.org/officeDocument/2006/relationships/footer" Target="footer12.xml"/><Relationship Id="rId37" Type="http://schemas.openxmlformats.org/officeDocument/2006/relationships/image" Target="media/image16.jpeg"/><Relationship Id="rId38" Type="http://schemas.openxmlformats.org/officeDocument/2006/relationships/hyperlink" Target="http://lunazul.ucaldas.edu.co/index.php?option=com_content&amp;amp;task=view&amp;amp;id=16&amp;amp;Itemid=34" TargetMode="External"/><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image" Target="media/image17.jpeg"/><Relationship Id="rId42" Type="http://schemas.openxmlformats.org/officeDocument/2006/relationships/image" Target="media/image18.png"/><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footer" Target="footer15.xml"/><Relationship Id="rId48" Type="http://schemas.openxmlformats.org/officeDocument/2006/relationships/image" Target="media/image23.png"/><Relationship Id="rId49" Type="http://schemas.openxmlformats.org/officeDocument/2006/relationships/footer" Target="footer16.xml"/><Relationship Id="rId50" Type="http://schemas.openxmlformats.org/officeDocument/2006/relationships/image" Target="media/image24.png"/><Relationship Id="rId51" Type="http://schemas.openxmlformats.org/officeDocument/2006/relationships/image" Target="media/image25.png"/><Relationship Id="rId52" Type="http://schemas.openxmlformats.org/officeDocument/2006/relationships/image" Target="media/image26.png"/><Relationship Id="rId53" Type="http://schemas.openxmlformats.org/officeDocument/2006/relationships/image" Target="media/image27.png"/><Relationship Id="rId54" Type="http://schemas.openxmlformats.org/officeDocument/2006/relationships/footer" Target="footer17.xml"/><Relationship Id="rId55" Type="http://schemas.openxmlformats.org/officeDocument/2006/relationships/footer" Target="footer18.xml"/><Relationship Id="rId56" Type="http://schemas.openxmlformats.org/officeDocument/2006/relationships/hyperlink" Target="http://dx.doi.org/10.1016/j.scitotenv.2013.09.009" TargetMode="External"/><Relationship Id="rId57" Type="http://schemas.openxmlformats.org/officeDocument/2006/relationships/hyperlink" Target="mailto:hugosm354@hotmail.com" TargetMode="External"/><Relationship Id="rId58" Type="http://schemas.openxmlformats.org/officeDocument/2006/relationships/hyperlink" Target="mailto:eorozcoh61@hotmail.com" TargetMode="External"/><Relationship Id="rId59" Type="http://schemas.openxmlformats.org/officeDocument/2006/relationships/hyperlink" Target="mailto:victor.pachecos50@gmail.com" TargetMode="External"/><Relationship Id="rId60" Type="http://schemas.openxmlformats.org/officeDocument/2006/relationships/hyperlink" Target="mailto:mevaldezp@gmail.com" TargetMode="External"/><Relationship Id="rId61" Type="http://schemas.openxmlformats.org/officeDocument/2006/relationships/footer" Target="footer19.xml"/><Relationship Id="rId62" Type="http://schemas.openxmlformats.org/officeDocument/2006/relationships/footer" Target="footer20.xml"/><Relationship Id="rId63" Type="http://schemas.openxmlformats.org/officeDocument/2006/relationships/image" Target="media/image28.jpeg"/><Relationship Id="rId64" Type="http://schemas.openxmlformats.org/officeDocument/2006/relationships/image" Target="media/image29.png"/><Relationship Id="rId65" Type="http://schemas.openxmlformats.org/officeDocument/2006/relationships/footer" Target="footer21.xml"/><Relationship Id="rId66" Type="http://schemas.openxmlformats.org/officeDocument/2006/relationships/footer" Target="footer22.xm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Hugo</dc:creator>
  <dcterms:created xsi:type="dcterms:W3CDTF">2017-05-19T20:40:34Z</dcterms:created>
  <dcterms:modified xsi:type="dcterms:W3CDTF">2017-05-19T20:40:34Z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2015-10-12T00:00:00Z</vt:filetime>
  </property>
  <property fmtid="{D5CDD505-2E9C-101B-9397-08002B2CF9AE}" pid="3" name="Creator">
    <vt:lpwstr>Microsoft® Word 2010</vt:lpwstr>
  </property>
  <property fmtid="{D5CDD505-2E9C-101B-9397-08002B2CF9AE}" pid="4" name="LastSaved">
    <vt:filetime>2017-05-19T00:00:00Z</vt:filetime>
  </property>
</Properties>
</file>