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jpeg" ContentType="image/jpeg"/>
  <Default Extension="png" ContentType="image/png"/>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rPr>
          <w:rFonts w:ascii="Times New Roman"/>
          <w:sz w:val="20"/>
        </w:rPr>
      </w:pPr>
    </w:p>
    <w:p>
      <w:pPr>
        <w:pStyle w:val="BodyText"/>
        <w:spacing w:before="4"/>
        <w:rPr>
          <w:rFonts w:ascii="Times New Roman"/>
          <w:sz w:val="22"/>
        </w:rPr>
      </w:pPr>
    </w:p>
    <w:p>
      <w:pPr>
        <w:spacing w:line="343" w:lineRule="auto" w:before="50"/>
        <w:ind w:left="2308" w:right="0" w:firstLine="0"/>
        <w:jc w:val="center"/>
        <w:rPr>
          <w:b/>
          <w:sz w:val="40"/>
        </w:rPr>
      </w:pPr>
      <w:r>
        <w:rPr/>
        <w:drawing>
          <wp:anchor distT="0" distB="0" distL="0" distR="0" allowOverlap="1" layoutInCell="1" locked="0" behindDoc="0" simplePos="0" relativeHeight="1096">
            <wp:simplePos x="0" y="0"/>
            <wp:positionH relativeFrom="page">
              <wp:posOffset>836930</wp:posOffset>
            </wp:positionH>
            <wp:positionV relativeFrom="paragraph">
              <wp:posOffset>242757</wp:posOffset>
            </wp:positionV>
            <wp:extent cx="1259027" cy="1174178"/>
            <wp:effectExtent l="0" t="0" r="0" b="0"/>
            <wp:wrapNone/>
            <wp:docPr id="1" name="image1.jpeg" descr=""/>
            <wp:cNvGraphicFramePr>
              <a:graphicFrameLocks noChangeAspect="1"/>
            </wp:cNvGraphicFramePr>
            <a:graphic>
              <a:graphicData uri="http://schemas.openxmlformats.org/drawingml/2006/picture">
                <pic:pic>
                  <pic:nvPicPr>
                    <pic:cNvPr id="2" name="image1.jpeg"/>
                    <pic:cNvPicPr/>
                  </pic:nvPicPr>
                  <pic:blipFill>
                    <a:blip r:embed="rId5" cstate="print"/>
                    <a:stretch>
                      <a:fillRect/>
                    </a:stretch>
                  </pic:blipFill>
                  <pic:spPr>
                    <a:xfrm>
                      <a:off x="0" y="0"/>
                      <a:ext cx="1259027" cy="1174178"/>
                    </a:xfrm>
                    <a:prstGeom prst="rect">
                      <a:avLst/>
                    </a:prstGeom>
                  </pic:spPr>
                </pic:pic>
              </a:graphicData>
            </a:graphic>
          </wp:anchor>
        </w:drawing>
      </w:r>
      <w:r>
        <w:rPr>
          <w:b/>
          <w:sz w:val="40"/>
        </w:rPr>
        <w:t>UNIVERSIDAD AUTÓNOMA DEL ESTADO DE MÉXICO</w:t>
      </w:r>
    </w:p>
    <w:p>
      <w:pPr>
        <w:pStyle w:val="BodyText"/>
        <w:rPr>
          <w:b/>
          <w:sz w:val="20"/>
        </w:rPr>
      </w:pPr>
    </w:p>
    <w:p>
      <w:pPr>
        <w:pStyle w:val="BodyText"/>
        <w:rPr>
          <w:b/>
          <w:sz w:val="20"/>
        </w:rPr>
      </w:pPr>
    </w:p>
    <w:p>
      <w:pPr>
        <w:pStyle w:val="BodyText"/>
        <w:spacing w:before="9"/>
        <w:rPr>
          <w:b/>
          <w:sz w:val="13"/>
        </w:rPr>
      </w:pPr>
      <w:r>
        <w:rPr/>
        <w:pict>
          <v:line style="position:absolute;mso-position-horizontal-relative:page;mso-position-vertical-relative:paragraph;z-index:0;mso-wrap-distance-left:0;mso-wrap-distance-right:0" from="530.25pt,10.265864pt" to="189.75pt,10.265864pt" stroked="true" strokeweight=".75pt" strokecolor="#000000">
            <w10:wrap type="topAndBottom"/>
          </v:line>
        </w:pict>
      </w:r>
      <w:r>
        <w:rPr/>
        <w:pict>
          <v:line style="position:absolute;mso-position-horizontal-relative:page;mso-position-vertical-relative:paragraph;z-index:1048;mso-wrap-distance-left:0;mso-wrap-distance-right:0" from="519.75pt,22.265863pt" to="201.75pt,22.315863pt" stroked="true" strokeweight="2.0pt" strokecolor="#000000">
            <w10:wrap type="topAndBottom"/>
          </v:line>
        </w:pict>
      </w:r>
    </w:p>
    <w:p>
      <w:pPr>
        <w:pStyle w:val="BodyText"/>
        <w:spacing w:before="6"/>
        <w:rPr>
          <w:b/>
          <w:sz w:val="12"/>
        </w:rPr>
      </w:pPr>
    </w:p>
    <w:p>
      <w:pPr>
        <w:pStyle w:val="BodyText"/>
        <w:spacing w:before="6"/>
        <w:rPr>
          <w:b/>
          <w:sz w:val="34"/>
        </w:rPr>
      </w:pPr>
    </w:p>
    <w:p>
      <w:pPr>
        <w:spacing w:before="0"/>
        <w:ind w:left="2308" w:right="0" w:firstLine="0"/>
        <w:jc w:val="center"/>
        <w:rPr>
          <w:b/>
          <w:sz w:val="28"/>
        </w:rPr>
      </w:pPr>
      <w:r>
        <w:rPr/>
        <w:pict>
          <v:line style="position:absolute;mso-position-horizontal-relative:page;mso-position-vertical-relative:paragraph;z-index:1120" from="81.75pt,13.201814pt" to="81.75pt,361.951814pt" stroked="true" strokeweight=".75pt" strokecolor="#000000">
            <w10:wrap type="none"/>
          </v:line>
        </w:pict>
      </w:r>
      <w:r>
        <w:rPr>
          <w:b/>
          <w:sz w:val="28"/>
        </w:rPr>
        <w:t>FACULTAD DE QUÍMICA</w:t>
      </w:r>
    </w:p>
    <w:p>
      <w:pPr>
        <w:pStyle w:val="BodyText"/>
        <w:spacing w:before="2"/>
        <w:rPr>
          <w:b/>
          <w:sz w:val="41"/>
        </w:rPr>
      </w:pPr>
    </w:p>
    <w:p>
      <w:pPr>
        <w:pStyle w:val="BodyText"/>
        <w:ind w:left="2405" w:right="98"/>
        <w:jc w:val="both"/>
        <w:rPr>
          <w:b/>
        </w:rPr>
      </w:pPr>
      <w:r>
        <w:rPr/>
        <w:pict>
          <v:line style="position:absolute;mso-position-horizontal-relative:page;mso-position-vertical-relative:paragraph;z-index:1144" from="93.75pt,.705854pt" to="93.75pt,321.455854pt" stroked="true" strokeweight="1.5pt" strokecolor="#000000">
            <w10:wrap type="none"/>
          </v:line>
        </w:pict>
      </w:r>
      <w:r>
        <w:rPr/>
        <w:pict>
          <v:line style="position:absolute;mso-position-horizontal-relative:page;mso-position-vertical-relative:paragraph;z-index:1168" from="105.75pt,12.705854pt" to="105.75pt,296.205854pt" stroked="true" strokeweight="3pt" strokecolor="#000000">
            <w10:wrap type="none"/>
          </v:line>
        </w:pict>
      </w:r>
      <w:r>
        <w:rPr>
          <w:b/>
        </w:rPr>
        <w:t>“</w:t>
      </w:r>
      <w:r>
        <w:rPr/>
        <w:t>CONTROL DE UN ATRIBUTO CRÍTICO DE LA CALIDAD EN PRINCIPIOS ACTIVOS FARMACÉUTICOS MEDIANTE EL MONITOREO DE IMPUREZAS ELEMENTALES CONFORME A LA USP &lt;232&gt; Y &lt;233&gt;</w:t>
      </w:r>
      <w:r>
        <w:rPr>
          <w:b/>
        </w:rPr>
        <w:t>”</w:t>
      </w:r>
    </w:p>
    <w:p>
      <w:pPr>
        <w:pStyle w:val="BodyText"/>
        <w:rPr>
          <w:b/>
        </w:rPr>
      </w:pPr>
    </w:p>
    <w:p>
      <w:pPr>
        <w:spacing w:before="197"/>
        <w:ind w:left="2300" w:right="0" w:firstLine="0"/>
        <w:jc w:val="center"/>
        <w:rPr>
          <w:b/>
          <w:sz w:val="36"/>
        </w:rPr>
      </w:pPr>
      <w:r>
        <w:rPr>
          <w:b/>
          <w:sz w:val="36"/>
        </w:rPr>
        <w:t>TRABAJO TERMINAL DE GRADO</w:t>
      </w:r>
    </w:p>
    <w:p>
      <w:pPr>
        <w:pStyle w:val="BodyText"/>
        <w:spacing w:before="3"/>
        <w:rPr>
          <w:b/>
          <w:sz w:val="40"/>
        </w:rPr>
      </w:pPr>
    </w:p>
    <w:p>
      <w:pPr>
        <w:spacing w:before="0"/>
        <w:ind w:left="2301" w:right="0" w:firstLine="0"/>
        <w:jc w:val="center"/>
        <w:rPr>
          <w:b/>
          <w:sz w:val="20"/>
        </w:rPr>
      </w:pPr>
      <w:r>
        <w:rPr>
          <w:b/>
          <w:sz w:val="20"/>
        </w:rPr>
        <w:t>QUE PARA OBTENER EL GRADO DE:</w:t>
      </w:r>
    </w:p>
    <w:p>
      <w:pPr>
        <w:pStyle w:val="BodyText"/>
        <w:spacing w:before="1"/>
        <w:rPr>
          <w:b/>
          <w:sz w:val="28"/>
        </w:rPr>
      </w:pPr>
    </w:p>
    <w:p>
      <w:pPr>
        <w:spacing w:before="1"/>
        <w:ind w:left="2273" w:right="0" w:firstLine="0"/>
        <w:jc w:val="center"/>
        <w:rPr>
          <w:b/>
          <w:sz w:val="28"/>
        </w:rPr>
      </w:pPr>
      <w:r>
        <w:rPr>
          <w:b/>
          <w:sz w:val="28"/>
        </w:rPr>
        <w:t>MAESTRA EN CALIDAD  AMBIENTAL</w:t>
      </w:r>
    </w:p>
    <w:p>
      <w:pPr>
        <w:pStyle w:val="BodyText"/>
        <w:rPr>
          <w:b/>
          <w:sz w:val="28"/>
        </w:rPr>
      </w:pPr>
    </w:p>
    <w:p>
      <w:pPr>
        <w:pStyle w:val="BodyText"/>
        <w:spacing w:before="8"/>
        <w:rPr>
          <w:b/>
          <w:sz w:val="31"/>
        </w:rPr>
      </w:pPr>
    </w:p>
    <w:p>
      <w:pPr>
        <w:spacing w:before="0"/>
        <w:ind w:left="2302" w:right="0" w:firstLine="0"/>
        <w:jc w:val="center"/>
        <w:rPr>
          <w:b/>
          <w:sz w:val="20"/>
        </w:rPr>
      </w:pPr>
      <w:r>
        <w:rPr>
          <w:b/>
          <w:sz w:val="20"/>
        </w:rPr>
        <w:t>P R E S E N T A:</w:t>
      </w:r>
    </w:p>
    <w:p>
      <w:pPr>
        <w:pStyle w:val="BodyText"/>
        <w:spacing w:before="2"/>
        <w:rPr>
          <w:b/>
          <w:sz w:val="20"/>
        </w:rPr>
      </w:pPr>
    </w:p>
    <w:p>
      <w:pPr>
        <w:spacing w:before="0"/>
        <w:ind w:left="2306" w:right="0" w:firstLine="0"/>
        <w:jc w:val="center"/>
        <w:rPr>
          <w:b/>
          <w:sz w:val="28"/>
        </w:rPr>
      </w:pPr>
      <w:r>
        <w:rPr>
          <w:b/>
          <w:sz w:val="28"/>
        </w:rPr>
        <w:t>Q I PENELOPE ANTINEA ARIZA LORENZANA</w:t>
      </w:r>
    </w:p>
    <w:p>
      <w:pPr>
        <w:pStyle w:val="BodyText"/>
        <w:rPr>
          <w:b/>
          <w:sz w:val="28"/>
        </w:rPr>
      </w:pPr>
    </w:p>
    <w:p>
      <w:pPr>
        <w:spacing w:before="228"/>
        <w:ind w:left="2303" w:right="0" w:firstLine="0"/>
        <w:jc w:val="center"/>
        <w:rPr>
          <w:b/>
          <w:sz w:val="22"/>
        </w:rPr>
      </w:pPr>
      <w:r>
        <w:rPr>
          <w:b/>
          <w:sz w:val="20"/>
        </w:rPr>
        <w:t>DIRIGIDA POR</w:t>
      </w:r>
      <w:r>
        <w:rPr>
          <w:b/>
          <w:sz w:val="22"/>
        </w:rPr>
        <w:t>:</w:t>
      </w:r>
    </w:p>
    <w:p>
      <w:pPr>
        <w:pStyle w:val="BodyText"/>
        <w:spacing w:before="7"/>
        <w:rPr>
          <w:b/>
          <w:sz w:val="17"/>
        </w:rPr>
      </w:pPr>
    </w:p>
    <w:p>
      <w:pPr>
        <w:spacing w:line="388" w:lineRule="auto" w:before="0"/>
        <w:ind w:left="3091" w:right="1705" w:firstLine="0"/>
        <w:jc w:val="left"/>
        <w:rPr>
          <w:sz w:val="28"/>
        </w:rPr>
      </w:pPr>
      <w:r>
        <w:rPr>
          <w:sz w:val="28"/>
        </w:rPr>
        <w:t>M. en C. María Magdalena García Fabila Dr. Juan Carlos Sánchez Meza</w:t>
      </w:r>
    </w:p>
    <w:p>
      <w:pPr>
        <w:spacing w:before="7"/>
        <w:ind w:left="3091" w:right="1705" w:firstLine="0"/>
        <w:jc w:val="left"/>
        <w:rPr>
          <w:sz w:val="28"/>
        </w:rPr>
      </w:pPr>
      <w:r>
        <w:rPr/>
        <w:drawing>
          <wp:anchor distT="0" distB="0" distL="0" distR="0" allowOverlap="1" layoutInCell="1" locked="0" behindDoc="0" simplePos="0" relativeHeight="1072">
            <wp:simplePos x="0" y="0"/>
            <wp:positionH relativeFrom="page">
              <wp:posOffset>712469</wp:posOffset>
            </wp:positionH>
            <wp:positionV relativeFrom="paragraph">
              <wp:posOffset>180109</wp:posOffset>
            </wp:positionV>
            <wp:extent cx="1385570" cy="1303020"/>
            <wp:effectExtent l="0" t="0" r="0" b="0"/>
            <wp:wrapNone/>
            <wp:docPr id="3" name="image2.jpeg" descr=""/>
            <wp:cNvGraphicFramePr>
              <a:graphicFrameLocks noChangeAspect="1"/>
            </wp:cNvGraphicFramePr>
            <a:graphic>
              <a:graphicData uri="http://schemas.openxmlformats.org/drawingml/2006/picture">
                <pic:pic>
                  <pic:nvPicPr>
                    <pic:cNvPr id="4" name="image2.jpeg"/>
                    <pic:cNvPicPr/>
                  </pic:nvPicPr>
                  <pic:blipFill>
                    <a:blip r:embed="rId6" cstate="print"/>
                    <a:stretch>
                      <a:fillRect/>
                    </a:stretch>
                  </pic:blipFill>
                  <pic:spPr>
                    <a:xfrm>
                      <a:off x="0" y="0"/>
                      <a:ext cx="1385570" cy="1303020"/>
                    </a:xfrm>
                    <a:prstGeom prst="rect">
                      <a:avLst/>
                    </a:prstGeom>
                  </pic:spPr>
                </pic:pic>
              </a:graphicData>
            </a:graphic>
          </wp:anchor>
        </w:drawing>
      </w:r>
      <w:r>
        <w:rPr>
          <w:sz w:val="28"/>
        </w:rPr>
        <w:t>Dra. en C. María de la Luz Reyes Reyes</w:t>
      </w:r>
    </w:p>
    <w:p>
      <w:pPr>
        <w:pStyle w:val="BodyText"/>
        <w:rPr>
          <w:sz w:val="28"/>
        </w:rPr>
      </w:pPr>
    </w:p>
    <w:p>
      <w:pPr>
        <w:pStyle w:val="BodyText"/>
        <w:spacing w:before="8"/>
        <w:rPr>
          <w:sz w:val="36"/>
        </w:rPr>
      </w:pPr>
    </w:p>
    <w:p>
      <w:pPr>
        <w:tabs>
          <w:tab w:pos="8385" w:val="left" w:leader="none"/>
        </w:tabs>
        <w:spacing w:before="0"/>
        <w:ind w:left="2369" w:right="0" w:firstLine="0"/>
        <w:jc w:val="center"/>
        <w:rPr>
          <w:b/>
          <w:sz w:val="20"/>
        </w:rPr>
      </w:pPr>
      <w:r>
        <w:rPr>
          <w:b/>
          <w:sz w:val="20"/>
        </w:rPr>
        <w:t>TOLUCA,</w:t>
      </w:r>
      <w:r>
        <w:rPr>
          <w:b/>
          <w:spacing w:val="-2"/>
          <w:sz w:val="20"/>
        </w:rPr>
        <w:t> </w:t>
      </w:r>
      <w:r>
        <w:rPr>
          <w:b/>
          <w:sz w:val="20"/>
        </w:rPr>
        <w:t>MÉXICO</w:t>
        <w:tab/>
        <w:t>ABRIL,</w:t>
      </w:r>
      <w:r>
        <w:rPr>
          <w:b/>
          <w:spacing w:val="-8"/>
          <w:sz w:val="20"/>
        </w:rPr>
        <w:t> </w:t>
      </w:r>
      <w:r>
        <w:rPr>
          <w:b/>
          <w:sz w:val="20"/>
        </w:rPr>
        <w:t>2016</w:t>
      </w:r>
    </w:p>
    <w:p>
      <w:pPr>
        <w:spacing w:after="0"/>
        <w:jc w:val="center"/>
        <w:rPr>
          <w:sz w:val="20"/>
        </w:rPr>
        <w:sectPr>
          <w:type w:val="continuous"/>
          <w:pgSz w:w="12250" w:h="15850"/>
          <w:pgMar w:top="1500" w:bottom="280" w:left="1020" w:right="1340"/>
        </w:sectPr>
      </w:pPr>
    </w:p>
    <w:p>
      <w:pPr>
        <w:pStyle w:val="BodyText"/>
        <w:ind w:left="105"/>
        <w:rPr>
          <w:sz w:val="20"/>
        </w:rPr>
      </w:pPr>
      <w:r>
        <w:rPr>
          <w:sz w:val="20"/>
        </w:rPr>
        <w:drawing>
          <wp:inline distT="0" distB="0" distL="0" distR="0">
            <wp:extent cx="7492942" cy="9628632"/>
            <wp:effectExtent l="0" t="0" r="0" b="0"/>
            <wp:docPr id="5" name="image3.png" descr=""/>
            <wp:cNvGraphicFramePr>
              <a:graphicFrameLocks noChangeAspect="1"/>
            </wp:cNvGraphicFramePr>
            <a:graphic>
              <a:graphicData uri="http://schemas.openxmlformats.org/drawingml/2006/picture">
                <pic:pic>
                  <pic:nvPicPr>
                    <pic:cNvPr id="6" name="image3.png"/>
                    <pic:cNvPicPr/>
                  </pic:nvPicPr>
                  <pic:blipFill>
                    <a:blip r:embed="rId7" cstate="print"/>
                    <a:stretch>
                      <a:fillRect/>
                    </a:stretch>
                  </pic:blipFill>
                  <pic:spPr>
                    <a:xfrm>
                      <a:off x="0" y="0"/>
                      <a:ext cx="7492942" cy="9628632"/>
                    </a:xfrm>
                    <a:prstGeom prst="rect">
                      <a:avLst/>
                    </a:prstGeom>
                  </pic:spPr>
                </pic:pic>
              </a:graphicData>
            </a:graphic>
          </wp:inline>
        </w:drawing>
      </w:r>
      <w:r>
        <w:rPr>
          <w:sz w:val="20"/>
        </w:rPr>
      </w:r>
    </w:p>
    <w:p>
      <w:pPr>
        <w:spacing w:after="0"/>
        <w:rPr>
          <w:sz w:val="20"/>
        </w:rPr>
        <w:sectPr>
          <w:pgSz w:w="12250" w:h="15850"/>
          <w:pgMar w:top="420" w:bottom="0" w:left="120" w:right="100"/>
        </w:sect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6"/>
        <w:rPr>
          <w:b/>
          <w:sz w:val="27"/>
        </w:rPr>
      </w:pPr>
    </w:p>
    <w:p>
      <w:pPr>
        <w:spacing w:before="65"/>
        <w:ind w:left="0" w:right="118" w:firstLine="0"/>
        <w:jc w:val="right"/>
        <w:rPr>
          <w:sz w:val="28"/>
        </w:rPr>
      </w:pPr>
      <w:r>
        <w:rPr>
          <w:sz w:val="28"/>
        </w:rPr>
        <w:t>ESTE PROYECTO QUEDO REGISTRADO CON EL SIGUIENTE</w:t>
      </w:r>
    </w:p>
    <w:p>
      <w:pPr>
        <w:spacing w:before="160"/>
        <w:ind w:left="0" w:right="115" w:firstLine="0"/>
        <w:jc w:val="right"/>
        <w:rPr>
          <w:sz w:val="28"/>
        </w:rPr>
      </w:pPr>
      <w:r>
        <w:rPr>
          <w:sz w:val="28"/>
        </w:rPr>
        <w:t>CÓDIGO:</w:t>
      </w:r>
    </w:p>
    <w:p>
      <w:pPr>
        <w:pStyle w:val="BodyText"/>
        <w:rPr>
          <w:sz w:val="28"/>
        </w:rPr>
      </w:pPr>
    </w:p>
    <w:p>
      <w:pPr>
        <w:pStyle w:val="BodyText"/>
        <w:rPr>
          <w:sz w:val="28"/>
        </w:rPr>
      </w:pPr>
    </w:p>
    <w:p>
      <w:pPr>
        <w:pStyle w:val="BodyText"/>
        <w:spacing w:before="8"/>
        <w:rPr>
          <w:sz w:val="34"/>
        </w:rPr>
      </w:pPr>
    </w:p>
    <w:p>
      <w:pPr>
        <w:spacing w:before="0"/>
        <w:ind w:left="0" w:right="117" w:firstLine="0"/>
        <w:jc w:val="right"/>
        <w:rPr>
          <w:b/>
          <w:sz w:val="28"/>
        </w:rPr>
      </w:pPr>
      <w:r>
        <w:rPr>
          <w:b/>
          <w:sz w:val="28"/>
        </w:rPr>
        <w:t>MA-CAAM-0214</w:t>
      </w:r>
    </w:p>
    <w:p>
      <w:pPr>
        <w:spacing w:after="0"/>
        <w:jc w:val="right"/>
        <w:rPr>
          <w:sz w:val="28"/>
        </w:rPr>
        <w:sectPr>
          <w:pgSz w:w="12250" w:h="15850"/>
          <w:pgMar w:top="1500" w:bottom="280" w:left="1720" w:right="1320"/>
        </w:sect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6"/>
        <w:rPr>
          <w:b/>
          <w:sz w:val="27"/>
        </w:rPr>
      </w:pPr>
    </w:p>
    <w:p>
      <w:pPr>
        <w:spacing w:before="65"/>
        <w:ind w:left="0" w:right="117" w:firstLine="0"/>
        <w:jc w:val="right"/>
        <w:rPr>
          <w:sz w:val="28"/>
        </w:rPr>
      </w:pPr>
      <w:r>
        <w:rPr>
          <w:sz w:val="28"/>
        </w:rPr>
        <w:t>EL PRESENTE TRABAJO SE DESARROLLÓ EN:</w:t>
      </w:r>
    </w:p>
    <w:p>
      <w:pPr>
        <w:pStyle w:val="BodyText"/>
        <w:rPr>
          <w:sz w:val="28"/>
        </w:rPr>
      </w:pPr>
    </w:p>
    <w:p>
      <w:pPr>
        <w:pStyle w:val="BodyText"/>
        <w:rPr>
          <w:sz w:val="28"/>
        </w:rPr>
      </w:pPr>
    </w:p>
    <w:p>
      <w:pPr>
        <w:pStyle w:val="BodyText"/>
        <w:spacing w:before="9"/>
        <w:rPr>
          <w:sz w:val="34"/>
        </w:rPr>
      </w:pPr>
    </w:p>
    <w:p>
      <w:pPr>
        <w:pStyle w:val="ListParagraph"/>
        <w:numPr>
          <w:ilvl w:val="0"/>
          <w:numId w:val="1"/>
        </w:numPr>
        <w:tabs>
          <w:tab w:pos="371" w:val="left" w:leader="none"/>
          <w:tab w:pos="1146" w:val="left" w:leader="none"/>
        </w:tabs>
        <w:spacing w:line="240" w:lineRule="auto" w:before="0" w:after="0"/>
        <w:ind w:left="1146" w:right="147" w:hanging="372"/>
        <w:jc w:val="right"/>
        <w:rPr>
          <w:sz w:val="28"/>
        </w:rPr>
      </w:pPr>
      <w:r>
        <w:rPr>
          <w:sz w:val="28"/>
        </w:rPr>
        <w:t>EL LABORATORIO DE INVESTIGACIÓN Y DESARROLLO</w:t>
      </w:r>
      <w:r>
        <w:rPr>
          <w:spacing w:val="-12"/>
          <w:sz w:val="28"/>
        </w:rPr>
        <w:t> </w:t>
      </w:r>
      <w:r>
        <w:rPr>
          <w:sz w:val="28"/>
        </w:rPr>
        <w:t>DE</w:t>
      </w:r>
    </w:p>
    <w:p>
      <w:pPr>
        <w:spacing w:before="158"/>
        <w:ind w:left="0" w:right="145" w:firstLine="0"/>
        <w:jc w:val="right"/>
        <w:rPr>
          <w:sz w:val="28"/>
        </w:rPr>
      </w:pPr>
      <w:r>
        <w:rPr>
          <w:sz w:val="28"/>
        </w:rPr>
        <w:t>SIGNA S. A. DE C. V.</w:t>
      </w:r>
    </w:p>
    <w:p>
      <w:pPr>
        <w:spacing w:after="0"/>
        <w:jc w:val="right"/>
        <w:rPr>
          <w:sz w:val="28"/>
        </w:rPr>
        <w:sectPr>
          <w:pgSz w:w="12250" w:h="15850"/>
          <w:pgMar w:top="1500" w:bottom="280" w:left="1720" w:right="1320"/>
        </w:sectPr>
      </w:pPr>
    </w:p>
    <w:p>
      <w:pPr>
        <w:pStyle w:val="Heading1"/>
        <w:spacing w:before="52"/>
        <w:ind w:left="3901" w:right="3918"/>
        <w:jc w:val="center"/>
      </w:pPr>
      <w:bookmarkStart w:name="_bookmark0" w:id="1"/>
      <w:bookmarkEnd w:id="1"/>
      <w:r>
        <w:rPr>
          <w:b w:val="0"/>
        </w:rPr>
      </w:r>
      <w:r>
        <w:rPr/>
        <w:t>RESUMEN</w:t>
      </w:r>
    </w:p>
    <w:p>
      <w:pPr>
        <w:pStyle w:val="BodyText"/>
        <w:rPr>
          <w:b/>
        </w:rPr>
      </w:pPr>
    </w:p>
    <w:p>
      <w:pPr>
        <w:pStyle w:val="BodyText"/>
        <w:spacing w:before="1"/>
        <w:rPr>
          <w:b/>
          <w:sz w:val="21"/>
        </w:rPr>
      </w:pPr>
    </w:p>
    <w:p>
      <w:pPr>
        <w:pStyle w:val="BodyText"/>
        <w:spacing w:line="360" w:lineRule="auto"/>
        <w:ind w:left="102" w:right="115"/>
        <w:jc w:val="both"/>
      </w:pPr>
      <w:r>
        <w:rPr/>
        <w:t>En la industria farmoquímica, las trazas de impurezas metálicas elementales (IE), son un riesgo toxicológico por sí mismas y deben ser controladas atendiendo a las buenas prácticas de manufactura, para asegurar que los principios activos cumplan con los requisitos de seguridad y con las características de calidad y pureza que les son especificadas para poder vender los productos a otros</w:t>
      </w:r>
      <w:r>
        <w:rPr>
          <w:spacing w:val="-30"/>
        </w:rPr>
        <w:t> </w:t>
      </w:r>
      <w:r>
        <w:rPr/>
        <w:t>países.</w:t>
      </w:r>
    </w:p>
    <w:p>
      <w:pPr>
        <w:pStyle w:val="BodyText"/>
      </w:pPr>
    </w:p>
    <w:p>
      <w:pPr>
        <w:pStyle w:val="BodyText"/>
        <w:spacing w:line="350" w:lineRule="auto" w:before="142"/>
        <w:ind w:left="102" w:right="123"/>
        <w:jc w:val="both"/>
      </w:pPr>
      <w:r>
        <w:rPr/>
        <w:t>Por esta razón, con un enfoque tecnológico, social, económico y ambiental se propuso desarrollar una metodología general para el análisis de las posibles impurezas elementales presentes en los API’s para asegurar el cumplimiento del producto de acuerdo a la ICH Q3D</w:t>
      </w:r>
      <w:r>
        <w:rPr>
          <w:position w:val="11"/>
          <w:sz w:val="16"/>
        </w:rPr>
        <w:t>12 </w:t>
      </w:r>
      <w:r>
        <w:rPr/>
        <w:t>previo a la implementación del proceso.</w:t>
      </w:r>
    </w:p>
    <w:p>
      <w:pPr>
        <w:pStyle w:val="BodyText"/>
        <w:spacing w:before="8"/>
        <w:rPr>
          <w:sz w:val="35"/>
        </w:rPr>
      </w:pPr>
    </w:p>
    <w:p>
      <w:pPr>
        <w:pStyle w:val="BodyText"/>
        <w:spacing w:line="360" w:lineRule="auto" w:before="1"/>
        <w:ind w:left="102" w:right="116"/>
        <w:jc w:val="both"/>
      </w:pPr>
      <w:r>
        <w:rPr/>
        <w:t>Se desarrollaron y validaron métodos analíticos generales mediante la técnica de ICP-MS para la cuantificación de IE Clase 1, Clase 2A y Clase 2B para los productos desarrollados y producidos en la empresa farmoquímica. Los resultados demostraron que los productos cumplen con el atributo de calidad establecido  para el contenido de impurezas elementales a los niveles establecidos por las guías ICH, lo cual implica que el producto puede continuar en el mercado y cumple con los más altos estándares de</w:t>
      </w:r>
      <w:r>
        <w:rPr>
          <w:spacing w:val="-16"/>
        </w:rPr>
        <w:t> </w:t>
      </w:r>
      <w:r>
        <w:rPr/>
        <w:t>calidad.</w:t>
      </w:r>
    </w:p>
    <w:p>
      <w:pPr>
        <w:pStyle w:val="BodyText"/>
        <w:spacing w:line="360" w:lineRule="auto" w:before="204"/>
        <w:ind w:left="102" w:right="117"/>
        <w:jc w:val="both"/>
      </w:pPr>
      <w:r>
        <w:rPr/>
        <w:t>La aplicación de estos métodos a un producto que se desarrolla en la empresa farmoquímica nos permite ver la funcionalidad de este tipo de cuantificación en las diferentes etapas del proceso aplicando herramientas como el manejo del riesgo de la calidad para determinar las etapas críticas del proceso y la utilización de espacios de diseño para un mejor control de las pruebas a realizar.</w:t>
      </w:r>
    </w:p>
    <w:p>
      <w:pPr>
        <w:spacing w:after="0" w:line="360" w:lineRule="auto"/>
        <w:jc w:val="both"/>
        <w:sectPr>
          <w:footerReference w:type="default" r:id="rId8"/>
          <w:pgSz w:w="12240" w:h="15840"/>
          <w:pgMar w:footer="919" w:header="0" w:top="1400" w:bottom="1100" w:left="1600" w:right="1580"/>
          <w:pgNumType w:start="5"/>
        </w:sectPr>
      </w:pPr>
    </w:p>
    <w:p>
      <w:pPr>
        <w:pStyle w:val="Heading1"/>
        <w:spacing w:before="51"/>
        <w:ind w:right="1789"/>
        <w:jc w:val="left"/>
      </w:pPr>
      <w:bookmarkStart w:name="_bookmark1" w:id="2"/>
      <w:bookmarkEnd w:id="2"/>
      <w:r>
        <w:rPr>
          <w:b w:val="0"/>
        </w:rPr>
      </w:r>
      <w:r>
        <w:rPr/>
        <w:t>ABREVIATURAS</w:t>
      </w:r>
    </w:p>
    <w:p>
      <w:pPr>
        <w:pStyle w:val="BodyText"/>
        <w:rPr>
          <w:b/>
          <w:sz w:val="28"/>
        </w:rPr>
      </w:pPr>
    </w:p>
    <w:p>
      <w:pPr>
        <w:pStyle w:val="BodyText"/>
        <w:tabs>
          <w:tab w:pos="1517" w:val="left" w:leader="none"/>
        </w:tabs>
        <w:ind w:left="102" w:right="1789"/>
      </w:pPr>
      <w:r>
        <w:rPr/>
        <w:t>RAE</w:t>
        <w:tab/>
        <w:t>Real Academia</w:t>
      </w:r>
      <w:r>
        <w:rPr>
          <w:spacing w:val="-7"/>
        </w:rPr>
        <w:t> </w:t>
      </w:r>
      <w:r>
        <w:rPr/>
        <w:t>Española</w:t>
      </w:r>
    </w:p>
    <w:p>
      <w:pPr>
        <w:pStyle w:val="BodyText"/>
        <w:tabs>
          <w:tab w:pos="1517" w:val="left" w:leader="none"/>
        </w:tabs>
        <w:spacing w:before="137"/>
        <w:ind w:left="102" w:right="1789"/>
      </w:pPr>
      <w:r>
        <w:rPr/>
        <w:t>FDA</w:t>
        <w:tab/>
        <w:t>Administración de Alimentos y</w:t>
      </w:r>
      <w:r>
        <w:rPr>
          <w:spacing w:val="-9"/>
        </w:rPr>
        <w:t> </w:t>
      </w:r>
      <w:r>
        <w:rPr/>
        <w:t>Medicamentos</w:t>
      </w:r>
    </w:p>
    <w:p>
      <w:pPr>
        <w:pStyle w:val="BodyText"/>
        <w:tabs>
          <w:tab w:pos="1517" w:val="left" w:leader="none"/>
        </w:tabs>
        <w:spacing w:line="360" w:lineRule="auto" w:before="139"/>
        <w:ind w:left="102" w:right="1789"/>
      </w:pPr>
      <w:r>
        <w:rPr/>
        <w:t>EMEA</w:t>
        <w:tab/>
        <w:t>Agencia Europea de Evaluación de</w:t>
      </w:r>
      <w:r>
        <w:rPr>
          <w:spacing w:val="-15"/>
        </w:rPr>
        <w:t> </w:t>
      </w:r>
      <w:r>
        <w:rPr/>
        <w:t>los</w:t>
      </w:r>
      <w:r>
        <w:rPr>
          <w:spacing w:val="-3"/>
        </w:rPr>
        <w:t> </w:t>
      </w:r>
      <w:r>
        <w:rPr/>
        <w:t>Medicamentos</w:t>
      </w:r>
      <w:r>
        <w:rPr>
          <w:w w:val="100"/>
        </w:rPr>
        <w:t> </w:t>
      </w:r>
      <w:r>
        <w:rPr/>
        <w:t>ICH</w:t>
        <w:tab/>
        <w:t>Conferencia Internacional sobre</w:t>
      </w:r>
      <w:r>
        <w:rPr>
          <w:spacing w:val="-17"/>
        </w:rPr>
        <w:t> </w:t>
      </w:r>
      <w:r>
        <w:rPr/>
        <w:t>Armonización</w:t>
      </w:r>
    </w:p>
    <w:p>
      <w:pPr>
        <w:pStyle w:val="BodyText"/>
        <w:tabs>
          <w:tab w:pos="1517" w:val="left" w:leader="none"/>
        </w:tabs>
        <w:spacing w:line="360" w:lineRule="auto" w:before="5"/>
        <w:ind w:left="102" w:right="3938"/>
      </w:pPr>
      <w:r>
        <w:rPr/>
        <w:t>API</w:t>
        <w:tab/>
        <w:t>Ingrediente</w:t>
      </w:r>
      <w:r>
        <w:rPr>
          <w:spacing w:val="-6"/>
        </w:rPr>
        <w:t> </w:t>
      </w:r>
      <w:r>
        <w:rPr/>
        <w:t>Activo</w:t>
      </w:r>
      <w:r>
        <w:rPr>
          <w:spacing w:val="-6"/>
        </w:rPr>
        <w:t> </w:t>
      </w:r>
      <w:r>
        <w:rPr/>
        <w:t>Farmacéutico</w:t>
      </w:r>
      <w:r>
        <w:rPr>
          <w:w w:val="99"/>
        </w:rPr>
        <w:t> </w:t>
      </w:r>
      <w:r>
        <w:rPr/>
        <w:t>GMP</w:t>
        <w:tab/>
        <w:t>Buenas Prácticas</w:t>
      </w:r>
      <w:r>
        <w:rPr>
          <w:spacing w:val="-7"/>
        </w:rPr>
        <w:t> </w:t>
      </w:r>
      <w:r>
        <w:rPr/>
        <w:t>de</w:t>
      </w:r>
      <w:r>
        <w:rPr>
          <w:spacing w:val="-6"/>
        </w:rPr>
        <w:t> </w:t>
      </w:r>
      <w:r>
        <w:rPr/>
        <w:t>Manufactura</w:t>
      </w:r>
      <w:r>
        <w:rPr>
          <w:w w:val="99"/>
        </w:rPr>
        <w:t> </w:t>
      </w:r>
      <w:r>
        <w:rPr/>
        <w:t>PDE</w:t>
        <w:tab/>
        <w:t>Exposición Diaria</w:t>
      </w:r>
      <w:r>
        <w:rPr>
          <w:spacing w:val="-9"/>
        </w:rPr>
        <w:t> </w:t>
      </w:r>
      <w:r>
        <w:rPr/>
        <w:t>Permitida</w:t>
      </w:r>
    </w:p>
    <w:p>
      <w:pPr>
        <w:pStyle w:val="BodyText"/>
        <w:tabs>
          <w:tab w:pos="1517" w:val="left" w:leader="none"/>
        </w:tabs>
        <w:spacing w:before="202"/>
        <w:ind w:left="102" w:right="1789"/>
      </w:pPr>
      <w:r>
        <w:rPr/>
        <w:t>USP</w:t>
        <w:tab/>
        <w:t>Farmacopea de los Estados</w:t>
      </w:r>
      <w:r>
        <w:rPr>
          <w:spacing w:val="-5"/>
        </w:rPr>
        <w:t> </w:t>
      </w:r>
      <w:r>
        <w:rPr/>
        <w:t>Unidos</w:t>
      </w:r>
    </w:p>
    <w:p>
      <w:pPr>
        <w:pStyle w:val="BodyText"/>
        <w:tabs>
          <w:tab w:pos="1513" w:val="left" w:leader="none"/>
        </w:tabs>
        <w:spacing w:line="360" w:lineRule="auto" w:before="139"/>
        <w:ind w:left="1513" w:right="824" w:hanging="1412"/>
      </w:pPr>
      <w:r>
        <w:rPr/>
        <w:t>ICP-AES</w:t>
        <w:tab/>
        <w:t>Espectroscopia de Emisión Atómica de</w:t>
      </w:r>
      <w:r>
        <w:rPr>
          <w:spacing w:val="-20"/>
        </w:rPr>
        <w:t> </w:t>
      </w:r>
      <w:r>
        <w:rPr/>
        <w:t>Plasma</w:t>
      </w:r>
      <w:r>
        <w:rPr>
          <w:spacing w:val="-3"/>
        </w:rPr>
        <w:t> </w:t>
      </w:r>
      <w:r>
        <w:rPr/>
        <w:t>Inductivamente</w:t>
      </w:r>
      <w:r>
        <w:rPr>
          <w:w w:val="100"/>
        </w:rPr>
        <w:t> </w:t>
      </w:r>
      <w:r>
        <w:rPr/>
        <w:t>Acoplado</w:t>
      </w:r>
    </w:p>
    <w:p>
      <w:pPr>
        <w:pStyle w:val="BodyText"/>
        <w:tabs>
          <w:tab w:pos="1517" w:val="left" w:leader="none"/>
        </w:tabs>
        <w:spacing w:line="360" w:lineRule="auto" w:before="5"/>
        <w:ind w:left="102" w:right="461"/>
      </w:pPr>
      <w:r>
        <w:rPr/>
        <w:t>ICP-MS</w:t>
        <w:tab/>
        <w:t>Espectrofotómetro de emisión de plasma</w:t>
      </w:r>
      <w:r>
        <w:rPr>
          <w:spacing w:val="-21"/>
        </w:rPr>
        <w:t> </w:t>
      </w:r>
      <w:r>
        <w:rPr/>
        <w:t>inductivamente</w:t>
      </w:r>
      <w:r>
        <w:rPr>
          <w:spacing w:val="-4"/>
        </w:rPr>
        <w:t> </w:t>
      </w:r>
      <w:r>
        <w:rPr/>
        <w:t>acoplado</w:t>
      </w:r>
      <w:r>
        <w:rPr>
          <w:w w:val="99"/>
        </w:rPr>
        <w:t> </w:t>
      </w:r>
      <w:r>
        <w:rPr/>
        <w:t>ppm</w:t>
        <w:tab/>
        <w:t>Partes por</w:t>
      </w:r>
      <w:r>
        <w:rPr>
          <w:spacing w:val="-6"/>
        </w:rPr>
        <w:t> </w:t>
      </w:r>
      <w:r>
        <w:rPr/>
        <w:t>millón</w:t>
      </w:r>
    </w:p>
    <w:p>
      <w:pPr>
        <w:pStyle w:val="BodyText"/>
        <w:tabs>
          <w:tab w:pos="1517" w:val="left" w:leader="none"/>
        </w:tabs>
        <w:spacing w:before="5"/>
        <w:ind w:left="102" w:right="1789"/>
      </w:pPr>
      <w:r>
        <w:rPr/>
        <w:t>µg/g</w:t>
        <w:tab/>
        <w:t>Microgramos por</w:t>
      </w:r>
      <w:r>
        <w:rPr>
          <w:spacing w:val="-6"/>
        </w:rPr>
        <w:t> </w:t>
      </w:r>
      <w:r>
        <w:rPr/>
        <w:t>gramo</w:t>
      </w:r>
    </w:p>
    <w:p>
      <w:pPr>
        <w:pStyle w:val="BodyText"/>
        <w:tabs>
          <w:tab w:pos="1517" w:val="left" w:leader="none"/>
        </w:tabs>
        <w:spacing w:before="137"/>
        <w:ind w:left="102" w:right="1789"/>
      </w:pPr>
      <w:r>
        <w:rPr/>
        <w:t>µg/día</w:t>
        <w:tab/>
        <w:t>Microgramos por</w:t>
      </w:r>
      <w:r>
        <w:rPr>
          <w:spacing w:val="-6"/>
        </w:rPr>
        <w:t> </w:t>
      </w:r>
      <w:r>
        <w:rPr/>
        <w:t>día</w:t>
      </w:r>
    </w:p>
    <w:p>
      <w:pPr>
        <w:pStyle w:val="BodyText"/>
        <w:tabs>
          <w:tab w:pos="1517" w:val="left" w:leader="none"/>
        </w:tabs>
        <w:spacing w:line="360" w:lineRule="auto" w:before="139"/>
        <w:ind w:left="102" w:right="871"/>
      </w:pPr>
      <w:r>
        <w:rPr/>
        <w:t>ATSDR</w:t>
        <w:tab/>
        <w:t>Agencia para sustancias tóxicas y el registro</w:t>
      </w:r>
      <w:r>
        <w:rPr>
          <w:spacing w:val="-22"/>
        </w:rPr>
        <w:t> </w:t>
      </w:r>
      <w:r>
        <w:rPr/>
        <w:t>de</w:t>
      </w:r>
      <w:r>
        <w:rPr>
          <w:spacing w:val="-3"/>
        </w:rPr>
        <w:t> </w:t>
      </w:r>
      <w:r>
        <w:rPr/>
        <w:t>enfermedades DER</w:t>
        <w:tab/>
        <w:t>Desviación Estándar</w:t>
      </w:r>
      <w:r>
        <w:rPr>
          <w:spacing w:val="-11"/>
        </w:rPr>
        <w:t> </w:t>
      </w:r>
      <w:r>
        <w:rPr/>
        <w:t>Relativa</w:t>
      </w:r>
    </w:p>
    <w:p>
      <w:pPr>
        <w:pStyle w:val="BodyText"/>
        <w:tabs>
          <w:tab w:pos="1517" w:val="left" w:leader="none"/>
        </w:tabs>
        <w:spacing w:before="5"/>
        <w:ind w:left="102" w:right="1789"/>
      </w:pPr>
      <w:r>
        <w:rPr/>
        <w:t>I&amp;D</w:t>
        <w:tab/>
        <w:t>Investigación y</w:t>
      </w:r>
      <w:r>
        <w:rPr>
          <w:spacing w:val="-9"/>
        </w:rPr>
        <w:t> </w:t>
      </w:r>
      <w:r>
        <w:rPr/>
        <w:t>Desarrollo</w:t>
      </w:r>
    </w:p>
    <w:p>
      <w:pPr>
        <w:pStyle w:val="BodyText"/>
        <w:tabs>
          <w:tab w:pos="1517" w:val="left" w:leader="none"/>
        </w:tabs>
        <w:spacing w:before="137"/>
        <w:ind w:left="102" w:right="1789"/>
      </w:pPr>
      <w:r>
        <w:rPr/>
        <w:t>NF</w:t>
        <w:tab/>
        <w:t>Formulario</w:t>
      </w:r>
      <w:r>
        <w:rPr>
          <w:spacing w:val="-4"/>
        </w:rPr>
        <w:t> </w:t>
      </w:r>
      <w:r>
        <w:rPr/>
        <w:t>Nacional</w:t>
      </w:r>
    </w:p>
    <w:p>
      <w:pPr>
        <w:pStyle w:val="BodyText"/>
        <w:tabs>
          <w:tab w:pos="1517" w:val="left" w:leader="none"/>
        </w:tabs>
        <w:spacing w:line="360" w:lineRule="auto" w:before="139"/>
        <w:ind w:left="102" w:right="2805"/>
      </w:pPr>
      <w:r>
        <w:rPr/>
        <w:t>LOAEL</w:t>
        <w:tab/>
        <w:t>Nivel más bajo de efecto</w:t>
      </w:r>
      <w:r>
        <w:rPr>
          <w:spacing w:val="-15"/>
        </w:rPr>
        <w:t> </w:t>
      </w:r>
      <w:r>
        <w:rPr/>
        <w:t>adverso</w:t>
      </w:r>
      <w:r>
        <w:rPr>
          <w:spacing w:val="-3"/>
        </w:rPr>
        <w:t> </w:t>
      </w:r>
      <w:r>
        <w:rPr/>
        <w:t>observado</w:t>
      </w:r>
      <w:r>
        <w:rPr>
          <w:w w:val="99"/>
        </w:rPr>
        <w:t> </w:t>
      </w:r>
      <w:r>
        <w:rPr/>
        <w:t>NOAEL</w:t>
        <w:tab/>
        <w:t>Nivel de efecto adverso no</w:t>
      </w:r>
      <w:r>
        <w:rPr>
          <w:spacing w:val="-18"/>
        </w:rPr>
        <w:t> </w:t>
      </w:r>
      <w:r>
        <w:rPr/>
        <w:t>observado</w:t>
      </w:r>
    </w:p>
    <w:p>
      <w:pPr>
        <w:pStyle w:val="BodyText"/>
        <w:tabs>
          <w:tab w:pos="1517" w:val="left" w:leader="none"/>
        </w:tabs>
        <w:spacing w:line="360" w:lineRule="auto" w:before="5"/>
        <w:ind w:left="102" w:right="3723"/>
      </w:pPr>
      <w:r>
        <w:rPr/>
        <w:t>LOEL</w:t>
        <w:tab/>
        <w:t>Nivel más bajo de</w:t>
      </w:r>
      <w:r>
        <w:rPr>
          <w:spacing w:val="-10"/>
        </w:rPr>
        <w:t> </w:t>
      </w:r>
      <w:r>
        <w:rPr/>
        <w:t>efecto</w:t>
      </w:r>
      <w:r>
        <w:rPr>
          <w:spacing w:val="-2"/>
        </w:rPr>
        <w:t> </w:t>
      </w:r>
      <w:r>
        <w:rPr/>
        <w:t>observado</w:t>
      </w:r>
      <w:r>
        <w:rPr>
          <w:w w:val="99"/>
        </w:rPr>
        <w:t> </w:t>
      </w:r>
      <w:r>
        <w:rPr/>
        <w:t>NOEL</w:t>
        <w:tab/>
        <w:t>Nivel de efecto no</w:t>
      </w:r>
      <w:r>
        <w:rPr>
          <w:spacing w:val="-12"/>
        </w:rPr>
        <w:t> </w:t>
      </w:r>
      <w:r>
        <w:rPr/>
        <w:t>observado</w:t>
      </w:r>
    </w:p>
    <w:p>
      <w:pPr>
        <w:pStyle w:val="BodyText"/>
        <w:tabs>
          <w:tab w:pos="1517" w:val="left" w:leader="none"/>
        </w:tabs>
        <w:spacing w:line="448" w:lineRule="auto" w:before="5"/>
        <w:ind w:left="102" w:right="1731"/>
      </w:pPr>
      <w:r>
        <w:rPr/>
        <w:t>IARC</w:t>
        <w:tab/>
      </w:r>
      <w:r>
        <w:rPr>
          <w:color w:val="212121"/>
        </w:rPr>
        <w:t>Agencia Internacional para la Investigación</w:t>
      </w:r>
      <w:r>
        <w:rPr>
          <w:color w:val="212121"/>
          <w:spacing w:val="-9"/>
        </w:rPr>
        <w:t> </w:t>
      </w:r>
      <w:r>
        <w:rPr>
          <w:color w:val="212121"/>
        </w:rPr>
        <w:t>del</w:t>
      </w:r>
      <w:r>
        <w:rPr>
          <w:color w:val="212121"/>
          <w:spacing w:val="-2"/>
        </w:rPr>
        <w:t> </w:t>
      </w:r>
      <w:r>
        <w:rPr>
          <w:color w:val="212121"/>
        </w:rPr>
        <w:t>Cáncer</w:t>
      </w:r>
      <w:r>
        <w:rPr>
          <w:color w:val="212121"/>
          <w:w w:val="99"/>
        </w:rPr>
        <w:t> </w:t>
      </w:r>
      <w:r>
        <w:rPr/>
        <w:t>NTP</w:t>
        <w:tab/>
        <w:t>Nota Técnica de</w:t>
      </w:r>
      <w:r>
        <w:rPr>
          <w:spacing w:val="-12"/>
        </w:rPr>
        <w:t> </w:t>
      </w:r>
      <w:r>
        <w:rPr/>
        <w:t>Prevención</w:t>
      </w:r>
    </w:p>
    <w:p>
      <w:pPr>
        <w:pStyle w:val="BodyText"/>
        <w:tabs>
          <w:tab w:pos="1517" w:val="left" w:leader="none"/>
        </w:tabs>
        <w:spacing w:line="448" w:lineRule="auto" w:before="9"/>
        <w:ind w:left="102" w:right="3953"/>
      </w:pPr>
      <w:r>
        <w:rPr>
          <w:color w:val="212121"/>
        </w:rPr>
        <w:t>OMS</w:t>
        <w:tab/>
        <w:t>Organización Mundial de</w:t>
      </w:r>
      <w:r>
        <w:rPr>
          <w:color w:val="212121"/>
          <w:spacing w:val="-7"/>
        </w:rPr>
        <w:t> </w:t>
      </w:r>
      <w:r>
        <w:rPr>
          <w:color w:val="212121"/>
        </w:rPr>
        <w:t>la</w:t>
      </w:r>
      <w:r>
        <w:rPr>
          <w:color w:val="212121"/>
          <w:spacing w:val="-4"/>
        </w:rPr>
        <w:t> </w:t>
      </w:r>
      <w:r>
        <w:rPr>
          <w:color w:val="212121"/>
        </w:rPr>
        <w:t>Salud</w:t>
      </w:r>
      <w:r>
        <w:rPr>
          <w:color w:val="212121"/>
          <w:w w:val="99"/>
        </w:rPr>
        <w:t> </w:t>
      </w:r>
      <w:r>
        <w:rPr>
          <w:color w:val="212121"/>
        </w:rPr>
        <w:t>ppt</w:t>
        <w:tab/>
        <w:t>Partes por</w:t>
      </w:r>
      <w:r>
        <w:rPr>
          <w:color w:val="212121"/>
          <w:spacing w:val="-8"/>
        </w:rPr>
        <w:t> </w:t>
      </w:r>
      <w:r>
        <w:rPr>
          <w:color w:val="212121"/>
        </w:rPr>
        <w:t>Trillón</w:t>
      </w:r>
    </w:p>
    <w:p>
      <w:pPr>
        <w:pStyle w:val="BodyText"/>
        <w:tabs>
          <w:tab w:pos="1517" w:val="left" w:leader="none"/>
        </w:tabs>
        <w:spacing w:before="9"/>
        <w:ind w:left="102" w:right="1789"/>
      </w:pPr>
      <w:r>
        <w:rPr>
          <w:color w:val="212121"/>
        </w:rPr>
        <w:t>Pa</w:t>
        <w:tab/>
        <w:t>Pascal</w:t>
      </w:r>
    </w:p>
    <w:p>
      <w:pPr>
        <w:spacing w:after="0"/>
        <w:sectPr>
          <w:pgSz w:w="12240" w:h="15840"/>
          <w:pgMar w:header="0" w:footer="919" w:top="1360" w:bottom="1100" w:left="1600" w:right="1580"/>
        </w:sectPr>
      </w:pPr>
    </w:p>
    <w:p>
      <w:pPr>
        <w:spacing w:before="31"/>
        <w:ind w:left="95" w:right="219" w:firstLine="0"/>
        <w:jc w:val="center"/>
        <w:rPr>
          <w:b/>
          <w:sz w:val="32"/>
        </w:rPr>
      </w:pPr>
      <w:r>
        <w:rPr>
          <w:b/>
          <w:sz w:val="32"/>
        </w:rPr>
        <w:t>DEDICATORIAS</w:t>
      </w:r>
    </w:p>
    <w:p>
      <w:pPr>
        <w:pStyle w:val="BodyText"/>
        <w:rPr>
          <w:b/>
          <w:sz w:val="32"/>
        </w:rPr>
      </w:pPr>
    </w:p>
    <w:p>
      <w:pPr>
        <w:pStyle w:val="BodyText"/>
        <w:spacing w:before="9"/>
        <w:rPr>
          <w:b/>
          <w:sz w:val="43"/>
        </w:rPr>
      </w:pPr>
    </w:p>
    <w:p>
      <w:pPr>
        <w:spacing w:before="0"/>
        <w:ind w:left="100" w:right="218" w:firstLine="0"/>
        <w:jc w:val="center"/>
        <w:rPr>
          <w:b/>
          <w:sz w:val="28"/>
        </w:rPr>
      </w:pPr>
      <w:r>
        <w:rPr>
          <w:b/>
          <w:sz w:val="28"/>
        </w:rPr>
        <w:t>A mis padres</w:t>
      </w:r>
    </w:p>
    <w:p>
      <w:pPr>
        <w:pStyle w:val="BodyText"/>
        <w:spacing w:before="3"/>
        <w:rPr>
          <w:b/>
          <w:sz w:val="31"/>
        </w:rPr>
      </w:pPr>
    </w:p>
    <w:p>
      <w:pPr>
        <w:spacing w:line="360" w:lineRule="auto" w:before="0"/>
        <w:ind w:left="100" w:right="219" w:firstLine="0"/>
        <w:jc w:val="center"/>
        <w:rPr>
          <w:sz w:val="28"/>
        </w:rPr>
      </w:pPr>
      <w:r>
        <w:rPr>
          <w:b/>
          <w:sz w:val="28"/>
        </w:rPr>
        <w:t>Moisés </w:t>
      </w:r>
      <w:r>
        <w:rPr>
          <w:sz w:val="28"/>
        </w:rPr>
        <w:t>y </w:t>
      </w:r>
      <w:r>
        <w:rPr>
          <w:b/>
          <w:sz w:val="28"/>
        </w:rPr>
        <w:t>Josefina </w:t>
      </w:r>
      <w:r>
        <w:rPr>
          <w:sz w:val="28"/>
        </w:rPr>
        <w:t>que son las personas más importantes para mí y siempre me han apoyado y estado en todas y cada una de las etapas de mi vida</w:t>
      </w:r>
    </w:p>
    <w:p>
      <w:pPr>
        <w:pStyle w:val="BodyText"/>
        <w:rPr>
          <w:sz w:val="28"/>
        </w:rPr>
      </w:pPr>
    </w:p>
    <w:p>
      <w:pPr>
        <w:pStyle w:val="BodyText"/>
        <w:rPr>
          <w:sz w:val="28"/>
        </w:rPr>
      </w:pPr>
    </w:p>
    <w:p>
      <w:pPr>
        <w:spacing w:before="244"/>
        <w:ind w:left="100" w:right="219" w:firstLine="0"/>
        <w:jc w:val="center"/>
        <w:rPr>
          <w:b/>
          <w:sz w:val="28"/>
        </w:rPr>
      </w:pPr>
      <w:r>
        <w:rPr>
          <w:b/>
          <w:sz w:val="28"/>
        </w:rPr>
        <w:t>A mis abuelos</w:t>
      </w:r>
    </w:p>
    <w:p>
      <w:pPr>
        <w:pStyle w:val="BodyText"/>
        <w:spacing w:before="5"/>
        <w:rPr>
          <w:b/>
          <w:sz w:val="31"/>
        </w:rPr>
      </w:pPr>
    </w:p>
    <w:p>
      <w:pPr>
        <w:spacing w:line="360" w:lineRule="auto" w:before="0"/>
        <w:ind w:left="100" w:right="219" w:firstLine="0"/>
        <w:jc w:val="center"/>
        <w:rPr>
          <w:sz w:val="28"/>
        </w:rPr>
      </w:pPr>
      <w:r>
        <w:rPr>
          <w:b/>
          <w:sz w:val="28"/>
        </w:rPr>
        <w:t>Amalia y Pedro </w:t>
      </w:r>
      <w:r>
        <w:rPr>
          <w:sz w:val="28"/>
        </w:rPr>
        <w:t>que siempre me brindaron su cariño y me apoyaron para la realización de todos mis proyectos</w:t>
      </w:r>
    </w:p>
    <w:p>
      <w:pPr>
        <w:pStyle w:val="BodyText"/>
        <w:rPr>
          <w:sz w:val="28"/>
        </w:rPr>
      </w:pPr>
    </w:p>
    <w:p>
      <w:pPr>
        <w:pStyle w:val="BodyText"/>
        <w:rPr>
          <w:sz w:val="28"/>
        </w:rPr>
      </w:pPr>
    </w:p>
    <w:p>
      <w:pPr>
        <w:spacing w:before="243"/>
        <w:ind w:left="100" w:right="215" w:firstLine="0"/>
        <w:jc w:val="center"/>
        <w:rPr>
          <w:b/>
          <w:sz w:val="28"/>
        </w:rPr>
      </w:pPr>
      <w:r>
        <w:rPr>
          <w:b/>
          <w:sz w:val="28"/>
        </w:rPr>
        <w:t>A mis hermanos y sobrinos</w:t>
      </w:r>
    </w:p>
    <w:p>
      <w:pPr>
        <w:pStyle w:val="BodyText"/>
        <w:spacing w:before="5"/>
        <w:rPr>
          <w:b/>
          <w:sz w:val="31"/>
        </w:rPr>
      </w:pPr>
    </w:p>
    <w:p>
      <w:pPr>
        <w:spacing w:before="0"/>
        <w:ind w:left="100" w:right="218" w:firstLine="0"/>
        <w:jc w:val="center"/>
        <w:rPr>
          <w:b/>
          <w:sz w:val="28"/>
        </w:rPr>
      </w:pPr>
      <w:r>
        <w:rPr>
          <w:sz w:val="28"/>
        </w:rPr>
        <w:t>En especial a </w:t>
      </w:r>
      <w:r>
        <w:rPr>
          <w:b/>
          <w:sz w:val="28"/>
        </w:rPr>
        <w:t>Paola </w:t>
      </w:r>
      <w:r>
        <w:rPr>
          <w:sz w:val="28"/>
        </w:rPr>
        <w:t>y </w:t>
      </w:r>
      <w:r>
        <w:rPr>
          <w:b/>
          <w:sz w:val="28"/>
        </w:rPr>
        <w:t>Andrea</w:t>
      </w:r>
    </w:p>
    <w:p>
      <w:pPr>
        <w:pStyle w:val="BodyText"/>
        <w:rPr>
          <w:b/>
          <w:sz w:val="28"/>
        </w:rPr>
      </w:pPr>
    </w:p>
    <w:p>
      <w:pPr>
        <w:pStyle w:val="BodyText"/>
        <w:rPr>
          <w:b/>
          <w:sz w:val="28"/>
        </w:rPr>
      </w:pPr>
    </w:p>
    <w:p>
      <w:pPr>
        <w:pStyle w:val="BodyText"/>
        <w:spacing w:before="8"/>
        <w:rPr>
          <w:b/>
          <w:sz w:val="34"/>
        </w:rPr>
      </w:pPr>
    </w:p>
    <w:p>
      <w:pPr>
        <w:spacing w:before="0"/>
        <w:ind w:left="100" w:right="219" w:firstLine="0"/>
        <w:jc w:val="center"/>
        <w:rPr>
          <w:b/>
          <w:sz w:val="28"/>
        </w:rPr>
      </w:pPr>
      <w:r>
        <w:rPr>
          <w:b/>
          <w:sz w:val="28"/>
        </w:rPr>
        <w:t>A mis compañeros y amigos de la maestría y del trabajo</w:t>
      </w:r>
    </w:p>
    <w:p>
      <w:pPr>
        <w:pStyle w:val="BodyText"/>
        <w:spacing w:before="3"/>
        <w:rPr>
          <w:b/>
          <w:sz w:val="31"/>
        </w:rPr>
      </w:pPr>
    </w:p>
    <w:p>
      <w:pPr>
        <w:spacing w:before="0"/>
        <w:ind w:left="100" w:right="213" w:firstLine="0"/>
        <w:jc w:val="center"/>
        <w:rPr>
          <w:b/>
          <w:sz w:val="28"/>
        </w:rPr>
      </w:pPr>
      <w:r>
        <w:rPr>
          <w:sz w:val="28"/>
        </w:rPr>
        <w:t>Por su apoyo y confianza</w:t>
      </w:r>
      <w:r>
        <w:rPr>
          <w:b/>
          <w:sz w:val="28"/>
        </w:rPr>
        <w:t>, Ricardo, Griselda, Carla y Jessy</w:t>
      </w:r>
    </w:p>
    <w:p>
      <w:pPr>
        <w:spacing w:after="0"/>
        <w:jc w:val="center"/>
        <w:rPr>
          <w:sz w:val="28"/>
        </w:rPr>
        <w:sectPr>
          <w:pgSz w:w="12240" w:h="15840"/>
          <w:pgMar w:header="0" w:footer="919" w:top="1380" w:bottom="1100" w:left="1700" w:right="1580"/>
        </w:sectPr>
      </w:pPr>
    </w:p>
    <w:p>
      <w:pPr>
        <w:pStyle w:val="BodyText"/>
        <w:spacing w:before="2"/>
        <w:rPr>
          <w:b/>
          <w:sz w:val="11"/>
        </w:rPr>
      </w:pPr>
    </w:p>
    <w:p>
      <w:pPr>
        <w:spacing w:before="59"/>
        <w:ind w:left="105" w:right="185" w:firstLine="0"/>
        <w:jc w:val="center"/>
        <w:rPr>
          <w:b/>
          <w:sz w:val="32"/>
        </w:rPr>
      </w:pPr>
      <w:r>
        <w:rPr>
          <w:b/>
          <w:sz w:val="32"/>
        </w:rPr>
        <w:t>AGRADECIMIENTOS</w:t>
      </w:r>
    </w:p>
    <w:p>
      <w:pPr>
        <w:pStyle w:val="BodyText"/>
        <w:spacing w:before="6"/>
        <w:rPr>
          <w:b/>
          <w:sz w:val="46"/>
        </w:rPr>
      </w:pPr>
    </w:p>
    <w:p>
      <w:pPr>
        <w:pStyle w:val="Heading1"/>
        <w:ind w:left="107" w:right="185"/>
        <w:jc w:val="center"/>
      </w:pPr>
      <w:r>
        <w:rPr/>
        <w:t>A Signa S.A. de C.V.</w:t>
      </w:r>
    </w:p>
    <w:p>
      <w:pPr>
        <w:pStyle w:val="BodyText"/>
        <w:spacing w:before="4"/>
        <w:rPr>
          <w:b/>
          <w:sz w:val="29"/>
        </w:rPr>
      </w:pPr>
    </w:p>
    <w:p>
      <w:pPr>
        <w:pStyle w:val="BodyText"/>
        <w:spacing w:line="360" w:lineRule="auto" w:before="1"/>
        <w:ind w:left="106" w:right="185"/>
        <w:jc w:val="center"/>
      </w:pPr>
      <w:r>
        <w:rPr/>
        <w:t>En especial al </w:t>
      </w:r>
      <w:r>
        <w:rPr>
          <w:b/>
        </w:rPr>
        <w:t>Ing. OSCAR VIVANCO </w:t>
      </w:r>
      <w:r>
        <w:rPr/>
        <w:t>por la creación e impulso al programa de maestrías para el desarrollo personal, profesional y laboral de las personas</w:t>
      </w:r>
    </w:p>
    <w:p>
      <w:pPr>
        <w:pStyle w:val="Heading1"/>
        <w:spacing w:before="204"/>
        <w:ind w:right="185"/>
        <w:jc w:val="center"/>
      </w:pPr>
      <w:r>
        <w:rPr/>
        <w:t>A la Dra. Maria de la Luz Reyes</w:t>
      </w:r>
    </w:p>
    <w:p>
      <w:pPr>
        <w:pStyle w:val="BodyText"/>
        <w:spacing w:before="5"/>
        <w:rPr>
          <w:b/>
          <w:sz w:val="29"/>
        </w:rPr>
      </w:pPr>
    </w:p>
    <w:p>
      <w:pPr>
        <w:pStyle w:val="BodyText"/>
        <w:spacing w:line="360" w:lineRule="auto"/>
        <w:ind w:left="106" w:right="185"/>
        <w:jc w:val="center"/>
      </w:pPr>
      <w:r>
        <w:rPr/>
        <w:t>Por la confianza, la motivación, el apoyo, las aportaciones, asesorías y el tiempo dedicado para que se realizará exitosamente el trabajo.</w:t>
      </w:r>
    </w:p>
    <w:p>
      <w:pPr>
        <w:pStyle w:val="Heading1"/>
        <w:spacing w:before="204"/>
        <w:ind w:left="106" w:right="185"/>
        <w:jc w:val="center"/>
      </w:pPr>
      <w:r>
        <w:rPr/>
        <w:t>Al Dr. Jose Miguel Lazcano</w:t>
      </w:r>
    </w:p>
    <w:p>
      <w:pPr>
        <w:pStyle w:val="BodyText"/>
        <w:spacing w:before="4"/>
        <w:rPr>
          <w:b/>
          <w:sz w:val="29"/>
        </w:rPr>
      </w:pPr>
    </w:p>
    <w:p>
      <w:pPr>
        <w:pStyle w:val="BodyText"/>
        <w:spacing w:before="1"/>
        <w:ind w:left="105" w:right="185"/>
        <w:jc w:val="center"/>
      </w:pPr>
      <w:r>
        <w:rPr/>
        <w:t>Por el apoyo y confianza para realización de este proyecto</w:t>
      </w:r>
    </w:p>
    <w:p>
      <w:pPr>
        <w:pStyle w:val="BodyText"/>
        <w:spacing w:before="4"/>
        <w:rPr>
          <w:sz w:val="29"/>
        </w:rPr>
      </w:pPr>
    </w:p>
    <w:p>
      <w:pPr>
        <w:pStyle w:val="Heading1"/>
        <w:spacing w:before="1"/>
        <w:ind w:left="109" w:right="185"/>
        <w:jc w:val="center"/>
      </w:pPr>
      <w:r>
        <w:rPr/>
        <w:t>Alan Sabdiel Ruiz Ruiz</w:t>
      </w:r>
    </w:p>
    <w:p>
      <w:pPr>
        <w:pStyle w:val="BodyText"/>
        <w:spacing w:before="4"/>
        <w:rPr>
          <w:b/>
          <w:sz w:val="29"/>
        </w:rPr>
      </w:pPr>
    </w:p>
    <w:p>
      <w:pPr>
        <w:pStyle w:val="BodyText"/>
        <w:spacing w:before="1"/>
        <w:ind w:left="107" w:right="185"/>
        <w:jc w:val="center"/>
      </w:pPr>
      <w:r>
        <w:rPr/>
        <w:t>Por sus ideas para desarrollar el presente trabajo</w:t>
      </w:r>
    </w:p>
    <w:p>
      <w:pPr>
        <w:pStyle w:val="BodyText"/>
        <w:spacing w:before="5"/>
        <w:rPr>
          <w:sz w:val="29"/>
        </w:rPr>
      </w:pPr>
    </w:p>
    <w:p>
      <w:pPr>
        <w:pStyle w:val="Heading1"/>
        <w:ind w:left="106" w:right="185"/>
        <w:jc w:val="center"/>
      </w:pPr>
      <w:r>
        <w:rPr/>
        <w:t>A Elena Castellanos, Angel Contreras</w:t>
      </w:r>
    </w:p>
    <w:p>
      <w:pPr>
        <w:pStyle w:val="BodyText"/>
        <w:spacing w:before="2"/>
        <w:rPr>
          <w:b/>
          <w:sz w:val="29"/>
        </w:rPr>
      </w:pPr>
    </w:p>
    <w:p>
      <w:pPr>
        <w:pStyle w:val="BodyText"/>
        <w:ind w:left="103" w:right="185"/>
        <w:jc w:val="center"/>
      </w:pPr>
      <w:r>
        <w:rPr/>
        <w:t>Por los resultados y aportaciones realizadas al proyecto</w:t>
      </w:r>
    </w:p>
    <w:p>
      <w:pPr>
        <w:pStyle w:val="BodyText"/>
      </w:pPr>
    </w:p>
    <w:p>
      <w:pPr>
        <w:pStyle w:val="BodyText"/>
        <w:spacing w:before="4"/>
        <w:rPr>
          <w:sz w:val="29"/>
        </w:rPr>
      </w:pPr>
    </w:p>
    <w:p>
      <w:pPr>
        <w:pStyle w:val="Heading1"/>
        <w:spacing w:before="1"/>
        <w:ind w:left="111" w:right="122"/>
        <w:jc w:val="center"/>
      </w:pPr>
      <w:r>
        <w:rPr/>
        <w:t>A LA FACULTAD DE QUÍMICA DE</w:t>
      </w:r>
    </w:p>
    <w:p>
      <w:pPr>
        <w:spacing w:before="139"/>
        <w:ind w:left="107" w:right="185" w:firstLine="0"/>
        <w:jc w:val="center"/>
        <w:rPr>
          <w:b/>
          <w:sz w:val="24"/>
        </w:rPr>
      </w:pPr>
      <w:r>
        <w:rPr>
          <w:b/>
          <w:sz w:val="24"/>
        </w:rPr>
        <w:t>LA UNIVERSIDAD AUTÓNOMA DEL ESTADO DE MÉXICO</w:t>
      </w:r>
    </w:p>
    <w:p>
      <w:pPr>
        <w:pStyle w:val="BodyText"/>
        <w:rPr>
          <w:b/>
        </w:rPr>
      </w:pPr>
    </w:p>
    <w:p>
      <w:pPr>
        <w:pStyle w:val="BodyText"/>
        <w:rPr>
          <w:b/>
        </w:rPr>
      </w:pPr>
    </w:p>
    <w:p>
      <w:pPr>
        <w:spacing w:line="360" w:lineRule="auto" w:before="0"/>
        <w:ind w:left="111" w:right="185" w:firstLine="0"/>
        <w:jc w:val="center"/>
        <w:rPr>
          <w:sz w:val="24"/>
        </w:rPr>
      </w:pPr>
      <w:r>
        <w:rPr>
          <w:sz w:val="24"/>
        </w:rPr>
        <w:t>En especial a la </w:t>
      </w:r>
      <w:r>
        <w:rPr>
          <w:b/>
          <w:sz w:val="24"/>
        </w:rPr>
        <w:t>M. en C. María Magdalena García</w:t>
      </w:r>
      <w:r>
        <w:rPr>
          <w:sz w:val="24"/>
        </w:rPr>
        <w:t>, al </w:t>
      </w:r>
      <w:r>
        <w:rPr>
          <w:b/>
          <w:sz w:val="24"/>
        </w:rPr>
        <w:t>Dr. Juan Carlos Sánchez </w:t>
      </w:r>
      <w:r>
        <w:rPr>
          <w:sz w:val="24"/>
        </w:rPr>
        <w:t>y a la </w:t>
      </w:r>
      <w:r>
        <w:rPr>
          <w:b/>
          <w:sz w:val="24"/>
        </w:rPr>
        <w:t>M. en A. Alicia Reyes </w:t>
      </w:r>
      <w:r>
        <w:rPr>
          <w:sz w:val="24"/>
        </w:rPr>
        <w:t>por su apoyo, asesoría y aportaciones durante el desarrollo y realización de este proyecto</w:t>
      </w:r>
    </w:p>
    <w:p>
      <w:pPr>
        <w:pStyle w:val="BodyText"/>
      </w:pPr>
    </w:p>
    <w:p>
      <w:pPr>
        <w:pStyle w:val="BodyText"/>
      </w:pPr>
    </w:p>
    <w:p>
      <w:pPr>
        <w:pStyle w:val="Heading1"/>
        <w:ind w:left="104" w:right="185"/>
        <w:jc w:val="center"/>
      </w:pPr>
      <w:r>
        <w:rPr/>
        <w:t>Al Consejo Mexiquense de Ciencia y Tecnología (COMECYT)</w:t>
      </w:r>
    </w:p>
    <w:p>
      <w:pPr>
        <w:pStyle w:val="BodyText"/>
        <w:rPr>
          <w:b/>
        </w:rPr>
      </w:pPr>
    </w:p>
    <w:p>
      <w:pPr>
        <w:pStyle w:val="BodyText"/>
        <w:ind w:left="106" w:right="185"/>
        <w:jc w:val="center"/>
      </w:pPr>
      <w:r>
        <w:rPr/>
        <w:t>Por el apoyo para la realización de este proyecto</w:t>
      </w:r>
    </w:p>
    <w:p>
      <w:pPr>
        <w:spacing w:after="0"/>
        <w:jc w:val="center"/>
        <w:sectPr>
          <w:pgSz w:w="12240" w:h="15840"/>
          <w:pgMar w:header="0" w:footer="919" w:top="1500" w:bottom="1100" w:left="1660" w:right="1580"/>
        </w:sectPr>
      </w:pPr>
    </w:p>
    <w:p>
      <w:pPr>
        <w:spacing w:before="14"/>
        <w:ind w:left="102" w:right="1789" w:firstLine="0"/>
        <w:jc w:val="left"/>
        <w:rPr>
          <w:rFonts w:ascii="Calibri Light"/>
          <w:b w:val="0"/>
          <w:sz w:val="32"/>
        </w:rPr>
      </w:pPr>
      <w:r>
        <w:rPr>
          <w:rFonts w:ascii="Calibri Light"/>
          <w:b w:val="0"/>
          <w:color w:val="2D74B5"/>
          <w:sz w:val="32"/>
        </w:rPr>
        <w:t>Contenido</w:t>
      </w:r>
    </w:p>
    <w:p>
      <w:pPr>
        <w:spacing w:after="0"/>
        <w:jc w:val="left"/>
        <w:rPr>
          <w:rFonts w:ascii="Calibri Light"/>
          <w:sz w:val="32"/>
        </w:rPr>
        <w:sectPr>
          <w:footerReference w:type="default" r:id="rId9"/>
          <w:pgSz w:w="12240" w:h="15840"/>
          <w:pgMar w:footer="859" w:header="0" w:top="1400" w:bottom="1897" w:left="1600" w:right="1580"/>
          <w:pgNumType w:start="9"/>
        </w:sectPr>
      </w:pPr>
    </w:p>
    <w:sdt>
      <w:sdtPr>
        <w:docPartObj>
          <w:docPartGallery w:val="Table of Contents"/>
          <w:docPartUnique/>
        </w:docPartObj>
      </w:sdtPr>
      <w:sdtEndPr/>
      <w:sdtContent>
        <w:p>
          <w:pPr>
            <w:pStyle w:val="TOC1"/>
            <w:tabs>
              <w:tab w:pos="8931" w:val="right" w:leader="dot"/>
            </w:tabs>
            <w:spacing w:before="541"/>
          </w:pPr>
          <w:hyperlink w:history="true" w:anchor="_bookmark0">
            <w:r>
              <w:rPr/>
              <w:t>RESUMEN</w:t>
              <w:tab/>
              <w:t>v</w:t>
            </w:r>
          </w:hyperlink>
        </w:p>
        <w:p>
          <w:pPr>
            <w:pStyle w:val="TOC1"/>
            <w:tabs>
              <w:tab w:pos="8929" w:val="right" w:leader="dot"/>
            </w:tabs>
          </w:pPr>
          <w:hyperlink w:history="true" w:anchor="_bookmark1">
            <w:r>
              <w:rPr/>
              <w:t>DEDICATORIAS</w:t>
              <w:tab/>
              <w:t>vii</w:t>
            </w:r>
          </w:hyperlink>
        </w:p>
        <w:p>
          <w:pPr>
            <w:pStyle w:val="TOC1"/>
            <w:tabs>
              <w:tab w:pos="8926" w:val="right" w:leader="dot"/>
            </w:tabs>
            <w:spacing w:before="240"/>
          </w:pPr>
          <w:hyperlink w:history="true" w:anchor="_bookmark2">
            <w:r>
              <w:rPr/>
              <w:t>LISTADO</w:t>
            </w:r>
            <w:r>
              <w:rPr>
                <w:spacing w:val="-1"/>
              </w:rPr>
              <w:t> </w:t>
            </w:r>
            <w:r>
              <w:rPr/>
              <w:t>DE</w:t>
            </w:r>
            <w:r>
              <w:rPr>
                <w:spacing w:val="-3"/>
              </w:rPr>
              <w:t> </w:t>
            </w:r>
            <w:r>
              <w:rPr/>
              <w:t>TABLAS</w:t>
              <w:tab/>
            </w:r>
            <w:r>
              <w:rPr>
                <w:spacing w:val="-3"/>
              </w:rPr>
              <w:t>xi</w:t>
            </w:r>
          </w:hyperlink>
        </w:p>
        <w:p>
          <w:pPr>
            <w:pStyle w:val="TOC1"/>
            <w:tabs>
              <w:tab w:pos="8930" w:val="right" w:leader="dot"/>
            </w:tabs>
          </w:pPr>
          <w:hyperlink w:history="true" w:anchor="_bookmark3">
            <w:r>
              <w:rPr/>
              <w:t>LISTADO</w:t>
            </w:r>
            <w:r>
              <w:rPr>
                <w:spacing w:val="-1"/>
              </w:rPr>
              <w:t> </w:t>
            </w:r>
            <w:r>
              <w:rPr/>
              <w:t>DE</w:t>
            </w:r>
            <w:r>
              <w:rPr>
                <w:spacing w:val="-3"/>
              </w:rPr>
              <w:t> </w:t>
            </w:r>
            <w:r>
              <w:rPr/>
              <w:t>FIGURAS</w:t>
              <w:tab/>
              <w:t>xiv</w:t>
            </w:r>
          </w:hyperlink>
        </w:p>
        <w:p>
          <w:pPr>
            <w:pStyle w:val="TOC1"/>
            <w:numPr>
              <w:ilvl w:val="0"/>
              <w:numId w:val="2"/>
            </w:numPr>
            <w:tabs>
              <w:tab w:pos="371" w:val="left" w:leader="none"/>
              <w:tab w:pos="8930" w:val="right" w:leader="dot"/>
            </w:tabs>
            <w:spacing w:line="240" w:lineRule="auto" w:before="240" w:after="0"/>
            <w:ind w:left="370" w:right="0" w:hanging="268"/>
            <w:jc w:val="left"/>
          </w:pPr>
          <w:hyperlink w:history="true" w:anchor="_bookmark4">
            <w:r>
              <w:rPr/>
              <w:t>INTRODUCCIÓN</w:t>
              <w:tab/>
              <w:t>1</w:t>
            </w:r>
          </w:hyperlink>
        </w:p>
        <w:p>
          <w:pPr>
            <w:pStyle w:val="TOC1"/>
            <w:numPr>
              <w:ilvl w:val="0"/>
              <w:numId w:val="2"/>
            </w:numPr>
            <w:tabs>
              <w:tab w:pos="371" w:val="left" w:leader="none"/>
              <w:tab w:pos="8930" w:val="right" w:leader="dot"/>
            </w:tabs>
            <w:spacing w:line="240" w:lineRule="auto" w:before="243" w:after="0"/>
            <w:ind w:left="370" w:right="0" w:hanging="268"/>
            <w:jc w:val="left"/>
          </w:pPr>
          <w:hyperlink w:history="true" w:anchor="_bookmark5">
            <w:r>
              <w:rPr/>
              <w:t>MARCO</w:t>
            </w:r>
            <w:r>
              <w:rPr>
                <w:spacing w:val="-2"/>
              </w:rPr>
              <w:t> </w:t>
            </w:r>
            <w:r>
              <w:rPr/>
              <w:t>TEÓRICO</w:t>
              <w:tab/>
              <w:t>3</w:t>
            </w:r>
          </w:hyperlink>
        </w:p>
        <w:p>
          <w:pPr>
            <w:pStyle w:val="TOC4"/>
            <w:numPr>
              <w:ilvl w:val="1"/>
              <w:numId w:val="2"/>
            </w:numPr>
            <w:tabs>
              <w:tab w:pos="791" w:val="left" w:leader="none"/>
              <w:tab w:pos="8930" w:val="right" w:leader="dot"/>
            </w:tabs>
            <w:spacing w:line="240" w:lineRule="auto" w:before="242" w:after="0"/>
            <w:ind w:left="322" w:right="0" w:firstLine="0"/>
            <w:jc w:val="left"/>
          </w:pPr>
          <w:hyperlink w:history="true" w:anchor="_bookmark6">
            <w:r>
              <w:rPr/>
              <w:t>Impurezas</w:t>
            </w:r>
            <w:r>
              <w:rPr>
                <w:spacing w:val="-1"/>
              </w:rPr>
              <w:t> </w:t>
            </w:r>
            <w:r>
              <w:rPr/>
              <w:t>Elementales</w:t>
              <w:tab/>
              <w:t>3</w:t>
            </w:r>
          </w:hyperlink>
        </w:p>
        <w:p>
          <w:pPr>
            <w:pStyle w:val="TOC4"/>
            <w:numPr>
              <w:ilvl w:val="1"/>
              <w:numId w:val="2"/>
            </w:numPr>
            <w:tabs>
              <w:tab w:pos="793" w:val="left" w:leader="none"/>
              <w:tab w:pos="8930" w:val="right" w:leader="dot"/>
            </w:tabs>
            <w:spacing w:line="276" w:lineRule="auto" w:before="240" w:after="0"/>
            <w:ind w:left="322" w:right="127" w:firstLine="0"/>
            <w:jc w:val="left"/>
          </w:pPr>
          <w:hyperlink w:history="true" w:anchor="_bookmark7">
            <w:r>
              <w:rPr/>
              <w:t>Conferencia Internacional sobre armonización de requisitos técnicos para el</w:t>
            </w:r>
          </w:hyperlink>
          <w:r>
            <w:rPr/>
            <w:t> </w:t>
          </w:r>
          <w:hyperlink w:history="true" w:anchor="_bookmark7">
            <w:r>
              <w:rPr/>
              <w:t>registro de productos farmacéuticos para uso</w:t>
            </w:r>
            <w:r>
              <w:rPr>
                <w:spacing w:val="-11"/>
              </w:rPr>
              <w:t> </w:t>
            </w:r>
            <w:r>
              <w:rPr/>
              <w:t>humano</w:t>
            </w:r>
            <w:r>
              <w:rPr>
                <w:spacing w:val="-1"/>
              </w:rPr>
              <w:t> </w:t>
            </w:r>
            <w:r>
              <w:rPr/>
              <w:t>(ICH).</w:t>
              <w:tab/>
              <w:t>3</w:t>
            </w:r>
          </w:hyperlink>
        </w:p>
        <w:p>
          <w:pPr>
            <w:pStyle w:val="TOC4"/>
            <w:numPr>
              <w:ilvl w:val="2"/>
              <w:numId w:val="2"/>
            </w:numPr>
            <w:tabs>
              <w:tab w:pos="992" w:val="left" w:leader="none"/>
              <w:tab w:pos="8930" w:val="right" w:leader="dot"/>
            </w:tabs>
            <w:spacing w:line="240" w:lineRule="auto" w:before="202" w:after="0"/>
            <w:ind w:left="991" w:right="0" w:hanging="669"/>
            <w:jc w:val="left"/>
          </w:pPr>
          <w:hyperlink w:history="true" w:anchor="_bookmark8">
            <w:r>
              <w:rPr/>
              <w:t>Directriz</w:t>
            </w:r>
            <w:r>
              <w:rPr>
                <w:spacing w:val="-4"/>
              </w:rPr>
              <w:t> </w:t>
            </w:r>
            <w:r>
              <w:rPr/>
              <w:t>de</w:t>
            </w:r>
            <w:r>
              <w:rPr>
                <w:spacing w:val="-1"/>
              </w:rPr>
              <w:t> </w:t>
            </w:r>
            <w:r>
              <w:rPr/>
              <w:t>seguridad</w:t>
              <w:tab/>
              <w:t>5</w:t>
            </w:r>
          </w:hyperlink>
        </w:p>
        <w:p>
          <w:pPr>
            <w:pStyle w:val="TOC4"/>
            <w:numPr>
              <w:ilvl w:val="2"/>
              <w:numId w:val="2"/>
            </w:numPr>
            <w:tabs>
              <w:tab w:pos="992" w:val="left" w:leader="none"/>
              <w:tab w:pos="8930" w:val="right" w:leader="dot"/>
            </w:tabs>
            <w:spacing w:line="240" w:lineRule="auto" w:before="240" w:after="0"/>
            <w:ind w:left="991" w:right="0" w:hanging="669"/>
            <w:jc w:val="left"/>
          </w:pPr>
          <w:hyperlink w:history="true" w:anchor="_bookmark9">
            <w:r>
              <w:rPr/>
              <w:t>Directriz</w:t>
            </w:r>
            <w:r>
              <w:rPr>
                <w:spacing w:val="-4"/>
              </w:rPr>
              <w:t> </w:t>
            </w:r>
            <w:r>
              <w:rPr/>
              <w:t>de</w:t>
            </w:r>
            <w:r>
              <w:rPr>
                <w:spacing w:val="-1"/>
              </w:rPr>
              <w:t> </w:t>
            </w:r>
            <w:r>
              <w:rPr/>
              <w:t>eficacia</w:t>
              <w:tab/>
              <w:t>5</w:t>
            </w:r>
          </w:hyperlink>
        </w:p>
        <w:p>
          <w:pPr>
            <w:pStyle w:val="TOC4"/>
            <w:numPr>
              <w:ilvl w:val="2"/>
              <w:numId w:val="2"/>
            </w:numPr>
            <w:tabs>
              <w:tab w:pos="992" w:val="left" w:leader="none"/>
              <w:tab w:pos="8930" w:val="right" w:leader="dot"/>
            </w:tabs>
            <w:spacing w:line="240" w:lineRule="auto" w:before="242" w:after="0"/>
            <w:ind w:left="991" w:right="0" w:hanging="669"/>
            <w:jc w:val="left"/>
          </w:pPr>
          <w:hyperlink w:history="true" w:anchor="_bookmark10">
            <w:r>
              <w:rPr/>
              <w:t>Directriz</w:t>
            </w:r>
            <w:r>
              <w:rPr>
                <w:spacing w:val="-4"/>
              </w:rPr>
              <w:t> </w:t>
            </w:r>
            <w:r>
              <w:rPr/>
              <w:t>multidisciplinaria</w:t>
              <w:tab/>
              <w:t>5</w:t>
            </w:r>
          </w:hyperlink>
        </w:p>
        <w:p>
          <w:pPr>
            <w:pStyle w:val="TOC4"/>
            <w:numPr>
              <w:ilvl w:val="2"/>
              <w:numId w:val="2"/>
            </w:numPr>
            <w:tabs>
              <w:tab w:pos="992" w:val="left" w:leader="none"/>
              <w:tab w:pos="8930" w:val="right" w:leader="dot"/>
            </w:tabs>
            <w:spacing w:line="240" w:lineRule="auto" w:before="243" w:after="0"/>
            <w:ind w:left="991" w:right="0" w:hanging="669"/>
            <w:jc w:val="left"/>
          </w:pPr>
          <w:hyperlink w:history="true" w:anchor="_bookmark11">
            <w:r>
              <w:rPr/>
              <w:t>Directriz</w:t>
            </w:r>
            <w:r>
              <w:rPr>
                <w:spacing w:val="-4"/>
              </w:rPr>
              <w:t> </w:t>
            </w:r>
            <w:r>
              <w:rPr/>
              <w:t>de</w:t>
            </w:r>
            <w:r>
              <w:rPr>
                <w:spacing w:val="-1"/>
              </w:rPr>
              <w:t> </w:t>
            </w:r>
            <w:r>
              <w:rPr/>
              <w:t>calidad</w:t>
              <w:tab/>
              <w:t>5</w:t>
            </w:r>
          </w:hyperlink>
        </w:p>
        <w:p>
          <w:pPr>
            <w:pStyle w:val="TOC5"/>
            <w:numPr>
              <w:ilvl w:val="3"/>
              <w:numId w:val="2"/>
            </w:numPr>
            <w:tabs>
              <w:tab w:pos="1409" w:val="left" w:leader="none"/>
              <w:tab w:pos="8930" w:val="right" w:leader="dot"/>
            </w:tabs>
            <w:spacing w:line="240" w:lineRule="auto" w:before="202" w:after="0"/>
            <w:ind w:left="1408" w:right="0" w:hanging="867"/>
            <w:jc w:val="left"/>
          </w:pPr>
          <w:hyperlink w:history="true" w:anchor="_bookmark12">
            <w:r>
              <w:rPr/>
              <w:t>ICH Q2 Validación</w:t>
            </w:r>
            <w:r>
              <w:rPr>
                <w:spacing w:val="-3"/>
              </w:rPr>
              <w:t> </w:t>
            </w:r>
            <w:r>
              <w:rPr/>
              <w:t>analítica</w:t>
            </w:r>
            <w:r>
              <w:rPr>
                <w:spacing w:val="4"/>
              </w:rPr>
              <w:t> </w:t>
            </w:r>
            <w:r>
              <w:rPr>
                <w:position w:val="11"/>
                <w:sz w:val="16"/>
              </w:rPr>
              <w:t>10</w:t>
            </w:r>
            <w:r>
              <w:rPr/>
              <w:tab/>
              <w:t>6</w:t>
            </w:r>
          </w:hyperlink>
        </w:p>
        <w:p>
          <w:pPr>
            <w:pStyle w:val="TOC5"/>
            <w:numPr>
              <w:ilvl w:val="3"/>
              <w:numId w:val="2"/>
            </w:numPr>
            <w:tabs>
              <w:tab w:pos="1409" w:val="left" w:leader="none"/>
              <w:tab w:pos="8930" w:val="right" w:leader="dot"/>
            </w:tabs>
            <w:spacing w:line="240" w:lineRule="auto" w:before="106" w:after="0"/>
            <w:ind w:left="1408" w:right="0" w:hanging="867"/>
            <w:jc w:val="left"/>
          </w:pPr>
          <w:hyperlink w:history="true" w:anchor="_bookmark13">
            <w:r>
              <w:rPr/>
              <w:t>ICH Q8 Desarrollo</w:t>
            </w:r>
            <w:r>
              <w:rPr>
                <w:spacing w:val="-2"/>
              </w:rPr>
              <w:t> </w:t>
            </w:r>
            <w:r>
              <w:rPr/>
              <w:t>Farmacéutico</w:t>
            </w:r>
            <w:r>
              <w:rPr>
                <w:spacing w:val="4"/>
              </w:rPr>
              <w:t> </w:t>
            </w:r>
            <w:r>
              <w:rPr>
                <w:position w:val="11"/>
                <w:sz w:val="16"/>
              </w:rPr>
              <w:t>2</w:t>
            </w:r>
            <w:r>
              <w:rPr/>
              <w:tab/>
              <w:t>9</w:t>
            </w:r>
          </w:hyperlink>
        </w:p>
        <w:p>
          <w:pPr>
            <w:pStyle w:val="TOC5"/>
            <w:numPr>
              <w:ilvl w:val="3"/>
              <w:numId w:val="2"/>
            </w:numPr>
            <w:tabs>
              <w:tab w:pos="1409" w:val="left" w:leader="none"/>
              <w:tab w:pos="8933" w:val="right" w:leader="dot"/>
            </w:tabs>
            <w:spacing w:line="240" w:lineRule="auto" w:before="106" w:after="0"/>
            <w:ind w:left="1408" w:right="0" w:hanging="867"/>
            <w:jc w:val="left"/>
          </w:pPr>
          <w:hyperlink w:history="true" w:anchor="_bookmark14">
            <w:r>
              <w:rPr/>
              <w:t>ICH Q9 Manejo del riesgo de la</w:t>
            </w:r>
            <w:r>
              <w:rPr>
                <w:spacing w:val="-7"/>
              </w:rPr>
              <w:t> </w:t>
            </w:r>
            <w:r>
              <w:rPr/>
              <w:t>calidad</w:t>
            </w:r>
            <w:r>
              <w:rPr>
                <w:spacing w:val="5"/>
              </w:rPr>
              <w:t> </w:t>
            </w:r>
            <w:r>
              <w:rPr>
                <w:position w:val="11"/>
                <w:sz w:val="16"/>
              </w:rPr>
              <w:t>11</w:t>
            </w:r>
            <w:r>
              <w:rPr/>
              <w:tab/>
              <w:t>10</w:t>
            </w:r>
          </w:hyperlink>
        </w:p>
        <w:p>
          <w:pPr>
            <w:pStyle w:val="TOC5"/>
            <w:numPr>
              <w:ilvl w:val="3"/>
              <w:numId w:val="2"/>
            </w:numPr>
            <w:tabs>
              <w:tab w:pos="1409" w:val="left" w:leader="none"/>
              <w:tab w:pos="8933" w:val="right" w:leader="dot"/>
            </w:tabs>
            <w:spacing w:line="240" w:lineRule="auto" w:before="106" w:after="0"/>
            <w:ind w:left="1408" w:right="0" w:hanging="867"/>
            <w:jc w:val="left"/>
          </w:pPr>
          <w:hyperlink w:history="true" w:anchor="_bookmark15">
            <w:r>
              <w:rPr/>
              <w:t>ICH Q3</w:t>
            </w:r>
            <w:r>
              <w:rPr>
                <w:spacing w:val="-4"/>
              </w:rPr>
              <w:t> </w:t>
            </w:r>
            <w:r>
              <w:rPr/>
              <w:t>Impurezas</w:t>
            </w:r>
            <w:r>
              <w:rPr>
                <w:spacing w:val="2"/>
              </w:rPr>
              <w:t> </w:t>
            </w:r>
            <w:r>
              <w:rPr>
                <w:position w:val="11"/>
                <w:sz w:val="16"/>
              </w:rPr>
              <w:t>12</w:t>
            </w:r>
            <w:r>
              <w:rPr/>
              <w:tab/>
              <w:t>14</w:t>
            </w:r>
          </w:hyperlink>
        </w:p>
        <w:p>
          <w:pPr>
            <w:pStyle w:val="TOC1"/>
            <w:numPr>
              <w:ilvl w:val="0"/>
              <w:numId w:val="2"/>
            </w:numPr>
            <w:tabs>
              <w:tab w:pos="371" w:val="left" w:leader="none"/>
              <w:tab w:pos="8933" w:val="right" w:leader="dot"/>
            </w:tabs>
            <w:spacing w:line="240" w:lineRule="auto" w:before="144" w:after="0"/>
            <w:ind w:left="370" w:right="0" w:hanging="268"/>
            <w:jc w:val="left"/>
          </w:pPr>
          <w:hyperlink w:history="true" w:anchor="_bookmark16">
            <w:r>
              <w:rPr/>
              <w:t>PLANTEAMIENTO</w:t>
            </w:r>
            <w:r>
              <w:rPr>
                <w:spacing w:val="-3"/>
              </w:rPr>
              <w:t> </w:t>
            </w:r>
            <w:r>
              <w:rPr/>
              <w:t>DEL PROBLEMA</w:t>
              <w:tab/>
              <w:t>21</w:t>
            </w:r>
          </w:hyperlink>
        </w:p>
        <w:p>
          <w:pPr>
            <w:pStyle w:val="TOC1"/>
            <w:numPr>
              <w:ilvl w:val="0"/>
              <w:numId w:val="2"/>
            </w:numPr>
            <w:tabs>
              <w:tab w:pos="371" w:val="left" w:leader="none"/>
              <w:tab w:pos="8933" w:val="right" w:leader="dot"/>
            </w:tabs>
            <w:spacing w:line="240" w:lineRule="auto" w:before="240" w:after="0"/>
            <w:ind w:left="370" w:right="0" w:hanging="268"/>
            <w:jc w:val="left"/>
          </w:pPr>
          <w:hyperlink w:history="true" w:anchor="_bookmark17">
            <w:r>
              <w:rPr/>
              <w:t>OBJETIVO</w:t>
            </w:r>
            <w:r>
              <w:rPr>
                <w:spacing w:val="-3"/>
              </w:rPr>
              <w:t> </w:t>
            </w:r>
            <w:r>
              <w:rPr/>
              <w:t>GENERAL</w:t>
              <w:tab/>
              <w:t>22</w:t>
            </w:r>
          </w:hyperlink>
        </w:p>
        <w:p>
          <w:pPr>
            <w:pStyle w:val="TOC4"/>
            <w:numPr>
              <w:ilvl w:val="1"/>
              <w:numId w:val="2"/>
            </w:numPr>
            <w:tabs>
              <w:tab w:pos="791" w:val="left" w:leader="none"/>
              <w:tab w:pos="8932" w:val="right" w:leader="dot"/>
            </w:tabs>
            <w:spacing w:line="240" w:lineRule="auto" w:before="243" w:after="0"/>
            <w:ind w:left="790" w:right="0" w:hanging="468"/>
            <w:jc w:val="left"/>
          </w:pPr>
          <w:hyperlink w:history="true" w:anchor="_bookmark18">
            <w:r>
              <w:rPr/>
              <w:t>OBJETIVOS</w:t>
            </w:r>
            <w:r>
              <w:rPr>
                <w:spacing w:val="-2"/>
              </w:rPr>
              <w:t> </w:t>
            </w:r>
            <w:r>
              <w:rPr/>
              <w:t>ESPECÍFICOS</w:t>
              <w:tab/>
              <w:t>22</w:t>
            </w:r>
          </w:hyperlink>
        </w:p>
        <w:p>
          <w:pPr>
            <w:pStyle w:val="TOC1"/>
            <w:numPr>
              <w:ilvl w:val="0"/>
              <w:numId w:val="2"/>
            </w:numPr>
            <w:tabs>
              <w:tab w:pos="371" w:val="left" w:leader="none"/>
              <w:tab w:pos="8933" w:val="right" w:leader="dot"/>
            </w:tabs>
            <w:spacing w:line="240" w:lineRule="auto" w:before="242" w:after="0"/>
            <w:ind w:left="370" w:right="0" w:hanging="268"/>
            <w:jc w:val="left"/>
          </w:pPr>
          <w:hyperlink w:history="true" w:anchor="_bookmark19">
            <w:r>
              <w:rPr/>
              <w:t>METODOLOGÍA</w:t>
              <w:tab/>
              <w:t>23</w:t>
            </w:r>
          </w:hyperlink>
        </w:p>
        <w:p>
          <w:pPr>
            <w:pStyle w:val="TOC1"/>
            <w:numPr>
              <w:ilvl w:val="0"/>
              <w:numId w:val="2"/>
            </w:numPr>
            <w:tabs>
              <w:tab w:pos="371" w:val="left" w:leader="none"/>
              <w:tab w:pos="8933" w:val="right" w:leader="dot"/>
            </w:tabs>
            <w:spacing w:line="240" w:lineRule="auto" w:before="240" w:after="0"/>
            <w:ind w:left="370" w:right="0" w:hanging="268"/>
            <w:jc w:val="left"/>
          </w:pPr>
          <w:hyperlink w:history="true" w:anchor="_bookmark20">
            <w:r>
              <w:rPr/>
              <w:t>RESULTADOS Y</w:t>
            </w:r>
            <w:r>
              <w:rPr>
                <w:spacing w:val="-3"/>
              </w:rPr>
              <w:t> </w:t>
            </w:r>
            <w:r>
              <w:rPr/>
              <w:t>DISCUSIÓN</w:t>
              <w:tab/>
              <w:t>27</w:t>
            </w:r>
          </w:hyperlink>
        </w:p>
        <w:p>
          <w:pPr>
            <w:pStyle w:val="TOC4"/>
            <w:numPr>
              <w:ilvl w:val="1"/>
              <w:numId w:val="2"/>
            </w:numPr>
            <w:tabs>
              <w:tab w:pos="793" w:val="left" w:leader="none"/>
              <w:tab w:pos="8933" w:val="right" w:leader="dot"/>
            </w:tabs>
            <w:spacing w:line="240" w:lineRule="auto" w:before="242" w:after="0"/>
            <w:ind w:left="792" w:right="0" w:hanging="470"/>
            <w:jc w:val="left"/>
          </w:pPr>
          <w:hyperlink w:history="true" w:anchor="_bookmark21">
            <w:r>
              <w:rPr/>
              <w:t>Desarrollo de</w:t>
            </w:r>
            <w:r>
              <w:rPr>
                <w:spacing w:val="-3"/>
              </w:rPr>
              <w:t> </w:t>
            </w:r>
            <w:r>
              <w:rPr/>
              <w:t>métodos</w:t>
            </w:r>
            <w:r>
              <w:rPr>
                <w:spacing w:val="-3"/>
              </w:rPr>
              <w:t> </w:t>
            </w:r>
            <w:r>
              <w:rPr/>
              <w:t>analíticos</w:t>
              <w:tab/>
              <w:t>27</w:t>
            </w:r>
          </w:hyperlink>
        </w:p>
        <w:p>
          <w:pPr>
            <w:pStyle w:val="TOC4"/>
            <w:numPr>
              <w:ilvl w:val="1"/>
              <w:numId w:val="3"/>
            </w:numPr>
            <w:tabs>
              <w:tab w:pos="724" w:val="left" w:leader="none"/>
              <w:tab w:pos="8933" w:val="right" w:leader="dot"/>
            </w:tabs>
            <w:spacing w:line="240" w:lineRule="auto" w:before="205" w:after="0"/>
            <w:ind w:left="322" w:right="0" w:firstLine="0"/>
            <w:jc w:val="left"/>
          </w:pPr>
          <w:hyperlink w:history="true" w:anchor="_bookmark22">
            <w:r>
              <w:rPr/>
              <w:t>Toxicidad de las impurezas</w:t>
            </w:r>
            <w:r>
              <w:rPr>
                <w:spacing w:val="-3"/>
              </w:rPr>
              <w:t> </w:t>
            </w:r>
            <w:r>
              <w:rPr/>
              <w:t>elementales</w:t>
            </w:r>
            <w:r>
              <w:rPr>
                <w:spacing w:val="4"/>
              </w:rPr>
              <w:t> </w:t>
            </w:r>
            <w:r>
              <w:rPr>
                <w:spacing w:val="-3"/>
                <w:position w:val="11"/>
                <w:sz w:val="16"/>
              </w:rPr>
              <w:t>12</w:t>
            </w:r>
            <w:r>
              <w:rPr>
                <w:spacing w:val="-3"/>
              </w:rPr>
              <w:tab/>
            </w:r>
            <w:r>
              <w:rPr/>
              <w:t>29</w:t>
            </w:r>
          </w:hyperlink>
        </w:p>
        <w:p>
          <w:pPr>
            <w:pStyle w:val="TOC4"/>
            <w:numPr>
              <w:ilvl w:val="1"/>
              <w:numId w:val="3"/>
            </w:numPr>
            <w:tabs>
              <w:tab w:pos="726" w:val="left" w:leader="none"/>
              <w:tab w:pos="8933" w:val="right" w:leader="dot"/>
            </w:tabs>
            <w:spacing w:line="240" w:lineRule="auto" w:before="54" w:after="0"/>
            <w:ind w:left="725" w:right="0" w:hanging="403"/>
            <w:jc w:val="left"/>
          </w:pPr>
          <w:hyperlink w:history="true" w:anchor="_bookmark23">
            <w:r>
              <w:rPr/>
              <w:t>Resultados de la validación de los</w:t>
            </w:r>
            <w:r>
              <w:rPr>
                <w:spacing w:val="-4"/>
              </w:rPr>
              <w:t> </w:t>
            </w:r>
            <w:r>
              <w:rPr/>
              <w:t>métodos</w:t>
            </w:r>
            <w:r>
              <w:rPr>
                <w:spacing w:val="-1"/>
              </w:rPr>
              <w:t> </w:t>
            </w:r>
            <w:r>
              <w:rPr/>
              <w:t>analíticos</w:t>
              <w:tab/>
              <w:t>31</w:t>
            </w:r>
          </w:hyperlink>
        </w:p>
        <w:p>
          <w:pPr>
            <w:pStyle w:val="TOC4"/>
            <w:numPr>
              <w:ilvl w:val="1"/>
              <w:numId w:val="3"/>
            </w:numPr>
            <w:tabs>
              <w:tab w:pos="726" w:val="left" w:leader="none"/>
              <w:tab w:pos="8933" w:val="right" w:leader="dot"/>
            </w:tabs>
            <w:spacing w:line="276" w:lineRule="auto" w:before="243" w:after="0"/>
            <w:ind w:left="322" w:right="124" w:firstLine="0"/>
            <w:jc w:val="left"/>
          </w:pPr>
          <w:hyperlink w:history="true" w:anchor="_bookmark24">
            <w:r>
              <w:rPr/>
              <w:t>Resultados de la identificación de las posibles fuentes de impurezas</w:t>
            </w:r>
          </w:hyperlink>
          <w:r>
            <w:rPr/>
            <w:t> </w:t>
          </w:r>
          <w:hyperlink w:history="true" w:anchor="_bookmark24">
            <w:r>
              <w:rPr/>
              <w:t>elementales en el proceso de fabricación de un API para asegurar que el</w:t>
            </w:r>
          </w:hyperlink>
          <w:r>
            <w:rPr/>
            <w:t> </w:t>
          </w:r>
          <w:hyperlink w:history="true" w:anchor="_bookmark24">
            <w:r>
              <w:rPr/>
              <w:t>producto cumpla con el</w:t>
            </w:r>
            <w:r>
              <w:rPr>
                <w:spacing w:val="-2"/>
              </w:rPr>
              <w:t> </w:t>
            </w:r>
            <w:r>
              <w:rPr/>
              <w:t>requerimiento</w:t>
            </w:r>
            <w:r>
              <w:rPr>
                <w:spacing w:val="-1"/>
              </w:rPr>
              <w:t> </w:t>
            </w:r>
            <w:r>
              <w:rPr/>
              <w:t>regulatorio</w:t>
              <w:tab/>
              <w:t>35</w:t>
            </w:r>
          </w:hyperlink>
        </w:p>
        <w:p>
          <w:pPr>
            <w:pStyle w:val="TOC1"/>
            <w:numPr>
              <w:ilvl w:val="0"/>
              <w:numId w:val="2"/>
            </w:numPr>
            <w:tabs>
              <w:tab w:pos="371" w:val="left" w:leader="none"/>
              <w:tab w:pos="8933" w:val="right" w:leader="dot"/>
            </w:tabs>
            <w:spacing w:line="240" w:lineRule="auto" w:before="202" w:after="0"/>
            <w:ind w:left="370" w:right="0" w:hanging="268"/>
            <w:jc w:val="left"/>
          </w:pPr>
          <w:hyperlink w:history="true" w:anchor="_bookmark25">
            <w:r>
              <w:rPr/>
              <w:t>CONCLUSIONES</w:t>
              <w:tab/>
              <w:t>38</w:t>
            </w:r>
          </w:hyperlink>
        </w:p>
        <w:p>
          <w:pPr>
            <w:pStyle w:val="TOC1"/>
            <w:numPr>
              <w:ilvl w:val="0"/>
              <w:numId w:val="2"/>
            </w:numPr>
            <w:tabs>
              <w:tab w:pos="371" w:val="left" w:leader="none"/>
              <w:tab w:pos="8933" w:val="right" w:leader="dot"/>
            </w:tabs>
            <w:spacing w:line="240" w:lineRule="auto" w:before="242" w:after="0"/>
            <w:ind w:left="370" w:right="0" w:hanging="268"/>
            <w:jc w:val="left"/>
          </w:pPr>
          <w:hyperlink w:history="true" w:anchor="_bookmark26">
            <w:r>
              <w:rPr/>
              <w:t>REFERENCIAS</w:t>
              <w:tab/>
              <w:t>39</w:t>
            </w:r>
          </w:hyperlink>
        </w:p>
        <w:p>
          <w:pPr>
            <w:pStyle w:val="TOC1"/>
            <w:tabs>
              <w:tab w:pos="8933" w:val="right" w:leader="dot"/>
            </w:tabs>
            <w:spacing w:before="240"/>
          </w:pPr>
          <w:hyperlink w:history="true" w:anchor="_bookmark27">
            <w:r>
              <w:rPr/>
              <w:t>ANEXO A.-</w:t>
            </w:r>
            <w:r>
              <w:rPr>
                <w:spacing w:val="-2"/>
              </w:rPr>
              <w:t> </w:t>
            </w:r>
            <w:r>
              <w:rPr/>
              <w:t>MARCO</w:t>
            </w:r>
            <w:r>
              <w:rPr>
                <w:spacing w:val="-1"/>
              </w:rPr>
              <w:t> </w:t>
            </w:r>
            <w:r>
              <w:rPr/>
              <w:t>JURÍDICO</w:t>
              <w:tab/>
              <w:t>43</w:t>
            </w:r>
          </w:hyperlink>
        </w:p>
        <w:p>
          <w:pPr>
            <w:pStyle w:val="TOC1"/>
          </w:pPr>
          <w:hyperlink w:history="true" w:anchor="_bookmark28">
            <w:r>
              <w:rPr/>
              <w:t>ANEXO B. REPORTE DE VALIDACIÓN IMPUREZAS ELEMENTALES CLASE 1</w:t>
            </w:r>
          </w:hyperlink>
        </w:p>
        <w:p>
          <w:pPr>
            <w:pStyle w:val="TOC3"/>
          </w:pPr>
          <w:hyperlink w:history="true" w:anchor="_bookmark28">
            <w:r>
              <w:rPr/>
              <w:t>.............................................................................................................................. 51</w:t>
            </w:r>
          </w:hyperlink>
        </w:p>
        <w:p>
          <w:pPr>
            <w:pStyle w:val="TOC1"/>
            <w:tabs>
              <w:tab w:pos="8933" w:val="right" w:leader="dot"/>
            </w:tabs>
            <w:spacing w:line="276" w:lineRule="auto"/>
            <w:ind w:right="124"/>
          </w:pPr>
          <w:hyperlink w:history="true" w:anchor="_bookmark29">
            <w:r>
              <w:rPr/>
              <w:t>ANEXO C. REPORTE DE VALIDACIÓN PARA LA DETERMINACIÓN DE</w:t>
            </w:r>
          </w:hyperlink>
          <w:r>
            <w:rPr/>
            <w:t> </w:t>
          </w:r>
          <w:hyperlink w:history="true" w:anchor="_bookmark29">
            <w:r>
              <w:rPr/>
              <w:t>IMPUREZAS ELEMENTALES CLASE 2A</w:t>
            </w:r>
            <w:r>
              <w:rPr>
                <w:spacing w:val="-4"/>
              </w:rPr>
              <w:t> </w:t>
            </w:r>
            <w:r>
              <w:rPr/>
              <w:t>POR</w:t>
            </w:r>
            <w:r>
              <w:rPr>
                <w:spacing w:val="-1"/>
              </w:rPr>
              <w:t> </w:t>
            </w:r>
            <w:r>
              <w:rPr/>
              <w:t>ICP-MS</w:t>
              <w:tab/>
              <w:t>65</w:t>
            </w:r>
          </w:hyperlink>
        </w:p>
        <w:p>
          <w:pPr>
            <w:pStyle w:val="TOC1"/>
            <w:tabs>
              <w:tab w:pos="8933" w:val="right" w:leader="dot"/>
            </w:tabs>
            <w:spacing w:line="278" w:lineRule="auto" w:before="200"/>
            <w:ind w:right="124"/>
          </w:pPr>
          <w:hyperlink w:history="true" w:anchor="_bookmark30">
            <w:r>
              <w:rPr/>
              <w:t>ANEXO D. REPORTE DE VALIDACIÓN PARA LA DETERMINACIÓN DE</w:t>
            </w:r>
          </w:hyperlink>
          <w:r>
            <w:rPr/>
            <w:t> </w:t>
          </w:r>
          <w:hyperlink w:history="true" w:anchor="_bookmark30">
            <w:r>
              <w:rPr/>
              <w:t>PALADIO</w:t>
            </w:r>
            <w:r>
              <w:rPr>
                <w:spacing w:val="-3"/>
              </w:rPr>
              <w:t> </w:t>
            </w:r>
            <w:r>
              <w:rPr/>
              <w:t>POR</w:t>
            </w:r>
            <w:r>
              <w:rPr>
                <w:spacing w:val="-1"/>
              </w:rPr>
              <w:t> </w:t>
            </w:r>
            <w:r>
              <w:rPr/>
              <w:t>ICP-MS</w:t>
              <w:tab/>
              <w:t>78</w:t>
            </w:r>
          </w:hyperlink>
        </w:p>
        <w:p>
          <w:pPr>
            <w:pStyle w:val="TOC1"/>
            <w:tabs>
              <w:tab w:pos="8933" w:val="right" w:leader="dot"/>
            </w:tabs>
            <w:spacing w:before="162"/>
          </w:pPr>
          <w:hyperlink w:history="true" w:anchor="_bookmark31">
            <w:r>
              <w:rPr/>
              <w:t>ANEXO E.</w:t>
            </w:r>
            <w:r>
              <w:rPr>
                <w:spacing w:val="-3"/>
              </w:rPr>
              <w:t> </w:t>
            </w:r>
            <w:r>
              <w:rPr/>
              <w:t>TOXICOLOGÍA</w:t>
            </w:r>
            <w:r>
              <w:rPr>
                <w:spacing w:val="2"/>
              </w:rPr>
              <w:t> </w:t>
            </w:r>
            <w:r>
              <w:rPr>
                <w:position w:val="11"/>
                <w:sz w:val="16"/>
              </w:rPr>
              <w:t>12</w:t>
            </w:r>
            <w:r>
              <w:rPr/>
              <w:tab/>
              <w:t>88</w:t>
            </w:r>
          </w:hyperlink>
        </w:p>
        <w:p>
          <w:pPr>
            <w:pStyle w:val="TOC2"/>
            <w:tabs>
              <w:tab w:pos="8933" w:val="right" w:leader="dot"/>
            </w:tabs>
            <w:rPr>
              <w:b w:val="0"/>
              <w:i w:val="0"/>
              <w:sz w:val="24"/>
            </w:rPr>
          </w:pPr>
          <w:hyperlink w:history="true" w:anchor="_bookmark32">
            <w:r>
              <w:rPr>
                <w:b w:val="0"/>
                <w:i w:val="0"/>
                <w:sz w:val="24"/>
              </w:rPr>
              <w:t>ANEXO F.- TÉCNICA ANALÍTICA ICP-MS </w:t>
            </w:r>
            <w:r>
              <w:rPr>
                <w:b w:val="0"/>
                <w:i w:val="0"/>
                <w:position w:val="11"/>
                <w:sz w:val="16"/>
              </w:rPr>
              <w:t>20, 21,</w:t>
            </w:r>
            <w:r>
              <w:rPr>
                <w:b w:val="0"/>
                <w:i w:val="0"/>
                <w:spacing w:val="-6"/>
                <w:position w:val="11"/>
                <w:sz w:val="16"/>
              </w:rPr>
              <w:t> </w:t>
            </w:r>
            <w:r>
              <w:rPr>
                <w:b w:val="0"/>
                <w:i w:val="0"/>
                <w:position w:val="11"/>
                <w:sz w:val="16"/>
              </w:rPr>
              <w:t>22, 23</w:t>
            </w:r>
            <w:r>
              <w:rPr>
                <w:b w:val="0"/>
                <w:i w:val="0"/>
                <w:sz w:val="24"/>
              </w:rPr>
              <w:tab/>
              <w:t>103</w:t>
            </w:r>
          </w:hyperlink>
        </w:p>
      </w:sdtContent>
    </w:sdt>
    <w:p>
      <w:pPr>
        <w:spacing w:after="0"/>
        <w:rPr>
          <w:sz w:val="24"/>
        </w:rPr>
        <w:sectPr>
          <w:type w:val="continuous"/>
          <w:pgSz w:w="12240" w:h="15840"/>
          <w:pgMar w:top="1360" w:bottom="1897" w:left="1600" w:right="1580"/>
        </w:sectPr>
      </w:pPr>
    </w:p>
    <w:p>
      <w:pPr>
        <w:pStyle w:val="Heading1"/>
        <w:spacing w:before="54"/>
        <w:ind w:left="382"/>
        <w:jc w:val="left"/>
      </w:pPr>
      <w:bookmarkStart w:name="_bookmark2" w:id="3"/>
      <w:bookmarkEnd w:id="3"/>
      <w:r>
        <w:rPr>
          <w:b w:val="0"/>
        </w:rPr>
      </w:r>
      <w:r>
        <w:rPr/>
        <w:t>LISTADO DE TABLAS</w:t>
      </w:r>
    </w:p>
    <w:p>
      <w:pPr>
        <w:pStyle w:val="BodyText"/>
        <w:spacing w:before="7"/>
        <w:rPr>
          <w:b/>
          <w:sz w:val="29"/>
        </w:rPr>
      </w:pPr>
    </w:p>
    <w:tbl>
      <w:tblPr>
        <w:tblW w:w="0" w:type="auto"/>
        <w:jc w:val="left"/>
        <w:tblInd w:w="110"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736"/>
        <w:gridCol w:w="6601"/>
        <w:gridCol w:w="992"/>
      </w:tblGrid>
      <w:tr>
        <w:trPr>
          <w:trHeight w:val="431" w:hRule="exact"/>
        </w:trPr>
        <w:tc>
          <w:tcPr>
            <w:tcW w:w="1736" w:type="dxa"/>
          </w:tcPr>
          <w:p>
            <w:pPr/>
          </w:p>
        </w:tc>
        <w:tc>
          <w:tcPr>
            <w:tcW w:w="6601" w:type="dxa"/>
          </w:tcPr>
          <w:p>
            <w:pPr/>
          </w:p>
        </w:tc>
        <w:tc>
          <w:tcPr>
            <w:tcW w:w="992" w:type="dxa"/>
          </w:tcPr>
          <w:p>
            <w:pPr>
              <w:pStyle w:val="TableParagraph"/>
              <w:spacing w:line="245" w:lineRule="exact"/>
              <w:ind w:right="194"/>
              <w:rPr>
                <w:b/>
                <w:sz w:val="24"/>
              </w:rPr>
            </w:pPr>
            <w:r>
              <w:rPr>
                <w:b/>
                <w:sz w:val="24"/>
              </w:rPr>
              <w:t>Página</w:t>
            </w:r>
          </w:p>
        </w:tc>
      </w:tr>
      <w:tr>
        <w:trPr>
          <w:trHeight w:val="517" w:hRule="exact"/>
        </w:trPr>
        <w:tc>
          <w:tcPr>
            <w:tcW w:w="1736" w:type="dxa"/>
          </w:tcPr>
          <w:p>
            <w:pPr>
              <w:pStyle w:val="TableParagraph"/>
              <w:spacing w:before="160"/>
              <w:ind w:left="200"/>
              <w:jc w:val="left"/>
              <w:rPr>
                <w:sz w:val="24"/>
              </w:rPr>
            </w:pPr>
            <w:r>
              <w:rPr>
                <w:sz w:val="24"/>
              </w:rPr>
              <w:t>Tabla 2.1</w:t>
            </w:r>
          </w:p>
        </w:tc>
        <w:tc>
          <w:tcPr>
            <w:tcW w:w="6601" w:type="dxa"/>
          </w:tcPr>
          <w:p>
            <w:pPr>
              <w:pStyle w:val="TableParagraph"/>
              <w:spacing w:before="160"/>
              <w:ind w:left="308" w:right="242"/>
              <w:jc w:val="left"/>
              <w:rPr>
                <w:sz w:val="24"/>
              </w:rPr>
            </w:pPr>
            <w:r>
              <w:rPr>
                <w:sz w:val="24"/>
              </w:rPr>
              <w:t>Directrices de calidad</w:t>
            </w:r>
          </w:p>
        </w:tc>
        <w:tc>
          <w:tcPr>
            <w:tcW w:w="992" w:type="dxa"/>
          </w:tcPr>
          <w:p>
            <w:pPr>
              <w:pStyle w:val="TableParagraph"/>
              <w:spacing w:before="160"/>
              <w:ind w:right="196"/>
              <w:rPr>
                <w:sz w:val="24"/>
              </w:rPr>
            </w:pPr>
            <w:r>
              <w:rPr>
                <w:w w:val="99"/>
                <w:sz w:val="24"/>
              </w:rPr>
              <w:t>6</w:t>
            </w:r>
          </w:p>
        </w:tc>
      </w:tr>
      <w:tr>
        <w:trPr>
          <w:trHeight w:val="414" w:hRule="exact"/>
        </w:trPr>
        <w:tc>
          <w:tcPr>
            <w:tcW w:w="1736" w:type="dxa"/>
          </w:tcPr>
          <w:p>
            <w:pPr>
              <w:pStyle w:val="TableParagraph"/>
              <w:spacing w:before="55"/>
              <w:ind w:left="200"/>
              <w:jc w:val="left"/>
              <w:rPr>
                <w:sz w:val="24"/>
              </w:rPr>
            </w:pPr>
            <w:r>
              <w:rPr>
                <w:sz w:val="24"/>
              </w:rPr>
              <w:t>Tabla 2.2</w:t>
            </w:r>
          </w:p>
        </w:tc>
        <w:tc>
          <w:tcPr>
            <w:tcW w:w="6601" w:type="dxa"/>
          </w:tcPr>
          <w:p>
            <w:pPr>
              <w:pStyle w:val="TableParagraph"/>
              <w:spacing w:before="55"/>
              <w:ind w:left="308" w:right="242"/>
              <w:jc w:val="left"/>
              <w:rPr>
                <w:sz w:val="24"/>
              </w:rPr>
            </w:pPr>
            <w:r>
              <w:rPr>
                <w:sz w:val="24"/>
              </w:rPr>
              <w:t>Exposición diaria máxima permisible en µg/día</w:t>
            </w:r>
          </w:p>
        </w:tc>
        <w:tc>
          <w:tcPr>
            <w:tcW w:w="992" w:type="dxa"/>
          </w:tcPr>
          <w:p>
            <w:pPr>
              <w:pStyle w:val="TableParagraph"/>
              <w:spacing w:before="55"/>
              <w:ind w:right="195"/>
              <w:rPr>
                <w:sz w:val="24"/>
              </w:rPr>
            </w:pPr>
            <w:r>
              <w:rPr>
                <w:sz w:val="24"/>
              </w:rPr>
              <w:t>17</w:t>
            </w:r>
          </w:p>
        </w:tc>
      </w:tr>
      <w:tr>
        <w:trPr>
          <w:trHeight w:val="414" w:hRule="exact"/>
        </w:trPr>
        <w:tc>
          <w:tcPr>
            <w:tcW w:w="1736" w:type="dxa"/>
          </w:tcPr>
          <w:p>
            <w:pPr>
              <w:pStyle w:val="TableParagraph"/>
              <w:spacing w:before="57"/>
              <w:ind w:left="200"/>
              <w:jc w:val="left"/>
              <w:rPr>
                <w:sz w:val="24"/>
              </w:rPr>
            </w:pPr>
            <w:r>
              <w:rPr>
                <w:sz w:val="24"/>
              </w:rPr>
              <w:t>Tabla 2.3</w:t>
            </w:r>
          </w:p>
        </w:tc>
        <w:tc>
          <w:tcPr>
            <w:tcW w:w="6601" w:type="dxa"/>
          </w:tcPr>
          <w:p>
            <w:pPr>
              <w:pStyle w:val="TableParagraph"/>
              <w:spacing w:before="57"/>
              <w:ind w:left="308" w:right="242"/>
              <w:jc w:val="left"/>
              <w:rPr>
                <w:sz w:val="24"/>
              </w:rPr>
            </w:pPr>
            <w:r>
              <w:rPr>
                <w:sz w:val="24"/>
              </w:rPr>
              <w:t>Exposición diaria máxima permisible en ppm (µg/g)</w:t>
            </w:r>
          </w:p>
        </w:tc>
        <w:tc>
          <w:tcPr>
            <w:tcW w:w="992" w:type="dxa"/>
          </w:tcPr>
          <w:p>
            <w:pPr>
              <w:pStyle w:val="TableParagraph"/>
              <w:spacing w:before="57"/>
              <w:ind w:right="195"/>
              <w:rPr>
                <w:sz w:val="24"/>
              </w:rPr>
            </w:pPr>
            <w:r>
              <w:rPr>
                <w:sz w:val="24"/>
              </w:rPr>
              <w:t>18</w:t>
            </w:r>
          </w:p>
        </w:tc>
      </w:tr>
      <w:tr>
        <w:trPr>
          <w:trHeight w:val="414" w:hRule="exact"/>
        </w:trPr>
        <w:tc>
          <w:tcPr>
            <w:tcW w:w="1736" w:type="dxa"/>
          </w:tcPr>
          <w:p>
            <w:pPr>
              <w:pStyle w:val="TableParagraph"/>
              <w:spacing w:before="55"/>
              <w:ind w:left="200"/>
              <w:jc w:val="left"/>
              <w:rPr>
                <w:sz w:val="24"/>
              </w:rPr>
            </w:pPr>
            <w:r>
              <w:rPr>
                <w:sz w:val="24"/>
              </w:rPr>
              <w:t>Tabla 5.1</w:t>
            </w:r>
          </w:p>
        </w:tc>
        <w:tc>
          <w:tcPr>
            <w:tcW w:w="6601" w:type="dxa"/>
          </w:tcPr>
          <w:p>
            <w:pPr>
              <w:pStyle w:val="TableParagraph"/>
              <w:spacing w:before="55"/>
              <w:ind w:left="308" w:right="242"/>
              <w:jc w:val="left"/>
              <w:rPr>
                <w:sz w:val="24"/>
              </w:rPr>
            </w:pPr>
            <w:r>
              <w:rPr>
                <w:sz w:val="24"/>
              </w:rPr>
              <w:t>Especificación vigente para las impurezas elementales</w:t>
            </w:r>
          </w:p>
        </w:tc>
        <w:tc>
          <w:tcPr>
            <w:tcW w:w="992" w:type="dxa"/>
          </w:tcPr>
          <w:p>
            <w:pPr>
              <w:pStyle w:val="TableParagraph"/>
              <w:spacing w:before="55"/>
              <w:ind w:right="195"/>
              <w:rPr>
                <w:sz w:val="24"/>
              </w:rPr>
            </w:pPr>
            <w:r>
              <w:rPr>
                <w:sz w:val="24"/>
              </w:rPr>
              <w:t>23</w:t>
            </w:r>
          </w:p>
        </w:tc>
      </w:tr>
      <w:tr>
        <w:trPr>
          <w:trHeight w:val="311" w:hRule="exact"/>
        </w:trPr>
        <w:tc>
          <w:tcPr>
            <w:tcW w:w="1736" w:type="dxa"/>
          </w:tcPr>
          <w:p>
            <w:pPr>
              <w:pStyle w:val="TableParagraph"/>
              <w:spacing w:before="57"/>
              <w:ind w:left="200"/>
              <w:jc w:val="left"/>
              <w:rPr>
                <w:sz w:val="24"/>
              </w:rPr>
            </w:pPr>
            <w:r>
              <w:rPr>
                <w:sz w:val="24"/>
              </w:rPr>
              <w:t>Tabla 5.2</w:t>
            </w:r>
          </w:p>
        </w:tc>
        <w:tc>
          <w:tcPr>
            <w:tcW w:w="6601" w:type="dxa"/>
            <w:vMerge w:val="restart"/>
          </w:tcPr>
          <w:p>
            <w:pPr>
              <w:pStyle w:val="TableParagraph"/>
              <w:spacing w:line="360" w:lineRule="auto" w:before="57"/>
              <w:ind w:left="308" w:right="562"/>
              <w:jc w:val="left"/>
              <w:rPr>
                <w:sz w:val="24"/>
              </w:rPr>
            </w:pPr>
            <w:r>
              <w:rPr>
                <w:sz w:val="24"/>
              </w:rPr>
              <w:t>Criterios de aceptación para la validación de métodos analíticos utilizados en la empresa farmoquímica</w:t>
            </w:r>
          </w:p>
        </w:tc>
        <w:tc>
          <w:tcPr>
            <w:tcW w:w="992" w:type="dxa"/>
          </w:tcPr>
          <w:p>
            <w:pPr/>
          </w:p>
        </w:tc>
      </w:tr>
      <w:tr>
        <w:trPr>
          <w:trHeight w:val="518" w:hRule="exact"/>
        </w:trPr>
        <w:tc>
          <w:tcPr>
            <w:tcW w:w="1736" w:type="dxa"/>
          </w:tcPr>
          <w:p>
            <w:pPr/>
          </w:p>
        </w:tc>
        <w:tc>
          <w:tcPr>
            <w:tcW w:w="6601" w:type="dxa"/>
            <w:vMerge/>
          </w:tcPr>
          <w:p>
            <w:pPr/>
          </w:p>
        </w:tc>
        <w:tc>
          <w:tcPr>
            <w:tcW w:w="992" w:type="dxa"/>
          </w:tcPr>
          <w:p>
            <w:pPr>
              <w:pStyle w:val="TableParagraph"/>
              <w:spacing w:line="229" w:lineRule="exact"/>
              <w:ind w:right="195"/>
              <w:rPr>
                <w:sz w:val="24"/>
              </w:rPr>
            </w:pPr>
            <w:r>
              <w:rPr>
                <w:sz w:val="24"/>
              </w:rPr>
              <w:t>25</w:t>
            </w:r>
          </w:p>
        </w:tc>
      </w:tr>
      <w:tr>
        <w:trPr>
          <w:trHeight w:val="311" w:hRule="exact"/>
        </w:trPr>
        <w:tc>
          <w:tcPr>
            <w:tcW w:w="1736" w:type="dxa"/>
          </w:tcPr>
          <w:p>
            <w:pPr>
              <w:pStyle w:val="TableParagraph"/>
              <w:spacing w:before="57"/>
              <w:ind w:left="200"/>
              <w:jc w:val="left"/>
              <w:rPr>
                <w:sz w:val="24"/>
              </w:rPr>
            </w:pPr>
            <w:r>
              <w:rPr>
                <w:sz w:val="24"/>
              </w:rPr>
              <w:t>Tabla 5.3</w:t>
            </w:r>
          </w:p>
        </w:tc>
        <w:tc>
          <w:tcPr>
            <w:tcW w:w="6601" w:type="dxa"/>
            <w:vMerge w:val="restart"/>
          </w:tcPr>
          <w:p>
            <w:pPr>
              <w:pStyle w:val="TableParagraph"/>
              <w:spacing w:line="360" w:lineRule="auto" w:before="57"/>
              <w:ind w:left="308" w:right="603"/>
              <w:jc w:val="left"/>
              <w:rPr>
                <w:sz w:val="24"/>
              </w:rPr>
            </w:pPr>
            <w:r>
              <w:rPr>
                <w:sz w:val="24"/>
              </w:rPr>
              <w:t>Criterios para la validación de métodos conforme a la USP para procedimientos cuantitativos</w:t>
            </w:r>
          </w:p>
        </w:tc>
        <w:tc>
          <w:tcPr>
            <w:tcW w:w="992" w:type="dxa"/>
          </w:tcPr>
          <w:p>
            <w:pPr/>
          </w:p>
        </w:tc>
      </w:tr>
      <w:tr>
        <w:trPr>
          <w:trHeight w:val="517" w:hRule="exact"/>
        </w:trPr>
        <w:tc>
          <w:tcPr>
            <w:tcW w:w="1736" w:type="dxa"/>
          </w:tcPr>
          <w:p>
            <w:pPr/>
          </w:p>
        </w:tc>
        <w:tc>
          <w:tcPr>
            <w:tcW w:w="6601" w:type="dxa"/>
            <w:vMerge/>
          </w:tcPr>
          <w:p>
            <w:pPr/>
          </w:p>
        </w:tc>
        <w:tc>
          <w:tcPr>
            <w:tcW w:w="992" w:type="dxa"/>
          </w:tcPr>
          <w:p>
            <w:pPr>
              <w:pStyle w:val="TableParagraph"/>
              <w:spacing w:line="229" w:lineRule="exact"/>
              <w:ind w:right="195"/>
              <w:rPr>
                <w:sz w:val="24"/>
              </w:rPr>
            </w:pPr>
            <w:r>
              <w:rPr>
                <w:sz w:val="24"/>
              </w:rPr>
              <w:t>25</w:t>
            </w:r>
          </w:p>
        </w:tc>
      </w:tr>
      <w:tr>
        <w:trPr>
          <w:trHeight w:val="311" w:hRule="exact"/>
        </w:trPr>
        <w:tc>
          <w:tcPr>
            <w:tcW w:w="1736" w:type="dxa"/>
          </w:tcPr>
          <w:p>
            <w:pPr>
              <w:pStyle w:val="TableParagraph"/>
              <w:spacing w:before="57"/>
              <w:ind w:left="200"/>
              <w:jc w:val="left"/>
              <w:rPr>
                <w:sz w:val="24"/>
              </w:rPr>
            </w:pPr>
            <w:r>
              <w:rPr>
                <w:sz w:val="24"/>
              </w:rPr>
              <w:t>Tabla 5.4</w:t>
            </w:r>
          </w:p>
        </w:tc>
        <w:tc>
          <w:tcPr>
            <w:tcW w:w="6601" w:type="dxa"/>
            <w:vMerge w:val="restart"/>
          </w:tcPr>
          <w:p>
            <w:pPr>
              <w:pStyle w:val="TableParagraph"/>
              <w:spacing w:line="360" w:lineRule="auto" w:before="57"/>
              <w:ind w:left="308" w:right="816"/>
              <w:jc w:val="left"/>
              <w:rPr>
                <w:sz w:val="24"/>
              </w:rPr>
            </w:pPr>
            <w:r>
              <w:rPr>
                <w:sz w:val="24"/>
              </w:rPr>
              <w:t>Resultados iniciales obtenidos del monitoreo de las diferentes impurezas elementales</w:t>
            </w:r>
          </w:p>
        </w:tc>
        <w:tc>
          <w:tcPr>
            <w:tcW w:w="992" w:type="dxa"/>
          </w:tcPr>
          <w:p>
            <w:pPr/>
          </w:p>
        </w:tc>
      </w:tr>
      <w:tr>
        <w:trPr>
          <w:trHeight w:val="516" w:hRule="exact"/>
        </w:trPr>
        <w:tc>
          <w:tcPr>
            <w:tcW w:w="1736" w:type="dxa"/>
          </w:tcPr>
          <w:p>
            <w:pPr/>
          </w:p>
        </w:tc>
        <w:tc>
          <w:tcPr>
            <w:tcW w:w="6601" w:type="dxa"/>
            <w:vMerge/>
          </w:tcPr>
          <w:p>
            <w:pPr/>
          </w:p>
        </w:tc>
        <w:tc>
          <w:tcPr>
            <w:tcW w:w="992" w:type="dxa"/>
          </w:tcPr>
          <w:p>
            <w:pPr>
              <w:pStyle w:val="TableParagraph"/>
              <w:spacing w:line="229" w:lineRule="exact"/>
              <w:ind w:right="195"/>
              <w:rPr>
                <w:sz w:val="24"/>
              </w:rPr>
            </w:pPr>
            <w:r>
              <w:rPr>
                <w:sz w:val="24"/>
              </w:rPr>
              <w:t>26</w:t>
            </w:r>
          </w:p>
        </w:tc>
      </w:tr>
      <w:tr>
        <w:trPr>
          <w:trHeight w:val="311" w:hRule="exact"/>
        </w:trPr>
        <w:tc>
          <w:tcPr>
            <w:tcW w:w="1736" w:type="dxa"/>
          </w:tcPr>
          <w:p>
            <w:pPr>
              <w:pStyle w:val="TableParagraph"/>
              <w:spacing w:before="55"/>
              <w:ind w:left="200"/>
              <w:jc w:val="left"/>
              <w:rPr>
                <w:sz w:val="24"/>
              </w:rPr>
            </w:pPr>
            <w:r>
              <w:rPr>
                <w:sz w:val="24"/>
              </w:rPr>
              <w:t>Tabla 6.1</w:t>
            </w:r>
          </w:p>
        </w:tc>
        <w:tc>
          <w:tcPr>
            <w:tcW w:w="6601" w:type="dxa"/>
            <w:vMerge w:val="restart"/>
          </w:tcPr>
          <w:p>
            <w:pPr>
              <w:pStyle w:val="TableParagraph"/>
              <w:spacing w:line="360" w:lineRule="auto" w:before="55"/>
              <w:ind w:left="308" w:right="242"/>
              <w:jc w:val="left"/>
              <w:rPr>
                <w:sz w:val="24"/>
              </w:rPr>
            </w:pPr>
            <w:r>
              <w:rPr>
                <w:sz w:val="24"/>
              </w:rPr>
              <w:t>Especificación de las impurezas elementales para el API estudiado</w:t>
            </w:r>
          </w:p>
        </w:tc>
        <w:tc>
          <w:tcPr>
            <w:tcW w:w="992" w:type="dxa"/>
          </w:tcPr>
          <w:p>
            <w:pPr/>
          </w:p>
        </w:tc>
      </w:tr>
      <w:tr>
        <w:trPr>
          <w:trHeight w:val="517" w:hRule="exact"/>
        </w:trPr>
        <w:tc>
          <w:tcPr>
            <w:tcW w:w="1736" w:type="dxa"/>
          </w:tcPr>
          <w:p>
            <w:pPr/>
          </w:p>
        </w:tc>
        <w:tc>
          <w:tcPr>
            <w:tcW w:w="6601" w:type="dxa"/>
            <w:vMerge/>
          </w:tcPr>
          <w:p>
            <w:pPr/>
          </w:p>
        </w:tc>
        <w:tc>
          <w:tcPr>
            <w:tcW w:w="992" w:type="dxa"/>
          </w:tcPr>
          <w:p>
            <w:pPr>
              <w:pStyle w:val="TableParagraph"/>
              <w:spacing w:line="230" w:lineRule="exact"/>
              <w:ind w:right="195"/>
              <w:rPr>
                <w:sz w:val="24"/>
              </w:rPr>
            </w:pPr>
            <w:r>
              <w:rPr>
                <w:sz w:val="24"/>
              </w:rPr>
              <w:t>27</w:t>
            </w:r>
          </w:p>
        </w:tc>
      </w:tr>
      <w:tr>
        <w:trPr>
          <w:trHeight w:val="311" w:hRule="exact"/>
        </w:trPr>
        <w:tc>
          <w:tcPr>
            <w:tcW w:w="1736" w:type="dxa"/>
          </w:tcPr>
          <w:p>
            <w:pPr>
              <w:pStyle w:val="TableParagraph"/>
              <w:spacing w:before="55"/>
              <w:ind w:left="200"/>
              <w:jc w:val="left"/>
              <w:rPr>
                <w:sz w:val="24"/>
              </w:rPr>
            </w:pPr>
            <w:r>
              <w:rPr>
                <w:sz w:val="24"/>
              </w:rPr>
              <w:t>Tabla 6.2</w:t>
            </w:r>
          </w:p>
        </w:tc>
        <w:tc>
          <w:tcPr>
            <w:tcW w:w="6601" w:type="dxa"/>
            <w:vMerge w:val="restart"/>
          </w:tcPr>
          <w:p>
            <w:pPr>
              <w:pStyle w:val="TableParagraph"/>
              <w:spacing w:line="360" w:lineRule="auto" w:before="55"/>
              <w:ind w:left="308" w:right="456"/>
              <w:jc w:val="left"/>
              <w:rPr>
                <w:sz w:val="24"/>
              </w:rPr>
            </w:pPr>
            <w:r>
              <w:rPr>
                <w:sz w:val="24"/>
              </w:rPr>
              <w:t>Información toxicológica de las impurezas elementales analizadas</w:t>
            </w:r>
          </w:p>
        </w:tc>
        <w:tc>
          <w:tcPr>
            <w:tcW w:w="992" w:type="dxa"/>
          </w:tcPr>
          <w:p>
            <w:pPr/>
          </w:p>
        </w:tc>
      </w:tr>
      <w:tr>
        <w:trPr>
          <w:trHeight w:val="517" w:hRule="exact"/>
        </w:trPr>
        <w:tc>
          <w:tcPr>
            <w:tcW w:w="1736" w:type="dxa"/>
          </w:tcPr>
          <w:p>
            <w:pPr/>
          </w:p>
        </w:tc>
        <w:tc>
          <w:tcPr>
            <w:tcW w:w="6601" w:type="dxa"/>
            <w:vMerge/>
          </w:tcPr>
          <w:p>
            <w:pPr/>
          </w:p>
        </w:tc>
        <w:tc>
          <w:tcPr>
            <w:tcW w:w="992" w:type="dxa"/>
          </w:tcPr>
          <w:p>
            <w:pPr>
              <w:pStyle w:val="TableParagraph"/>
              <w:spacing w:line="230" w:lineRule="exact"/>
              <w:ind w:right="195"/>
              <w:rPr>
                <w:sz w:val="24"/>
              </w:rPr>
            </w:pPr>
            <w:r>
              <w:rPr>
                <w:sz w:val="24"/>
              </w:rPr>
              <w:t>29</w:t>
            </w:r>
          </w:p>
        </w:tc>
      </w:tr>
      <w:tr>
        <w:trPr>
          <w:trHeight w:val="311" w:hRule="exact"/>
        </w:trPr>
        <w:tc>
          <w:tcPr>
            <w:tcW w:w="1736" w:type="dxa"/>
          </w:tcPr>
          <w:p>
            <w:pPr>
              <w:pStyle w:val="TableParagraph"/>
              <w:spacing w:before="56"/>
              <w:ind w:left="200"/>
              <w:jc w:val="left"/>
              <w:rPr>
                <w:sz w:val="24"/>
              </w:rPr>
            </w:pPr>
            <w:r>
              <w:rPr>
                <w:sz w:val="24"/>
              </w:rPr>
              <w:t>Tabla 6.3</w:t>
            </w:r>
          </w:p>
        </w:tc>
        <w:tc>
          <w:tcPr>
            <w:tcW w:w="6601" w:type="dxa"/>
            <w:vMerge w:val="restart"/>
          </w:tcPr>
          <w:p>
            <w:pPr>
              <w:pStyle w:val="TableParagraph"/>
              <w:spacing w:line="360" w:lineRule="auto" w:before="56"/>
              <w:ind w:left="308" w:right="442"/>
              <w:jc w:val="left"/>
              <w:rPr>
                <w:sz w:val="24"/>
              </w:rPr>
            </w:pPr>
            <w:r>
              <w:rPr>
                <w:sz w:val="24"/>
              </w:rPr>
              <w:t>Resultados obtenidos en la validación del método para la determinación de Impurezas Elementales clase 1</w:t>
            </w:r>
          </w:p>
        </w:tc>
        <w:tc>
          <w:tcPr>
            <w:tcW w:w="992" w:type="dxa"/>
          </w:tcPr>
          <w:p>
            <w:pPr/>
          </w:p>
        </w:tc>
      </w:tr>
      <w:tr>
        <w:trPr>
          <w:trHeight w:val="517" w:hRule="exact"/>
        </w:trPr>
        <w:tc>
          <w:tcPr>
            <w:tcW w:w="1736" w:type="dxa"/>
          </w:tcPr>
          <w:p>
            <w:pPr/>
          </w:p>
        </w:tc>
        <w:tc>
          <w:tcPr>
            <w:tcW w:w="6601" w:type="dxa"/>
            <w:vMerge/>
          </w:tcPr>
          <w:p>
            <w:pPr/>
          </w:p>
        </w:tc>
        <w:tc>
          <w:tcPr>
            <w:tcW w:w="992" w:type="dxa"/>
          </w:tcPr>
          <w:p>
            <w:pPr>
              <w:pStyle w:val="TableParagraph"/>
              <w:spacing w:line="230" w:lineRule="exact"/>
              <w:ind w:right="195"/>
              <w:rPr>
                <w:sz w:val="24"/>
              </w:rPr>
            </w:pPr>
            <w:r>
              <w:rPr>
                <w:sz w:val="24"/>
              </w:rPr>
              <w:t>32</w:t>
            </w:r>
          </w:p>
        </w:tc>
      </w:tr>
      <w:tr>
        <w:trPr>
          <w:trHeight w:val="311" w:hRule="exact"/>
        </w:trPr>
        <w:tc>
          <w:tcPr>
            <w:tcW w:w="1736" w:type="dxa"/>
          </w:tcPr>
          <w:p>
            <w:pPr>
              <w:pStyle w:val="TableParagraph"/>
              <w:spacing w:before="55"/>
              <w:ind w:left="200"/>
              <w:jc w:val="left"/>
              <w:rPr>
                <w:sz w:val="24"/>
              </w:rPr>
            </w:pPr>
            <w:r>
              <w:rPr>
                <w:sz w:val="24"/>
              </w:rPr>
              <w:t>Tabla 6.4</w:t>
            </w:r>
          </w:p>
        </w:tc>
        <w:tc>
          <w:tcPr>
            <w:tcW w:w="6601" w:type="dxa"/>
            <w:vMerge w:val="restart"/>
          </w:tcPr>
          <w:p>
            <w:pPr>
              <w:pStyle w:val="TableParagraph"/>
              <w:spacing w:line="360" w:lineRule="auto" w:before="55"/>
              <w:ind w:left="308" w:right="442"/>
              <w:jc w:val="left"/>
              <w:rPr>
                <w:sz w:val="24"/>
              </w:rPr>
            </w:pPr>
            <w:r>
              <w:rPr>
                <w:sz w:val="24"/>
              </w:rPr>
              <w:t>Resultados obtenidos en la validación del método para la determinación de Impurezas Elementales clase 2A</w:t>
            </w:r>
          </w:p>
        </w:tc>
        <w:tc>
          <w:tcPr>
            <w:tcW w:w="992" w:type="dxa"/>
          </w:tcPr>
          <w:p>
            <w:pPr/>
          </w:p>
        </w:tc>
      </w:tr>
      <w:tr>
        <w:trPr>
          <w:trHeight w:val="517" w:hRule="exact"/>
        </w:trPr>
        <w:tc>
          <w:tcPr>
            <w:tcW w:w="1736" w:type="dxa"/>
          </w:tcPr>
          <w:p>
            <w:pPr/>
          </w:p>
        </w:tc>
        <w:tc>
          <w:tcPr>
            <w:tcW w:w="6601" w:type="dxa"/>
            <w:vMerge/>
          </w:tcPr>
          <w:p>
            <w:pPr/>
          </w:p>
        </w:tc>
        <w:tc>
          <w:tcPr>
            <w:tcW w:w="992" w:type="dxa"/>
          </w:tcPr>
          <w:p>
            <w:pPr>
              <w:pStyle w:val="TableParagraph"/>
              <w:spacing w:line="230" w:lineRule="exact"/>
              <w:ind w:right="195"/>
              <w:rPr>
                <w:sz w:val="24"/>
              </w:rPr>
            </w:pPr>
            <w:r>
              <w:rPr>
                <w:sz w:val="24"/>
              </w:rPr>
              <w:t>33</w:t>
            </w:r>
          </w:p>
        </w:tc>
      </w:tr>
      <w:tr>
        <w:trPr>
          <w:trHeight w:val="311" w:hRule="exact"/>
        </w:trPr>
        <w:tc>
          <w:tcPr>
            <w:tcW w:w="1736" w:type="dxa"/>
          </w:tcPr>
          <w:p>
            <w:pPr>
              <w:pStyle w:val="TableParagraph"/>
              <w:spacing w:before="55"/>
              <w:ind w:left="200"/>
              <w:jc w:val="left"/>
              <w:rPr>
                <w:sz w:val="24"/>
              </w:rPr>
            </w:pPr>
            <w:r>
              <w:rPr>
                <w:sz w:val="24"/>
              </w:rPr>
              <w:t>Tabla 6.5</w:t>
            </w:r>
          </w:p>
        </w:tc>
        <w:tc>
          <w:tcPr>
            <w:tcW w:w="6601" w:type="dxa"/>
            <w:vMerge w:val="restart"/>
          </w:tcPr>
          <w:p>
            <w:pPr>
              <w:pStyle w:val="TableParagraph"/>
              <w:spacing w:line="360" w:lineRule="auto" w:before="55"/>
              <w:ind w:left="308" w:right="442"/>
              <w:jc w:val="left"/>
              <w:rPr>
                <w:sz w:val="24"/>
              </w:rPr>
            </w:pPr>
            <w:r>
              <w:rPr>
                <w:sz w:val="24"/>
              </w:rPr>
              <w:t>Resultados obtenidos de la validación del método para la determinación de Pd</w:t>
            </w:r>
          </w:p>
        </w:tc>
        <w:tc>
          <w:tcPr>
            <w:tcW w:w="992" w:type="dxa"/>
          </w:tcPr>
          <w:p>
            <w:pPr/>
          </w:p>
        </w:tc>
      </w:tr>
      <w:tr>
        <w:trPr>
          <w:trHeight w:val="517" w:hRule="exact"/>
        </w:trPr>
        <w:tc>
          <w:tcPr>
            <w:tcW w:w="1736" w:type="dxa"/>
          </w:tcPr>
          <w:p>
            <w:pPr/>
          </w:p>
        </w:tc>
        <w:tc>
          <w:tcPr>
            <w:tcW w:w="6601" w:type="dxa"/>
            <w:vMerge/>
          </w:tcPr>
          <w:p>
            <w:pPr/>
          </w:p>
        </w:tc>
        <w:tc>
          <w:tcPr>
            <w:tcW w:w="992" w:type="dxa"/>
          </w:tcPr>
          <w:p>
            <w:pPr>
              <w:pStyle w:val="TableParagraph"/>
              <w:spacing w:line="230" w:lineRule="exact"/>
              <w:ind w:right="195"/>
              <w:rPr>
                <w:sz w:val="24"/>
              </w:rPr>
            </w:pPr>
            <w:r>
              <w:rPr>
                <w:sz w:val="24"/>
              </w:rPr>
              <w:t>34</w:t>
            </w:r>
          </w:p>
        </w:tc>
      </w:tr>
      <w:tr>
        <w:trPr>
          <w:trHeight w:val="311" w:hRule="exact"/>
        </w:trPr>
        <w:tc>
          <w:tcPr>
            <w:tcW w:w="1736" w:type="dxa"/>
          </w:tcPr>
          <w:p>
            <w:pPr>
              <w:pStyle w:val="TableParagraph"/>
              <w:spacing w:before="55"/>
              <w:ind w:left="200"/>
              <w:jc w:val="left"/>
              <w:rPr>
                <w:sz w:val="24"/>
              </w:rPr>
            </w:pPr>
            <w:r>
              <w:rPr>
                <w:sz w:val="24"/>
              </w:rPr>
              <w:t>Tabla 6.6</w:t>
            </w:r>
          </w:p>
        </w:tc>
        <w:tc>
          <w:tcPr>
            <w:tcW w:w="6601" w:type="dxa"/>
            <w:vMerge w:val="restart"/>
          </w:tcPr>
          <w:p>
            <w:pPr>
              <w:pStyle w:val="TableParagraph"/>
              <w:spacing w:line="360" w:lineRule="auto" w:before="55"/>
              <w:ind w:left="308" w:right="348"/>
              <w:jc w:val="left"/>
              <w:rPr>
                <w:sz w:val="24"/>
              </w:rPr>
            </w:pPr>
            <w:r>
              <w:rPr>
                <w:sz w:val="24"/>
              </w:rPr>
              <w:t>Evaluación de contenido de Pd en las diferentes etapas del proceso del API</w:t>
            </w:r>
          </w:p>
        </w:tc>
        <w:tc>
          <w:tcPr>
            <w:tcW w:w="992" w:type="dxa"/>
          </w:tcPr>
          <w:p>
            <w:pPr/>
          </w:p>
        </w:tc>
      </w:tr>
      <w:tr>
        <w:trPr>
          <w:trHeight w:val="518" w:hRule="exact"/>
        </w:trPr>
        <w:tc>
          <w:tcPr>
            <w:tcW w:w="1736" w:type="dxa"/>
          </w:tcPr>
          <w:p>
            <w:pPr/>
          </w:p>
        </w:tc>
        <w:tc>
          <w:tcPr>
            <w:tcW w:w="6601" w:type="dxa"/>
            <w:vMerge/>
          </w:tcPr>
          <w:p>
            <w:pPr/>
          </w:p>
        </w:tc>
        <w:tc>
          <w:tcPr>
            <w:tcW w:w="992" w:type="dxa"/>
          </w:tcPr>
          <w:p>
            <w:pPr>
              <w:pStyle w:val="TableParagraph"/>
              <w:spacing w:line="230" w:lineRule="exact"/>
              <w:ind w:right="196"/>
              <w:rPr>
                <w:sz w:val="24"/>
              </w:rPr>
            </w:pPr>
            <w:r>
              <w:rPr>
                <w:sz w:val="24"/>
              </w:rPr>
              <w:t>36</w:t>
            </w:r>
          </w:p>
        </w:tc>
      </w:tr>
      <w:tr>
        <w:trPr>
          <w:trHeight w:val="311" w:hRule="exact"/>
        </w:trPr>
        <w:tc>
          <w:tcPr>
            <w:tcW w:w="1736" w:type="dxa"/>
          </w:tcPr>
          <w:p>
            <w:pPr>
              <w:pStyle w:val="TableParagraph"/>
              <w:spacing w:before="56"/>
              <w:ind w:left="200"/>
              <w:jc w:val="left"/>
              <w:rPr>
                <w:sz w:val="24"/>
              </w:rPr>
            </w:pPr>
            <w:r>
              <w:rPr>
                <w:sz w:val="24"/>
              </w:rPr>
              <w:t>Tabla 6.7</w:t>
            </w:r>
          </w:p>
        </w:tc>
        <w:tc>
          <w:tcPr>
            <w:tcW w:w="6601" w:type="dxa"/>
            <w:vMerge w:val="restart"/>
          </w:tcPr>
          <w:p>
            <w:pPr>
              <w:pStyle w:val="TableParagraph"/>
              <w:spacing w:line="360" w:lineRule="auto" w:before="56"/>
              <w:ind w:left="308" w:right="242"/>
              <w:jc w:val="left"/>
              <w:rPr>
                <w:sz w:val="24"/>
              </w:rPr>
            </w:pPr>
            <w:r>
              <w:rPr>
                <w:sz w:val="24"/>
              </w:rPr>
              <w:t>Pruebas preliminares del contenido de paladio en las diferentes etapas del API</w:t>
            </w:r>
          </w:p>
        </w:tc>
        <w:tc>
          <w:tcPr>
            <w:tcW w:w="992" w:type="dxa"/>
          </w:tcPr>
          <w:p>
            <w:pPr/>
          </w:p>
        </w:tc>
      </w:tr>
      <w:tr>
        <w:trPr>
          <w:trHeight w:val="517" w:hRule="exact"/>
        </w:trPr>
        <w:tc>
          <w:tcPr>
            <w:tcW w:w="1736" w:type="dxa"/>
          </w:tcPr>
          <w:p>
            <w:pPr/>
          </w:p>
        </w:tc>
        <w:tc>
          <w:tcPr>
            <w:tcW w:w="6601" w:type="dxa"/>
            <w:vMerge/>
          </w:tcPr>
          <w:p>
            <w:pPr/>
          </w:p>
        </w:tc>
        <w:tc>
          <w:tcPr>
            <w:tcW w:w="992" w:type="dxa"/>
          </w:tcPr>
          <w:p>
            <w:pPr>
              <w:pStyle w:val="TableParagraph"/>
              <w:spacing w:line="230" w:lineRule="exact"/>
              <w:ind w:right="195"/>
              <w:rPr>
                <w:sz w:val="24"/>
              </w:rPr>
            </w:pPr>
            <w:r>
              <w:rPr>
                <w:sz w:val="24"/>
              </w:rPr>
              <w:t>36</w:t>
            </w:r>
          </w:p>
        </w:tc>
      </w:tr>
      <w:tr>
        <w:trPr>
          <w:trHeight w:val="553" w:hRule="exact"/>
        </w:trPr>
        <w:tc>
          <w:tcPr>
            <w:tcW w:w="1736" w:type="dxa"/>
          </w:tcPr>
          <w:p>
            <w:pPr>
              <w:pStyle w:val="TableParagraph"/>
              <w:spacing w:before="55"/>
              <w:ind w:left="200"/>
              <w:jc w:val="left"/>
              <w:rPr>
                <w:sz w:val="24"/>
              </w:rPr>
            </w:pPr>
            <w:r>
              <w:rPr>
                <w:sz w:val="24"/>
              </w:rPr>
              <w:t>Tabla 6.8</w:t>
            </w:r>
          </w:p>
        </w:tc>
        <w:tc>
          <w:tcPr>
            <w:tcW w:w="6601" w:type="dxa"/>
          </w:tcPr>
          <w:p>
            <w:pPr>
              <w:pStyle w:val="TableParagraph"/>
              <w:spacing w:before="149"/>
              <w:ind w:left="308" w:right="242"/>
              <w:jc w:val="left"/>
              <w:rPr>
                <w:sz w:val="24"/>
              </w:rPr>
            </w:pPr>
            <w:r>
              <w:rPr>
                <w:sz w:val="24"/>
              </w:rPr>
              <w:t>Eficiencia de eliminación del paladio</w:t>
            </w:r>
          </w:p>
        </w:tc>
        <w:tc>
          <w:tcPr>
            <w:tcW w:w="992" w:type="dxa"/>
          </w:tcPr>
          <w:p>
            <w:pPr>
              <w:pStyle w:val="TableParagraph"/>
              <w:spacing w:before="149"/>
              <w:ind w:right="195"/>
              <w:rPr>
                <w:sz w:val="24"/>
              </w:rPr>
            </w:pPr>
            <w:r>
              <w:rPr>
                <w:sz w:val="24"/>
              </w:rPr>
              <w:t>37</w:t>
            </w:r>
          </w:p>
        </w:tc>
      </w:tr>
      <w:tr>
        <w:trPr>
          <w:trHeight w:val="461" w:hRule="exact"/>
        </w:trPr>
        <w:tc>
          <w:tcPr>
            <w:tcW w:w="1736" w:type="dxa"/>
          </w:tcPr>
          <w:p>
            <w:pPr>
              <w:pStyle w:val="TableParagraph"/>
              <w:spacing w:before="102"/>
              <w:ind w:left="200"/>
              <w:jc w:val="left"/>
              <w:rPr>
                <w:sz w:val="24"/>
              </w:rPr>
            </w:pPr>
            <w:r>
              <w:rPr>
                <w:sz w:val="24"/>
              </w:rPr>
              <w:t>Tabla A.1</w:t>
            </w:r>
          </w:p>
        </w:tc>
        <w:tc>
          <w:tcPr>
            <w:tcW w:w="6601" w:type="dxa"/>
          </w:tcPr>
          <w:p>
            <w:pPr>
              <w:pStyle w:val="TableParagraph"/>
              <w:spacing w:before="102"/>
              <w:ind w:left="308" w:right="242"/>
              <w:jc w:val="left"/>
              <w:rPr>
                <w:sz w:val="24"/>
              </w:rPr>
            </w:pPr>
            <w:r>
              <w:rPr>
                <w:sz w:val="24"/>
              </w:rPr>
              <w:t>Marco Jurídico del proyecto</w:t>
            </w:r>
          </w:p>
        </w:tc>
        <w:tc>
          <w:tcPr>
            <w:tcW w:w="992" w:type="dxa"/>
          </w:tcPr>
          <w:p>
            <w:pPr>
              <w:pStyle w:val="TableParagraph"/>
              <w:spacing w:before="102"/>
              <w:ind w:right="196"/>
              <w:rPr>
                <w:sz w:val="24"/>
              </w:rPr>
            </w:pPr>
            <w:r>
              <w:rPr>
                <w:sz w:val="24"/>
              </w:rPr>
              <w:t>44</w:t>
            </w:r>
          </w:p>
        </w:tc>
      </w:tr>
      <w:tr>
        <w:trPr>
          <w:trHeight w:val="328" w:hRule="exact"/>
        </w:trPr>
        <w:tc>
          <w:tcPr>
            <w:tcW w:w="1736" w:type="dxa"/>
          </w:tcPr>
          <w:p>
            <w:pPr>
              <w:pStyle w:val="TableParagraph"/>
              <w:spacing w:before="57"/>
              <w:ind w:left="200"/>
              <w:jc w:val="left"/>
              <w:rPr>
                <w:sz w:val="24"/>
              </w:rPr>
            </w:pPr>
            <w:r>
              <w:rPr>
                <w:sz w:val="24"/>
              </w:rPr>
              <w:t>Tabla B.I.1.</w:t>
            </w:r>
          </w:p>
        </w:tc>
        <w:tc>
          <w:tcPr>
            <w:tcW w:w="6601" w:type="dxa"/>
          </w:tcPr>
          <w:p>
            <w:pPr>
              <w:pStyle w:val="TableParagraph"/>
              <w:spacing w:before="57"/>
              <w:ind w:left="308" w:right="242"/>
              <w:jc w:val="left"/>
              <w:rPr>
                <w:sz w:val="24"/>
              </w:rPr>
            </w:pPr>
            <w:r>
              <w:rPr>
                <w:sz w:val="24"/>
              </w:rPr>
              <w:t>Resultados de la idoneidad del sistema para la clase 1</w:t>
            </w:r>
          </w:p>
        </w:tc>
        <w:tc>
          <w:tcPr>
            <w:tcW w:w="992" w:type="dxa"/>
          </w:tcPr>
          <w:p>
            <w:pPr>
              <w:pStyle w:val="TableParagraph"/>
              <w:spacing w:before="57"/>
              <w:ind w:right="196"/>
              <w:rPr>
                <w:sz w:val="24"/>
              </w:rPr>
            </w:pPr>
            <w:r>
              <w:rPr>
                <w:sz w:val="24"/>
              </w:rPr>
              <w:t>51</w:t>
            </w:r>
          </w:p>
        </w:tc>
      </w:tr>
    </w:tbl>
    <w:p>
      <w:pPr>
        <w:spacing w:after="0"/>
        <w:rPr>
          <w:sz w:val="24"/>
        </w:rPr>
        <w:sectPr>
          <w:pgSz w:w="12240" w:h="15840"/>
          <w:pgMar w:header="0" w:footer="859" w:top="1360" w:bottom="1100" w:left="1320" w:right="1380"/>
        </w:sectPr>
      </w:pPr>
    </w:p>
    <w:tbl>
      <w:tblPr>
        <w:tblW w:w="0" w:type="auto"/>
        <w:jc w:val="left"/>
        <w:tblInd w:w="110"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849"/>
        <w:gridCol w:w="6508"/>
        <w:gridCol w:w="710"/>
      </w:tblGrid>
      <w:tr>
        <w:trPr>
          <w:trHeight w:val="742" w:hRule="exact"/>
        </w:trPr>
        <w:tc>
          <w:tcPr>
            <w:tcW w:w="1849" w:type="dxa"/>
          </w:tcPr>
          <w:p>
            <w:pPr>
              <w:pStyle w:val="TableParagraph"/>
              <w:spacing w:line="245" w:lineRule="exact"/>
              <w:ind w:left="200"/>
              <w:jc w:val="left"/>
              <w:rPr>
                <w:sz w:val="24"/>
              </w:rPr>
            </w:pPr>
            <w:r>
              <w:rPr>
                <w:sz w:val="24"/>
              </w:rPr>
              <w:t>Tabla B.II.1.</w:t>
            </w:r>
          </w:p>
        </w:tc>
        <w:tc>
          <w:tcPr>
            <w:tcW w:w="6508" w:type="dxa"/>
          </w:tcPr>
          <w:p>
            <w:pPr>
              <w:pStyle w:val="TableParagraph"/>
              <w:spacing w:line="245" w:lineRule="exact"/>
              <w:ind w:left="194" w:right="330"/>
              <w:jc w:val="left"/>
              <w:rPr>
                <w:sz w:val="24"/>
              </w:rPr>
            </w:pPr>
            <w:r>
              <w:rPr>
                <w:sz w:val="24"/>
              </w:rPr>
              <w:t>Resultados de la Estabilidad de la Solución Estándar</w:t>
            </w:r>
          </w:p>
          <w:p>
            <w:pPr>
              <w:pStyle w:val="TableParagraph"/>
              <w:spacing w:before="139"/>
              <w:ind w:left="194" w:right="330"/>
              <w:jc w:val="left"/>
              <w:rPr>
                <w:sz w:val="24"/>
              </w:rPr>
            </w:pPr>
            <w:r>
              <w:rPr>
                <w:sz w:val="24"/>
              </w:rPr>
              <w:t>Stock Clase 1</w:t>
            </w:r>
          </w:p>
        </w:tc>
        <w:tc>
          <w:tcPr>
            <w:tcW w:w="710" w:type="dxa"/>
          </w:tcPr>
          <w:p>
            <w:pPr>
              <w:pStyle w:val="TableParagraph"/>
              <w:spacing w:before="178"/>
              <w:ind w:right="198"/>
              <w:jc w:val="right"/>
              <w:rPr>
                <w:sz w:val="24"/>
              </w:rPr>
            </w:pPr>
            <w:r>
              <w:rPr>
                <w:sz w:val="24"/>
              </w:rPr>
              <w:t>52</w:t>
            </w:r>
          </w:p>
        </w:tc>
      </w:tr>
      <w:tr>
        <w:trPr>
          <w:trHeight w:val="828" w:hRule="exact"/>
        </w:trPr>
        <w:tc>
          <w:tcPr>
            <w:tcW w:w="1849" w:type="dxa"/>
          </w:tcPr>
          <w:p>
            <w:pPr>
              <w:pStyle w:val="TableParagraph"/>
              <w:spacing w:before="55"/>
              <w:ind w:left="200"/>
              <w:jc w:val="left"/>
              <w:rPr>
                <w:sz w:val="24"/>
              </w:rPr>
            </w:pPr>
            <w:r>
              <w:rPr>
                <w:sz w:val="24"/>
              </w:rPr>
              <w:t>Tabla B.II.2.</w:t>
            </w:r>
          </w:p>
        </w:tc>
        <w:tc>
          <w:tcPr>
            <w:tcW w:w="6508" w:type="dxa"/>
          </w:tcPr>
          <w:p>
            <w:pPr>
              <w:pStyle w:val="TableParagraph"/>
              <w:spacing w:line="360" w:lineRule="auto" w:before="55"/>
              <w:ind w:left="194" w:right="330"/>
              <w:jc w:val="left"/>
              <w:rPr>
                <w:sz w:val="24"/>
              </w:rPr>
            </w:pPr>
            <w:r>
              <w:rPr>
                <w:sz w:val="24"/>
              </w:rPr>
              <w:t>Resultados de la Estabilidad de la Solución Estándar de Trabajo Clase 1</w:t>
            </w:r>
          </w:p>
        </w:tc>
        <w:tc>
          <w:tcPr>
            <w:tcW w:w="710" w:type="dxa"/>
          </w:tcPr>
          <w:p>
            <w:pPr>
              <w:pStyle w:val="TableParagraph"/>
              <w:jc w:val="left"/>
              <w:rPr>
                <w:b/>
                <w:sz w:val="23"/>
              </w:rPr>
            </w:pPr>
          </w:p>
          <w:p>
            <w:pPr>
              <w:pStyle w:val="TableParagraph"/>
              <w:ind w:right="198"/>
              <w:jc w:val="right"/>
              <w:rPr>
                <w:sz w:val="24"/>
              </w:rPr>
            </w:pPr>
            <w:r>
              <w:rPr>
                <w:sz w:val="24"/>
              </w:rPr>
              <w:t>53</w:t>
            </w:r>
          </w:p>
        </w:tc>
      </w:tr>
      <w:tr>
        <w:trPr>
          <w:trHeight w:val="414" w:hRule="exact"/>
        </w:trPr>
        <w:tc>
          <w:tcPr>
            <w:tcW w:w="1849" w:type="dxa"/>
          </w:tcPr>
          <w:p>
            <w:pPr>
              <w:pStyle w:val="TableParagraph"/>
              <w:spacing w:before="55"/>
              <w:ind w:left="200"/>
              <w:jc w:val="left"/>
              <w:rPr>
                <w:sz w:val="24"/>
              </w:rPr>
            </w:pPr>
            <w:r>
              <w:rPr>
                <w:sz w:val="24"/>
              </w:rPr>
              <w:t>Tabla B.II.3</w:t>
            </w:r>
          </w:p>
        </w:tc>
        <w:tc>
          <w:tcPr>
            <w:tcW w:w="6508" w:type="dxa"/>
          </w:tcPr>
          <w:p>
            <w:pPr>
              <w:pStyle w:val="TableParagraph"/>
              <w:spacing w:before="55"/>
              <w:ind w:left="194" w:right="330"/>
              <w:jc w:val="left"/>
              <w:rPr>
                <w:sz w:val="24"/>
              </w:rPr>
            </w:pPr>
            <w:r>
              <w:rPr>
                <w:sz w:val="24"/>
              </w:rPr>
              <w:t>Resultados de la Estabilidad de la Solución Muestra</w:t>
            </w:r>
          </w:p>
        </w:tc>
        <w:tc>
          <w:tcPr>
            <w:tcW w:w="710" w:type="dxa"/>
          </w:tcPr>
          <w:p>
            <w:pPr>
              <w:pStyle w:val="TableParagraph"/>
              <w:spacing w:before="55"/>
              <w:ind w:right="198"/>
              <w:jc w:val="right"/>
              <w:rPr>
                <w:sz w:val="24"/>
              </w:rPr>
            </w:pPr>
            <w:r>
              <w:rPr>
                <w:sz w:val="24"/>
              </w:rPr>
              <w:t>53</w:t>
            </w:r>
          </w:p>
        </w:tc>
      </w:tr>
      <w:tr>
        <w:trPr>
          <w:trHeight w:val="414" w:hRule="exact"/>
        </w:trPr>
        <w:tc>
          <w:tcPr>
            <w:tcW w:w="1849" w:type="dxa"/>
          </w:tcPr>
          <w:p>
            <w:pPr>
              <w:pStyle w:val="TableParagraph"/>
              <w:spacing w:before="57"/>
              <w:ind w:left="200"/>
              <w:jc w:val="left"/>
              <w:rPr>
                <w:sz w:val="24"/>
              </w:rPr>
            </w:pPr>
            <w:r>
              <w:rPr>
                <w:sz w:val="24"/>
              </w:rPr>
              <w:t>Tabla B.III.1</w:t>
            </w:r>
          </w:p>
        </w:tc>
        <w:tc>
          <w:tcPr>
            <w:tcW w:w="6508" w:type="dxa"/>
          </w:tcPr>
          <w:p>
            <w:pPr>
              <w:pStyle w:val="TableParagraph"/>
              <w:spacing w:before="57"/>
              <w:ind w:left="194" w:right="330"/>
              <w:jc w:val="left"/>
              <w:rPr>
                <w:sz w:val="24"/>
              </w:rPr>
            </w:pPr>
            <w:r>
              <w:rPr>
                <w:sz w:val="24"/>
              </w:rPr>
              <w:t>Resultados de la Linealidad de la respuesta para As</w:t>
            </w:r>
          </w:p>
        </w:tc>
        <w:tc>
          <w:tcPr>
            <w:tcW w:w="710" w:type="dxa"/>
          </w:tcPr>
          <w:p>
            <w:pPr>
              <w:pStyle w:val="TableParagraph"/>
              <w:spacing w:before="57"/>
              <w:ind w:right="198"/>
              <w:jc w:val="right"/>
              <w:rPr>
                <w:sz w:val="24"/>
              </w:rPr>
            </w:pPr>
            <w:r>
              <w:rPr>
                <w:sz w:val="24"/>
              </w:rPr>
              <w:t>54</w:t>
            </w:r>
          </w:p>
        </w:tc>
      </w:tr>
      <w:tr>
        <w:trPr>
          <w:trHeight w:val="414" w:hRule="exact"/>
        </w:trPr>
        <w:tc>
          <w:tcPr>
            <w:tcW w:w="1849" w:type="dxa"/>
          </w:tcPr>
          <w:p>
            <w:pPr>
              <w:pStyle w:val="TableParagraph"/>
              <w:spacing w:before="55"/>
              <w:ind w:left="200"/>
              <w:jc w:val="left"/>
              <w:rPr>
                <w:sz w:val="24"/>
              </w:rPr>
            </w:pPr>
            <w:r>
              <w:rPr>
                <w:sz w:val="24"/>
              </w:rPr>
              <w:t>Tabla B.III.2</w:t>
            </w:r>
          </w:p>
        </w:tc>
        <w:tc>
          <w:tcPr>
            <w:tcW w:w="6508" w:type="dxa"/>
          </w:tcPr>
          <w:p>
            <w:pPr>
              <w:pStyle w:val="TableParagraph"/>
              <w:spacing w:before="55"/>
              <w:ind w:left="194" w:right="330"/>
              <w:jc w:val="left"/>
              <w:rPr>
                <w:sz w:val="24"/>
              </w:rPr>
            </w:pPr>
            <w:r>
              <w:rPr>
                <w:sz w:val="24"/>
              </w:rPr>
              <w:t>Resultados de la Linealidad de la respuesta para Cd</w:t>
            </w:r>
          </w:p>
        </w:tc>
        <w:tc>
          <w:tcPr>
            <w:tcW w:w="710" w:type="dxa"/>
          </w:tcPr>
          <w:p>
            <w:pPr>
              <w:pStyle w:val="TableParagraph"/>
              <w:spacing w:before="55"/>
              <w:ind w:right="198"/>
              <w:jc w:val="right"/>
              <w:rPr>
                <w:sz w:val="24"/>
              </w:rPr>
            </w:pPr>
            <w:r>
              <w:rPr>
                <w:sz w:val="24"/>
              </w:rPr>
              <w:t>55</w:t>
            </w:r>
          </w:p>
        </w:tc>
      </w:tr>
      <w:tr>
        <w:trPr>
          <w:trHeight w:val="414" w:hRule="exact"/>
        </w:trPr>
        <w:tc>
          <w:tcPr>
            <w:tcW w:w="1849" w:type="dxa"/>
          </w:tcPr>
          <w:p>
            <w:pPr>
              <w:pStyle w:val="TableParagraph"/>
              <w:spacing w:before="57"/>
              <w:ind w:left="200"/>
              <w:jc w:val="left"/>
              <w:rPr>
                <w:sz w:val="24"/>
              </w:rPr>
            </w:pPr>
            <w:r>
              <w:rPr>
                <w:sz w:val="24"/>
              </w:rPr>
              <w:t>Tabla B.III.3</w:t>
            </w:r>
          </w:p>
        </w:tc>
        <w:tc>
          <w:tcPr>
            <w:tcW w:w="6508" w:type="dxa"/>
          </w:tcPr>
          <w:p>
            <w:pPr>
              <w:pStyle w:val="TableParagraph"/>
              <w:spacing w:before="57"/>
              <w:ind w:left="194" w:right="330"/>
              <w:jc w:val="left"/>
              <w:rPr>
                <w:sz w:val="24"/>
              </w:rPr>
            </w:pPr>
            <w:r>
              <w:rPr>
                <w:sz w:val="24"/>
              </w:rPr>
              <w:t>Resultados de la Linealidad de la respuesta para Hg</w:t>
            </w:r>
          </w:p>
        </w:tc>
        <w:tc>
          <w:tcPr>
            <w:tcW w:w="710" w:type="dxa"/>
          </w:tcPr>
          <w:p>
            <w:pPr>
              <w:pStyle w:val="TableParagraph"/>
              <w:spacing w:before="57"/>
              <w:ind w:right="198"/>
              <w:jc w:val="right"/>
              <w:rPr>
                <w:sz w:val="24"/>
              </w:rPr>
            </w:pPr>
            <w:r>
              <w:rPr>
                <w:sz w:val="24"/>
              </w:rPr>
              <w:t>56</w:t>
            </w:r>
          </w:p>
        </w:tc>
      </w:tr>
      <w:tr>
        <w:trPr>
          <w:trHeight w:val="414" w:hRule="exact"/>
        </w:trPr>
        <w:tc>
          <w:tcPr>
            <w:tcW w:w="1849" w:type="dxa"/>
          </w:tcPr>
          <w:p>
            <w:pPr>
              <w:pStyle w:val="TableParagraph"/>
              <w:spacing w:before="55"/>
              <w:ind w:left="200"/>
              <w:jc w:val="left"/>
              <w:rPr>
                <w:sz w:val="24"/>
              </w:rPr>
            </w:pPr>
            <w:r>
              <w:rPr>
                <w:sz w:val="24"/>
              </w:rPr>
              <w:t>Tabla B.III.4</w:t>
            </w:r>
          </w:p>
        </w:tc>
        <w:tc>
          <w:tcPr>
            <w:tcW w:w="6508" w:type="dxa"/>
          </w:tcPr>
          <w:p>
            <w:pPr>
              <w:pStyle w:val="TableParagraph"/>
              <w:spacing w:before="55"/>
              <w:ind w:left="194" w:right="330"/>
              <w:jc w:val="left"/>
              <w:rPr>
                <w:sz w:val="24"/>
              </w:rPr>
            </w:pPr>
            <w:r>
              <w:rPr>
                <w:sz w:val="24"/>
              </w:rPr>
              <w:t>Resultados de la Linealidad de la respuesta para Pb</w:t>
            </w:r>
          </w:p>
        </w:tc>
        <w:tc>
          <w:tcPr>
            <w:tcW w:w="710" w:type="dxa"/>
          </w:tcPr>
          <w:p>
            <w:pPr>
              <w:pStyle w:val="TableParagraph"/>
              <w:spacing w:before="55"/>
              <w:ind w:right="198"/>
              <w:jc w:val="right"/>
              <w:rPr>
                <w:sz w:val="24"/>
              </w:rPr>
            </w:pPr>
            <w:r>
              <w:rPr>
                <w:sz w:val="24"/>
              </w:rPr>
              <w:t>57</w:t>
            </w:r>
          </w:p>
        </w:tc>
      </w:tr>
      <w:tr>
        <w:trPr>
          <w:trHeight w:val="414" w:hRule="exact"/>
        </w:trPr>
        <w:tc>
          <w:tcPr>
            <w:tcW w:w="1849" w:type="dxa"/>
          </w:tcPr>
          <w:p>
            <w:pPr>
              <w:pStyle w:val="TableParagraph"/>
              <w:spacing w:before="57"/>
              <w:ind w:left="200"/>
              <w:jc w:val="left"/>
              <w:rPr>
                <w:sz w:val="24"/>
              </w:rPr>
            </w:pPr>
            <w:r>
              <w:rPr>
                <w:sz w:val="24"/>
              </w:rPr>
              <w:t>Tabla B.IV.1</w:t>
            </w:r>
          </w:p>
        </w:tc>
        <w:tc>
          <w:tcPr>
            <w:tcW w:w="6508" w:type="dxa"/>
          </w:tcPr>
          <w:p>
            <w:pPr>
              <w:pStyle w:val="TableParagraph"/>
              <w:spacing w:before="57"/>
              <w:ind w:left="194" w:right="330"/>
              <w:jc w:val="left"/>
              <w:rPr>
                <w:sz w:val="24"/>
              </w:rPr>
            </w:pPr>
            <w:r>
              <w:rPr>
                <w:sz w:val="24"/>
              </w:rPr>
              <w:t>Resultados del Límite de Cuantificación para la clase 1</w:t>
            </w:r>
          </w:p>
        </w:tc>
        <w:tc>
          <w:tcPr>
            <w:tcW w:w="710" w:type="dxa"/>
          </w:tcPr>
          <w:p>
            <w:pPr>
              <w:pStyle w:val="TableParagraph"/>
              <w:spacing w:before="57"/>
              <w:ind w:right="198"/>
              <w:jc w:val="right"/>
              <w:rPr>
                <w:sz w:val="24"/>
              </w:rPr>
            </w:pPr>
            <w:r>
              <w:rPr>
                <w:sz w:val="24"/>
              </w:rPr>
              <w:t>58</w:t>
            </w:r>
          </w:p>
        </w:tc>
      </w:tr>
      <w:tr>
        <w:trPr>
          <w:trHeight w:val="414" w:hRule="exact"/>
        </w:trPr>
        <w:tc>
          <w:tcPr>
            <w:tcW w:w="1849" w:type="dxa"/>
          </w:tcPr>
          <w:p>
            <w:pPr>
              <w:pStyle w:val="TableParagraph"/>
              <w:spacing w:before="55"/>
              <w:ind w:left="200"/>
              <w:jc w:val="left"/>
              <w:rPr>
                <w:sz w:val="24"/>
              </w:rPr>
            </w:pPr>
            <w:r>
              <w:rPr>
                <w:sz w:val="24"/>
              </w:rPr>
              <w:t>Tabla B.V.1</w:t>
            </w:r>
          </w:p>
        </w:tc>
        <w:tc>
          <w:tcPr>
            <w:tcW w:w="6508" w:type="dxa"/>
          </w:tcPr>
          <w:p>
            <w:pPr>
              <w:pStyle w:val="TableParagraph"/>
              <w:spacing w:before="55"/>
              <w:ind w:left="194" w:right="330"/>
              <w:jc w:val="left"/>
              <w:rPr>
                <w:sz w:val="24"/>
              </w:rPr>
            </w:pPr>
            <w:r>
              <w:rPr>
                <w:sz w:val="24"/>
              </w:rPr>
              <w:t>Resultados del Límite de Detección para clase 1</w:t>
            </w:r>
          </w:p>
        </w:tc>
        <w:tc>
          <w:tcPr>
            <w:tcW w:w="710" w:type="dxa"/>
          </w:tcPr>
          <w:p>
            <w:pPr>
              <w:pStyle w:val="TableParagraph"/>
              <w:spacing w:before="55"/>
              <w:ind w:right="198"/>
              <w:jc w:val="right"/>
              <w:rPr>
                <w:sz w:val="24"/>
              </w:rPr>
            </w:pPr>
            <w:r>
              <w:rPr>
                <w:sz w:val="24"/>
              </w:rPr>
              <w:t>58</w:t>
            </w:r>
          </w:p>
        </w:tc>
      </w:tr>
      <w:tr>
        <w:trPr>
          <w:trHeight w:val="414" w:hRule="exact"/>
        </w:trPr>
        <w:tc>
          <w:tcPr>
            <w:tcW w:w="1849" w:type="dxa"/>
          </w:tcPr>
          <w:p>
            <w:pPr>
              <w:pStyle w:val="TableParagraph"/>
              <w:spacing w:before="57"/>
              <w:ind w:left="200"/>
              <w:jc w:val="left"/>
              <w:rPr>
                <w:sz w:val="24"/>
              </w:rPr>
            </w:pPr>
            <w:r>
              <w:rPr>
                <w:sz w:val="24"/>
              </w:rPr>
              <w:t>Tabla B.VI.1</w:t>
            </w:r>
          </w:p>
        </w:tc>
        <w:tc>
          <w:tcPr>
            <w:tcW w:w="6508" w:type="dxa"/>
          </w:tcPr>
          <w:p>
            <w:pPr>
              <w:pStyle w:val="TableParagraph"/>
              <w:spacing w:before="57"/>
              <w:ind w:left="194" w:right="330"/>
              <w:jc w:val="left"/>
              <w:rPr>
                <w:sz w:val="24"/>
              </w:rPr>
            </w:pPr>
            <w:r>
              <w:rPr>
                <w:sz w:val="24"/>
              </w:rPr>
              <w:t>Resultados de la prueba de Exactitud para la clase 1</w:t>
            </w:r>
          </w:p>
        </w:tc>
        <w:tc>
          <w:tcPr>
            <w:tcW w:w="710" w:type="dxa"/>
          </w:tcPr>
          <w:p>
            <w:pPr>
              <w:pStyle w:val="TableParagraph"/>
              <w:spacing w:before="57"/>
              <w:ind w:right="198"/>
              <w:jc w:val="right"/>
              <w:rPr>
                <w:sz w:val="24"/>
              </w:rPr>
            </w:pPr>
            <w:r>
              <w:rPr>
                <w:sz w:val="24"/>
              </w:rPr>
              <w:t>59</w:t>
            </w:r>
          </w:p>
        </w:tc>
      </w:tr>
      <w:tr>
        <w:trPr>
          <w:trHeight w:val="414" w:hRule="exact"/>
        </w:trPr>
        <w:tc>
          <w:tcPr>
            <w:tcW w:w="1849" w:type="dxa"/>
          </w:tcPr>
          <w:p>
            <w:pPr>
              <w:pStyle w:val="TableParagraph"/>
              <w:spacing w:before="55"/>
              <w:ind w:left="200"/>
              <w:jc w:val="left"/>
              <w:rPr>
                <w:sz w:val="24"/>
              </w:rPr>
            </w:pPr>
            <w:r>
              <w:rPr>
                <w:sz w:val="24"/>
              </w:rPr>
              <w:t>Tabla B.VII.1</w:t>
            </w:r>
          </w:p>
        </w:tc>
        <w:tc>
          <w:tcPr>
            <w:tcW w:w="6508" w:type="dxa"/>
          </w:tcPr>
          <w:p>
            <w:pPr>
              <w:pStyle w:val="TableParagraph"/>
              <w:spacing w:before="55"/>
              <w:ind w:left="194" w:right="330"/>
              <w:jc w:val="left"/>
              <w:rPr>
                <w:sz w:val="24"/>
              </w:rPr>
            </w:pPr>
            <w:r>
              <w:rPr>
                <w:sz w:val="24"/>
              </w:rPr>
              <w:t>Resultados de la prueba de Repetibilidad para </w:t>
            </w:r>
            <w:r>
              <w:rPr>
                <w:color w:val="212121"/>
                <w:sz w:val="24"/>
              </w:rPr>
              <w:t>clase 1</w:t>
            </w:r>
          </w:p>
        </w:tc>
        <w:tc>
          <w:tcPr>
            <w:tcW w:w="710" w:type="dxa"/>
          </w:tcPr>
          <w:p>
            <w:pPr>
              <w:pStyle w:val="TableParagraph"/>
              <w:spacing w:before="55"/>
              <w:ind w:right="198"/>
              <w:jc w:val="right"/>
              <w:rPr>
                <w:sz w:val="24"/>
              </w:rPr>
            </w:pPr>
            <w:r>
              <w:rPr>
                <w:sz w:val="24"/>
              </w:rPr>
              <w:t>62</w:t>
            </w:r>
          </w:p>
        </w:tc>
      </w:tr>
      <w:tr>
        <w:trPr>
          <w:trHeight w:val="828" w:hRule="exact"/>
        </w:trPr>
        <w:tc>
          <w:tcPr>
            <w:tcW w:w="1849" w:type="dxa"/>
          </w:tcPr>
          <w:p>
            <w:pPr>
              <w:pStyle w:val="TableParagraph"/>
              <w:spacing w:before="57"/>
              <w:ind w:left="200"/>
              <w:jc w:val="left"/>
              <w:rPr>
                <w:sz w:val="24"/>
              </w:rPr>
            </w:pPr>
            <w:r>
              <w:rPr>
                <w:sz w:val="24"/>
              </w:rPr>
              <w:t>Tabla B.VII.2</w:t>
            </w:r>
          </w:p>
        </w:tc>
        <w:tc>
          <w:tcPr>
            <w:tcW w:w="6508" w:type="dxa"/>
          </w:tcPr>
          <w:p>
            <w:pPr>
              <w:pStyle w:val="TableParagraph"/>
              <w:spacing w:line="360" w:lineRule="auto" w:before="57"/>
              <w:ind w:left="194" w:right="557"/>
              <w:jc w:val="left"/>
              <w:rPr>
                <w:sz w:val="24"/>
              </w:rPr>
            </w:pPr>
            <w:r>
              <w:rPr>
                <w:sz w:val="24"/>
              </w:rPr>
              <w:t>Resultados de la prueba de Precisión Intermedia para </w:t>
            </w:r>
            <w:r>
              <w:rPr>
                <w:color w:val="212121"/>
                <w:sz w:val="24"/>
              </w:rPr>
              <w:t>clase 1</w:t>
            </w:r>
          </w:p>
        </w:tc>
        <w:tc>
          <w:tcPr>
            <w:tcW w:w="710" w:type="dxa"/>
          </w:tcPr>
          <w:p>
            <w:pPr>
              <w:pStyle w:val="TableParagraph"/>
              <w:jc w:val="left"/>
              <w:rPr>
                <w:b/>
                <w:sz w:val="24"/>
              </w:rPr>
            </w:pPr>
          </w:p>
          <w:p>
            <w:pPr>
              <w:pStyle w:val="TableParagraph"/>
              <w:spacing w:before="193"/>
              <w:ind w:right="198"/>
              <w:jc w:val="right"/>
              <w:rPr>
                <w:sz w:val="24"/>
              </w:rPr>
            </w:pPr>
            <w:r>
              <w:rPr>
                <w:sz w:val="24"/>
              </w:rPr>
              <w:t>62</w:t>
            </w:r>
          </w:p>
        </w:tc>
      </w:tr>
      <w:tr>
        <w:trPr>
          <w:trHeight w:val="828" w:hRule="exact"/>
        </w:trPr>
        <w:tc>
          <w:tcPr>
            <w:tcW w:w="1849" w:type="dxa"/>
          </w:tcPr>
          <w:p>
            <w:pPr>
              <w:pStyle w:val="TableParagraph"/>
              <w:spacing w:before="57"/>
              <w:ind w:left="200"/>
              <w:jc w:val="left"/>
              <w:rPr>
                <w:sz w:val="24"/>
              </w:rPr>
            </w:pPr>
            <w:r>
              <w:rPr>
                <w:sz w:val="24"/>
              </w:rPr>
              <w:t>Tabla B.VII.3</w:t>
            </w:r>
          </w:p>
        </w:tc>
        <w:tc>
          <w:tcPr>
            <w:tcW w:w="6508" w:type="dxa"/>
          </w:tcPr>
          <w:p>
            <w:pPr>
              <w:pStyle w:val="TableParagraph"/>
              <w:spacing w:line="360" w:lineRule="auto" w:before="57"/>
              <w:ind w:left="194" w:right="224"/>
              <w:jc w:val="left"/>
              <w:rPr>
                <w:sz w:val="24"/>
              </w:rPr>
            </w:pPr>
            <w:r>
              <w:rPr>
                <w:sz w:val="24"/>
              </w:rPr>
              <w:t>Resultados de la evaluación de la Precisión para la </w:t>
            </w:r>
            <w:r>
              <w:rPr>
                <w:color w:val="212121"/>
                <w:sz w:val="24"/>
              </w:rPr>
              <w:t>clase 1</w:t>
            </w:r>
          </w:p>
        </w:tc>
        <w:tc>
          <w:tcPr>
            <w:tcW w:w="710" w:type="dxa"/>
          </w:tcPr>
          <w:p>
            <w:pPr>
              <w:pStyle w:val="TableParagraph"/>
              <w:jc w:val="left"/>
              <w:rPr>
                <w:b/>
                <w:sz w:val="24"/>
              </w:rPr>
            </w:pPr>
          </w:p>
          <w:p>
            <w:pPr>
              <w:pStyle w:val="TableParagraph"/>
              <w:spacing w:before="193"/>
              <w:ind w:right="198"/>
              <w:jc w:val="right"/>
              <w:rPr>
                <w:sz w:val="24"/>
              </w:rPr>
            </w:pPr>
            <w:r>
              <w:rPr>
                <w:sz w:val="24"/>
              </w:rPr>
              <w:t>62</w:t>
            </w:r>
          </w:p>
        </w:tc>
      </w:tr>
      <w:tr>
        <w:trPr>
          <w:trHeight w:val="414" w:hRule="exact"/>
        </w:trPr>
        <w:tc>
          <w:tcPr>
            <w:tcW w:w="1849" w:type="dxa"/>
          </w:tcPr>
          <w:p>
            <w:pPr>
              <w:pStyle w:val="TableParagraph"/>
              <w:spacing w:before="57"/>
              <w:ind w:left="200"/>
              <w:jc w:val="left"/>
              <w:rPr>
                <w:sz w:val="24"/>
              </w:rPr>
            </w:pPr>
            <w:r>
              <w:rPr>
                <w:sz w:val="24"/>
              </w:rPr>
              <w:t>Tabla B.VIII.1</w:t>
            </w:r>
          </w:p>
        </w:tc>
        <w:tc>
          <w:tcPr>
            <w:tcW w:w="6508" w:type="dxa"/>
          </w:tcPr>
          <w:p>
            <w:pPr>
              <w:pStyle w:val="TableParagraph"/>
              <w:spacing w:before="57"/>
              <w:ind w:left="194" w:right="330"/>
              <w:jc w:val="left"/>
              <w:rPr>
                <w:sz w:val="24"/>
              </w:rPr>
            </w:pPr>
            <w:r>
              <w:rPr>
                <w:sz w:val="24"/>
              </w:rPr>
              <w:t>Rango para la clase 1</w:t>
            </w:r>
          </w:p>
        </w:tc>
        <w:tc>
          <w:tcPr>
            <w:tcW w:w="710" w:type="dxa"/>
          </w:tcPr>
          <w:p>
            <w:pPr>
              <w:pStyle w:val="TableParagraph"/>
              <w:spacing w:before="57"/>
              <w:ind w:right="198"/>
              <w:jc w:val="right"/>
              <w:rPr>
                <w:sz w:val="24"/>
              </w:rPr>
            </w:pPr>
            <w:r>
              <w:rPr>
                <w:sz w:val="24"/>
              </w:rPr>
              <w:t>63</w:t>
            </w:r>
          </w:p>
        </w:tc>
      </w:tr>
      <w:tr>
        <w:trPr>
          <w:trHeight w:val="828" w:hRule="exact"/>
        </w:trPr>
        <w:tc>
          <w:tcPr>
            <w:tcW w:w="1849" w:type="dxa"/>
          </w:tcPr>
          <w:p>
            <w:pPr>
              <w:pStyle w:val="TableParagraph"/>
              <w:spacing w:before="55"/>
              <w:ind w:left="200"/>
              <w:jc w:val="left"/>
              <w:rPr>
                <w:sz w:val="24"/>
              </w:rPr>
            </w:pPr>
            <w:r>
              <w:rPr>
                <w:sz w:val="24"/>
              </w:rPr>
              <w:t>Tabla B.IX.1.</w:t>
            </w:r>
          </w:p>
        </w:tc>
        <w:tc>
          <w:tcPr>
            <w:tcW w:w="6508" w:type="dxa"/>
          </w:tcPr>
          <w:p>
            <w:pPr>
              <w:pStyle w:val="TableParagraph"/>
              <w:spacing w:line="360" w:lineRule="auto" w:before="55"/>
              <w:ind w:left="194" w:right="330"/>
              <w:jc w:val="left"/>
              <w:rPr>
                <w:sz w:val="24"/>
              </w:rPr>
            </w:pPr>
            <w:r>
              <w:rPr>
                <w:sz w:val="24"/>
              </w:rPr>
              <w:t>Parámetros evaluados para la prueba de robustez clase 1</w:t>
            </w:r>
          </w:p>
        </w:tc>
        <w:tc>
          <w:tcPr>
            <w:tcW w:w="710" w:type="dxa"/>
          </w:tcPr>
          <w:p>
            <w:pPr>
              <w:pStyle w:val="TableParagraph"/>
              <w:jc w:val="left"/>
              <w:rPr>
                <w:b/>
                <w:sz w:val="24"/>
              </w:rPr>
            </w:pPr>
          </w:p>
          <w:p>
            <w:pPr>
              <w:pStyle w:val="TableParagraph"/>
              <w:spacing w:before="195"/>
              <w:ind w:right="198"/>
              <w:jc w:val="right"/>
              <w:rPr>
                <w:sz w:val="24"/>
              </w:rPr>
            </w:pPr>
            <w:r>
              <w:rPr>
                <w:sz w:val="24"/>
              </w:rPr>
              <w:t>63</w:t>
            </w:r>
          </w:p>
        </w:tc>
      </w:tr>
      <w:tr>
        <w:trPr>
          <w:trHeight w:val="414" w:hRule="exact"/>
        </w:trPr>
        <w:tc>
          <w:tcPr>
            <w:tcW w:w="1849" w:type="dxa"/>
          </w:tcPr>
          <w:p>
            <w:pPr>
              <w:pStyle w:val="TableParagraph"/>
              <w:spacing w:before="55"/>
              <w:ind w:left="200"/>
              <w:jc w:val="left"/>
              <w:rPr>
                <w:sz w:val="24"/>
              </w:rPr>
            </w:pPr>
            <w:r>
              <w:rPr>
                <w:sz w:val="24"/>
              </w:rPr>
              <w:t>Tabla B.IX.2.</w:t>
            </w:r>
          </w:p>
        </w:tc>
        <w:tc>
          <w:tcPr>
            <w:tcW w:w="6508" w:type="dxa"/>
          </w:tcPr>
          <w:p>
            <w:pPr>
              <w:pStyle w:val="TableParagraph"/>
              <w:spacing w:before="55"/>
              <w:ind w:left="194" w:right="330"/>
              <w:jc w:val="left"/>
              <w:rPr>
                <w:sz w:val="24"/>
              </w:rPr>
            </w:pPr>
            <w:r>
              <w:rPr>
                <w:sz w:val="24"/>
              </w:rPr>
              <w:t>Resultados del estudio de robustez de la clase 1</w:t>
            </w:r>
          </w:p>
        </w:tc>
        <w:tc>
          <w:tcPr>
            <w:tcW w:w="710" w:type="dxa"/>
          </w:tcPr>
          <w:p>
            <w:pPr>
              <w:pStyle w:val="TableParagraph"/>
              <w:spacing w:before="55"/>
              <w:ind w:right="198"/>
              <w:jc w:val="right"/>
              <w:rPr>
                <w:sz w:val="24"/>
              </w:rPr>
            </w:pPr>
            <w:r>
              <w:rPr>
                <w:sz w:val="24"/>
              </w:rPr>
              <w:t>64</w:t>
            </w:r>
          </w:p>
        </w:tc>
      </w:tr>
      <w:tr>
        <w:trPr>
          <w:trHeight w:val="414" w:hRule="exact"/>
        </w:trPr>
        <w:tc>
          <w:tcPr>
            <w:tcW w:w="1849" w:type="dxa"/>
          </w:tcPr>
          <w:p>
            <w:pPr>
              <w:pStyle w:val="TableParagraph"/>
              <w:spacing w:before="57"/>
              <w:ind w:left="200"/>
              <w:jc w:val="left"/>
              <w:rPr>
                <w:sz w:val="24"/>
              </w:rPr>
            </w:pPr>
            <w:r>
              <w:rPr>
                <w:sz w:val="24"/>
              </w:rPr>
              <w:t>Tabla C.I.1</w:t>
            </w:r>
          </w:p>
        </w:tc>
        <w:tc>
          <w:tcPr>
            <w:tcW w:w="6508" w:type="dxa"/>
          </w:tcPr>
          <w:p>
            <w:pPr>
              <w:pStyle w:val="TableParagraph"/>
              <w:spacing w:before="57"/>
              <w:ind w:left="194" w:right="224"/>
              <w:jc w:val="left"/>
              <w:rPr>
                <w:sz w:val="24"/>
              </w:rPr>
            </w:pPr>
            <w:r>
              <w:rPr>
                <w:sz w:val="24"/>
              </w:rPr>
              <w:t>Resultados de la Idoneidad del sistema para la clase 2A</w:t>
            </w:r>
          </w:p>
        </w:tc>
        <w:tc>
          <w:tcPr>
            <w:tcW w:w="710" w:type="dxa"/>
          </w:tcPr>
          <w:p>
            <w:pPr>
              <w:pStyle w:val="TableParagraph"/>
              <w:spacing w:before="57"/>
              <w:ind w:right="198"/>
              <w:jc w:val="right"/>
              <w:rPr>
                <w:sz w:val="24"/>
              </w:rPr>
            </w:pPr>
            <w:r>
              <w:rPr>
                <w:sz w:val="24"/>
              </w:rPr>
              <w:t>65</w:t>
            </w:r>
          </w:p>
        </w:tc>
      </w:tr>
      <w:tr>
        <w:trPr>
          <w:trHeight w:val="828" w:hRule="exact"/>
        </w:trPr>
        <w:tc>
          <w:tcPr>
            <w:tcW w:w="1849" w:type="dxa"/>
          </w:tcPr>
          <w:p>
            <w:pPr>
              <w:pStyle w:val="TableParagraph"/>
              <w:spacing w:before="55"/>
              <w:ind w:left="200"/>
              <w:jc w:val="left"/>
              <w:rPr>
                <w:sz w:val="24"/>
              </w:rPr>
            </w:pPr>
            <w:r>
              <w:rPr>
                <w:sz w:val="24"/>
              </w:rPr>
              <w:t>Tabla C.II.1</w:t>
            </w:r>
          </w:p>
        </w:tc>
        <w:tc>
          <w:tcPr>
            <w:tcW w:w="6508" w:type="dxa"/>
          </w:tcPr>
          <w:p>
            <w:pPr>
              <w:pStyle w:val="TableParagraph"/>
              <w:spacing w:line="360" w:lineRule="auto" w:before="55"/>
              <w:ind w:left="194" w:right="664"/>
              <w:jc w:val="left"/>
              <w:rPr>
                <w:sz w:val="24"/>
              </w:rPr>
            </w:pPr>
            <w:r>
              <w:rPr>
                <w:sz w:val="24"/>
              </w:rPr>
              <w:t>Resultados de la Estabilidad de la Solución Estándar Stock para la clase 2A</w:t>
            </w:r>
          </w:p>
        </w:tc>
        <w:tc>
          <w:tcPr>
            <w:tcW w:w="710" w:type="dxa"/>
          </w:tcPr>
          <w:p>
            <w:pPr>
              <w:pStyle w:val="TableParagraph"/>
              <w:jc w:val="left"/>
              <w:rPr>
                <w:b/>
                <w:sz w:val="24"/>
              </w:rPr>
            </w:pPr>
          </w:p>
          <w:p>
            <w:pPr>
              <w:pStyle w:val="TableParagraph"/>
              <w:spacing w:before="195"/>
              <w:ind w:right="198"/>
              <w:jc w:val="right"/>
              <w:rPr>
                <w:sz w:val="24"/>
              </w:rPr>
            </w:pPr>
            <w:r>
              <w:rPr>
                <w:sz w:val="24"/>
              </w:rPr>
              <w:t>66</w:t>
            </w:r>
          </w:p>
        </w:tc>
      </w:tr>
      <w:tr>
        <w:trPr>
          <w:trHeight w:val="829" w:hRule="exact"/>
        </w:trPr>
        <w:tc>
          <w:tcPr>
            <w:tcW w:w="1849" w:type="dxa"/>
          </w:tcPr>
          <w:p>
            <w:pPr>
              <w:pStyle w:val="TableParagraph"/>
              <w:spacing w:before="55"/>
              <w:ind w:left="200"/>
              <w:jc w:val="left"/>
              <w:rPr>
                <w:sz w:val="24"/>
              </w:rPr>
            </w:pPr>
            <w:r>
              <w:rPr>
                <w:sz w:val="24"/>
              </w:rPr>
              <w:t>Tabla C.II.2</w:t>
            </w:r>
          </w:p>
        </w:tc>
        <w:tc>
          <w:tcPr>
            <w:tcW w:w="6508" w:type="dxa"/>
          </w:tcPr>
          <w:p>
            <w:pPr>
              <w:pStyle w:val="TableParagraph"/>
              <w:spacing w:line="362" w:lineRule="auto" w:before="55"/>
              <w:ind w:left="194" w:right="330"/>
              <w:jc w:val="left"/>
              <w:rPr>
                <w:sz w:val="24"/>
              </w:rPr>
            </w:pPr>
            <w:r>
              <w:rPr>
                <w:sz w:val="24"/>
              </w:rPr>
              <w:t>Resultados de la Estabilidad de la Solución Estándar de Trabajo para la clase 2A</w:t>
            </w:r>
          </w:p>
        </w:tc>
        <w:tc>
          <w:tcPr>
            <w:tcW w:w="710" w:type="dxa"/>
          </w:tcPr>
          <w:p>
            <w:pPr>
              <w:pStyle w:val="TableParagraph"/>
              <w:jc w:val="left"/>
              <w:rPr>
                <w:b/>
                <w:sz w:val="24"/>
              </w:rPr>
            </w:pPr>
          </w:p>
          <w:p>
            <w:pPr>
              <w:pStyle w:val="TableParagraph"/>
              <w:spacing w:before="195"/>
              <w:ind w:right="198"/>
              <w:jc w:val="right"/>
              <w:rPr>
                <w:sz w:val="24"/>
              </w:rPr>
            </w:pPr>
            <w:r>
              <w:rPr>
                <w:sz w:val="24"/>
              </w:rPr>
              <w:t>67</w:t>
            </w:r>
          </w:p>
        </w:tc>
      </w:tr>
      <w:tr>
        <w:trPr>
          <w:trHeight w:val="414" w:hRule="exact"/>
        </w:trPr>
        <w:tc>
          <w:tcPr>
            <w:tcW w:w="1849" w:type="dxa"/>
          </w:tcPr>
          <w:p>
            <w:pPr>
              <w:pStyle w:val="TableParagraph"/>
              <w:spacing w:before="55"/>
              <w:ind w:left="200"/>
              <w:jc w:val="left"/>
              <w:rPr>
                <w:sz w:val="24"/>
              </w:rPr>
            </w:pPr>
            <w:r>
              <w:rPr>
                <w:sz w:val="24"/>
              </w:rPr>
              <w:t>Tabla C.II.3</w:t>
            </w:r>
          </w:p>
        </w:tc>
        <w:tc>
          <w:tcPr>
            <w:tcW w:w="6508" w:type="dxa"/>
          </w:tcPr>
          <w:p>
            <w:pPr>
              <w:pStyle w:val="TableParagraph"/>
              <w:spacing w:before="55"/>
              <w:ind w:left="194" w:right="330"/>
              <w:jc w:val="left"/>
              <w:rPr>
                <w:sz w:val="24"/>
              </w:rPr>
            </w:pPr>
            <w:r>
              <w:rPr>
                <w:sz w:val="24"/>
              </w:rPr>
              <w:t>Resultados de la Estabilidad de la Solución Muestra</w:t>
            </w:r>
          </w:p>
        </w:tc>
        <w:tc>
          <w:tcPr>
            <w:tcW w:w="710" w:type="dxa"/>
          </w:tcPr>
          <w:p>
            <w:pPr>
              <w:pStyle w:val="TableParagraph"/>
              <w:spacing w:before="55"/>
              <w:ind w:right="198"/>
              <w:jc w:val="right"/>
              <w:rPr>
                <w:sz w:val="24"/>
              </w:rPr>
            </w:pPr>
            <w:r>
              <w:rPr>
                <w:sz w:val="24"/>
              </w:rPr>
              <w:t>67</w:t>
            </w:r>
          </w:p>
        </w:tc>
      </w:tr>
      <w:tr>
        <w:trPr>
          <w:trHeight w:val="414" w:hRule="exact"/>
        </w:trPr>
        <w:tc>
          <w:tcPr>
            <w:tcW w:w="1849" w:type="dxa"/>
          </w:tcPr>
          <w:p>
            <w:pPr>
              <w:pStyle w:val="TableParagraph"/>
              <w:spacing w:before="57"/>
              <w:ind w:left="200"/>
              <w:jc w:val="left"/>
              <w:rPr>
                <w:sz w:val="24"/>
              </w:rPr>
            </w:pPr>
            <w:r>
              <w:rPr>
                <w:sz w:val="24"/>
              </w:rPr>
              <w:t>Tabla C.III.1</w:t>
            </w:r>
          </w:p>
        </w:tc>
        <w:tc>
          <w:tcPr>
            <w:tcW w:w="6508" w:type="dxa"/>
          </w:tcPr>
          <w:p>
            <w:pPr>
              <w:pStyle w:val="TableParagraph"/>
              <w:spacing w:before="57"/>
              <w:ind w:left="194" w:right="330"/>
              <w:jc w:val="left"/>
              <w:rPr>
                <w:sz w:val="24"/>
              </w:rPr>
            </w:pPr>
            <w:r>
              <w:rPr>
                <w:sz w:val="24"/>
              </w:rPr>
              <w:t>Resultados de la Linealidad de la respuesta para V</w:t>
            </w:r>
          </w:p>
        </w:tc>
        <w:tc>
          <w:tcPr>
            <w:tcW w:w="710" w:type="dxa"/>
          </w:tcPr>
          <w:p>
            <w:pPr>
              <w:pStyle w:val="TableParagraph"/>
              <w:spacing w:before="57"/>
              <w:ind w:right="198"/>
              <w:jc w:val="right"/>
              <w:rPr>
                <w:sz w:val="24"/>
              </w:rPr>
            </w:pPr>
            <w:r>
              <w:rPr>
                <w:sz w:val="24"/>
              </w:rPr>
              <w:t>68</w:t>
            </w:r>
          </w:p>
        </w:tc>
      </w:tr>
      <w:tr>
        <w:trPr>
          <w:trHeight w:val="413" w:hRule="exact"/>
        </w:trPr>
        <w:tc>
          <w:tcPr>
            <w:tcW w:w="1849" w:type="dxa"/>
          </w:tcPr>
          <w:p>
            <w:pPr>
              <w:pStyle w:val="TableParagraph"/>
              <w:spacing w:before="55"/>
              <w:ind w:left="200"/>
              <w:jc w:val="left"/>
              <w:rPr>
                <w:sz w:val="24"/>
              </w:rPr>
            </w:pPr>
            <w:r>
              <w:rPr>
                <w:sz w:val="24"/>
              </w:rPr>
              <w:t>Tabla C.III.2</w:t>
            </w:r>
          </w:p>
        </w:tc>
        <w:tc>
          <w:tcPr>
            <w:tcW w:w="6508" w:type="dxa"/>
          </w:tcPr>
          <w:p>
            <w:pPr>
              <w:pStyle w:val="TableParagraph"/>
              <w:spacing w:before="55"/>
              <w:ind w:left="194" w:right="330"/>
              <w:jc w:val="left"/>
              <w:rPr>
                <w:sz w:val="24"/>
              </w:rPr>
            </w:pPr>
            <w:r>
              <w:rPr>
                <w:sz w:val="24"/>
              </w:rPr>
              <w:t>Resultados de la Linealidad de la respuesta para Co</w:t>
            </w:r>
          </w:p>
        </w:tc>
        <w:tc>
          <w:tcPr>
            <w:tcW w:w="710" w:type="dxa"/>
          </w:tcPr>
          <w:p>
            <w:pPr>
              <w:pStyle w:val="TableParagraph"/>
              <w:spacing w:before="55"/>
              <w:ind w:right="198"/>
              <w:jc w:val="right"/>
              <w:rPr>
                <w:sz w:val="24"/>
              </w:rPr>
            </w:pPr>
            <w:r>
              <w:rPr>
                <w:sz w:val="24"/>
              </w:rPr>
              <w:t>69</w:t>
            </w:r>
          </w:p>
        </w:tc>
      </w:tr>
      <w:tr>
        <w:trPr>
          <w:trHeight w:val="414" w:hRule="exact"/>
        </w:trPr>
        <w:tc>
          <w:tcPr>
            <w:tcW w:w="1849" w:type="dxa"/>
          </w:tcPr>
          <w:p>
            <w:pPr>
              <w:pStyle w:val="TableParagraph"/>
              <w:spacing w:before="55"/>
              <w:ind w:left="200"/>
              <w:jc w:val="left"/>
              <w:rPr>
                <w:sz w:val="24"/>
              </w:rPr>
            </w:pPr>
            <w:r>
              <w:rPr>
                <w:sz w:val="24"/>
              </w:rPr>
              <w:t>Tabla C.III.3</w:t>
            </w:r>
          </w:p>
        </w:tc>
        <w:tc>
          <w:tcPr>
            <w:tcW w:w="6508" w:type="dxa"/>
          </w:tcPr>
          <w:p>
            <w:pPr>
              <w:pStyle w:val="TableParagraph"/>
              <w:spacing w:before="55"/>
              <w:ind w:left="194" w:right="330"/>
              <w:jc w:val="left"/>
              <w:rPr>
                <w:sz w:val="24"/>
              </w:rPr>
            </w:pPr>
            <w:r>
              <w:rPr>
                <w:sz w:val="24"/>
              </w:rPr>
              <w:t>Resultados de la Linealidad de la respuesta para Ni</w:t>
            </w:r>
          </w:p>
        </w:tc>
        <w:tc>
          <w:tcPr>
            <w:tcW w:w="710" w:type="dxa"/>
          </w:tcPr>
          <w:p>
            <w:pPr>
              <w:pStyle w:val="TableParagraph"/>
              <w:spacing w:before="55"/>
              <w:ind w:right="198"/>
              <w:jc w:val="right"/>
              <w:rPr>
                <w:sz w:val="24"/>
              </w:rPr>
            </w:pPr>
            <w:r>
              <w:rPr>
                <w:sz w:val="24"/>
              </w:rPr>
              <w:t>70</w:t>
            </w:r>
          </w:p>
        </w:tc>
      </w:tr>
      <w:tr>
        <w:trPr>
          <w:trHeight w:val="328" w:hRule="exact"/>
        </w:trPr>
        <w:tc>
          <w:tcPr>
            <w:tcW w:w="1849" w:type="dxa"/>
          </w:tcPr>
          <w:p>
            <w:pPr>
              <w:pStyle w:val="TableParagraph"/>
              <w:spacing w:before="57"/>
              <w:ind w:left="200"/>
              <w:jc w:val="left"/>
              <w:rPr>
                <w:sz w:val="24"/>
              </w:rPr>
            </w:pPr>
            <w:r>
              <w:rPr>
                <w:sz w:val="24"/>
              </w:rPr>
              <w:t>Tabla C.IV.1</w:t>
            </w:r>
          </w:p>
        </w:tc>
        <w:tc>
          <w:tcPr>
            <w:tcW w:w="6508" w:type="dxa"/>
          </w:tcPr>
          <w:p>
            <w:pPr>
              <w:pStyle w:val="TableParagraph"/>
              <w:spacing w:before="57"/>
              <w:ind w:left="194" w:right="330"/>
              <w:jc w:val="left"/>
              <w:rPr>
                <w:sz w:val="24"/>
              </w:rPr>
            </w:pPr>
            <w:r>
              <w:rPr>
                <w:sz w:val="24"/>
              </w:rPr>
              <w:t>Resultados del Límite de Cuantificación para clase 2A</w:t>
            </w:r>
          </w:p>
        </w:tc>
        <w:tc>
          <w:tcPr>
            <w:tcW w:w="710" w:type="dxa"/>
          </w:tcPr>
          <w:p>
            <w:pPr>
              <w:pStyle w:val="TableParagraph"/>
              <w:spacing w:before="57"/>
              <w:ind w:right="198"/>
              <w:jc w:val="right"/>
              <w:rPr>
                <w:sz w:val="24"/>
              </w:rPr>
            </w:pPr>
            <w:r>
              <w:rPr>
                <w:sz w:val="24"/>
              </w:rPr>
              <w:t>71</w:t>
            </w:r>
          </w:p>
        </w:tc>
      </w:tr>
    </w:tbl>
    <w:p>
      <w:pPr>
        <w:spacing w:after="0"/>
        <w:jc w:val="right"/>
        <w:rPr>
          <w:sz w:val="24"/>
        </w:rPr>
        <w:sectPr>
          <w:pgSz w:w="12240" w:h="15840"/>
          <w:pgMar w:header="0" w:footer="859" w:top="1440" w:bottom="1040" w:left="1320" w:right="1580"/>
        </w:sectPr>
      </w:pPr>
    </w:p>
    <w:tbl>
      <w:tblPr>
        <w:tblW w:w="0" w:type="auto"/>
        <w:jc w:val="left"/>
        <w:tblInd w:w="110"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856"/>
        <w:gridCol w:w="6496"/>
        <w:gridCol w:w="717"/>
      </w:tblGrid>
      <w:tr>
        <w:trPr>
          <w:trHeight w:val="328" w:hRule="exact"/>
        </w:trPr>
        <w:tc>
          <w:tcPr>
            <w:tcW w:w="1856" w:type="dxa"/>
          </w:tcPr>
          <w:p>
            <w:pPr>
              <w:pStyle w:val="TableParagraph"/>
              <w:spacing w:line="245" w:lineRule="exact"/>
              <w:ind w:left="200"/>
              <w:jc w:val="left"/>
              <w:rPr>
                <w:sz w:val="24"/>
              </w:rPr>
            </w:pPr>
            <w:r>
              <w:rPr>
                <w:sz w:val="24"/>
              </w:rPr>
              <w:t>Tabla C.V.1</w:t>
            </w:r>
          </w:p>
        </w:tc>
        <w:tc>
          <w:tcPr>
            <w:tcW w:w="6496" w:type="dxa"/>
          </w:tcPr>
          <w:p>
            <w:pPr>
              <w:pStyle w:val="TableParagraph"/>
              <w:spacing w:line="245" w:lineRule="exact"/>
              <w:ind w:left="188" w:right="470"/>
              <w:jc w:val="left"/>
              <w:rPr>
                <w:sz w:val="24"/>
              </w:rPr>
            </w:pPr>
            <w:r>
              <w:rPr>
                <w:sz w:val="24"/>
              </w:rPr>
              <w:t>Resultados del Límite de Detección para clase 2A</w:t>
            </w:r>
          </w:p>
        </w:tc>
        <w:tc>
          <w:tcPr>
            <w:tcW w:w="717" w:type="dxa"/>
          </w:tcPr>
          <w:p>
            <w:pPr>
              <w:pStyle w:val="TableParagraph"/>
              <w:spacing w:line="245" w:lineRule="exact"/>
              <w:ind w:right="198"/>
              <w:jc w:val="right"/>
              <w:rPr>
                <w:sz w:val="24"/>
              </w:rPr>
            </w:pPr>
            <w:r>
              <w:rPr>
                <w:sz w:val="24"/>
              </w:rPr>
              <w:t>71</w:t>
            </w:r>
          </w:p>
        </w:tc>
      </w:tr>
      <w:tr>
        <w:trPr>
          <w:trHeight w:val="414" w:hRule="exact"/>
        </w:trPr>
        <w:tc>
          <w:tcPr>
            <w:tcW w:w="1856" w:type="dxa"/>
          </w:tcPr>
          <w:p>
            <w:pPr>
              <w:pStyle w:val="TableParagraph"/>
              <w:spacing w:before="57"/>
              <w:ind w:left="200"/>
              <w:jc w:val="left"/>
              <w:rPr>
                <w:sz w:val="24"/>
              </w:rPr>
            </w:pPr>
            <w:r>
              <w:rPr>
                <w:sz w:val="24"/>
              </w:rPr>
              <w:t>Tabla C.VI.1</w:t>
            </w:r>
          </w:p>
        </w:tc>
        <w:tc>
          <w:tcPr>
            <w:tcW w:w="6496" w:type="dxa"/>
          </w:tcPr>
          <w:p>
            <w:pPr>
              <w:pStyle w:val="TableParagraph"/>
              <w:spacing w:before="57"/>
              <w:ind w:left="188" w:right="470"/>
              <w:jc w:val="left"/>
              <w:rPr>
                <w:sz w:val="24"/>
              </w:rPr>
            </w:pPr>
            <w:r>
              <w:rPr>
                <w:sz w:val="24"/>
              </w:rPr>
              <w:t>Resultados de la prueba de Exactitud para la clase 2A</w:t>
            </w:r>
          </w:p>
        </w:tc>
        <w:tc>
          <w:tcPr>
            <w:tcW w:w="717" w:type="dxa"/>
          </w:tcPr>
          <w:p>
            <w:pPr>
              <w:pStyle w:val="TableParagraph"/>
              <w:spacing w:before="57"/>
              <w:ind w:right="198"/>
              <w:jc w:val="right"/>
              <w:rPr>
                <w:sz w:val="24"/>
              </w:rPr>
            </w:pPr>
            <w:r>
              <w:rPr>
                <w:sz w:val="24"/>
              </w:rPr>
              <w:t>72</w:t>
            </w:r>
          </w:p>
        </w:tc>
      </w:tr>
      <w:tr>
        <w:trPr>
          <w:trHeight w:val="828" w:hRule="exact"/>
        </w:trPr>
        <w:tc>
          <w:tcPr>
            <w:tcW w:w="1856" w:type="dxa"/>
          </w:tcPr>
          <w:p>
            <w:pPr>
              <w:pStyle w:val="TableParagraph"/>
              <w:spacing w:before="55"/>
              <w:ind w:left="200"/>
              <w:jc w:val="left"/>
              <w:rPr>
                <w:sz w:val="24"/>
              </w:rPr>
            </w:pPr>
            <w:r>
              <w:rPr>
                <w:sz w:val="24"/>
              </w:rPr>
              <w:t>Tabla C.VII.1</w:t>
            </w:r>
          </w:p>
        </w:tc>
        <w:tc>
          <w:tcPr>
            <w:tcW w:w="6496" w:type="dxa"/>
          </w:tcPr>
          <w:p>
            <w:pPr>
              <w:pStyle w:val="TableParagraph"/>
              <w:spacing w:line="360" w:lineRule="auto" w:before="55"/>
              <w:ind w:left="188" w:right="470"/>
              <w:jc w:val="left"/>
              <w:rPr>
                <w:sz w:val="24"/>
              </w:rPr>
            </w:pPr>
            <w:r>
              <w:rPr>
                <w:sz w:val="24"/>
              </w:rPr>
              <w:t>Resultados de la prueba de Repetibilidad para la clase 2A</w:t>
            </w:r>
          </w:p>
        </w:tc>
        <w:tc>
          <w:tcPr>
            <w:tcW w:w="717" w:type="dxa"/>
          </w:tcPr>
          <w:p>
            <w:pPr>
              <w:pStyle w:val="TableParagraph"/>
              <w:jc w:val="left"/>
              <w:rPr>
                <w:b/>
                <w:sz w:val="24"/>
              </w:rPr>
            </w:pPr>
          </w:p>
          <w:p>
            <w:pPr>
              <w:pStyle w:val="TableParagraph"/>
              <w:spacing w:before="195"/>
              <w:ind w:right="198"/>
              <w:jc w:val="right"/>
              <w:rPr>
                <w:sz w:val="24"/>
              </w:rPr>
            </w:pPr>
            <w:r>
              <w:rPr>
                <w:sz w:val="24"/>
              </w:rPr>
              <w:t>74</w:t>
            </w:r>
          </w:p>
        </w:tc>
      </w:tr>
      <w:tr>
        <w:trPr>
          <w:trHeight w:val="828" w:hRule="exact"/>
        </w:trPr>
        <w:tc>
          <w:tcPr>
            <w:tcW w:w="1856" w:type="dxa"/>
          </w:tcPr>
          <w:p>
            <w:pPr>
              <w:pStyle w:val="TableParagraph"/>
              <w:spacing w:before="55"/>
              <w:ind w:left="200"/>
              <w:jc w:val="left"/>
              <w:rPr>
                <w:sz w:val="24"/>
              </w:rPr>
            </w:pPr>
            <w:r>
              <w:rPr>
                <w:sz w:val="24"/>
              </w:rPr>
              <w:t>Tabla C.VII.2</w:t>
            </w:r>
          </w:p>
        </w:tc>
        <w:tc>
          <w:tcPr>
            <w:tcW w:w="6496" w:type="dxa"/>
          </w:tcPr>
          <w:p>
            <w:pPr>
              <w:pStyle w:val="TableParagraph"/>
              <w:spacing w:line="360" w:lineRule="auto" w:before="55"/>
              <w:ind w:left="188" w:right="297"/>
              <w:jc w:val="left"/>
              <w:rPr>
                <w:sz w:val="24"/>
              </w:rPr>
            </w:pPr>
            <w:r>
              <w:rPr>
                <w:sz w:val="24"/>
              </w:rPr>
              <w:t>Resultados de la prueba de Precisión Intermedia para la clase 2A</w:t>
            </w:r>
          </w:p>
        </w:tc>
        <w:tc>
          <w:tcPr>
            <w:tcW w:w="717" w:type="dxa"/>
          </w:tcPr>
          <w:p>
            <w:pPr>
              <w:pStyle w:val="TableParagraph"/>
              <w:jc w:val="left"/>
              <w:rPr>
                <w:b/>
                <w:sz w:val="24"/>
              </w:rPr>
            </w:pPr>
          </w:p>
          <w:p>
            <w:pPr>
              <w:pStyle w:val="TableParagraph"/>
              <w:spacing w:before="195"/>
              <w:ind w:right="198"/>
              <w:jc w:val="right"/>
              <w:rPr>
                <w:sz w:val="24"/>
              </w:rPr>
            </w:pPr>
            <w:r>
              <w:rPr>
                <w:sz w:val="24"/>
              </w:rPr>
              <w:t>75</w:t>
            </w:r>
          </w:p>
        </w:tc>
      </w:tr>
      <w:tr>
        <w:trPr>
          <w:trHeight w:val="414" w:hRule="exact"/>
        </w:trPr>
        <w:tc>
          <w:tcPr>
            <w:tcW w:w="1856" w:type="dxa"/>
          </w:tcPr>
          <w:p>
            <w:pPr>
              <w:pStyle w:val="TableParagraph"/>
              <w:spacing w:before="55"/>
              <w:ind w:left="200"/>
              <w:jc w:val="left"/>
              <w:rPr>
                <w:sz w:val="24"/>
              </w:rPr>
            </w:pPr>
            <w:r>
              <w:rPr>
                <w:sz w:val="24"/>
              </w:rPr>
              <w:t>Tabla C.VII.3</w:t>
            </w:r>
          </w:p>
        </w:tc>
        <w:tc>
          <w:tcPr>
            <w:tcW w:w="6496" w:type="dxa"/>
          </w:tcPr>
          <w:p>
            <w:pPr>
              <w:pStyle w:val="TableParagraph"/>
              <w:spacing w:before="55"/>
              <w:ind w:left="188" w:right="470"/>
              <w:jc w:val="left"/>
              <w:rPr>
                <w:sz w:val="24"/>
              </w:rPr>
            </w:pPr>
            <w:r>
              <w:rPr>
                <w:sz w:val="24"/>
              </w:rPr>
              <w:t>Evaluación de la Precisión para clase 2A</w:t>
            </w:r>
          </w:p>
        </w:tc>
        <w:tc>
          <w:tcPr>
            <w:tcW w:w="717" w:type="dxa"/>
          </w:tcPr>
          <w:p>
            <w:pPr>
              <w:pStyle w:val="TableParagraph"/>
              <w:spacing w:before="55"/>
              <w:ind w:right="198"/>
              <w:jc w:val="right"/>
              <w:rPr>
                <w:sz w:val="24"/>
              </w:rPr>
            </w:pPr>
            <w:r>
              <w:rPr>
                <w:sz w:val="24"/>
              </w:rPr>
              <w:t>75</w:t>
            </w:r>
          </w:p>
        </w:tc>
      </w:tr>
      <w:tr>
        <w:trPr>
          <w:trHeight w:val="414" w:hRule="exact"/>
        </w:trPr>
        <w:tc>
          <w:tcPr>
            <w:tcW w:w="1856" w:type="dxa"/>
          </w:tcPr>
          <w:p>
            <w:pPr>
              <w:pStyle w:val="TableParagraph"/>
              <w:spacing w:before="57"/>
              <w:ind w:left="200"/>
              <w:jc w:val="left"/>
              <w:rPr>
                <w:sz w:val="24"/>
              </w:rPr>
            </w:pPr>
            <w:r>
              <w:rPr>
                <w:sz w:val="24"/>
              </w:rPr>
              <w:t>Tabla C.VIII.1</w:t>
            </w:r>
          </w:p>
        </w:tc>
        <w:tc>
          <w:tcPr>
            <w:tcW w:w="6496" w:type="dxa"/>
          </w:tcPr>
          <w:p>
            <w:pPr>
              <w:pStyle w:val="TableParagraph"/>
              <w:spacing w:before="57"/>
              <w:ind w:left="188" w:right="470"/>
              <w:jc w:val="left"/>
              <w:rPr>
                <w:sz w:val="24"/>
              </w:rPr>
            </w:pPr>
            <w:r>
              <w:rPr>
                <w:sz w:val="24"/>
              </w:rPr>
              <w:t>Rango</w:t>
            </w:r>
          </w:p>
        </w:tc>
        <w:tc>
          <w:tcPr>
            <w:tcW w:w="717" w:type="dxa"/>
          </w:tcPr>
          <w:p>
            <w:pPr>
              <w:pStyle w:val="TableParagraph"/>
              <w:spacing w:before="57"/>
              <w:ind w:right="198"/>
              <w:jc w:val="right"/>
              <w:rPr>
                <w:sz w:val="24"/>
              </w:rPr>
            </w:pPr>
            <w:r>
              <w:rPr>
                <w:sz w:val="24"/>
              </w:rPr>
              <w:t>75</w:t>
            </w:r>
          </w:p>
        </w:tc>
      </w:tr>
      <w:tr>
        <w:trPr>
          <w:trHeight w:val="829" w:hRule="exact"/>
        </w:trPr>
        <w:tc>
          <w:tcPr>
            <w:tcW w:w="1856" w:type="dxa"/>
          </w:tcPr>
          <w:p>
            <w:pPr>
              <w:pStyle w:val="TableParagraph"/>
              <w:spacing w:before="55"/>
              <w:ind w:left="200"/>
              <w:jc w:val="left"/>
              <w:rPr>
                <w:sz w:val="24"/>
              </w:rPr>
            </w:pPr>
            <w:r>
              <w:rPr>
                <w:sz w:val="24"/>
              </w:rPr>
              <w:t>Tabla C.IX.1.</w:t>
            </w:r>
          </w:p>
        </w:tc>
        <w:tc>
          <w:tcPr>
            <w:tcW w:w="6496" w:type="dxa"/>
          </w:tcPr>
          <w:p>
            <w:pPr>
              <w:pStyle w:val="TableParagraph"/>
              <w:spacing w:line="362" w:lineRule="auto" w:before="55"/>
              <w:ind w:left="188" w:right="230"/>
              <w:jc w:val="left"/>
              <w:rPr>
                <w:sz w:val="24"/>
              </w:rPr>
            </w:pPr>
            <w:r>
              <w:rPr>
                <w:sz w:val="24"/>
              </w:rPr>
              <w:t>Parámetros evaluados para la prueba de Robustez clase 2A</w:t>
            </w:r>
          </w:p>
        </w:tc>
        <w:tc>
          <w:tcPr>
            <w:tcW w:w="717" w:type="dxa"/>
          </w:tcPr>
          <w:p>
            <w:pPr>
              <w:pStyle w:val="TableParagraph"/>
              <w:jc w:val="left"/>
              <w:rPr>
                <w:b/>
                <w:sz w:val="24"/>
              </w:rPr>
            </w:pPr>
          </w:p>
          <w:p>
            <w:pPr>
              <w:pStyle w:val="TableParagraph"/>
              <w:spacing w:before="195"/>
              <w:ind w:right="198"/>
              <w:jc w:val="right"/>
              <w:rPr>
                <w:sz w:val="24"/>
              </w:rPr>
            </w:pPr>
            <w:r>
              <w:rPr>
                <w:sz w:val="24"/>
              </w:rPr>
              <w:t>76</w:t>
            </w:r>
          </w:p>
        </w:tc>
      </w:tr>
      <w:tr>
        <w:trPr>
          <w:trHeight w:val="414" w:hRule="exact"/>
        </w:trPr>
        <w:tc>
          <w:tcPr>
            <w:tcW w:w="1856" w:type="dxa"/>
          </w:tcPr>
          <w:p>
            <w:pPr>
              <w:pStyle w:val="TableParagraph"/>
              <w:spacing w:before="55"/>
              <w:ind w:left="200"/>
              <w:jc w:val="left"/>
              <w:rPr>
                <w:sz w:val="24"/>
              </w:rPr>
            </w:pPr>
            <w:r>
              <w:rPr>
                <w:sz w:val="24"/>
              </w:rPr>
              <w:t>Tabla C.IX.2.</w:t>
            </w:r>
          </w:p>
        </w:tc>
        <w:tc>
          <w:tcPr>
            <w:tcW w:w="6496" w:type="dxa"/>
          </w:tcPr>
          <w:p>
            <w:pPr>
              <w:pStyle w:val="TableParagraph"/>
              <w:spacing w:before="55"/>
              <w:ind w:left="188" w:right="470"/>
              <w:jc w:val="left"/>
              <w:rPr>
                <w:sz w:val="24"/>
              </w:rPr>
            </w:pPr>
            <w:r>
              <w:rPr>
                <w:sz w:val="24"/>
              </w:rPr>
              <w:t>Resultados del estudio de Robustez de la clase 2A</w:t>
            </w:r>
          </w:p>
        </w:tc>
        <w:tc>
          <w:tcPr>
            <w:tcW w:w="717" w:type="dxa"/>
          </w:tcPr>
          <w:p>
            <w:pPr>
              <w:pStyle w:val="TableParagraph"/>
              <w:spacing w:before="55"/>
              <w:ind w:right="198"/>
              <w:jc w:val="right"/>
              <w:rPr>
                <w:sz w:val="24"/>
              </w:rPr>
            </w:pPr>
            <w:r>
              <w:rPr>
                <w:sz w:val="24"/>
              </w:rPr>
              <w:t>77</w:t>
            </w:r>
          </w:p>
        </w:tc>
      </w:tr>
      <w:tr>
        <w:trPr>
          <w:trHeight w:val="414" w:hRule="exact"/>
        </w:trPr>
        <w:tc>
          <w:tcPr>
            <w:tcW w:w="1856" w:type="dxa"/>
          </w:tcPr>
          <w:p>
            <w:pPr>
              <w:pStyle w:val="TableParagraph"/>
              <w:spacing w:before="57"/>
              <w:ind w:left="200"/>
              <w:jc w:val="left"/>
              <w:rPr>
                <w:sz w:val="24"/>
              </w:rPr>
            </w:pPr>
            <w:r>
              <w:rPr>
                <w:sz w:val="24"/>
              </w:rPr>
              <w:t>Tabla D.I.1</w:t>
            </w:r>
          </w:p>
        </w:tc>
        <w:tc>
          <w:tcPr>
            <w:tcW w:w="6496" w:type="dxa"/>
          </w:tcPr>
          <w:p>
            <w:pPr>
              <w:pStyle w:val="TableParagraph"/>
              <w:spacing w:before="57"/>
              <w:ind w:left="188" w:right="470"/>
              <w:jc w:val="left"/>
              <w:rPr>
                <w:sz w:val="24"/>
              </w:rPr>
            </w:pPr>
            <w:r>
              <w:rPr>
                <w:sz w:val="24"/>
              </w:rPr>
              <w:t>Resultados de la Idoneidad del sistema para Pd</w:t>
            </w:r>
          </w:p>
        </w:tc>
        <w:tc>
          <w:tcPr>
            <w:tcW w:w="717" w:type="dxa"/>
          </w:tcPr>
          <w:p>
            <w:pPr>
              <w:pStyle w:val="TableParagraph"/>
              <w:spacing w:before="57"/>
              <w:ind w:right="198"/>
              <w:jc w:val="right"/>
              <w:rPr>
                <w:sz w:val="24"/>
              </w:rPr>
            </w:pPr>
            <w:r>
              <w:rPr>
                <w:sz w:val="24"/>
              </w:rPr>
              <w:t>78</w:t>
            </w:r>
          </w:p>
        </w:tc>
      </w:tr>
      <w:tr>
        <w:trPr>
          <w:trHeight w:val="828" w:hRule="exact"/>
        </w:trPr>
        <w:tc>
          <w:tcPr>
            <w:tcW w:w="1856" w:type="dxa"/>
          </w:tcPr>
          <w:p>
            <w:pPr>
              <w:pStyle w:val="TableParagraph"/>
              <w:spacing w:before="55"/>
              <w:ind w:left="200"/>
              <w:jc w:val="left"/>
              <w:rPr>
                <w:sz w:val="24"/>
              </w:rPr>
            </w:pPr>
            <w:r>
              <w:rPr>
                <w:sz w:val="24"/>
              </w:rPr>
              <w:t>Tabla D.II.1</w:t>
            </w:r>
          </w:p>
        </w:tc>
        <w:tc>
          <w:tcPr>
            <w:tcW w:w="6496" w:type="dxa"/>
          </w:tcPr>
          <w:p>
            <w:pPr>
              <w:pStyle w:val="TableParagraph"/>
              <w:spacing w:line="360" w:lineRule="auto" w:before="55"/>
              <w:ind w:left="188" w:right="657"/>
              <w:jc w:val="left"/>
              <w:rPr>
                <w:sz w:val="24"/>
              </w:rPr>
            </w:pPr>
            <w:r>
              <w:rPr>
                <w:sz w:val="24"/>
              </w:rPr>
              <w:t>Resultados de la Estabilidad de la Solución Estándar Stock para la clase 2A</w:t>
            </w:r>
          </w:p>
        </w:tc>
        <w:tc>
          <w:tcPr>
            <w:tcW w:w="717" w:type="dxa"/>
          </w:tcPr>
          <w:p>
            <w:pPr>
              <w:pStyle w:val="TableParagraph"/>
              <w:jc w:val="left"/>
              <w:rPr>
                <w:b/>
                <w:sz w:val="24"/>
              </w:rPr>
            </w:pPr>
          </w:p>
          <w:p>
            <w:pPr>
              <w:pStyle w:val="TableParagraph"/>
              <w:spacing w:before="195"/>
              <w:ind w:right="198"/>
              <w:jc w:val="right"/>
              <w:rPr>
                <w:sz w:val="24"/>
              </w:rPr>
            </w:pPr>
            <w:r>
              <w:rPr>
                <w:sz w:val="24"/>
              </w:rPr>
              <w:t>79</w:t>
            </w:r>
          </w:p>
        </w:tc>
      </w:tr>
      <w:tr>
        <w:trPr>
          <w:trHeight w:val="828" w:hRule="exact"/>
        </w:trPr>
        <w:tc>
          <w:tcPr>
            <w:tcW w:w="1856" w:type="dxa"/>
          </w:tcPr>
          <w:p>
            <w:pPr>
              <w:pStyle w:val="TableParagraph"/>
              <w:spacing w:before="55"/>
              <w:ind w:left="200"/>
              <w:jc w:val="left"/>
              <w:rPr>
                <w:sz w:val="24"/>
              </w:rPr>
            </w:pPr>
            <w:r>
              <w:rPr>
                <w:sz w:val="24"/>
              </w:rPr>
              <w:t>Tabla D.II.2</w:t>
            </w:r>
          </w:p>
        </w:tc>
        <w:tc>
          <w:tcPr>
            <w:tcW w:w="6496" w:type="dxa"/>
          </w:tcPr>
          <w:p>
            <w:pPr>
              <w:pStyle w:val="TableParagraph"/>
              <w:spacing w:line="360" w:lineRule="auto" w:before="55"/>
              <w:ind w:left="188" w:right="297"/>
              <w:jc w:val="left"/>
              <w:rPr>
                <w:sz w:val="24"/>
              </w:rPr>
            </w:pPr>
            <w:r>
              <w:rPr>
                <w:sz w:val="24"/>
              </w:rPr>
              <w:t>Resultados de la Estabilidad de la Solución Estándar de Trabajo para la clase 2A</w:t>
            </w:r>
          </w:p>
        </w:tc>
        <w:tc>
          <w:tcPr>
            <w:tcW w:w="717" w:type="dxa"/>
          </w:tcPr>
          <w:p>
            <w:pPr>
              <w:pStyle w:val="TableParagraph"/>
              <w:jc w:val="left"/>
              <w:rPr>
                <w:b/>
                <w:sz w:val="24"/>
              </w:rPr>
            </w:pPr>
          </w:p>
          <w:p>
            <w:pPr>
              <w:pStyle w:val="TableParagraph"/>
              <w:spacing w:before="195"/>
              <w:ind w:right="198"/>
              <w:jc w:val="right"/>
              <w:rPr>
                <w:sz w:val="24"/>
              </w:rPr>
            </w:pPr>
            <w:r>
              <w:rPr>
                <w:sz w:val="24"/>
              </w:rPr>
              <w:t>80</w:t>
            </w:r>
          </w:p>
        </w:tc>
      </w:tr>
      <w:tr>
        <w:trPr>
          <w:trHeight w:val="414" w:hRule="exact"/>
        </w:trPr>
        <w:tc>
          <w:tcPr>
            <w:tcW w:w="1856" w:type="dxa"/>
          </w:tcPr>
          <w:p>
            <w:pPr>
              <w:pStyle w:val="TableParagraph"/>
              <w:spacing w:before="55"/>
              <w:ind w:left="200"/>
              <w:jc w:val="left"/>
              <w:rPr>
                <w:sz w:val="24"/>
              </w:rPr>
            </w:pPr>
            <w:r>
              <w:rPr>
                <w:sz w:val="24"/>
              </w:rPr>
              <w:t>Tabla D.II.3</w:t>
            </w:r>
          </w:p>
        </w:tc>
        <w:tc>
          <w:tcPr>
            <w:tcW w:w="6496" w:type="dxa"/>
          </w:tcPr>
          <w:p>
            <w:pPr>
              <w:pStyle w:val="TableParagraph"/>
              <w:spacing w:before="55"/>
              <w:ind w:left="188" w:right="470"/>
              <w:jc w:val="left"/>
              <w:rPr>
                <w:sz w:val="24"/>
              </w:rPr>
            </w:pPr>
            <w:r>
              <w:rPr>
                <w:sz w:val="24"/>
              </w:rPr>
              <w:t>Resultados de la Estabilidad de la Solución Muestra</w:t>
            </w:r>
          </w:p>
        </w:tc>
        <w:tc>
          <w:tcPr>
            <w:tcW w:w="717" w:type="dxa"/>
          </w:tcPr>
          <w:p>
            <w:pPr>
              <w:pStyle w:val="TableParagraph"/>
              <w:spacing w:before="55"/>
              <w:ind w:right="198"/>
              <w:jc w:val="right"/>
              <w:rPr>
                <w:sz w:val="24"/>
              </w:rPr>
            </w:pPr>
            <w:r>
              <w:rPr>
                <w:sz w:val="24"/>
              </w:rPr>
              <w:t>80</w:t>
            </w:r>
          </w:p>
        </w:tc>
      </w:tr>
      <w:tr>
        <w:trPr>
          <w:trHeight w:val="414" w:hRule="exact"/>
        </w:trPr>
        <w:tc>
          <w:tcPr>
            <w:tcW w:w="1856" w:type="dxa"/>
          </w:tcPr>
          <w:p>
            <w:pPr>
              <w:pStyle w:val="TableParagraph"/>
              <w:spacing w:before="57"/>
              <w:ind w:left="200"/>
              <w:jc w:val="left"/>
              <w:rPr>
                <w:sz w:val="24"/>
              </w:rPr>
            </w:pPr>
            <w:r>
              <w:rPr>
                <w:sz w:val="24"/>
              </w:rPr>
              <w:t>Tabla D.III.1</w:t>
            </w:r>
          </w:p>
        </w:tc>
        <w:tc>
          <w:tcPr>
            <w:tcW w:w="6496" w:type="dxa"/>
          </w:tcPr>
          <w:p>
            <w:pPr>
              <w:pStyle w:val="TableParagraph"/>
              <w:spacing w:before="57"/>
              <w:ind w:left="188" w:right="470"/>
              <w:jc w:val="left"/>
              <w:rPr>
                <w:sz w:val="24"/>
              </w:rPr>
            </w:pPr>
            <w:r>
              <w:rPr>
                <w:sz w:val="24"/>
              </w:rPr>
              <w:t>Resultados de la Linealidad de la respuesta para Pd</w:t>
            </w:r>
          </w:p>
        </w:tc>
        <w:tc>
          <w:tcPr>
            <w:tcW w:w="717" w:type="dxa"/>
          </w:tcPr>
          <w:p>
            <w:pPr>
              <w:pStyle w:val="TableParagraph"/>
              <w:spacing w:before="57"/>
              <w:ind w:right="198"/>
              <w:jc w:val="right"/>
              <w:rPr>
                <w:sz w:val="24"/>
              </w:rPr>
            </w:pPr>
            <w:r>
              <w:rPr>
                <w:sz w:val="24"/>
              </w:rPr>
              <w:t>81</w:t>
            </w:r>
          </w:p>
        </w:tc>
      </w:tr>
      <w:tr>
        <w:trPr>
          <w:trHeight w:val="414" w:hRule="exact"/>
        </w:trPr>
        <w:tc>
          <w:tcPr>
            <w:tcW w:w="1856" w:type="dxa"/>
          </w:tcPr>
          <w:p>
            <w:pPr>
              <w:pStyle w:val="TableParagraph"/>
              <w:spacing w:before="55"/>
              <w:ind w:left="200"/>
              <w:jc w:val="left"/>
              <w:rPr>
                <w:sz w:val="24"/>
              </w:rPr>
            </w:pPr>
            <w:r>
              <w:rPr>
                <w:sz w:val="24"/>
              </w:rPr>
              <w:t>Tabla D.IV.1</w:t>
            </w:r>
          </w:p>
        </w:tc>
        <w:tc>
          <w:tcPr>
            <w:tcW w:w="6496" w:type="dxa"/>
          </w:tcPr>
          <w:p>
            <w:pPr>
              <w:pStyle w:val="TableParagraph"/>
              <w:spacing w:before="55"/>
              <w:ind w:left="188" w:right="470"/>
              <w:jc w:val="left"/>
              <w:rPr>
                <w:sz w:val="24"/>
              </w:rPr>
            </w:pPr>
            <w:r>
              <w:rPr>
                <w:sz w:val="24"/>
              </w:rPr>
              <w:t>Resultados del Límite de Cuantificación para Pd</w:t>
            </w:r>
          </w:p>
        </w:tc>
        <w:tc>
          <w:tcPr>
            <w:tcW w:w="717" w:type="dxa"/>
          </w:tcPr>
          <w:p>
            <w:pPr>
              <w:pStyle w:val="TableParagraph"/>
              <w:spacing w:before="55"/>
              <w:ind w:right="198"/>
              <w:jc w:val="right"/>
              <w:rPr>
                <w:sz w:val="24"/>
              </w:rPr>
            </w:pPr>
            <w:r>
              <w:rPr>
                <w:sz w:val="24"/>
              </w:rPr>
              <w:t>82</w:t>
            </w:r>
          </w:p>
        </w:tc>
      </w:tr>
      <w:tr>
        <w:trPr>
          <w:trHeight w:val="414" w:hRule="exact"/>
        </w:trPr>
        <w:tc>
          <w:tcPr>
            <w:tcW w:w="1856" w:type="dxa"/>
          </w:tcPr>
          <w:p>
            <w:pPr>
              <w:pStyle w:val="TableParagraph"/>
              <w:spacing w:before="57"/>
              <w:ind w:left="200"/>
              <w:jc w:val="left"/>
              <w:rPr>
                <w:sz w:val="24"/>
              </w:rPr>
            </w:pPr>
            <w:r>
              <w:rPr>
                <w:sz w:val="24"/>
              </w:rPr>
              <w:t>Tabla D.V.1</w:t>
            </w:r>
          </w:p>
        </w:tc>
        <w:tc>
          <w:tcPr>
            <w:tcW w:w="6496" w:type="dxa"/>
          </w:tcPr>
          <w:p>
            <w:pPr>
              <w:pStyle w:val="TableParagraph"/>
              <w:spacing w:before="57"/>
              <w:ind w:left="188" w:right="470"/>
              <w:jc w:val="left"/>
              <w:rPr>
                <w:sz w:val="24"/>
              </w:rPr>
            </w:pPr>
            <w:r>
              <w:rPr>
                <w:sz w:val="24"/>
              </w:rPr>
              <w:t>Resultados del Límite de Detección para Pd</w:t>
            </w:r>
          </w:p>
        </w:tc>
        <w:tc>
          <w:tcPr>
            <w:tcW w:w="717" w:type="dxa"/>
          </w:tcPr>
          <w:p>
            <w:pPr>
              <w:pStyle w:val="TableParagraph"/>
              <w:spacing w:before="57"/>
              <w:ind w:right="198"/>
              <w:jc w:val="right"/>
              <w:rPr>
                <w:sz w:val="24"/>
              </w:rPr>
            </w:pPr>
            <w:r>
              <w:rPr>
                <w:sz w:val="24"/>
              </w:rPr>
              <w:t>82</w:t>
            </w:r>
          </w:p>
        </w:tc>
      </w:tr>
      <w:tr>
        <w:trPr>
          <w:trHeight w:val="414" w:hRule="exact"/>
        </w:trPr>
        <w:tc>
          <w:tcPr>
            <w:tcW w:w="1856" w:type="dxa"/>
          </w:tcPr>
          <w:p>
            <w:pPr>
              <w:pStyle w:val="TableParagraph"/>
              <w:spacing w:before="55"/>
              <w:ind w:left="200"/>
              <w:jc w:val="left"/>
              <w:rPr>
                <w:sz w:val="24"/>
              </w:rPr>
            </w:pPr>
            <w:r>
              <w:rPr>
                <w:sz w:val="24"/>
              </w:rPr>
              <w:t>Tabla D.VI.1</w:t>
            </w:r>
          </w:p>
        </w:tc>
        <w:tc>
          <w:tcPr>
            <w:tcW w:w="6496" w:type="dxa"/>
          </w:tcPr>
          <w:p>
            <w:pPr>
              <w:pStyle w:val="TableParagraph"/>
              <w:spacing w:before="55"/>
              <w:ind w:left="188" w:right="470"/>
              <w:jc w:val="left"/>
              <w:rPr>
                <w:sz w:val="24"/>
              </w:rPr>
            </w:pPr>
            <w:r>
              <w:rPr>
                <w:sz w:val="24"/>
              </w:rPr>
              <w:t>Resultados de la prueba de Exactitud para Pd</w:t>
            </w:r>
          </w:p>
        </w:tc>
        <w:tc>
          <w:tcPr>
            <w:tcW w:w="717" w:type="dxa"/>
          </w:tcPr>
          <w:p>
            <w:pPr>
              <w:pStyle w:val="TableParagraph"/>
              <w:spacing w:before="55"/>
              <w:ind w:right="198"/>
              <w:jc w:val="right"/>
              <w:rPr>
                <w:sz w:val="24"/>
              </w:rPr>
            </w:pPr>
            <w:r>
              <w:rPr>
                <w:sz w:val="24"/>
              </w:rPr>
              <w:t>83</w:t>
            </w:r>
          </w:p>
        </w:tc>
      </w:tr>
      <w:tr>
        <w:trPr>
          <w:trHeight w:val="414" w:hRule="exact"/>
        </w:trPr>
        <w:tc>
          <w:tcPr>
            <w:tcW w:w="1856" w:type="dxa"/>
          </w:tcPr>
          <w:p>
            <w:pPr>
              <w:pStyle w:val="TableParagraph"/>
              <w:spacing w:before="57"/>
              <w:ind w:left="200"/>
              <w:jc w:val="left"/>
              <w:rPr>
                <w:sz w:val="24"/>
              </w:rPr>
            </w:pPr>
            <w:r>
              <w:rPr>
                <w:sz w:val="24"/>
              </w:rPr>
              <w:t>Tabla D.VII.1</w:t>
            </w:r>
          </w:p>
        </w:tc>
        <w:tc>
          <w:tcPr>
            <w:tcW w:w="6496" w:type="dxa"/>
          </w:tcPr>
          <w:p>
            <w:pPr>
              <w:pStyle w:val="TableParagraph"/>
              <w:spacing w:before="57"/>
              <w:ind w:left="188" w:right="470"/>
              <w:jc w:val="left"/>
              <w:rPr>
                <w:sz w:val="24"/>
              </w:rPr>
            </w:pPr>
            <w:r>
              <w:rPr>
                <w:sz w:val="24"/>
              </w:rPr>
              <w:t>Resultados de la prueba de Repetibilidad para Pd</w:t>
            </w:r>
          </w:p>
        </w:tc>
        <w:tc>
          <w:tcPr>
            <w:tcW w:w="717" w:type="dxa"/>
          </w:tcPr>
          <w:p>
            <w:pPr>
              <w:pStyle w:val="TableParagraph"/>
              <w:spacing w:before="57"/>
              <w:ind w:right="198"/>
              <w:jc w:val="right"/>
              <w:rPr>
                <w:sz w:val="24"/>
              </w:rPr>
            </w:pPr>
            <w:r>
              <w:rPr>
                <w:sz w:val="24"/>
              </w:rPr>
              <w:t>85</w:t>
            </w:r>
          </w:p>
        </w:tc>
      </w:tr>
      <w:tr>
        <w:trPr>
          <w:trHeight w:val="828" w:hRule="exact"/>
        </w:trPr>
        <w:tc>
          <w:tcPr>
            <w:tcW w:w="1856" w:type="dxa"/>
          </w:tcPr>
          <w:p>
            <w:pPr>
              <w:pStyle w:val="TableParagraph"/>
              <w:spacing w:before="55"/>
              <w:ind w:left="200"/>
              <w:jc w:val="left"/>
              <w:rPr>
                <w:sz w:val="24"/>
              </w:rPr>
            </w:pPr>
            <w:r>
              <w:rPr>
                <w:sz w:val="24"/>
              </w:rPr>
              <w:t>Tabla D.VII.2</w:t>
            </w:r>
          </w:p>
        </w:tc>
        <w:tc>
          <w:tcPr>
            <w:tcW w:w="6496" w:type="dxa"/>
          </w:tcPr>
          <w:p>
            <w:pPr>
              <w:pStyle w:val="TableParagraph"/>
              <w:spacing w:line="360" w:lineRule="auto" w:before="55"/>
              <w:ind w:left="188" w:right="550"/>
              <w:jc w:val="left"/>
              <w:rPr>
                <w:sz w:val="24"/>
              </w:rPr>
            </w:pPr>
            <w:r>
              <w:rPr>
                <w:sz w:val="24"/>
              </w:rPr>
              <w:t>Resultados de la prueba de Precisión Intermedia para Pd</w:t>
            </w:r>
          </w:p>
        </w:tc>
        <w:tc>
          <w:tcPr>
            <w:tcW w:w="717" w:type="dxa"/>
          </w:tcPr>
          <w:p>
            <w:pPr>
              <w:pStyle w:val="TableParagraph"/>
              <w:jc w:val="left"/>
              <w:rPr>
                <w:b/>
                <w:sz w:val="24"/>
              </w:rPr>
            </w:pPr>
          </w:p>
          <w:p>
            <w:pPr>
              <w:pStyle w:val="TableParagraph"/>
              <w:spacing w:before="195"/>
              <w:ind w:right="198"/>
              <w:jc w:val="right"/>
              <w:rPr>
                <w:sz w:val="24"/>
              </w:rPr>
            </w:pPr>
            <w:r>
              <w:rPr>
                <w:sz w:val="24"/>
              </w:rPr>
              <w:t>85</w:t>
            </w:r>
          </w:p>
        </w:tc>
      </w:tr>
      <w:tr>
        <w:trPr>
          <w:trHeight w:val="414" w:hRule="exact"/>
        </w:trPr>
        <w:tc>
          <w:tcPr>
            <w:tcW w:w="1856" w:type="dxa"/>
          </w:tcPr>
          <w:p>
            <w:pPr>
              <w:pStyle w:val="TableParagraph"/>
              <w:spacing w:before="55"/>
              <w:ind w:left="200"/>
              <w:jc w:val="left"/>
              <w:rPr>
                <w:sz w:val="24"/>
              </w:rPr>
            </w:pPr>
            <w:r>
              <w:rPr>
                <w:sz w:val="24"/>
              </w:rPr>
              <w:t>Tabla D.VII.3</w:t>
            </w:r>
          </w:p>
        </w:tc>
        <w:tc>
          <w:tcPr>
            <w:tcW w:w="6496" w:type="dxa"/>
          </w:tcPr>
          <w:p>
            <w:pPr>
              <w:pStyle w:val="TableParagraph"/>
              <w:spacing w:before="55"/>
              <w:ind w:left="188" w:right="470"/>
              <w:jc w:val="left"/>
              <w:rPr>
                <w:sz w:val="24"/>
              </w:rPr>
            </w:pPr>
            <w:r>
              <w:rPr>
                <w:sz w:val="24"/>
              </w:rPr>
              <w:t>Evaluación de la Precisión para Pd</w:t>
            </w:r>
          </w:p>
        </w:tc>
        <w:tc>
          <w:tcPr>
            <w:tcW w:w="717" w:type="dxa"/>
          </w:tcPr>
          <w:p>
            <w:pPr>
              <w:pStyle w:val="TableParagraph"/>
              <w:spacing w:before="55"/>
              <w:ind w:right="198"/>
              <w:jc w:val="right"/>
              <w:rPr>
                <w:sz w:val="24"/>
              </w:rPr>
            </w:pPr>
            <w:r>
              <w:rPr>
                <w:sz w:val="24"/>
              </w:rPr>
              <w:t>85</w:t>
            </w:r>
          </w:p>
        </w:tc>
      </w:tr>
      <w:tr>
        <w:trPr>
          <w:trHeight w:val="414" w:hRule="exact"/>
        </w:trPr>
        <w:tc>
          <w:tcPr>
            <w:tcW w:w="1856" w:type="dxa"/>
          </w:tcPr>
          <w:p>
            <w:pPr>
              <w:pStyle w:val="TableParagraph"/>
              <w:spacing w:before="57"/>
              <w:ind w:left="200"/>
              <w:jc w:val="left"/>
              <w:rPr>
                <w:sz w:val="24"/>
              </w:rPr>
            </w:pPr>
            <w:r>
              <w:rPr>
                <w:sz w:val="24"/>
              </w:rPr>
              <w:t>Tabla D.VIII.1</w:t>
            </w:r>
          </w:p>
        </w:tc>
        <w:tc>
          <w:tcPr>
            <w:tcW w:w="6496" w:type="dxa"/>
          </w:tcPr>
          <w:p>
            <w:pPr>
              <w:pStyle w:val="TableParagraph"/>
              <w:spacing w:before="57"/>
              <w:ind w:left="188" w:right="470"/>
              <w:jc w:val="left"/>
              <w:rPr>
                <w:sz w:val="24"/>
              </w:rPr>
            </w:pPr>
            <w:r>
              <w:rPr>
                <w:sz w:val="24"/>
              </w:rPr>
              <w:t>Rango</w:t>
            </w:r>
          </w:p>
        </w:tc>
        <w:tc>
          <w:tcPr>
            <w:tcW w:w="717" w:type="dxa"/>
          </w:tcPr>
          <w:p>
            <w:pPr>
              <w:pStyle w:val="TableParagraph"/>
              <w:spacing w:before="57"/>
              <w:ind w:right="198"/>
              <w:jc w:val="right"/>
              <w:rPr>
                <w:sz w:val="24"/>
              </w:rPr>
            </w:pPr>
            <w:r>
              <w:rPr>
                <w:sz w:val="24"/>
              </w:rPr>
              <w:t>86</w:t>
            </w:r>
          </w:p>
        </w:tc>
      </w:tr>
      <w:tr>
        <w:trPr>
          <w:trHeight w:val="414" w:hRule="exact"/>
        </w:trPr>
        <w:tc>
          <w:tcPr>
            <w:tcW w:w="1856" w:type="dxa"/>
          </w:tcPr>
          <w:p>
            <w:pPr>
              <w:pStyle w:val="TableParagraph"/>
              <w:spacing w:before="55"/>
              <w:ind w:left="200"/>
              <w:jc w:val="left"/>
              <w:rPr>
                <w:sz w:val="24"/>
              </w:rPr>
            </w:pPr>
            <w:r>
              <w:rPr>
                <w:sz w:val="24"/>
              </w:rPr>
              <w:t>Tabla D.IX.1.</w:t>
            </w:r>
          </w:p>
        </w:tc>
        <w:tc>
          <w:tcPr>
            <w:tcW w:w="6496" w:type="dxa"/>
          </w:tcPr>
          <w:p>
            <w:pPr>
              <w:pStyle w:val="TableParagraph"/>
              <w:spacing w:before="55"/>
              <w:ind w:left="188" w:right="470"/>
              <w:jc w:val="left"/>
              <w:rPr>
                <w:sz w:val="24"/>
              </w:rPr>
            </w:pPr>
            <w:r>
              <w:rPr>
                <w:sz w:val="24"/>
              </w:rPr>
              <w:t>Parámetros evaluados para la prueba de Robustez</w:t>
            </w:r>
          </w:p>
        </w:tc>
        <w:tc>
          <w:tcPr>
            <w:tcW w:w="717" w:type="dxa"/>
          </w:tcPr>
          <w:p>
            <w:pPr>
              <w:pStyle w:val="TableParagraph"/>
              <w:spacing w:before="55"/>
              <w:ind w:right="198"/>
              <w:jc w:val="right"/>
              <w:rPr>
                <w:sz w:val="24"/>
              </w:rPr>
            </w:pPr>
            <w:r>
              <w:rPr>
                <w:sz w:val="24"/>
              </w:rPr>
              <w:t>86</w:t>
            </w:r>
          </w:p>
        </w:tc>
      </w:tr>
      <w:tr>
        <w:trPr>
          <w:trHeight w:val="328" w:hRule="exact"/>
        </w:trPr>
        <w:tc>
          <w:tcPr>
            <w:tcW w:w="1856" w:type="dxa"/>
          </w:tcPr>
          <w:p>
            <w:pPr>
              <w:pStyle w:val="TableParagraph"/>
              <w:spacing w:before="57"/>
              <w:ind w:left="200"/>
              <w:jc w:val="left"/>
              <w:rPr>
                <w:sz w:val="24"/>
              </w:rPr>
            </w:pPr>
            <w:r>
              <w:rPr>
                <w:sz w:val="24"/>
              </w:rPr>
              <w:t>Tabla D.IX.2.</w:t>
            </w:r>
          </w:p>
        </w:tc>
        <w:tc>
          <w:tcPr>
            <w:tcW w:w="6496" w:type="dxa"/>
          </w:tcPr>
          <w:p>
            <w:pPr>
              <w:pStyle w:val="TableParagraph"/>
              <w:spacing w:before="57"/>
              <w:ind w:left="188" w:right="470"/>
              <w:jc w:val="left"/>
              <w:rPr>
                <w:sz w:val="24"/>
              </w:rPr>
            </w:pPr>
            <w:r>
              <w:rPr>
                <w:sz w:val="24"/>
              </w:rPr>
              <w:t>Resultados del estudio de Robustez de la clase 2A</w:t>
            </w:r>
          </w:p>
        </w:tc>
        <w:tc>
          <w:tcPr>
            <w:tcW w:w="717" w:type="dxa"/>
          </w:tcPr>
          <w:p>
            <w:pPr>
              <w:pStyle w:val="TableParagraph"/>
              <w:spacing w:before="57"/>
              <w:ind w:right="198"/>
              <w:jc w:val="right"/>
              <w:rPr>
                <w:sz w:val="24"/>
              </w:rPr>
            </w:pPr>
            <w:r>
              <w:rPr>
                <w:sz w:val="24"/>
              </w:rPr>
              <w:t>87</w:t>
            </w:r>
          </w:p>
        </w:tc>
      </w:tr>
    </w:tbl>
    <w:p>
      <w:pPr>
        <w:spacing w:after="0"/>
        <w:jc w:val="right"/>
        <w:rPr>
          <w:sz w:val="24"/>
        </w:rPr>
        <w:sectPr>
          <w:pgSz w:w="12240" w:h="15840"/>
          <w:pgMar w:header="0" w:footer="859" w:top="1440" w:bottom="1040" w:left="1320" w:right="1580"/>
        </w:sectPr>
      </w:pPr>
    </w:p>
    <w:p>
      <w:pPr>
        <w:pStyle w:val="Heading1"/>
        <w:spacing w:before="54"/>
        <w:ind w:left="262" w:right="188"/>
        <w:jc w:val="left"/>
      </w:pPr>
      <w:bookmarkStart w:name="_bookmark3" w:id="4"/>
      <w:bookmarkEnd w:id="4"/>
      <w:r>
        <w:rPr>
          <w:b w:val="0"/>
        </w:rPr>
      </w:r>
      <w:r>
        <w:rPr/>
        <w:t>LISTADO DE FIGURAS</w:t>
      </w:r>
    </w:p>
    <w:p>
      <w:pPr>
        <w:pStyle w:val="BodyText"/>
        <w:spacing w:before="5"/>
        <w:rPr>
          <w:b/>
          <w:sz w:val="11"/>
        </w:rPr>
      </w:pPr>
    </w:p>
    <w:tbl>
      <w:tblPr>
        <w:tblW w:w="0" w:type="auto"/>
        <w:jc w:val="left"/>
        <w:tblInd w:w="114"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753"/>
        <w:gridCol w:w="6093"/>
        <w:gridCol w:w="1021"/>
      </w:tblGrid>
      <w:tr>
        <w:trPr>
          <w:trHeight w:val="396" w:hRule="exact"/>
        </w:trPr>
        <w:tc>
          <w:tcPr>
            <w:tcW w:w="1753" w:type="dxa"/>
          </w:tcPr>
          <w:p>
            <w:pPr/>
          </w:p>
        </w:tc>
        <w:tc>
          <w:tcPr>
            <w:tcW w:w="6093" w:type="dxa"/>
          </w:tcPr>
          <w:p>
            <w:pPr/>
          </w:p>
        </w:tc>
        <w:tc>
          <w:tcPr>
            <w:tcW w:w="1021" w:type="dxa"/>
          </w:tcPr>
          <w:p>
            <w:pPr>
              <w:pStyle w:val="TableParagraph"/>
              <w:spacing w:line="245" w:lineRule="exact"/>
              <w:ind w:left="73"/>
              <w:jc w:val="left"/>
              <w:rPr>
                <w:sz w:val="24"/>
              </w:rPr>
            </w:pPr>
            <w:r>
              <w:rPr>
                <w:sz w:val="24"/>
              </w:rPr>
              <w:t>Página</w:t>
            </w:r>
          </w:p>
        </w:tc>
      </w:tr>
      <w:tr>
        <w:trPr>
          <w:trHeight w:val="474" w:hRule="exact"/>
        </w:trPr>
        <w:tc>
          <w:tcPr>
            <w:tcW w:w="1753" w:type="dxa"/>
          </w:tcPr>
          <w:p>
            <w:pPr>
              <w:pStyle w:val="TableParagraph"/>
              <w:spacing w:before="125"/>
              <w:ind w:left="200"/>
              <w:jc w:val="left"/>
              <w:rPr>
                <w:sz w:val="24"/>
              </w:rPr>
            </w:pPr>
            <w:r>
              <w:rPr>
                <w:sz w:val="24"/>
              </w:rPr>
              <w:t>Figura 2.1</w:t>
            </w:r>
          </w:p>
        </w:tc>
        <w:tc>
          <w:tcPr>
            <w:tcW w:w="6093" w:type="dxa"/>
          </w:tcPr>
          <w:p>
            <w:pPr>
              <w:pStyle w:val="TableParagraph"/>
              <w:spacing w:before="125"/>
              <w:ind w:left="165" w:right="51"/>
              <w:jc w:val="left"/>
              <w:rPr>
                <w:sz w:val="24"/>
              </w:rPr>
            </w:pPr>
            <w:r>
              <w:rPr>
                <w:sz w:val="24"/>
              </w:rPr>
              <w:t>Estructura general de la ICH</w:t>
            </w:r>
          </w:p>
        </w:tc>
        <w:tc>
          <w:tcPr>
            <w:tcW w:w="1021" w:type="dxa"/>
          </w:tcPr>
          <w:p>
            <w:pPr>
              <w:pStyle w:val="TableParagraph"/>
              <w:spacing w:before="125"/>
              <w:ind w:left="73"/>
              <w:jc w:val="left"/>
              <w:rPr>
                <w:sz w:val="24"/>
              </w:rPr>
            </w:pPr>
            <w:r>
              <w:rPr>
                <w:w w:val="99"/>
                <w:sz w:val="24"/>
              </w:rPr>
              <w:t>4</w:t>
            </w:r>
          </w:p>
        </w:tc>
      </w:tr>
      <w:tr>
        <w:trPr>
          <w:trHeight w:val="396" w:hRule="exact"/>
        </w:trPr>
        <w:tc>
          <w:tcPr>
            <w:tcW w:w="1753" w:type="dxa"/>
          </w:tcPr>
          <w:p>
            <w:pPr>
              <w:pStyle w:val="TableParagraph"/>
              <w:spacing w:before="47"/>
              <w:ind w:left="200"/>
              <w:jc w:val="left"/>
              <w:rPr>
                <w:sz w:val="24"/>
              </w:rPr>
            </w:pPr>
            <w:r>
              <w:rPr>
                <w:sz w:val="24"/>
              </w:rPr>
              <w:t>Figura 2.2</w:t>
            </w:r>
          </w:p>
        </w:tc>
        <w:tc>
          <w:tcPr>
            <w:tcW w:w="6093" w:type="dxa"/>
          </w:tcPr>
          <w:p>
            <w:pPr>
              <w:pStyle w:val="TableParagraph"/>
              <w:spacing w:before="47"/>
              <w:ind w:left="165" w:right="51"/>
              <w:jc w:val="left"/>
              <w:rPr>
                <w:sz w:val="24"/>
              </w:rPr>
            </w:pPr>
            <w:r>
              <w:rPr>
                <w:sz w:val="24"/>
              </w:rPr>
              <w:t>Proceso general del manejo de riesgo de la calidad</w:t>
            </w:r>
          </w:p>
        </w:tc>
        <w:tc>
          <w:tcPr>
            <w:tcW w:w="1021" w:type="dxa"/>
          </w:tcPr>
          <w:p>
            <w:pPr>
              <w:pStyle w:val="TableParagraph"/>
              <w:spacing w:before="47"/>
              <w:ind w:left="73"/>
              <w:jc w:val="left"/>
              <w:rPr>
                <w:sz w:val="24"/>
              </w:rPr>
            </w:pPr>
            <w:r>
              <w:rPr>
                <w:sz w:val="24"/>
              </w:rPr>
              <w:t>12</w:t>
            </w:r>
          </w:p>
        </w:tc>
      </w:tr>
      <w:tr>
        <w:trPr>
          <w:trHeight w:val="672" w:hRule="exact"/>
        </w:trPr>
        <w:tc>
          <w:tcPr>
            <w:tcW w:w="1753" w:type="dxa"/>
          </w:tcPr>
          <w:p>
            <w:pPr>
              <w:pStyle w:val="TableParagraph"/>
              <w:spacing w:before="47"/>
              <w:ind w:left="200"/>
              <w:jc w:val="left"/>
              <w:rPr>
                <w:sz w:val="24"/>
              </w:rPr>
            </w:pPr>
            <w:r>
              <w:rPr>
                <w:sz w:val="24"/>
              </w:rPr>
              <w:t>Figura 2.3</w:t>
            </w:r>
          </w:p>
        </w:tc>
        <w:tc>
          <w:tcPr>
            <w:tcW w:w="6093" w:type="dxa"/>
          </w:tcPr>
          <w:p>
            <w:pPr>
              <w:pStyle w:val="TableParagraph"/>
              <w:spacing w:before="47"/>
              <w:ind w:left="165" w:right="51"/>
              <w:jc w:val="left"/>
              <w:rPr>
                <w:sz w:val="24"/>
              </w:rPr>
            </w:pPr>
            <w:r>
              <w:rPr>
                <w:sz w:val="24"/>
              </w:rPr>
              <w:t>Clasificación de las impurezas elementales de acuerdo a la guía ICHQ3D</w:t>
            </w:r>
          </w:p>
        </w:tc>
        <w:tc>
          <w:tcPr>
            <w:tcW w:w="1021" w:type="dxa"/>
          </w:tcPr>
          <w:p>
            <w:pPr>
              <w:pStyle w:val="TableParagraph"/>
              <w:spacing w:before="47"/>
              <w:ind w:left="73"/>
              <w:jc w:val="left"/>
              <w:rPr>
                <w:sz w:val="24"/>
              </w:rPr>
            </w:pPr>
            <w:r>
              <w:rPr>
                <w:sz w:val="24"/>
              </w:rPr>
              <w:t>15</w:t>
            </w:r>
          </w:p>
        </w:tc>
      </w:tr>
      <w:tr>
        <w:trPr>
          <w:trHeight w:val="396" w:hRule="exact"/>
        </w:trPr>
        <w:tc>
          <w:tcPr>
            <w:tcW w:w="1753" w:type="dxa"/>
          </w:tcPr>
          <w:p>
            <w:pPr>
              <w:pStyle w:val="TableParagraph"/>
              <w:spacing w:before="47"/>
              <w:ind w:left="200"/>
              <w:jc w:val="left"/>
              <w:rPr>
                <w:sz w:val="24"/>
              </w:rPr>
            </w:pPr>
            <w:r>
              <w:rPr>
                <w:sz w:val="24"/>
              </w:rPr>
              <w:t>Figura 5.1</w:t>
            </w:r>
          </w:p>
        </w:tc>
        <w:tc>
          <w:tcPr>
            <w:tcW w:w="6093" w:type="dxa"/>
          </w:tcPr>
          <w:p>
            <w:pPr>
              <w:pStyle w:val="TableParagraph"/>
              <w:spacing w:before="47"/>
              <w:ind w:left="165" w:right="51"/>
              <w:jc w:val="left"/>
              <w:rPr>
                <w:sz w:val="24"/>
              </w:rPr>
            </w:pPr>
            <w:r>
              <w:rPr>
                <w:sz w:val="24"/>
              </w:rPr>
              <w:t>Proceso general del API estudiado</w:t>
            </w:r>
          </w:p>
        </w:tc>
        <w:tc>
          <w:tcPr>
            <w:tcW w:w="1021" w:type="dxa"/>
          </w:tcPr>
          <w:p>
            <w:pPr>
              <w:pStyle w:val="TableParagraph"/>
              <w:spacing w:before="47"/>
              <w:ind w:left="73"/>
              <w:jc w:val="left"/>
              <w:rPr>
                <w:sz w:val="24"/>
              </w:rPr>
            </w:pPr>
            <w:r>
              <w:rPr>
                <w:sz w:val="24"/>
              </w:rPr>
              <w:t>26</w:t>
            </w:r>
          </w:p>
        </w:tc>
      </w:tr>
      <w:tr>
        <w:trPr>
          <w:trHeight w:val="396" w:hRule="exact"/>
        </w:trPr>
        <w:tc>
          <w:tcPr>
            <w:tcW w:w="1753" w:type="dxa"/>
          </w:tcPr>
          <w:p>
            <w:pPr>
              <w:pStyle w:val="TableParagraph"/>
              <w:spacing w:before="47"/>
              <w:ind w:left="200"/>
              <w:jc w:val="left"/>
              <w:rPr>
                <w:sz w:val="24"/>
              </w:rPr>
            </w:pPr>
            <w:r>
              <w:rPr>
                <w:sz w:val="24"/>
              </w:rPr>
              <w:t>Figura 6.1</w:t>
            </w:r>
          </w:p>
        </w:tc>
        <w:tc>
          <w:tcPr>
            <w:tcW w:w="6093" w:type="dxa"/>
          </w:tcPr>
          <w:p>
            <w:pPr>
              <w:pStyle w:val="TableParagraph"/>
              <w:spacing w:before="47"/>
              <w:ind w:left="165" w:right="51"/>
              <w:jc w:val="left"/>
              <w:rPr>
                <w:sz w:val="24"/>
              </w:rPr>
            </w:pPr>
            <w:r>
              <w:rPr>
                <w:sz w:val="24"/>
              </w:rPr>
              <w:t>Proceso del API en estudio</w:t>
            </w:r>
          </w:p>
        </w:tc>
        <w:tc>
          <w:tcPr>
            <w:tcW w:w="1021" w:type="dxa"/>
          </w:tcPr>
          <w:p>
            <w:pPr>
              <w:pStyle w:val="TableParagraph"/>
              <w:spacing w:before="47"/>
              <w:ind w:left="73"/>
              <w:jc w:val="left"/>
              <w:rPr>
                <w:sz w:val="24"/>
              </w:rPr>
            </w:pPr>
            <w:r>
              <w:rPr>
                <w:sz w:val="24"/>
              </w:rPr>
              <w:t>35</w:t>
            </w:r>
          </w:p>
        </w:tc>
      </w:tr>
      <w:tr>
        <w:trPr>
          <w:trHeight w:val="396" w:hRule="exact"/>
        </w:trPr>
        <w:tc>
          <w:tcPr>
            <w:tcW w:w="1753" w:type="dxa"/>
          </w:tcPr>
          <w:p>
            <w:pPr>
              <w:pStyle w:val="TableParagraph"/>
              <w:spacing w:before="47"/>
              <w:ind w:left="200"/>
              <w:jc w:val="left"/>
              <w:rPr>
                <w:sz w:val="24"/>
              </w:rPr>
            </w:pPr>
            <w:r>
              <w:rPr>
                <w:sz w:val="24"/>
              </w:rPr>
              <w:t>Figura A.1.</w:t>
            </w:r>
          </w:p>
        </w:tc>
        <w:tc>
          <w:tcPr>
            <w:tcW w:w="6093" w:type="dxa"/>
          </w:tcPr>
          <w:p>
            <w:pPr>
              <w:pStyle w:val="TableParagraph"/>
              <w:spacing w:before="47"/>
              <w:ind w:left="165" w:right="51"/>
              <w:jc w:val="left"/>
              <w:rPr>
                <w:sz w:val="24"/>
              </w:rPr>
            </w:pPr>
            <w:r>
              <w:rPr>
                <w:sz w:val="24"/>
              </w:rPr>
              <w:t>Pirámide legislativa</w:t>
            </w:r>
          </w:p>
        </w:tc>
        <w:tc>
          <w:tcPr>
            <w:tcW w:w="1021" w:type="dxa"/>
          </w:tcPr>
          <w:p>
            <w:pPr>
              <w:pStyle w:val="TableParagraph"/>
              <w:spacing w:before="47"/>
              <w:ind w:left="73"/>
              <w:jc w:val="left"/>
              <w:rPr>
                <w:sz w:val="24"/>
              </w:rPr>
            </w:pPr>
            <w:r>
              <w:rPr>
                <w:sz w:val="24"/>
              </w:rPr>
              <w:t>43</w:t>
            </w:r>
          </w:p>
        </w:tc>
      </w:tr>
      <w:tr>
        <w:trPr>
          <w:trHeight w:val="396" w:hRule="exact"/>
        </w:trPr>
        <w:tc>
          <w:tcPr>
            <w:tcW w:w="1753" w:type="dxa"/>
          </w:tcPr>
          <w:p>
            <w:pPr>
              <w:pStyle w:val="TableParagraph"/>
              <w:spacing w:before="47"/>
              <w:ind w:left="200"/>
              <w:jc w:val="left"/>
              <w:rPr>
                <w:sz w:val="24"/>
              </w:rPr>
            </w:pPr>
            <w:r>
              <w:rPr>
                <w:sz w:val="24"/>
              </w:rPr>
              <w:t>Figura B.III.1</w:t>
            </w:r>
          </w:p>
        </w:tc>
        <w:tc>
          <w:tcPr>
            <w:tcW w:w="6093" w:type="dxa"/>
          </w:tcPr>
          <w:p>
            <w:pPr>
              <w:pStyle w:val="TableParagraph"/>
              <w:spacing w:before="47"/>
              <w:ind w:left="165" w:right="51"/>
              <w:jc w:val="left"/>
              <w:rPr>
                <w:sz w:val="24"/>
              </w:rPr>
            </w:pPr>
            <w:r>
              <w:rPr>
                <w:sz w:val="24"/>
              </w:rPr>
              <w:t>Resultados de la linealidad de la respuesta para As</w:t>
            </w:r>
          </w:p>
        </w:tc>
        <w:tc>
          <w:tcPr>
            <w:tcW w:w="1021" w:type="dxa"/>
          </w:tcPr>
          <w:p>
            <w:pPr>
              <w:pStyle w:val="TableParagraph"/>
              <w:spacing w:before="47"/>
              <w:ind w:left="73"/>
              <w:jc w:val="left"/>
              <w:rPr>
                <w:sz w:val="24"/>
              </w:rPr>
            </w:pPr>
            <w:r>
              <w:rPr>
                <w:sz w:val="24"/>
              </w:rPr>
              <w:t>54</w:t>
            </w:r>
          </w:p>
        </w:tc>
      </w:tr>
      <w:tr>
        <w:trPr>
          <w:trHeight w:val="396" w:hRule="exact"/>
        </w:trPr>
        <w:tc>
          <w:tcPr>
            <w:tcW w:w="1753" w:type="dxa"/>
          </w:tcPr>
          <w:p>
            <w:pPr>
              <w:pStyle w:val="TableParagraph"/>
              <w:spacing w:before="47"/>
              <w:ind w:left="200"/>
              <w:jc w:val="left"/>
              <w:rPr>
                <w:sz w:val="24"/>
              </w:rPr>
            </w:pPr>
            <w:r>
              <w:rPr>
                <w:sz w:val="24"/>
              </w:rPr>
              <w:t>Figura B.III.2</w:t>
            </w:r>
          </w:p>
        </w:tc>
        <w:tc>
          <w:tcPr>
            <w:tcW w:w="6093" w:type="dxa"/>
          </w:tcPr>
          <w:p>
            <w:pPr>
              <w:pStyle w:val="TableParagraph"/>
              <w:spacing w:before="47"/>
              <w:ind w:left="165" w:right="51"/>
              <w:jc w:val="left"/>
              <w:rPr>
                <w:sz w:val="24"/>
              </w:rPr>
            </w:pPr>
            <w:r>
              <w:rPr>
                <w:sz w:val="24"/>
              </w:rPr>
              <w:t>Resultados de la linealidad de la respuesta para Cd</w:t>
            </w:r>
          </w:p>
        </w:tc>
        <w:tc>
          <w:tcPr>
            <w:tcW w:w="1021" w:type="dxa"/>
          </w:tcPr>
          <w:p>
            <w:pPr>
              <w:pStyle w:val="TableParagraph"/>
              <w:spacing w:before="47"/>
              <w:ind w:left="73"/>
              <w:jc w:val="left"/>
              <w:rPr>
                <w:sz w:val="24"/>
              </w:rPr>
            </w:pPr>
            <w:r>
              <w:rPr>
                <w:sz w:val="24"/>
              </w:rPr>
              <w:t>55</w:t>
            </w:r>
          </w:p>
        </w:tc>
      </w:tr>
      <w:tr>
        <w:trPr>
          <w:trHeight w:val="396" w:hRule="exact"/>
        </w:trPr>
        <w:tc>
          <w:tcPr>
            <w:tcW w:w="1753" w:type="dxa"/>
          </w:tcPr>
          <w:p>
            <w:pPr>
              <w:pStyle w:val="TableParagraph"/>
              <w:spacing w:before="47"/>
              <w:ind w:left="200"/>
              <w:jc w:val="left"/>
              <w:rPr>
                <w:sz w:val="24"/>
              </w:rPr>
            </w:pPr>
            <w:r>
              <w:rPr>
                <w:sz w:val="24"/>
              </w:rPr>
              <w:t>Figura B.III.3</w:t>
            </w:r>
          </w:p>
        </w:tc>
        <w:tc>
          <w:tcPr>
            <w:tcW w:w="6093" w:type="dxa"/>
          </w:tcPr>
          <w:p>
            <w:pPr>
              <w:pStyle w:val="TableParagraph"/>
              <w:spacing w:before="47"/>
              <w:ind w:left="165" w:right="51"/>
              <w:jc w:val="left"/>
              <w:rPr>
                <w:sz w:val="24"/>
              </w:rPr>
            </w:pPr>
            <w:r>
              <w:rPr>
                <w:sz w:val="24"/>
              </w:rPr>
              <w:t>Resultados de la linealidad de la respuesta para Hg</w:t>
            </w:r>
          </w:p>
        </w:tc>
        <w:tc>
          <w:tcPr>
            <w:tcW w:w="1021" w:type="dxa"/>
          </w:tcPr>
          <w:p>
            <w:pPr>
              <w:pStyle w:val="TableParagraph"/>
              <w:spacing w:before="47"/>
              <w:ind w:left="73"/>
              <w:jc w:val="left"/>
              <w:rPr>
                <w:sz w:val="24"/>
              </w:rPr>
            </w:pPr>
            <w:r>
              <w:rPr>
                <w:sz w:val="24"/>
              </w:rPr>
              <w:t>56</w:t>
            </w:r>
          </w:p>
        </w:tc>
      </w:tr>
      <w:tr>
        <w:trPr>
          <w:trHeight w:val="396" w:hRule="exact"/>
        </w:trPr>
        <w:tc>
          <w:tcPr>
            <w:tcW w:w="1753" w:type="dxa"/>
          </w:tcPr>
          <w:p>
            <w:pPr>
              <w:pStyle w:val="TableParagraph"/>
              <w:spacing w:before="47"/>
              <w:ind w:left="200"/>
              <w:jc w:val="left"/>
              <w:rPr>
                <w:sz w:val="24"/>
              </w:rPr>
            </w:pPr>
            <w:r>
              <w:rPr>
                <w:sz w:val="24"/>
              </w:rPr>
              <w:t>Figura B.III.4</w:t>
            </w:r>
          </w:p>
        </w:tc>
        <w:tc>
          <w:tcPr>
            <w:tcW w:w="6093" w:type="dxa"/>
          </w:tcPr>
          <w:p>
            <w:pPr>
              <w:pStyle w:val="TableParagraph"/>
              <w:spacing w:before="47"/>
              <w:ind w:left="165" w:right="51"/>
              <w:jc w:val="left"/>
              <w:rPr>
                <w:sz w:val="24"/>
              </w:rPr>
            </w:pPr>
            <w:r>
              <w:rPr>
                <w:sz w:val="24"/>
              </w:rPr>
              <w:t>Resultados de la linealidad de la respuesta para Pb</w:t>
            </w:r>
          </w:p>
        </w:tc>
        <w:tc>
          <w:tcPr>
            <w:tcW w:w="1021" w:type="dxa"/>
          </w:tcPr>
          <w:p>
            <w:pPr>
              <w:pStyle w:val="TableParagraph"/>
              <w:spacing w:before="47"/>
              <w:ind w:left="73"/>
              <w:jc w:val="left"/>
              <w:rPr>
                <w:sz w:val="24"/>
              </w:rPr>
            </w:pPr>
            <w:r>
              <w:rPr>
                <w:sz w:val="24"/>
              </w:rPr>
              <w:t>57</w:t>
            </w:r>
          </w:p>
        </w:tc>
      </w:tr>
      <w:tr>
        <w:trPr>
          <w:trHeight w:val="396" w:hRule="exact"/>
        </w:trPr>
        <w:tc>
          <w:tcPr>
            <w:tcW w:w="1753" w:type="dxa"/>
          </w:tcPr>
          <w:p>
            <w:pPr>
              <w:pStyle w:val="TableParagraph"/>
              <w:spacing w:before="47"/>
              <w:ind w:left="200"/>
              <w:jc w:val="left"/>
              <w:rPr>
                <w:sz w:val="24"/>
              </w:rPr>
            </w:pPr>
            <w:r>
              <w:rPr>
                <w:sz w:val="24"/>
              </w:rPr>
              <w:t>Figura C.III.1</w:t>
            </w:r>
          </w:p>
        </w:tc>
        <w:tc>
          <w:tcPr>
            <w:tcW w:w="6093" w:type="dxa"/>
          </w:tcPr>
          <w:p>
            <w:pPr>
              <w:pStyle w:val="TableParagraph"/>
              <w:spacing w:before="47"/>
              <w:ind w:left="165" w:right="51"/>
              <w:jc w:val="left"/>
              <w:rPr>
                <w:sz w:val="24"/>
              </w:rPr>
            </w:pPr>
            <w:r>
              <w:rPr>
                <w:sz w:val="24"/>
              </w:rPr>
              <w:t>Resultados de la linealidad de la respuesta para V</w:t>
            </w:r>
          </w:p>
        </w:tc>
        <w:tc>
          <w:tcPr>
            <w:tcW w:w="1021" w:type="dxa"/>
          </w:tcPr>
          <w:p>
            <w:pPr>
              <w:pStyle w:val="TableParagraph"/>
              <w:spacing w:before="47"/>
              <w:ind w:left="73"/>
              <w:jc w:val="left"/>
              <w:rPr>
                <w:sz w:val="24"/>
              </w:rPr>
            </w:pPr>
            <w:r>
              <w:rPr>
                <w:sz w:val="24"/>
              </w:rPr>
              <w:t>68</w:t>
            </w:r>
          </w:p>
        </w:tc>
      </w:tr>
      <w:tr>
        <w:trPr>
          <w:trHeight w:val="396" w:hRule="exact"/>
        </w:trPr>
        <w:tc>
          <w:tcPr>
            <w:tcW w:w="1753" w:type="dxa"/>
          </w:tcPr>
          <w:p>
            <w:pPr>
              <w:pStyle w:val="TableParagraph"/>
              <w:spacing w:before="47"/>
              <w:ind w:left="200"/>
              <w:jc w:val="left"/>
              <w:rPr>
                <w:sz w:val="24"/>
              </w:rPr>
            </w:pPr>
            <w:r>
              <w:rPr>
                <w:sz w:val="24"/>
              </w:rPr>
              <w:t>Figura C.III.2</w:t>
            </w:r>
          </w:p>
        </w:tc>
        <w:tc>
          <w:tcPr>
            <w:tcW w:w="6093" w:type="dxa"/>
          </w:tcPr>
          <w:p>
            <w:pPr>
              <w:pStyle w:val="TableParagraph"/>
              <w:spacing w:before="47"/>
              <w:ind w:left="165" w:right="51"/>
              <w:jc w:val="left"/>
              <w:rPr>
                <w:sz w:val="24"/>
              </w:rPr>
            </w:pPr>
            <w:r>
              <w:rPr>
                <w:sz w:val="24"/>
              </w:rPr>
              <w:t>Resultados de la linealidad de la respuesta para Co</w:t>
            </w:r>
          </w:p>
        </w:tc>
        <w:tc>
          <w:tcPr>
            <w:tcW w:w="1021" w:type="dxa"/>
          </w:tcPr>
          <w:p>
            <w:pPr>
              <w:pStyle w:val="TableParagraph"/>
              <w:spacing w:before="47"/>
              <w:ind w:left="73"/>
              <w:jc w:val="left"/>
              <w:rPr>
                <w:sz w:val="24"/>
              </w:rPr>
            </w:pPr>
            <w:r>
              <w:rPr>
                <w:sz w:val="24"/>
              </w:rPr>
              <w:t>69</w:t>
            </w:r>
          </w:p>
        </w:tc>
      </w:tr>
      <w:tr>
        <w:trPr>
          <w:trHeight w:val="396" w:hRule="exact"/>
        </w:trPr>
        <w:tc>
          <w:tcPr>
            <w:tcW w:w="1753" w:type="dxa"/>
          </w:tcPr>
          <w:p>
            <w:pPr>
              <w:pStyle w:val="TableParagraph"/>
              <w:spacing w:before="47"/>
              <w:ind w:left="200"/>
              <w:jc w:val="left"/>
              <w:rPr>
                <w:sz w:val="24"/>
              </w:rPr>
            </w:pPr>
            <w:r>
              <w:rPr>
                <w:sz w:val="24"/>
              </w:rPr>
              <w:t>Figura C.III.3</w:t>
            </w:r>
          </w:p>
        </w:tc>
        <w:tc>
          <w:tcPr>
            <w:tcW w:w="6093" w:type="dxa"/>
          </w:tcPr>
          <w:p>
            <w:pPr>
              <w:pStyle w:val="TableParagraph"/>
              <w:spacing w:before="47"/>
              <w:ind w:left="165" w:right="51"/>
              <w:jc w:val="left"/>
              <w:rPr>
                <w:sz w:val="24"/>
              </w:rPr>
            </w:pPr>
            <w:r>
              <w:rPr>
                <w:sz w:val="24"/>
              </w:rPr>
              <w:t>Resultados de la linealidad de la respuesta para Ni</w:t>
            </w:r>
          </w:p>
        </w:tc>
        <w:tc>
          <w:tcPr>
            <w:tcW w:w="1021" w:type="dxa"/>
          </w:tcPr>
          <w:p>
            <w:pPr>
              <w:pStyle w:val="TableParagraph"/>
              <w:spacing w:before="47"/>
              <w:ind w:left="73"/>
              <w:jc w:val="left"/>
              <w:rPr>
                <w:sz w:val="24"/>
              </w:rPr>
            </w:pPr>
            <w:r>
              <w:rPr>
                <w:sz w:val="24"/>
              </w:rPr>
              <w:t>70</w:t>
            </w:r>
          </w:p>
        </w:tc>
      </w:tr>
      <w:tr>
        <w:trPr>
          <w:trHeight w:val="670" w:hRule="exact"/>
        </w:trPr>
        <w:tc>
          <w:tcPr>
            <w:tcW w:w="1753" w:type="dxa"/>
          </w:tcPr>
          <w:p>
            <w:pPr>
              <w:pStyle w:val="TableParagraph"/>
              <w:spacing w:before="47"/>
              <w:ind w:left="200"/>
              <w:jc w:val="left"/>
              <w:rPr>
                <w:sz w:val="24"/>
              </w:rPr>
            </w:pPr>
            <w:r>
              <w:rPr>
                <w:sz w:val="24"/>
              </w:rPr>
              <w:t>Figura D.III.1</w:t>
            </w:r>
          </w:p>
        </w:tc>
        <w:tc>
          <w:tcPr>
            <w:tcW w:w="6093" w:type="dxa"/>
          </w:tcPr>
          <w:p>
            <w:pPr>
              <w:pStyle w:val="TableParagraph"/>
              <w:spacing w:line="274" w:lineRule="exact" w:before="53"/>
              <w:ind w:left="165" w:right="51"/>
              <w:jc w:val="left"/>
              <w:rPr>
                <w:sz w:val="24"/>
              </w:rPr>
            </w:pPr>
            <w:r>
              <w:rPr>
                <w:sz w:val="24"/>
              </w:rPr>
              <w:t>Resultados de la linealidad de la respuesta para Paladio</w:t>
            </w:r>
          </w:p>
        </w:tc>
        <w:tc>
          <w:tcPr>
            <w:tcW w:w="1021" w:type="dxa"/>
          </w:tcPr>
          <w:p>
            <w:pPr>
              <w:pStyle w:val="TableParagraph"/>
              <w:spacing w:before="47"/>
              <w:ind w:left="73"/>
              <w:jc w:val="left"/>
              <w:rPr>
                <w:sz w:val="24"/>
              </w:rPr>
            </w:pPr>
            <w:r>
              <w:rPr>
                <w:sz w:val="24"/>
              </w:rPr>
              <w:t>81</w:t>
            </w:r>
          </w:p>
        </w:tc>
      </w:tr>
      <w:tr>
        <w:trPr>
          <w:trHeight w:val="318" w:hRule="exact"/>
        </w:trPr>
        <w:tc>
          <w:tcPr>
            <w:tcW w:w="1753" w:type="dxa"/>
          </w:tcPr>
          <w:p>
            <w:pPr>
              <w:pStyle w:val="TableParagraph"/>
              <w:spacing w:before="47"/>
              <w:ind w:left="200"/>
              <w:jc w:val="left"/>
              <w:rPr>
                <w:sz w:val="24"/>
              </w:rPr>
            </w:pPr>
            <w:r>
              <w:rPr>
                <w:sz w:val="24"/>
              </w:rPr>
              <w:t>Figura F.1</w:t>
            </w:r>
          </w:p>
        </w:tc>
        <w:tc>
          <w:tcPr>
            <w:tcW w:w="6093" w:type="dxa"/>
          </w:tcPr>
          <w:p>
            <w:pPr>
              <w:pStyle w:val="TableParagraph"/>
              <w:spacing w:before="47"/>
              <w:ind w:left="165" w:right="51"/>
              <w:jc w:val="left"/>
              <w:rPr>
                <w:sz w:val="24"/>
              </w:rPr>
            </w:pPr>
            <w:r>
              <w:rPr>
                <w:sz w:val="24"/>
              </w:rPr>
              <w:t>Elementos analizados mediante la técnica de ICP-MS</w:t>
            </w:r>
          </w:p>
        </w:tc>
        <w:tc>
          <w:tcPr>
            <w:tcW w:w="1021" w:type="dxa"/>
          </w:tcPr>
          <w:p>
            <w:pPr>
              <w:pStyle w:val="TableParagraph"/>
              <w:spacing w:before="47"/>
              <w:ind w:left="73"/>
              <w:jc w:val="left"/>
              <w:rPr>
                <w:sz w:val="24"/>
              </w:rPr>
            </w:pPr>
            <w:r>
              <w:rPr>
                <w:sz w:val="24"/>
              </w:rPr>
              <w:t>104</w:t>
            </w:r>
          </w:p>
        </w:tc>
      </w:tr>
    </w:tbl>
    <w:p>
      <w:pPr>
        <w:spacing w:after="0"/>
        <w:jc w:val="left"/>
        <w:rPr>
          <w:sz w:val="24"/>
        </w:rPr>
        <w:sectPr>
          <w:pgSz w:w="12240" w:h="15840"/>
          <w:pgMar w:header="0" w:footer="859" w:top="1360" w:bottom="1040" w:left="1440" w:right="1580"/>
        </w:sectPr>
      </w:pPr>
    </w:p>
    <w:p>
      <w:pPr>
        <w:pStyle w:val="Heading1"/>
        <w:numPr>
          <w:ilvl w:val="0"/>
          <w:numId w:val="4"/>
        </w:numPr>
        <w:tabs>
          <w:tab w:pos="371" w:val="left" w:leader="none"/>
        </w:tabs>
        <w:spacing w:line="240" w:lineRule="auto" w:before="154" w:after="0"/>
        <w:ind w:left="370" w:right="0" w:hanging="268"/>
        <w:jc w:val="both"/>
      </w:pPr>
      <w:bookmarkStart w:name="_bookmark4" w:id="5"/>
      <w:bookmarkEnd w:id="5"/>
      <w:r>
        <w:rPr>
          <w:b w:val="0"/>
        </w:rPr>
      </w:r>
      <w:bookmarkStart w:name="_bookmark4" w:id="6"/>
      <w:bookmarkEnd w:id="6"/>
      <w:r>
        <w:rPr/>
        <w:t>I</w:t>
      </w:r>
      <w:r>
        <w:rPr/>
        <w:t>NTRODUCCIÓN</w:t>
      </w:r>
    </w:p>
    <w:p>
      <w:pPr>
        <w:pStyle w:val="BodyText"/>
        <w:rPr>
          <w:b/>
        </w:rPr>
      </w:pPr>
    </w:p>
    <w:p>
      <w:pPr>
        <w:pStyle w:val="BodyText"/>
        <w:spacing w:line="345" w:lineRule="auto" w:before="180"/>
        <w:ind w:left="102" w:right="116"/>
        <w:jc w:val="both"/>
      </w:pPr>
      <w:r>
        <w:rPr/>
        <w:t>Según la Real Academia Española (RAE), la </w:t>
      </w:r>
      <w:r>
        <w:rPr>
          <w:b/>
        </w:rPr>
        <w:t>calidad </w:t>
      </w:r>
      <w:r>
        <w:rPr/>
        <w:t>se define como la  adecuación de un producto o servicio a las características o atributos especificados</w:t>
      </w:r>
      <w:r>
        <w:rPr>
          <w:position w:val="11"/>
          <w:sz w:val="16"/>
        </w:rPr>
        <w:t>1</w:t>
      </w:r>
      <w:r>
        <w:rPr/>
        <w:t>.</w:t>
      </w:r>
    </w:p>
    <w:p>
      <w:pPr>
        <w:pStyle w:val="BodyText"/>
        <w:spacing w:before="3"/>
        <w:rPr>
          <w:sz w:val="36"/>
        </w:rPr>
      </w:pPr>
    </w:p>
    <w:p>
      <w:pPr>
        <w:pStyle w:val="BodyText"/>
        <w:spacing w:line="355" w:lineRule="auto"/>
        <w:ind w:left="102" w:right="115"/>
        <w:jc w:val="both"/>
        <w:rPr>
          <w:sz w:val="16"/>
        </w:rPr>
      </w:pPr>
      <w:r>
        <w:rPr/>
        <w:t>Un atributo es cada una de las cualidades o propiedades de un producto  o servicio. Cuando hablamos de un </w:t>
      </w:r>
      <w:r>
        <w:rPr>
          <w:b/>
        </w:rPr>
        <w:t>atributo crítico de la calidad </w:t>
      </w:r>
      <w:r>
        <w:rPr/>
        <w:t>nos referimos a las características del producto que tienen un impacto en la calidad y que deben ser estudiadas y controladas. Pueden ser propiedades o características físicas, químicas, biológicas o microbiológicas que deban mantenerse dentro de un límite, rango o distribución apropiado, para asegurar la calidad del producto deseada.</w:t>
      </w:r>
      <w:r>
        <w:rPr>
          <w:position w:val="11"/>
          <w:sz w:val="16"/>
        </w:rPr>
        <w:t>2</w:t>
      </w:r>
    </w:p>
    <w:p>
      <w:pPr>
        <w:pStyle w:val="BodyText"/>
        <w:rPr>
          <w:sz w:val="35"/>
        </w:rPr>
      </w:pPr>
    </w:p>
    <w:p>
      <w:pPr>
        <w:pStyle w:val="BodyText"/>
        <w:spacing w:line="348" w:lineRule="auto"/>
        <w:ind w:left="102" w:right="114"/>
        <w:jc w:val="both"/>
        <w:rPr>
          <w:sz w:val="16"/>
        </w:rPr>
      </w:pPr>
      <w:r>
        <w:rPr/>
        <w:t>Algunos de los principales atributos de calidad de un fármaco o de un medicamento son: identidad, potencia, pureza, eficacia, estabilidad y seguridad.</w:t>
      </w:r>
      <w:r>
        <w:rPr>
          <w:position w:val="11"/>
          <w:sz w:val="16"/>
        </w:rPr>
        <w:t>3 </w:t>
      </w:r>
      <w:r>
        <w:rPr/>
        <w:t>Una calidad deficiente puede dejar al medicamento sin efecto terapéutico y puede ocasionar reacciones adversas o tóxicas; éstas, a su vez, pueden producir daños  a los pacientes (prolongando su enfermedad o induciendo un problema de salud nuevo), además de malgastar recursos</w:t>
      </w:r>
      <w:r>
        <w:rPr>
          <w:spacing w:val="-10"/>
        </w:rPr>
        <w:t> </w:t>
      </w:r>
      <w:r>
        <w:rPr/>
        <w:t>limitados.</w:t>
      </w:r>
      <w:r>
        <w:rPr>
          <w:position w:val="11"/>
          <w:sz w:val="16"/>
        </w:rPr>
        <w:t>4</w:t>
      </w:r>
    </w:p>
    <w:p>
      <w:pPr>
        <w:pStyle w:val="BodyText"/>
        <w:rPr>
          <w:sz w:val="36"/>
        </w:rPr>
      </w:pPr>
    </w:p>
    <w:p>
      <w:pPr>
        <w:pStyle w:val="BodyText"/>
        <w:spacing w:line="360" w:lineRule="auto"/>
        <w:ind w:left="102" w:right="114"/>
        <w:jc w:val="both"/>
      </w:pPr>
      <w:r>
        <w:rPr/>
        <w:t>Los atributos de la calidad pueden verse afectados por el proceso de fabricación, el envasado, el almacenamiento y otros factores. Por ello, en la actualidad, el aseguramiento de la calidad es un concepto absoluto: la calidad es una sola y se debe lograr mediante normas y procedimientos que se ejecutan y exigen con</w:t>
      </w:r>
      <w:r>
        <w:rPr>
          <w:spacing w:val="-26"/>
        </w:rPr>
        <w:t> </w:t>
      </w:r>
      <w:r>
        <w:rPr/>
        <w:t>rigor.</w:t>
      </w:r>
    </w:p>
    <w:p>
      <w:pPr>
        <w:pStyle w:val="BodyText"/>
        <w:spacing w:line="350" w:lineRule="auto" w:before="205"/>
        <w:ind w:left="102" w:right="114"/>
        <w:jc w:val="both"/>
        <w:rPr>
          <w:sz w:val="16"/>
        </w:rPr>
      </w:pPr>
      <w:r>
        <w:rPr/>
        <w:t>El aseguramiento de la calidad de los medicamentos abarca a investigación y desarrollo, producción, control de calidad, almacenamiento, distribución, fármaco- vigilancia e información al profesional que prescribe y la  información proporcionada al paciente. </w:t>
      </w:r>
      <w:r>
        <w:rPr>
          <w:position w:val="11"/>
          <w:sz w:val="16"/>
        </w:rPr>
        <w:t>5</w:t>
      </w:r>
    </w:p>
    <w:p>
      <w:pPr>
        <w:spacing w:after="0" w:line="350" w:lineRule="auto"/>
        <w:jc w:val="both"/>
        <w:rPr>
          <w:sz w:val="16"/>
        </w:rPr>
        <w:sectPr>
          <w:footerReference w:type="default" r:id="rId10"/>
          <w:pgSz w:w="12240" w:h="15840"/>
          <w:pgMar w:footer="919" w:header="0" w:top="1500" w:bottom="1100" w:left="1600" w:right="1580"/>
          <w:pgNumType w:start="1"/>
        </w:sectPr>
      </w:pPr>
    </w:p>
    <w:p>
      <w:pPr>
        <w:spacing w:line="352" w:lineRule="auto" w:before="54"/>
        <w:ind w:left="102" w:right="114" w:firstLine="0"/>
        <w:jc w:val="both"/>
        <w:rPr>
          <w:sz w:val="16"/>
        </w:rPr>
      </w:pPr>
      <w:r>
        <w:rPr>
          <w:sz w:val="24"/>
        </w:rPr>
        <w:t>Ejemplo de entidades que se encargan del aseguramiento de la calidad de los medicamentos son: la FDA (Food and Drug Administration), en Estados Unidos, la Agencia Europea de Evaluación de los Medicamentos (EMEA), y una entidad armonizadora, que es la </w:t>
      </w:r>
      <w:r>
        <w:rPr>
          <w:b/>
          <w:sz w:val="24"/>
        </w:rPr>
        <w:t>ICH (International Conference on Harmonisation of Technical Requirements for Registration of Pharmaceuticals for Human Use)</w:t>
      </w:r>
      <w:r>
        <w:rPr>
          <w:position w:val="11"/>
          <w:sz w:val="16"/>
        </w:rPr>
        <w:t>5</w:t>
      </w:r>
    </w:p>
    <w:p>
      <w:pPr>
        <w:pStyle w:val="BodyText"/>
        <w:spacing w:before="5"/>
        <w:rPr>
          <w:sz w:val="35"/>
        </w:rPr>
      </w:pPr>
    </w:p>
    <w:p>
      <w:pPr>
        <w:pStyle w:val="BodyText"/>
        <w:spacing w:line="360" w:lineRule="auto" w:before="1"/>
        <w:ind w:left="102" w:right="115"/>
        <w:jc w:val="both"/>
      </w:pPr>
      <w:r>
        <w:rPr/>
        <w:t>Para asegurar la calidad de los medicamentos y de los fármacos o Principios Activos Farmacéuticos </w:t>
      </w:r>
      <w:r>
        <w:rPr>
          <w:b/>
        </w:rPr>
        <w:t>APIs</w:t>
      </w:r>
      <w:r>
        <w:rPr/>
        <w:t>, (por sus siglas en inglés </w:t>
      </w:r>
      <w:r>
        <w:rPr>
          <w:i/>
        </w:rPr>
        <w:t>Active Pharmaceutical </w:t>
      </w:r>
      <w:r>
        <w:rPr>
          <w:i/>
        </w:rPr>
        <w:t>Ingredient</w:t>
      </w:r>
      <w:r>
        <w:rPr/>
        <w:t>), uno de los atributos críticos que se deben de monitorear cuidadosamente son las impurezas durante el desarrollo del proceso, la optimización y la transferencia. El análisis de impurezas elementales, en especial los elementos de mayor toxicidad (As, Cd, Hg y Pb) y otros están fuertemente</w:t>
      </w:r>
    </w:p>
    <w:p>
      <w:pPr>
        <w:pStyle w:val="BodyText"/>
        <w:spacing w:line="279" w:lineRule="exact"/>
        <w:ind w:left="102"/>
        <w:jc w:val="both"/>
      </w:pPr>
      <w:r>
        <w:rPr/>
        <w:t>regulados    por    legislaciones    internacionales,    </w:t>
      </w:r>
      <w:r>
        <w:rPr>
          <w:position w:val="11"/>
          <w:sz w:val="16"/>
        </w:rPr>
        <w:t>6      </w:t>
      </w:r>
      <w:r>
        <w:rPr/>
        <w:t>como    las    anteriormente</w:t>
      </w:r>
    </w:p>
    <w:p>
      <w:pPr>
        <w:pStyle w:val="BodyText"/>
        <w:spacing w:line="360" w:lineRule="auto" w:before="139"/>
        <w:ind w:left="102" w:right="115"/>
        <w:jc w:val="both"/>
      </w:pPr>
      <w:r>
        <w:rPr/>
        <w:t>mencionadas, y también por las legislaciones nacionales (información detallada en </w:t>
      </w:r>
      <w:r>
        <w:rPr>
          <w:b/>
        </w:rPr>
        <w:t>Anexo </w:t>
      </w:r>
      <w:r>
        <w:rPr>
          <w:b/>
          <w:spacing w:val="-3"/>
        </w:rPr>
        <w:t>A</w:t>
      </w:r>
      <w:r>
        <w:rPr>
          <w:spacing w:val="-3"/>
        </w:rPr>
        <w:t>) </w:t>
      </w:r>
      <w:r>
        <w:rPr/>
        <w:t>debido a que estas impurezas pueden ser dañinas a la salud humana  en muy bajas</w:t>
      </w:r>
      <w:r>
        <w:rPr>
          <w:spacing w:val="-15"/>
        </w:rPr>
        <w:t> </w:t>
      </w:r>
      <w:r>
        <w:rPr/>
        <w:t>concentraciones.</w:t>
      </w:r>
    </w:p>
    <w:p>
      <w:pPr>
        <w:pStyle w:val="BodyText"/>
      </w:pPr>
    </w:p>
    <w:p>
      <w:pPr>
        <w:pStyle w:val="BodyText"/>
        <w:spacing w:line="360" w:lineRule="auto" w:before="142"/>
        <w:ind w:left="102" w:right="114"/>
        <w:jc w:val="both"/>
      </w:pPr>
      <w:r>
        <w:rPr/>
        <w:t>En el presente trabajo se aborda la estrategia para asegurar que los API’s producidos en la empresa farmoquímica cumplan en su totalidad con los requerimientos de las agencias regulatorias nacionales e internacionales, en cuanto al atributo de calidad establecido en el ámbito de impurezas elementales. Ésta estrategia aborda desde la aprobación de materias primas, el seguimiento de las diversas etapas de la producción y la verificación del producto terminado.</w:t>
      </w:r>
    </w:p>
    <w:p>
      <w:pPr>
        <w:spacing w:after="0" w:line="360" w:lineRule="auto"/>
        <w:jc w:val="both"/>
        <w:sectPr>
          <w:pgSz w:w="12240" w:h="15840"/>
          <w:pgMar w:header="0" w:footer="919" w:top="1360" w:bottom="1100" w:left="1600" w:right="1580"/>
        </w:sectPr>
      </w:pPr>
    </w:p>
    <w:p>
      <w:pPr>
        <w:pStyle w:val="Heading1"/>
        <w:numPr>
          <w:ilvl w:val="0"/>
          <w:numId w:val="4"/>
        </w:numPr>
        <w:tabs>
          <w:tab w:pos="371" w:val="left" w:leader="none"/>
        </w:tabs>
        <w:spacing w:line="240" w:lineRule="auto" w:before="54" w:after="0"/>
        <w:ind w:left="370" w:right="0" w:hanging="268"/>
        <w:jc w:val="both"/>
      </w:pPr>
      <w:bookmarkStart w:name="_bookmark5" w:id="7"/>
      <w:bookmarkEnd w:id="7"/>
      <w:r>
        <w:rPr>
          <w:b w:val="0"/>
        </w:rPr>
      </w:r>
      <w:bookmarkStart w:name="_bookmark5" w:id="8"/>
      <w:bookmarkEnd w:id="8"/>
      <w:r>
        <w:rPr/>
        <w:t>M</w:t>
      </w:r>
      <w:r>
        <w:rPr/>
        <w:t>ARCO</w:t>
      </w:r>
      <w:r>
        <w:rPr>
          <w:spacing w:val="-7"/>
        </w:rPr>
        <w:t> </w:t>
      </w:r>
      <w:r>
        <w:rPr/>
        <w:t>TEÓRICO</w:t>
      </w:r>
    </w:p>
    <w:p>
      <w:pPr>
        <w:pStyle w:val="BodyText"/>
        <w:spacing w:before="7"/>
        <w:rPr>
          <w:b/>
        </w:rPr>
      </w:pPr>
    </w:p>
    <w:p>
      <w:pPr>
        <w:pStyle w:val="Heading2"/>
        <w:numPr>
          <w:ilvl w:val="1"/>
          <w:numId w:val="4"/>
        </w:numPr>
        <w:tabs>
          <w:tab w:pos="570" w:val="left" w:leader="none"/>
        </w:tabs>
        <w:spacing w:line="240" w:lineRule="auto" w:before="0" w:after="0"/>
        <w:ind w:left="102" w:right="0" w:firstLine="0"/>
        <w:jc w:val="both"/>
        <w:rPr>
          <w:i/>
        </w:rPr>
      </w:pPr>
      <w:bookmarkStart w:name="_bookmark6" w:id="9"/>
      <w:bookmarkEnd w:id="9"/>
      <w:r>
        <w:rPr>
          <w:b w:val="0"/>
          <w:i w:val="0"/>
        </w:rPr>
      </w:r>
      <w:bookmarkStart w:name="_bookmark6" w:id="10"/>
      <w:bookmarkEnd w:id="10"/>
      <w:r>
        <w:rPr>
          <w:i/>
        </w:rPr>
        <w:t>Impurez</w:t>
      </w:r>
      <w:r>
        <w:rPr>
          <w:i/>
        </w:rPr>
        <w:t>as</w:t>
      </w:r>
      <w:r>
        <w:rPr>
          <w:i/>
          <w:spacing w:val="-7"/>
        </w:rPr>
        <w:t> </w:t>
      </w:r>
      <w:r>
        <w:rPr>
          <w:i/>
        </w:rPr>
        <w:t>Elementales</w:t>
      </w:r>
    </w:p>
    <w:p>
      <w:pPr>
        <w:pStyle w:val="BodyText"/>
        <w:rPr>
          <w:b/>
          <w:i/>
        </w:rPr>
      </w:pPr>
    </w:p>
    <w:p>
      <w:pPr>
        <w:pStyle w:val="BodyText"/>
        <w:spacing w:line="360" w:lineRule="auto" w:before="177"/>
        <w:ind w:left="102" w:right="116"/>
        <w:jc w:val="both"/>
      </w:pPr>
      <w:r>
        <w:rPr/>
        <w:t>Las trazas de impurezas metálicas elementales son un riesgo toxicológico por sí mismas y deben ser controladas atendiendo a las buenas prácticas  de manufactura (GMP’s), para asegurar que los principios activos cumplan con los requisitos de seguridad y con las características de calidad y pureza que les son especificadas. Por otro lado, este tipo de impurezas puede disminuir la estabilidad y acortar la vida del API. Por esta razón entidades como la FDA, EMEA e ICH,</w:t>
      </w:r>
    </w:p>
    <w:p>
      <w:pPr>
        <w:pStyle w:val="BodyText"/>
        <w:spacing w:line="331" w:lineRule="auto" w:before="3"/>
        <w:ind w:left="102" w:right="126"/>
        <w:jc w:val="both"/>
        <w:rPr>
          <w:sz w:val="16"/>
        </w:rPr>
      </w:pPr>
      <w:r>
        <w:rPr/>
        <w:t>advierten que estos problemas de contaminación deben ser completamente investigados de forma periódica. </w:t>
      </w:r>
      <w:r>
        <w:rPr>
          <w:position w:val="11"/>
          <w:sz w:val="16"/>
        </w:rPr>
        <w:t>6</w:t>
      </w:r>
    </w:p>
    <w:p>
      <w:pPr>
        <w:pStyle w:val="BodyText"/>
        <w:spacing w:before="7"/>
        <w:rPr>
          <w:sz w:val="22"/>
        </w:rPr>
      </w:pPr>
    </w:p>
    <w:p>
      <w:pPr>
        <w:pStyle w:val="Heading2"/>
        <w:numPr>
          <w:ilvl w:val="1"/>
          <w:numId w:val="4"/>
        </w:numPr>
        <w:tabs>
          <w:tab w:pos="573" w:val="left" w:leader="none"/>
        </w:tabs>
        <w:spacing w:line="278" w:lineRule="auto" w:before="0" w:after="0"/>
        <w:ind w:left="102" w:right="608" w:firstLine="0"/>
        <w:jc w:val="left"/>
        <w:rPr>
          <w:color w:val="212121"/>
        </w:rPr>
      </w:pPr>
      <w:bookmarkStart w:name="_bookmark7" w:id="11"/>
      <w:bookmarkEnd w:id="11"/>
      <w:r>
        <w:rPr>
          <w:b w:val="0"/>
          <w:i w:val="0"/>
        </w:rPr>
      </w:r>
      <w:bookmarkStart w:name="_bookmark7" w:id="12"/>
      <w:bookmarkEnd w:id="12"/>
      <w:r>
        <w:rPr>
          <w:i/>
          <w:color w:val="212121"/>
        </w:rPr>
        <w:t>Co</w:t>
      </w:r>
      <w:r>
        <w:rPr>
          <w:i/>
          <w:color w:val="212121"/>
        </w:rPr>
        <w:t>nferencia Internacional sobre armonización de requisitos</w:t>
      </w:r>
      <w:r>
        <w:rPr>
          <w:i/>
          <w:color w:val="212121"/>
          <w:spacing w:val="-20"/>
        </w:rPr>
        <w:t> </w:t>
      </w:r>
      <w:r>
        <w:rPr>
          <w:i/>
          <w:color w:val="212121"/>
        </w:rPr>
        <w:t>técnicos </w:t>
      </w:r>
      <w:r>
        <w:rPr>
          <w:color w:val="212121"/>
        </w:rPr>
        <w:t>para el registro de productos farmacéuticos para uso humano</w:t>
      </w:r>
      <w:r>
        <w:rPr>
          <w:color w:val="212121"/>
          <w:spacing w:val="-15"/>
        </w:rPr>
        <w:t> </w:t>
      </w:r>
      <w:r>
        <w:rPr>
          <w:color w:val="212121"/>
        </w:rPr>
        <w:t>(ICH).</w:t>
      </w:r>
    </w:p>
    <w:p>
      <w:pPr>
        <w:pStyle w:val="BodyText"/>
        <w:spacing w:before="4"/>
        <w:rPr>
          <w:b/>
          <w:i/>
          <w:sz w:val="27"/>
        </w:rPr>
      </w:pPr>
    </w:p>
    <w:p>
      <w:pPr>
        <w:pStyle w:val="BodyText"/>
        <w:spacing w:line="360" w:lineRule="auto"/>
        <w:ind w:left="102" w:right="121"/>
        <w:jc w:val="both"/>
      </w:pPr>
      <w:r>
        <w:rPr>
          <w:color w:val="212121"/>
        </w:rPr>
        <w:t>La ICH es una entidad armonizadora que reúne a las autoridades reguladoras de Japón, Estados Unidos (FDA), la Unión Europea (EMEA) y Canadá, y que junto con la industria farmacéutica de investigación, generan una serie de pautas y orientaciones dirigidas a optimizar la calidad de los medicamentos, en aspectos que van desde la investigación y el desarrollo de fármacos, hasta guías sobre</w:t>
      </w:r>
    </w:p>
    <w:p>
      <w:pPr>
        <w:pStyle w:val="BodyText"/>
        <w:spacing w:line="279" w:lineRule="exact"/>
        <w:ind w:left="102"/>
        <w:jc w:val="both"/>
        <w:rPr>
          <w:sz w:val="16"/>
        </w:rPr>
      </w:pPr>
      <w:r>
        <w:rPr>
          <w:color w:val="212121"/>
        </w:rPr>
        <w:t>buenas prácticas de manufactura.</w:t>
      </w:r>
      <w:r>
        <w:rPr>
          <w:color w:val="212121"/>
          <w:position w:val="11"/>
          <w:sz w:val="16"/>
        </w:rPr>
        <w:t>7</w:t>
      </w:r>
    </w:p>
    <w:p>
      <w:pPr>
        <w:pStyle w:val="BodyText"/>
        <w:spacing w:before="7"/>
        <w:rPr>
          <w:sz w:val="39"/>
        </w:rPr>
      </w:pPr>
    </w:p>
    <w:p>
      <w:pPr>
        <w:pStyle w:val="BodyText"/>
        <w:spacing w:line="352" w:lineRule="auto"/>
        <w:ind w:left="102" w:right="116"/>
        <w:jc w:val="both"/>
      </w:pPr>
      <w:r>
        <w:rPr>
          <w:color w:val="212121"/>
        </w:rPr>
        <w:t>Desde su creación en 1990, la ICH ha evolucionado gradualmente, para responder cada vez más de manera global sobre el desarrollo de fármacos. La misión de la ICH es lograr una mayor armonización en todo el mundo para asegurar la seguridad, eficiencia y alta calidad de medicamentos desarrollados y registrados utilizando los recursos de la manera más eficiente. </w:t>
      </w:r>
      <w:r>
        <w:rPr>
          <w:color w:val="212121"/>
          <w:position w:val="11"/>
          <w:sz w:val="16"/>
        </w:rPr>
        <w:t>8  </w:t>
      </w:r>
      <w:r>
        <w:rPr>
          <w:color w:val="212121"/>
        </w:rPr>
        <w:t>La estructura general de la</w:t>
      </w:r>
    </w:p>
    <w:p>
      <w:pPr>
        <w:pStyle w:val="BodyText"/>
        <w:spacing w:line="272" w:lineRule="exact"/>
        <w:ind w:left="102"/>
        <w:jc w:val="both"/>
      </w:pPr>
      <w:r>
        <w:rPr>
          <w:color w:val="212121"/>
        </w:rPr>
        <w:t>ICH y el enfoque del presente trabajo se muestra en la Figura 2.1.</w:t>
      </w:r>
    </w:p>
    <w:p>
      <w:pPr>
        <w:spacing w:after="0" w:line="272" w:lineRule="exact"/>
        <w:jc w:val="both"/>
        <w:sectPr>
          <w:pgSz w:w="12240" w:h="15840"/>
          <w:pgMar w:header="0" w:footer="919" w:top="1360" w:bottom="1100" w:left="1600" w:right="158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9"/>
        <w:rPr>
          <w:sz w:val="20"/>
        </w:rPr>
      </w:pPr>
    </w:p>
    <w:p>
      <w:pPr>
        <w:pStyle w:val="BodyText"/>
        <w:ind w:left="131"/>
        <w:rPr>
          <w:sz w:val="20"/>
        </w:rPr>
      </w:pPr>
      <w:r>
        <w:rPr>
          <w:sz w:val="20"/>
        </w:rPr>
        <w:drawing>
          <wp:inline distT="0" distB="0" distL="0" distR="0">
            <wp:extent cx="7975133" cy="4119562"/>
            <wp:effectExtent l="0" t="0" r="0" b="0"/>
            <wp:docPr id="7" name="image4.png" descr=""/>
            <wp:cNvGraphicFramePr>
              <a:graphicFrameLocks noChangeAspect="1"/>
            </wp:cNvGraphicFramePr>
            <a:graphic>
              <a:graphicData uri="http://schemas.openxmlformats.org/drawingml/2006/picture">
                <pic:pic>
                  <pic:nvPicPr>
                    <pic:cNvPr id="8" name="image4.png"/>
                    <pic:cNvPicPr/>
                  </pic:nvPicPr>
                  <pic:blipFill>
                    <a:blip r:embed="rId12" cstate="print"/>
                    <a:stretch>
                      <a:fillRect/>
                    </a:stretch>
                  </pic:blipFill>
                  <pic:spPr>
                    <a:xfrm>
                      <a:off x="0" y="0"/>
                      <a:ext cx="7975133" cy="4119562"/>
                    </a:xfrm>
                    <a:prstGeom prst="rect">
                      <a:avLst/>
                    </a:prstGeom>
                  </pic:spPr>
                </pic:pic>
              </a:graphicData>
            </a:graphic>
          </wp:inline>
        </w:drawing>
      </w:r>
      <w:r>
        <w:rPr>
          <w:sz w:val="20"/>
        </w:rPr>
      </w:r>
    </w:p>
    <w:p>
      <w:pPr>
        <w:spacing w:before="136"/>
        <w:ind w:left="100" w:right="0" w:firstLine="0"/>
        <w:jc w:val="left"/>
        <w:rPr>
          <w:sz w:val="18"/>
        </w:rPr>
      </w:pPr>
      <w:r>
        <w:rPr>
          <w:color w:val="212121"/>
          <w:sz w:val="24"/>
        </w:rPr>
        <w:t>Figura 2.1 Estructura general de la ICH </w:t>
      </w:r>
      <w:r>
        <w:rPr>
          <w:color w:val="212121"/>
          <w:sz w:val="18"/>
        </w:rPr>
        <w:t>(Fuente: elaboración propia con información de la página oficial de la ICH)</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5"/>
        <w:rPr>
          <w:sz w:val="18"/>
        </w:rPr>
      </w:pPr>
    </w:p>
    <w:p>
      <w:pPr>
        <w:spacing w:before="56"/>
        <w:ind w:left="0" w:right="540" w:firstLine="0"/>
        <w:jc w:val="right"/>
        <w:rPr>
          <w:rFonts w:ascii="Calibri"/>
          <w:sz w:val="22"/>
        </w:rPr>
      </w:pPr>
      <w:r>
        <w:rPr>
          <w:rFonts w:ascii="Calibri"/>
          <w:w w:val="100"/>
          <w:sz w:val="22"/>
        </w:rPr>
        <w:t>4</w:t>
      </w:r>
    </w:p>
    <w:p>
      <w:pPr>
        <w:spacing w:after="0"/>
        <w:jc w:val="right"/>
        <w:rPr>
          <w:rFonts w:ascii="Calibri"/>
          <w:sz w:val="22"/>
        </w:rPr>
        <w:sectPr>
          <w:footerReference w:type="default" r:id="rId11"/>
          <w:pgSz w:w="15840" w:h="12240" w:orient="landscape"/>
          <w:pgMar w:footer="0" w:header="0" w:top="1140" w:bottom="280" w:left="1260" w:right="1780"/>
        </w:sectPr>
      </w:pPr>
    </w:p>
    <w:p>
      <w:pPr>
        <w:pStyle w:val="BodyText"/>
        <w:spacing w:line="328" w:lineRule="auto" w:before="56"/>
        <w:ind w:left="102" w:right="116"/>
        <w:jc w:val="both"/>
        <w:rPr>
          <w:sz w:val="16"/>
        </w:rPr>
      </w:pPr>
      <w:r>
        <w:rPr>
          <w:color w:val="212121"/>
        </w:rPr>
        <w:t>Los temas de la ICH se dividen en cuatro categorías y se asignan de acuerdo a las siguientes directrices. </w:t>
      </w:r>
      <w:r>
        <w:rPr>
          <w:color w:val="212121"/>
          <w:position w:val="11"/>
          <w:sz w:val="16"/>
        </w:rPr>
        <w:t>9</w:t>
      </w:r>
    </w:p>
    <w:p>
      <w:pPr>
        <w:pStyle w:val="BodyText"/>
        <w:spacing w:before="1"/>
        <w:rPr>
          <w:sz w:val="23"/>
        </w:rPr>
      </w:pPr>
    </w:p>
    <w:p>
      <w:pPr>
        <w:pStyle w:val="Heading2"/>
        <w:numPr>
          <w:ilvl w:val="2"/>
          <w:numId w:val="4"/>
        </w:numPr>
        <w:tabs>
          <w:tab w:pos="772" w:val="left" w:leader="none"/>
        </w:tabs>
        <w:spacing w:line="240" w:lineRule="auto" w:before="0" w:after="0"/>
        <w:ind w:left="771" w:right="0" w:hanging="669"/>
        <w:jc w:val="both"/>
        <w:rPr>
          <w:i/>
        </w:rPr>
      </w:pPr>
      <w:bookmarkStart w:name="_bookmark8" w:id="13"/>
      <w:bookmarkEnd w:id="13"/>
      <w:r>
        <w:rPr>
          <w:b w:val="0"/>
          <w:i w:val="0"/>
        </w:rPr>
      </w:r>
      <w:bookmarkStart w:name="_bookmark8" w:id="14"/>
      <w:bookmarkEnd w:id="14"/>
      <w:r>
        <w:rPr>
          <w:i/>
          <w:color w:val="212121"/>
        </w:rPr>
        <w:t>Dir</w:t>
      </w:r>
      <w:r>
        <w:rPr>
          <w:i/>
          <w:color w:val="212121"/>
        </w:rPr>
        <w:t>ectriz de</w:t>
      </w:r>
      <w:r>
        <w:rPr>
          <w:i/>
          <w:color w:val="212121"/>
          <w:spacing w:val="-5"/>
        </w:rPr>
        <w:t> </w:t>
      </w:r>
      <w:r>
        <w:rPr>
          <w:i/>
          <w:color w:val="212121"/>
        </w:rPr>
        <w:t>seguridad</w:t>
      </w:r>
    </w:p>
    <w:p>
      <w:pPr>
        <w:pStyle w:val="BodyText"/>
        <w:spacing w:before="5"/>
        <w:rPr>
          <w:b/>
          <w:i/>
          <w:sz w:val="30"/>
        </w:rPr>
      </w:pPr>
    </w:p>
    <w:p>
      <w:pPr>
        <w:pStyle w:val="BodyText"/>
        <w:spacing w:line="360" w:lineRule="auto"/>
        <w:ind w:left="102" w:right="115"/>
        <w:jc w:val="both"/>
      </w:pPr>
      <w:r>
        <w:rPr>
          <w:color w:val="212121"/>
        </w:rPr>
        <w:t>La ICH ha producido un amplio conjunto de directrices de seguridad para descubrir riesgos potenciales como la carcinogenicidad, genotoxicidad y toxicidad para la reproducción.</w:t>
      </w:r>
    </w:p>
    <w:p>
      <w:pPr>
        <w:pStyle w:val="BodyText"/>
        <w:spacing w:before="1"/>
        <w:rPr>
          <w:sz w:val="21"/>
        </w:rPr>
      </w:pPr>
    </w:p>
    <w:p>
      <w:pPr>
        <w:pStyle w:val="Heading2"/>
        <w:numPr>
          <w:ilvl w:val="2"/>
          <w:numId w:val="4"/>
        </w:numPr>
        <w:tabs>
          <w:tab w:pos="772" w:val="left" w:leader="none"/>
        </w:tabs>
        <w:spacing w:line="240" w:lineRule="auto" w:before="0" w:after="0"/>
        <w:ind w:left="771" w:right="0" w:hanging="669"/>
        <w:jc w:val="both"/>
        <w:rPr>
          <w:i/>
        </w:rPr>
      </w:pPr>
      <w:bookmarkStart w:name="_bookmark9" w:id="15"/>
      <w:bookmarkEnd w:id="15"/>
      <w:r>
        <w:rPr>
          <w:b w:val="0"/>
          <w:i w:val="0"/>
        </w:rPr>
      </w:r>
      <w:bookmarkStart w:name="_bookmark9" w:id="16"/>
      <w:bookmarkEnd w:id="16"/>
      <w:r>
        <w:rPr>
          <w:i/>
          <w:color w:val="212121"/>
        </w:rPr>
        <w:t>Dir</w:t>
      </w:r>
      <w:r>
        <w:rPr>
          <w:i/>
          <w:color w:val="212121"/>
        </w:rPr>
        <w:t>ectriz de</w:t>
      </w:r>
      <w:r>
        <w:rPr>
          <w:i/>
          <w:color w:val="212121"/>
          <w:spacing w:val="-6"/>
        </w:rPr>
        <w:t> </w:t>
      </w:r>
      <w:r>
        <w:rPr>
          <w:i/>
          <w:color w:val="212121"/>
        </w:rPr>
        <w:t>eficacia</w:t>
      </w:r>
    </w:p>
    <w:p>
      <w:pPr>
        <w:pStyle w:val="BodyText"/>
        <w:spacing w:before="6"/>
        <w:rPr>
          <w:b/>
          <w:i/>
          <w:sz w:val="30"/>
        </w:rPr>
      </w:pPr>
    </w:p>
    <w:p>
      <w:pPr>
        <w:pStyle w:val="BodyText"/>
        <w:spacing w:line="360" w:lineRule="auto"/>
        <w:ind w:left="102" w:right="114"/>
        <w:jc w:val="both"/>
      </w:pPr>
      <w:r>
        <w:rPr>
          <w:color w:val="212121"/>
        </w:rPr>
        <w:t>El trabajo realizado por ICH bajo el título La eficacia tiene que ver con el diseño, la realización, la seguridad y el informe de los ensayos clínicos. También cubre nuevos tipos de medicamentos derivados de procesos biotecnológicos y el uso de la farmacogenética con técnicas de genómica para producir medicamentos más específicos.</w:t>
      </w:r>
    </w:p>
    <w:p>
      <w:pPr>
        <w:pStyle w:val="BodyText"/>
        <w:spacing w:before="3"/>
        <w:rPr>
          <w:sz w:val="21"/>
        </w:rPr>
      </w:pPr>
    </w:p>
    <w:p>
      <w:pPr>
        <w:pStyle w:val="Heading2"/>
        <w:numPr>
          <w:ilvl w:val="2"/>
          <w:numId w:val="4"/>
        </w:numPr>
        <w:tabs>
          <w:tab w:pos="772" w:val="left" w:leader="none"/>
        </w:tabs>
        <w:spacing w:line="240" w:lineRule="auto" w:before="0" w:after="0"/>
        <w:ind w:left="771" w:right="0" w:hanging="669"/>
        <w:jc w:val="both"/>
        <w:rPr>
          <w:i/>
        </w:rPr>
      </w:pPr>
      <w:bookmarkStart w:name="_bookmark10" w:id="17"/>
      <w:bookmarkEnd w:id="17"/>
      <w:r>
        <w:rPr>
          <w:b w:val="0"/>
          <w:i w:val="0"/>
        </w:rPr>
      </w:r>
      <w:bookmarkStart w:name="_bookmark10" w:id="18"/>
      <w:bookmarkEnd w:id="18"/>
      <w:r>
        <w:rPr>
          <w:i/>
          <w:color w:val="212121"/>
        </w:rPr>
        <w:t>Dir</w:t>
      </w:r>
      <w:r>
        <w:rPr>
          <w:i/>
          <w:color w:val="212121"/>
        </w:rPr>
        <w:t>ectriz</w:t>
      </w:r>
      <w:r>
        <w:rPr>
          <w:i/>
          <w:color w:val="212121"/>
          <w:spacing w:val="-6"/>
        </w:rPr>
        <w:t> </w:t>
      </w:r>
      <w:r>
        <w:rPr>
          <w:i/>
          <w:color w:val="212121"/>
        </w:rPr>
        <w:t>multidisciplinaria</w:t>
      </w:r>
    </w:p>
    <w:p>
      <w:pPr>
        <w:pStyle w:val="BodyText"/>
        <w:spacing w:before="3"/>
        <w:rPr>
          <w:b/>
          <w:i/>
          <w:sz w:val="30"/>
        </w:rPr>
      </w:pPr>
    </w:p>
    <w:p>
      <w:pPr>
        <w:pStyle w:val="BodyText"/>
        <w:spacing w:line="360" w:lineRule="auto"/>
        <w:ind w:left="102" w:right="115"/>
        <w:jc w:val="both"/>
      </w:pPr>
      <w:r>
        <w:rPr>
          <w:color w:val="212121"/>
        </w:rPr>
        <w:t>Esos son los temas transversales que no encajan de forma única en una de las categorías de Calidad, Seguridad y de eficacia. Incluye la terminología médica ICH (MedDRA), el Documento Técnico Común (CTD) y el desarrollo de estándares electrónicos de Transferencia de Información Regulatoria (ESTRI).</w:t>
      </w:r>
    </w:p>
    <w:p>
      <w:pPr>
        <w:pStyle w:val="BodyText"/>
        <w:spacing w:before="1"/>
        <w:rPr>
          <w:sz w:val="21"/>
        </w:rPr>
      </w:pPr>
    </w:p>
    <w:p>
      <w:pPr>
        <w:pStyle w:val="Heading2"/>
        <w:numPr>
          <w:ilvl w:val="2"/>
          <w:numId w:val="4"/>
        </w:numPr>
        <w:tabs>
          <w:tab w:pos="772" w:val="left" w:leader="none"/>
        </w:tabs>
        <w:spacing w:line="240" w:lineRule="auto" w:before="0" w:after="0"/>
        <w:ind w:left="771" w:right="0" w:hanging="669"/>
        <w:jc w:val="both"/>
        <w:rPr>
          <w:i/>
        </w:rPr>
      </w:pPr>
      <w:bookmarkStart w:name="_bookmark11" w:id="19"/>
      <w:bookmarkEnd w:id="19"/>
      <w:r>
        <w:rPr>
          <w:b w:val="0"/>
          <w:i w:val="0"/>
        </w:rPr>
      </w:r>
      <w:bookmarkStart w:name="_bookmark11" w:id="20"/>
      <w:bookmarkEnd w:id="20"/>
      <w:r>
        <w:rPr>
          <w:i/>
          <w:color w:val="212121"/>
        </w:rPr>
        <w:t>Dir</w:t>
      </w:r>
      <w:r>
        <w:rPr>
          <w:i/>
          <w:color w:val="212121"/>
        </w:rPr>
        <w:t>ectriz de</w:t>
      </w:r>
      <w:r>
        <w:rPr>
          <w:i/>
          <w:color w:val="212121"/>
          <w:spacing w:val="-8"/>
        </w:rPr>
        <w:t> </w:t>
      </w:r>
      <w:r>
        <w:rPr>
          <w:i/>
          <w:color w:val="212121"/>
        </w:rPr>
        <w:t>calidad</w:t>
      </w:r>
    </w:p>
    <w:p>
      <w:pPr>
        <w:pStyle w:val="BodyText"/>
        <w:spacing w:before="5"/>
        <w:rPr>
          <w:b/>
          <w:i/>
          <w:sz w:val="30"/>
        </w:rPr>
      </w:pPr>
    </w:p>
    <w:p>
      <w:pPr>
        <w:pStyle w:val="BodyText"/>
        <w:spacing w:line="360" w:lineRule="auto"/>
        <w:ind w:left="102" w:right="115"/>
        <w:jc w:val="both"/>
      </w:pPr>
      <w:r>
        <w:rPr>
          <w:color w:val="212121"/>
        </w:rPr>
        <w:t>Logros de armonización en el área de Calidad incluyen hitos fundamentales tales como la realización de estudios de estabilidad, que definen los umbrales pertinentes para las pruebas de impurezas y un enfoque más flexible a la calidad farmacéutica basado en Buenas Prácticas de Manufactura (GMP) de gestión de riesgos. </w:t>
      </w:r>
      <w:r>
        <w:rPr/>
        <w:t>Dentro de las </w:t>
      </w:r>
      <w:r>
        <w:rPr>
          <w:b/>
        </w:rPr>
        <w:t>directrices de calidad </w:t>
      </w:r>
      <w:r>
        <w:rPr/>
        <w:t>se desprenden las siguientes guías mostradas en la Tabla 2.1.</w:t>
      </w:r>
    </w:p>
    <w:p>
      <w:pPr>
        <w:spacing w:after="0" w:line="360" w:lineRule="auto"/>
        <w:jc w:val="both"/>
        <w:sectPr>
          <w:footerReference w:type="default" r:id="rId13"/>
          <w:pgSz w:w="12240" w:h="15840"/>
          <w:pgMar w:footer="919" w:header="0" w:top="1360" w:bottom="1100" w:left="1600" w:right="1580"/>
          <w:pgNumType w:start="5"/>
        </w:sectPr>
      </w:pPr>
    </w:p>
    <w:p>
      <w:pPr>
        <w:pStyle w:val="BodyText"/>
        <w:spacing w:before="56"/>
        <w:ind w:left="122"/>
      </w:pPr>
      <w:r>
        <w:rPr>
          <w:color w:val="212121"/>
        </w:rPr>
        <w:t>Tabla 2.1. Directrices de calidad</w:t>
      </w:r>
    </w:p>
    <w:p>
      <w:pPr>
        <w:pStyle w:val="BodyText"/>
        <w:spacing w:before="1"/>
        <w:rPr>
          <w:sz w:val="12"/>
        </w:rPr>
      </w:pPr>
    </w:p>
    <w:tbl>
      <w:tblPr>
        <w:tblW w:w="0" w:type="auto"/>
        <w:jc w:val="left"/>
        <w:tblInd w:w="100" w:type="dxa"/>
        <w:tblBorders>
          <w:top w:val="single" w:sz="4" w:space="0" w:color="B1A0C6"/>
          <w:left w:val="single" w:sz="4" w:space="0" w:color="B1A0C6"/>
          <w:bottom w:val="single" w:sz="4" w:space="0" w:color="B1A0C6"/>
          <w:right w:val="single" w:sz="4" w:space="0" w:color="B1A0C6"/>
          <w:insideH w:val="single" w:sz="4" w:space="0" w:color="B1A0C6"/>
          <w:insideV w:val="single" w:sz="4" w:space="0" w:color="B1A0C6"/>
        </w:tblBorders>
        <w:tblLayout w:type="fixed"/>
        <w:tblCellMar>
          <w:top w:w="0" w:type="dxa"/>
          <w:left w:w="0" w:type="dxa"/>
          <w:bottom w:w="0" w:type="dxa"/>
          <w:right w:w="0" w:type="dxa"/>
        </w:tblCellMar>
        <w:tblLook w:val="01E0"/>
      </w:tblPr>
      <w:tblGrid>
        <w:gridCol w:w="1393"/>
        <w:gridCol w:w="6109"/>
      </w:tblGrid>
      <w:tr>
        <w:trPr>
          <w:trHeight w:val="346" w:hRule="exact"/>
        </w:trPr>
        <w:tc>
          <w:tcPr>
            <w:tcW w:w="1393" w:type="dxa"/>
            <w:tcBorders>
              <w:bottom w:val="single" w:sz="15" w:space="0" w:color="E4DFEB"/>
              <w:right w:val="nil"/>
            </w:tcBorders>
            <w:shd w:val="clear" w:color="auto" w:fill="8063A1"/>
          </w:tcPr>
          <w:p>
            <w:pPr>
              <w:pStyle w:val="TableParagraph"/>
              <w:spacing w:before="36"/>
              <w:ind w:left="64"/>
              <w:jc w:val="left"/>
              <w:rPr>
                <w:b/>
                <w:sz w:val="24"/>
              </w:rPr>
            </w:pPr>
            <w:r>
              <w:rPr>
                <w:b/>
                <w:color w:val="FFFFFF"/>
                <w:sz w:val="24"/>
              </w:rPr>
              <w:t>Guía</w:t>
            </w:r>
          </w:p>
        </w:tc>
        <w:tc>
          <w:tcPr>
            <w:tcW w:w="6109" w:type="dxa"/>
            <w:tcBorders>
              <w:left w:val="nil"/>
              <w:bottom w:val="single" w:sz="15" w:space="0" w:color="E4DFEB"/>
            </w:tcBorders>
            <w:shd w:val="clear" w:color="auto" w:fill="8063A1"/>
          </w:tcPr>
          <w:p>
            <w:pPr>
              <w:pStyle w:val="TableParagraph"/>
              <w:spacing w:before="36"/>
              <w:ind w:left="95"/>
              <w:jc w:val="left"/>
              <w:rPr>
                <w:b/>
                <w:sz w:val="24"/>
              </w:rPr>
            </w:pPr>
            <w:r>
              <w:rPr>
                <w:b/>
                <w:color w:val="FFFFFF"/>
                <w:sz w:val="24"/>
              </w:rPr>
              <w:t>Tópico</w:t>
            </w:r>
          </w:p>
        </w:tc>
      </w:tr>
      <w:tr>
        <w:trPr>
          <w:trHeight w:val="305" w:hRule="exact"/>
        </w:trPr>
        <w:tc>
          <w:tcPr>
            <w:tcW w:w="1393" w:type="dxa"/>
            <w:tcBorders>
              <w:right w:val="nil"/>
            </w:tcBorders>
            <w:shd w:val="clear" w:color="auto" w:fill="E4DFEB"/>
          </w:tcPr>
          <w:p>
            <w:pPr>
              <w:pStyle w:val="TableParagraph"/>
              <w:spacing w:before="15"/>
              <w:ind w:left="64"/>
              <w:jc w:val="left"/>
              <w:rPr>
                <w:sz w:val="24"/>
              </w:rPr>
            </w:pPr>
            <w:r>
              <w:rPr>
                <w:sz w:val="24"/>
              </w:rPr>
              <w:t>Q1A – Q1F</w:t>
            </w:r>
          </w:p>
        </w:tc>
        <w:tc>
          <w:tcPr>
            <w:tcW w:w="6109" w:type="dxa"/>
            <w:tcBorders>
              <w:left w:val="nil"/>
            </w:tcBorders>
            <w:shd w:val="clear" w:color="auto" w:fill="E4DFEB"/>
          </w:tcPr>
          <w:p>
            <w:pPr>
              <w:pStyle w:val="TableParagraph"/>
              <w:spacing w:before="15"/>
              <w:ind w:left="95"/>
              <w:jc w:val="left"/>
              <w:rPr>
                <w:sz w:val="24"/>
              </w:rPr>
            </w:pPr>
            <w:r>
              <w:rPr>
                <w:sz w:val="24"/>
              </w:rPr>
              <w:t>Estabilidad</w:t>
            </w:r>
          </w:p>
        </w:tc>
      </w:tr>
      <w:tr>
        <w:trPr>
          <w:trHeight w:val="326" w:hRule="exact"/>
        </w:trPr>
        <w:tc>
          <w:tcPr>
            <w:tcW w:w="1393" w:type="dxa"/>
            <w:tcBorders>
              <w:right w:val="nil"/>
            </w:tcBorders>
          </w:tcPr>
          <w:p>
            <w:pPr>
              <w:pStyle w:val="TableParagraph"/>
              <w:spacing w:before="36"/>
              <w:ind w:left="64"/>
              <w:jc w:val="left"/>
              <w:rPr>
                <w:sz w:val="24"/>
              </w:rPr>
            </w:pPr>
            <w:r>
              <w:rPr>
                <w:sz w:val="24"/>
              </w:rPr>
              <w:t>Q2</w:t>
            </w:r>
          </w:p>
        </w:tc>
        <w:tc>
          <w:tcPr>
            <w:tcW w:w="6109" w:type="dxa"/>
            <w:tcBorders>
              <w:left w:val="nil"/>
            </w:tcBorders>
          </w:tcPr>
          <w:p>
            <w:pPr>
              <w:pStyle w:val="TableParagraph"/>
              <w:spacing w:before="36"/>
              <w:ind w:left="95"/>
              <w:jc w:val="left"/>
              <w:rPr>
                <w:sz w:val="24"/>
              </w:rPr>
            </w:pPr>
            <w:r>
              <w:rPr>
                <w:sz w:val="24"/>
              </w:rPr>
              <w:t>Validación analítica</w:t>
            </w:r>
          </w:p>
        </w:tc>
      </w:tr>
      <w:tr>
        <w:trPr>
          <w:trHeight w:val="324" w:hRule="exact"/>
        </w:trPr>
        <w:tc>
          <w:tcPr>
            <w:tcW w:w="1393" w:type="dxa"/>
            <w:tcBorders>
              <w:right w:val="nil"/>
            </w:tcBorders>
            <w:shd w:val="clear" w:color="auto" w:fill="E4DFEB"/>
          </w:tcPr>
          <w:p>
            <w:pPr>
              <w:pStyle w:val="TableParagraph"/>
              <w:spacing w:before="34"/>
              <w:ind w:left="64"/>
              <w:jc w:val="left"/>
              <w:rPr>
                <w:sz w:val="24"/>
              </w:rPr>
            </w:pPr>
            <w:r>
              <w:rPr>
                <w:sz w:val="24"/>
              </w:rPr>
              <w:t>Q3A –Q3D</w:t>
            </w:r>
          </w:p>
        </w:tc>
        <w:tc>
          <w:tcPr>
            <w:tcW w:w="6109" w:type="dxa"/>
            <w:tcBorders>
              <w:left w:val="nil"/>
            </w:tcBorders>
            <w:shd w:val="clear" w:color="auto" w:fill="E4DFEB"/>
          </w:tcPr>
          <w:p>
            <w:pPr>
              <w:pStyle w:val="TableParagraph"/>
              <w:spacing w:before="34"/>
              <w:ind w:left="95"/>
              <w:jc w:val="left"/>
              <w:rPr>
                <w:sz w:val="24"/>
              </w:rPr>
            </w:pPr>
            <w:r>
              <w:rPr>
                <w:sz w:val="24"/>
              </w:rPr>
              <w:t>Impurezas</w:t>
            </w:r>
          </w:p>
        </w:tc>
      </w:tr>
      <w:tr>
        <w:trPr>
          <w:trHeight w:val="325" w:hRule="exact"/>
        </w:trPr>
        <w:tc>
          <w:tcPr>
            <w:tcW w:w="1393" w:type="dxa"/>
            <w:tcBorders>
              <w:right w:val="nil"/>
            </w:tcBorders>
          </w:tcPr>
          <w:p>
            <w:pPr>
              <w:pStyle w:val="TableParagraph"/>
              <w:spacing w:before="34"/>
              <w:ind w:left="64"/>
              <w:jc w:val="left"/>
              <w:rPr>
                <w:sz w:val="24"/>
              </w:rPr>
            </w:pPr>
            <w:r>
              <w:rPr>
                <w:sz w:val="24"/>
              </w:rPr>
              <w:t>Q4 – Q4B</w:t>
            </w:r>
          </w:p>
        </w:tc>
        <w:tc>
          <w:tcPr>
            <w:tcW w:w="6109" w:type="dxa"/>
            <w:tcBorders>
              <w:left w:val="nil"/>
            </w:tcBorders>
          </w:tcPr>
          <w:p>
            <w:pPr>
              <w:pStyle w:val="TableParagraph"/>
              <w:spacing w:before="34"/>
              <w:ind w:left="95"/>
              <w:jc w:val="left"/>
              <w:rPr>
                <w:sz w:val="24"/>
              </w:rPr>
            </w:pPr>
            <w:r>
              <w:rPr>
                <w:sz w:val="24"/>
              </w:rPr>
              <w:t>Farmacopeas</w:t>
            </w:r>
          </w:p>
        </w:tc>
      </w:tr>
      <w:tr>
        <w:trPr>
          <w:trHeight w:val="325" w:hRule="exact"/>
        </w:trPr>
        <w:tc>
          <w:tcPr>
            <w:tcW w:w="1393" w:type="dxa"/>
            <w:tcBorders>
              <w:right w:val="nil"/>
            </w:tcBorders>
            <w:shd w:val="clear" w:color="auto" w:fill="E4DFEB"/>
          </w:tcPr>
          <w:p>
            <w:pPr>
              <w:pStyle w:val="TableParagraph"/>
              <w:spacing w:before="35"/>
              <w:ind w:left="64"/>
              <w:jc w:val="left"/>
              <w:rPr>
                <w:sz w:val="24"/>
              </w:rPr>
            </w:pPr>
            <w:r>
              <w:rPr>
                <w:sz w:val="24"/>
              </w:rPr>
              <w:t>Q5A – Q5E</w:t>
            </w:r>
          </w:p>
        </w:tc>
        <w:tc>
          <w:tcPr>
            <w:tcW w:w="6109" w:type="dxa"/>
            <w:tcBorders>
              <w:left w:val="nil"/>
            </w:tcBorders>
            <w:shd w:val="clear" w:color="auto" w:fill="E4DFEB"/>
          </w:tcPr>
          <w:p>
            <w:pPr>
              <w:pStyle w:val="TableParagraph"/>
              <w:spacing w:before="35"/>
              <w:ind w:left="95"/>
              <w:jc w:val="left"/>
              <w:rPr>
                <w:sz w:val="24"/>
              </w:rPr>
            </w:pPr>
            <w:r>
              <w:rPr>
                <w:sz w:val="24"/>
              </w:rPr>
              <w:t>Calidad en los productos biotecnológicos</w:t>
            </w:r>
          </w:p>
        </w:tc>
      </w:tr>
      <w:tr>
        <w:trPr>
          <w:trHeight w:val="324" w:hRule="exact"/>
        </w:trPr>
        <w:tc>
          <w:tcPr>
            <w:tcW w:w="1393" w:type="dxa"/>
            <w:tcBorders>
              <w:right w:val="nil"/>
            </w:tcBorders>
          </w:tcPr>
          <w:p>
            <w:pPr>
              <w:pStyle w:val="TableParagraph"/>
              <w:spacing w:before="34"/>
              <w:ind w:left="64"/>
              <w:jc w:val="left"/>
              <w:rPr>
                <w:sz w:val="24"/>
              </w:rPr>
            </w:pPr>
            <w:r>
              <w:rPr>
                <w:sz w:val="24"/>
              </w:rPr>
              <w:t>Q6A – Q6B</w:t>
            </w:r>
          </w:p>
        </w:tc>
        <w:tc>
          <w:tcPr>
            <w:tcW w:w="6109" w:type="dxa"/>
            <w:tcBorders>
              <w:left w:val="nil"/>
            </w:tcBorders>
          </w:tcPr>
          <w:p>
            <w:pPr>
              <w:pStyle w:val="TableParagraph"/>
              <w:spacing w:before="34"/>
              <w:ind w:left="95"/>
              <w:jc w:val="left"/>
              <w:rPr>
                <w:sz w:val="24"/>
              </w:rPr>
            </w:pPr>
            <w:r>
              <w:rPr>
                <w:sz w:val="24"/>
              </w:rPr>
              <w:t>Especificaciones</w:t>
            </w:r>
          </w:p>
        </w:tc>
      </w:tr>
      <w:tr>
        <w:trPr>
          <w:trHeight w:val="326" w:hRule="exact"/>
        </w:trPr>
        <w:tc>
          <w:tcPr>
            <w:tcW w:w="1393" w:type="dxa"/>
            <w:tcBorders>
              <w:right w:val="nil"/>
            </w:tcBorders>
            <w:shd w:val="clear" w:color="auto" w:fill="E4DFEB"/>
          </w:tcPr>
          <w:p>
            <w:pPr>
              <w:pStyle w:val="TableParagraph"/>
              <w:spacing w:before="36"/>
              <w:ind w:left="64"/>
              <w:jc w:val="left"/>
              <w:rPr>
                <w:sz w:val="24"/>
              </w:rPr>
            </w:pPr>
            <w:r>
              <w:rPr>
                <w:sz w:val="24"/>
              </w:rPr>
              <w:t>Q7</w:t>
            </w:r>
          </w:p>
        </w:tc>
        <w:tc>
          <w:tcPr>
            <w:tcW w:w="6109" w:type="dxa"/>
            <w:tcBorders>
              <w:left w:val="nil"/>
            </w:tcBorders>
            <w:shd w:val="clear" w:color="auto" w:fill="E4DFEB"/>
          </w:tcPr>
          <w:p>
            <w:pPr>
              <w:pStyle w:val="TableParagraph"/>
              <w:spacing w:before="36"/>
              <w:ind w:left="95"/>
              <w:jc w:val="left"/>
              <w:rPr>
                <w:sz w:val="24"/>
              </w:rPr>
            </w:pPr>
            <w:r>
              <w:rPr>
                <w:sz w:val="24"/>
              </w:rPr>
              <w:t>Buenas Prácticas de Manufactura</w:t>
            </w:r>
          </w:p>
        </w:tc>
      </w:tr>
      <w:tr>
        <w:trPr>
          <w:trHeight w:val="343" w:hRule="exact"/>
        </w:trPr>
        <w:tc>
          <w:tcPr>
            <w:tcW w:w="1393" w:type="dxa"/>
            <w:tcBorders>
              <w:bottom w:val="single" w:sz="15" w:space="0" w:color="E4DFEB"/>
              <w:right w:val="nil"/>
            </w:tcBorders>
          </w:tcPr>
          <w:p>
            <w:pPr>
              <w:pStyle w:val="TableParagraph"/>
              <w:spacing w:before="34"/>
              <w:ind w:left="64"/>
              <w:jc w:val="left"/>
              <w:rPr>
                <w:sz w:val="24"/>
              </w:rPr>
            </w:pPr>
            <w:r>
              <w:rPr>
                <w:sz w:val="24"/>
              </w:rPr>
              <w:t>Q8</w:t>
            </w:r>
          </w:p>
        </w:tc>
        <w:tc>
          <w:tcPr>
            <w:tcW w:w="6109" w:type="dxa"/>
            <w:tcBorders>
              <w:left w:val="nil"/>
              <w:bottom w:val="single" w:sz="15" w:space="0" w:color="E4DFEB"/>
            </w:tcBorders>
          </w:tcPr>
          <w:p>
            <w:pPr>
              <w:pStyle w:val="TableParagraph"/>
              <w:spacing w:before="34"/>
              <w:ind w:left="95"/>
              <w:jc w:val="left"/>
              <w:rPr>
                <w:sz w:val="24"/>
              </w:rPr>
            </w:pPr>
            <w:r>
              <w:rPr>
                <w:sz w:val="24"/>
              </w:rPr>
              <w:t>Desarrollo Farmacéutico</w:t>
            </w:r>
          </w:p>
        </w:tc>
      </w:tr>
      <w:tr>
        <w:trPr>
          <w:trHeight w:val="305" w:hRule="exact"/>
        </w:trPr>
        <w:tc>
          <w:tcPr>
            <w:tcW w:w="1393" w:type="dxa"/>
            <w:tcBorders>
              <w:right w:val="nil"/>
            </w:tcBorders>
            <w:shd w:val="clear" w:color="auto" w:fill="E4DFEB"/>
          </w:tcPr>
          <w:p>
            <w:pPr>
              <w:pStyle w:val="TableParagraph"/>
              <w:spacing w:before="15"/>
              <w:ind w:left="64"/>
              <w:jc w:val="left"/>
              <w:rPr>
                <w:sz w:val="24"/>
              </w:rPr>
            </w:pPr>
            <w:r>
              <w:rPr>
                <w:sz w:val="24"/>
              </w:rPr>
              <w:t>Q9</w:t>
            </w:r>
          </w:p>
        </w:tc>
        <w:tc>
          <w:tcPr>
            <w:tcW w:w="6109" w:type="dxa"/>
            <w:tcBorders>
              <w:left w:val="nil"/>
            </w:tcBorders>
            <w:shd w:val="clear" w:color="auto" w:fill="E4DFEB"/>
          </w:tcPr>
          <w:p>
            <w:pPr>
              <w:pStyle w:val="TableParagraph"/>
              <w:spacing w:before="15"/>
              <w:ind w:left="95"/>
              <w:jc w:val="left"/>
              <w:rPr>
                <w:sz w:val="24"/>
              </w:rPr>
            </w:pPr>
            <w:r>
              <w:rPr>
                <w:sz w:val="24"/>
              </w:rPr>
              <w:t>Manejo del riesgo de la calidad</w:t>
            </w:r>
          </w:p>
        </w:tc>
      </w:tr>
      <w:tr>
        <w:trPr>
          <w:trHeight w:val="346" w:hRule="exact"/>
        </w:trPr>
        <w:tc>
          <w:tcPr>
            <w:tcW w:w="1393" w:type="dxa"/>
            <w:tcBorders>
              <w:bottom w:val="single" w:sz="15" w:space="0" w:color="E4DFEB"/>
              <w:right w:val="nil"/>
            </w:tcBorders>
          </w:tcPr>
          <w:p>
            <w:pPr>
              <w:pStyle w:val="TableParagraph"/>
              <w:spacing w:before="36"/>
              <w:ind w:left="64"/>
              <w:jc w:val="left"/>
              <w:rPr>
                <w:sz w:val="24"/>
              </w:rPr>
            </w:pPr>
            <w:r>
              <w:rPr>
                <w:sz w:val="24"/>
              </w:rPr>
              <w:t>Q10</w:t>
            </w:r>
          </w:p>
        </w:tc>
        <w:tc>
          <w:tcPr>
            <w:tcW w:w="6109" w:type="dxa"/>
            <w:tcBorders>
              <w:left w:val="nil"/>
              <w:bottom w:val="single" w:sz="15" w:space="0" w:color="E4DFEB"/>
            </w:tcBorders>
          </w:tcPr>
          <w:p>
            <w:pPr>
              <w:pStyle w:val="TableParagraph"/>
              <w:spacing w:before="36"/>
              <w:ind w:left="95"/>
              <w:jc w:val="left"/>
              <w:rPr>
                <w:sz w:val="24"/>
              </w:rPr>
            </w:pPr>
            <w:r>
              <w:rPr>
                <w:sz w:val="24"/>
              </w:rPr>
              <w:t>Sistema de Calidad Farmacéutico</w:t>
            </w:r>
          </w:p>
        </w:tc>
      </w:tr>
      <w:tr>
        <w:trPr>
          <w:trHeight w:val="305" w:hRule="exact"/>
        </w:trPr>
        <w:tc>
          <w:tcPr>
            <w:tcW w:w="1393" w:type="dxa"/>
            <w:tcBorders>
              <w:right w:val="nil"/>
            </w:tcBorders>
            <w:shd w:val="clear" w:color="auto" w:fill="E4DFEB"/>
          </w:tcPr>
          <w:p>
            <w:pPr>
              <w:pStyle w:val="TableParagraph"/>
              <w:spacing w:before="15"/>
              <w:ind w:left="64"/>
              <w:jc w:val="left"/>
              <w:rPr>
                <w:sz w:val="24"/>
              </w:rPr>
            </w:pPr>
            <w:r>
              <w:rPr>
                <w:sz w:val="24"/>
              </w:rPr>
              <w:t>Q11</w:t>
            </w:r>
          </w:p>
        </w:tc>
        <w:tc>
          <w:tcPr>
            <w:tcW w:w="6109" w:type="dxa"/>
            <w:tcBorders>
              <w:left w:val="nil"/>
            </w:tcBorders>
            <w:shd w:val="clear" w:color="auto" w:fill="E4DFEB"/>
          </w:tcPr>
          <w:p>
            <w:pPr>
              <w:pStyle w:val="TableParagraph"/>
              <w:spacing w:before="15"/>
              <w:ind w:left="95"/>
              <w:jc w:val="left"/>
              <w:rPr>
                <w:sz w:val="24"/>
              </w:rPr>
            </w:pPr>
            <w:r>
              <w:rPr>
                <w:sz w:val="24"/>
              </w:rPr>
              <w:t>Desarrollo y manufactura de sustancias farmacológicas</w:t>
            </w:r>
          </w:p>
        </w:tc>
      </w:tr>
      <w:tr>
        <w:trPr>
          <w:trHeight w:val="326" w:hRule="exact"/>
        </w:trPr>
        <w:tc>
          <w:tcPr>
            <w:tcW w:w="1393" w:type="dxa"/>
            <w:tcBorders>
              <w:right w:val="nil"/>
            </w:tcBorders>
          </w:tcPr>
          <w:p>
            <w:pPr>
              <w:pStyle w:val="TableParagraph"/>
              <w:spacing w:before="36"/>
              <w:ind w:left="64"/>
              <w:jc w:val="left"/>
              <w:rPr>
                <w:sz w:val="24"/>
              </w:rPr>
            </w:pPr>
            <w:r>
              <w:rPr>
                <w:sz w:val="24"/>
              </w:rPr>
              <w:t>Q12</w:t>
            </w:r>
          </w:p>
        </w:tc>
        <w:tc>
          <w:tcPr>
            <w:tcW w:w="6109" w:type="dxa"/>
            <w:tcBorders>
              <w:left w:val="nil"/>
            </w:tcBorders>
          </w:tcPr>
          <w:p>
            <w:pPr>
              <w:pStyle w:val="TableParagraph"/>
              <w:spacing w:before="36"/>
              <w:ind w:left="95"/>
              <w:jc w:val="left"/>
              <w:rPr>
                <w:sz w:val="24"/>
              </w:rPr>
            </w:pPr>
            <w:r>
              <w:rPr>
                <w:sz w:val="24"/>
              </w:rPr>
              <w:t>Manejo del ciclo de vida</w:t>
            </w:r>
          </w:p>
        </w:tc>
      </w:tr>
    </w:tbl>
    <w:p>
      <w:pPr>
        <w:pStyle w:val="BodyText"/>
        <w:spacing w:before="8"/>
        <w:rPr>
          <w:sz w:val="29"/>
        </w:rPr>
      </w:pPr>
    </w:p>
    <w:p>
      <w:pPr>
        <w:pStyle w:val="BodyText"/>
        <w:spacing w:line="360" w:lineRule="auto" w:before="69"/>
        <w:ind w:left="122" w:right="126"/>
        <w:jc w:val="both"/>
      </w:pPr>
      <w:r>
        <w:rPr>
          <w:color w:val="212121"/>
        </w:rPr>
        <w:t>El presente trabajo se enfoca principalmente en las guías Q2 Validación analítica, Q3 Impurezas, Q8 Desarrollo farmacéutico y Q9 Manejo de riesgo de la calidad.</w:t>
      </w:r>
    </w:p>
    <w:p>
      <w:pPr>
        <w:pStyle w:val="Heading1"/>
        <w:numPr>
          <w:ilvl w:val="3"/>
          <w:numId w:val="4"/>
        </w:numPr>
        <w:tabs>
          <w:tab w:pos="991" w:val="left" w:leader="none"/>
        </w:tabs>
        <w:spacing w:line="240" w:lineRule="auto" w:before="207" w:after="0"/>
        <w:ind w:left="990" w:right="0" w:hanging="868"/>
        <w:jc w:val="both"/>
        <w:rPr>
          <w:b w:val="0"/>
          <w:sz w:val="16"/>
        </w:rPr>
      </w:pPr>
      <w:bookmarkStart w:name="_bookmark12" w:id="21"/>
      <w:bookmarkEnd w:id="21"/>
      <w:r>
        <w:rPr>
          <w:b w:val="0"/>
        </w:rPr>
      </w:r>
      <w:bookmarkStart w:name="_bookmark12" w:id="22"/>
      <w:bookmarkEnd w:id="22"/>
      <w:r>
        <w:rPr>
          <w:color w:val="212121"/>
        </w:rPr>
        <w:t>ICH</w:t>
      </w:r>
      <w:r>
        <w:rPr>
          <w:color w:val="212121"/>
        </w:rPr>
        <w:t> Q2 Validación analítica</w:t>
      </w:r>
      <w:r>
        <w:rPr>
          <w:color w:val="212121"/>
          <w:spacing w:val="-7"/>
        </w:rPr>
        <w:t> </w:t>
      </w:r>
      <w:r>
        <w:rPr>
          <w:b w:val="0"/>
          <w:color w:val="212121"/>
          <w:position w:val="11"/>
          <w:sz w:val="16"/>
        </w:rPr>
        <w:t>10</w:t>
      </w:r>
    </w:p>
    <w:p>
      <w:pPr>
        <w:pStyle w:val="BodyText"/>
        <w:spacing w:before="8"/>
        <w:rPr>
          <w:sz w:val="35"/>
        </w:rPr>
      </w:pPr>
    </w:p>
    <w:p>
      <w:pPr>
        <w:pStyle w:val="BodyText"/>
        <w:spacing w:line="360" w:lineRule="auto"/>
        <w:ind w:left="122" w:right="116"/>
        <w:jc w:val="both"/>
      </w:pPr>
      <w:r>
        <w:rPr>
          <w:color w:val="212121"/>
        </w:rPr>
        <w:t>Describe la validación de los procedimientos, presenta una descripción sobre las características que se deben de considerar durante la validación de los procedimientos analíticos. El objetivo es demostrar que los procedimientos analíticos son adecuados para el propósito previsto.</w:t>
      </w:r>
    </w:p>
    <w:p>
      <w:pPr>
        <w:pStyle w:val="BodyText"/>
        <w:spacing w:line="360" w:lineRule="auto" w:before="204"/>
        <w:ind w:left="122" w:right="118"/>
        <w:jc w:val="both"/>
      </w:pPr>
      <w:r>
        <w:rPr>
          <w:color w:val="212121"/>
        </w:rPr>
        <w:t>Los tipos de procedimientos a ser validados son cuatro: pruebas de identificación, pruebas cuantitativas para el control de impurezas, pruebas límite para el control de impurezas y pruebas cuantitativas de la fracción activa en el fármaco (ensayo).</w:t>
      </w:r>
    </w:p>
    <w:p>
      <w:pPr>
        <w:pStyle w:val="BodyText"/>
        <w:spacing w:line="360" w:lineRule="auto" w:before="202"/>
        <w:ind w:left="122" w:right="115"/>
        <w:jc w:val="both"/>
      </w:pPr>
      <w:r>
        <w:rPr>
          <w:color w:val="212121"/>
        </w:rPr>
        <w:t>Las pruebas de identificación tienen por objeto garantizar la identidad de un analito en una muestra. Esto se consigue normalmente mediante la comparación de una propiedad de la muestra (por ejemplo, espectro, comportamiento cromatográfico, reactividad química, etc.) con la de un patrón de referencia.</w:t>
      </w:r>
    </w:p>
    <w:p>
      <w:pPr>
        <w:pStyle w:val="BodyText"/>
        <w:spacing w:line="360" w:lineRule="auto" w:before="204"/>
        <w:ind w:left="122" w:right="116"/>
        <w:jc w:val="both"/>
      </w:pPr>
      <w:r>
        <w:rPr>
          <w:color w:val="212121"/>
        </w:rPr>
        <w:t>Las pruebas para impurezas pueden ser cuantitativas o de límite para la impureza en una muestra. De cualquier manera esta prueba está diseñada para reflejar  con</w:t>
      </w:r>
    </w:p>
    <w:p>
      <w:pPr>
        <w:spacing w:after="0" w:line="360" w:lineRule="auto"/>
        <w:jc w:val="both"/>
        <w:sectPr>
          <w:pgSz w:w="12240" w:h="15840"/>
          <w:pgMar w:header="0" w:footer="919" w:top="1360" w:bottom="1100" w:left="1580" w:right="1580"/>
        </w:sectPr>
      </w:pPr>
    </w:p>
    <w:p>
      <w:pPr>
        <w:pStyle w:val="BodyText"/>
        <w:spacing w:line="360" w:lineRule="auto" w:before="56"/>
        <w:ind w:left="102" w:right="116"/>
        <w:jc w:val="both"/>
      </w:pPr>
      <w:r>
        <w:rPr>
          <w:color w:val="212121"/>
        </w:rPr>
        <w:t>precisión las características de pureza de la muestra. Se requieren diferentes características de validación para una prueba cuantitativa y para una de ensayo límite.</w:t>
      </w:r>
    </w:p>
    <w:p>
      <w:pPr>
        <w:pStyle w:val="BodyText"/>
        <w:spacing w:line="360" w:lineRule="auto" w:before="204"/>
        <w:ind w:left="102" w:right="125"/>
        <w:jc w:val="both"/>
      </w:pPr>
      <w:r>
        <w:rPr>
          <w:color w:val="212121"/>
        </w:rPr>
        <w:t>En los procedimientos de ensayo se pretende medir el analito presente en una determinada muestra. El ensayo representa una medición cuantitativa del componente principal en la sustancia farmacológica.</w:t>
      </w:r>
    </w:p>
    <w:p>
      <w:pPr>
        <w:pStyle w:val="BodyText"/>
        <w:spacing w:line="360" w:lineRule="auto" w:before="202"/>
        <w:ind w:left="102" w:right="121"/>
        <w:jc w:val="both"/>
      </w:pPr>
      <w:r>
        <w:rPr>
          <w:color w:val="212121"/>
        </w:rPr>
        <w:t>El objetivo del procedimiento analítico debe entenderse claramente para determinar cuáles parámetros deben ser evaluados. Los parámetros evaluados más comunes son los siguientes: exactitud, precisión, repetibilidad, precisión intermedia, especificidad, límite de detección, límite de cuantificación, linealidad y rango.</w:t>
      </w:r>
    </w:p>
    <w:p>
      <w:pPr>
        <w:pStyle w:val="BodyText"/>
        <w:spacing w:line="360" w:lineRule="auto" w:before="204"/>
        <w:ind w:left="102" w:right="123"/>
        <w:jc w:val="both"/>
      </w:pPr>
      <w:r>
        <w:rPr>
          <w:b/>
          <w:color w:val="212121"/>
        </w:rPr>
        <w:t>Procedimiento analítico</w:t>
      </w:r>
      <w:r>
        <w:rPr>
          <w:color w:val="212121"/>
        </w:rPr>
        <w:t>: Se refiere a la forma en que va a ser llevado el análisis, se deben de describir a detalle los pasos a seguir para ejecutar la prueba. Este puede incluir, pero no se limita a: la muestra, estándares de referencia, la forma de preparación de los reactivos, uso de equipos, preparación de curvas  de calibración, uso de fórmulas para los cálculos, etc.</w:t>
      </w:r>
    </w:p>
    <w:p>
      <w:pPr>
        <w:pStyle w:val="BodyText"/>
        <w:spacing w:line="360" w:lineRule="auto" w:before="204"/>
        <w:ind w:left="102" w:right="119"/>
        <w:jc w:val="both"/>
      </w:pPr>
      <w:r>
        <w:rPr>
          <w:b/>
          <w:color w:val="212121"/>
        </w:rPr>
        <w:t>Especificidad</w:t>
      </w:r>
      <w:r>
        <w:rPr>
          <w:color w:val="212121"/>
        </w:rPr>
        <w:t>: Es la capacidad para asignar inequívocamente un analito en presencia de componentes que se espera estén presentes, como pueden ser impurezas, productos de degradación, matriz de la solución, etc.</w:t>
      </w:r>
    </w:p>
    <w:p>
      <w:pPr>
        <w:pStyle w:val="BodyText"/>
        <w:spacing w:line="360" w:lineRule="auto" w:before="204"/>
        <w:ind w:left="102" w:right="120"/>
        <w:jc w:val="both"/>
      </w:pPr>
      <w:r>
        <w:rPr>
          <w:b/>
          <w:color w:val="212121"/>
        </w:rPr>
        <w:t>Exactitud</w:t>
      </w:r>
      <w:r>
        <w:rPr>
          <w:color w:val="212121"/>
        </w:rPr>
        <w:t>: La exactitud de un procedimiento analítico expresa el grado de concordancia entre el valor que se acepta (convencionalmente considerado como verdadero o el valor de referencia aceptado) y el valor encontrado.</w:t>
      </w:r>
    </w:p>
    <w:p>
      <w:pPr>
        <w:pStyle w:val="BodyText"/>
        <w:spacing w:line="360" w:lineRule="auto" w:before="205"/>
        <w:ind w:left="102" w:right="116"/>
        <w:jc w:val="both"/>
      </w:pPr>
      <w:r>
        <w:rPr>
          <w:b/>
          <w:color w:val="212121"/>
        </w:rPr>
        <w:t>Precisión</w:t>
      </w:r>
      <w:r>
        <w:rPr>
          <w:color w:val="212121"/>
        </w:rPr>
        <w:t>: La precisión de un procedimiento analítico expresa el grado de concordancia (grado de dispersión) entre una serie de mediciones obtenidas a partir de un muestreo múltiple de la misma muestra homogénea en las  condiciones prescritas. La precisión puede ser considerada en tres niveles: repetibilidad, precisión intermedia y</w:t>
      </w:r>
      <w:r>
        <w:rPr>
          <w:color w:val="212121"/>
          <w:spacing w:val="-13"/>
        </w:rPr>
        <w:t> </w:t>
      </w:r>
      <w:r>
        <w:rPr>
          <w:color w:val="212121"/>
        </w:rPr>
        <w:t>reproducibilidad.</w:t>
      </w:r>
    </w:p>
    <w:p>
      <w:pPr>
        <w:spacing w:after="0" w:line="360" w:lineRule="auto"/>
        <w:jc w:val="both"/>
        <w:sectPr>
          <w:pgSz w:w="12240" w:h="15840"/>
          <w:pgMar w:header="0" w:footer="919" w:top="1360" w:bottom="1100" w:left="1600" w:right="1580"/>
        </w:sectPr>
      </w:pPr>
    </w:p>
    <w:p>
      <w:pPr>
        <w:pStyle w:val="BodyText"/>
        <w:spacing w:line="360" w:lineRule="auto" w:before="56"/>
        <w:ind w:left="102" w:right="122"/>
        <w:jc w:val="both"/>
      </w:pPr>
      <w:r>
        <w:rPr>
          <w:b/>
          <w:color w:val="212121"/>
        </w:rPr>
        <w:t>Repetibilidad</w:t>
      </w:r>
      <w:r>
        <w:rPr>
          <w:color w:val="212121"/>
        </w:rPr>
        <w:t>: Expresa la precisión bajo las mismas condiciones de operación en un intervalo corto de tiempo.</w:t>
      </w:r>
    </w:p>
    <w:p>
      <w:pPr>
        <w:pStyle w:val="BodyText"/>
        <w:spacing w:line="360" w:lineRule="auto" w:before="204"/>
        <w:ind w:left="102" w:right="123"/>
        <w:jc w:val="both"/>
      </w:pPr>
      <w:r>
        <w:rPr>
          <w:b/>
          <w:color w:val="212121"/>
        </w:rPr>
        <w:t>Precisión intermedia</w:t>
      </w:r>
      <w:r>
        <w:rPr>
          <w:color w:val="212121"/>
        </w:rPr>
        <w:t>: Expresa las posibles variaciones que pueden ocurrir dentro de un mismo laboratorio, días diferentes, analistas diferentes, equipos diferentes, etc.</w:t>
      </w:r>
    </w:p>
    <w:p>
      <w:pPr>
        <w:spacing w:before="204"/>
        <w:ind w:left="102" w:right="0" w:firstLine="0"/>
        <w:jc w:val="both"/>
        <w:rPr>
          <w:sz w:val="24"/>
        </w:rPr>
      </w:pPr>
      <w:r>
        <w:rPr>
          <w:b/>
          <w:color w:val="212121"/>
          <w:sz w:val="24"/>
        </w:rPr>
        <w:t>Reproducibilidad</w:t>
      </w:r>
      <w:r>
        <w:rPr>
          <w:color w:val="212121"/>
          <w:sz w:val="24"/>
        </w:rPr>
        <w:t>: Expresa la precisión entre laboratorios.</w:t>
      </w:r>
    </w:p>
    <w:p>
      <w:pPr>
        <w:pStyle w:val="BodyText"/>
        <w:spacing w:before="4"/>
        <w:rPr>
          <w:sz w:val="29"/>
        </w:rPr>
      </w:pPr>
    </w:p>
    <w:p>
      <w:pPr>
        <w:pStyle w:val="BodyText"/>
        <w:spacing w:line="360" w:lineRule="auto" w:before="1"/>
        <w:ind w:left="102" w:right="124"/>
        <w:jc w:val="both"/>
      </w:pPr>
      <w:r>
        <w:rPr>
          <w:b/>
          <w:color w:val="212121"/>
        </w:rPr>
        <w:t>Límite de detección</w:t>
      </w:r>
      <w:r>
        <w:rPr>
          <w:color w:val="212121"/>
        </w:rPr>
        <w:t>: El límite de detección de un procedimiento analítico es la cantidad más baja de analito en la muestra que puede ser detectada, pero no necesariamente cuantificada como un valor exacto.</w:t>
      </w:r>
    </w:p>
    <w:p>
      <w:pPr>
        <w:pStyle w:val="BodyText"/>
        <w:spacing w:line="360" w:lineRule="auto" w:before="204"/>
        <w:ind w:left="102" w:right="123"/>
        <w:jc w:val="both"/>
      </w:pPr>
      <w:r>
        <w:rPr>
          <w:b/>
          <w:color w:val="212121"/>
        </w:rPr>
        <w:t>Límite de cuantificación</w:t>
      </w:r>
      <w:r>
        <w:rPr>
          <w:color w:val="212121"/>
        </w:rPr>
        <w:t>: El límite de cuantificación de un procedimiento analítico es la cantidad más baja de analito en la muestra que puede ser determinada cuantitativamente con una adecuada precisión y exactitud.</w:t>
      </w:r>
    </w:p>
    <w:p>
      <w:pPr>
        <w:pStyle w:val="BodyText"/>
        <w:spacing w:line="360" w:lineRule="auto" w:before="202"/>
        <w:ind w:left="102" w:right="116"/>
        <w:jc w:val="both"/>
      </w:pPr>
      <w:r>
        <w:rPr>
          <w:b/>
          <w:color w:val="212121"/>
        </w:rPr>
        <w:t>Linealidad</w:t>
      </w:r>
      <w:r>
        <w:rPr>
          <w:color w:val="212121"/>
        </w:rPr>
        <w:t>: La linealidad de un procedimiento analítico es la capacidad del  método analítico (dentro de un intervalo dado) para obtener resultados que son directamente proporcionales con la concentración del analito en la</w:t>
      </w:r>
      <w:r>
        <w:rPr>
          <w:color w:val="212121"/>
          <w:spacing w:val="-20"/>
        </w:rPr>
        <w:t> </w:t>
      </w:r>
      <w:r>
        <w:rPr>
          <w:color w:val="212121"/>
        </w:rPr>
        <w:t>muestra.</w:t>
      </w:r>
    </w:p>
    <w:p>
      <w:pPr>
        <w:pStyle w:val="BodyText"/>
        <w:spacing w:line="360" w:lineRule="auto" w:before="204"/>
        <w:ind w:left="102" w:right="119"/>
        <w:jc w:val="both"/>
      </w:pPr>
      <w:r>
        <w:rPr>
          <w:b/>
          <w:color w:val="212121"/>
        </w:rPr>
        <w:t>Rango</w:t>
      </w:r>
      <w:r>
        <w:rPr>
          <w:color w:val="212121"/>
        </w:rPr>
        <w:t>: El rango de un procedimiento analítico es el intervalo entre la concentración más baja y más alta del analito en la muestra, y para los cuales, ha sido demostrado que el procedimiento analítico tiene un nivel adecuado de precisión exactitud y linealidad.</w:t>
      </w:r>
    </w:p>
    <w:p>
      <w:pPr>
        <w:pStyle w:val="BodyText"/>
        <w:spacing w:line="360" w:lineRule="auto" w:before="202"/>
        <w:ind w:left="102" w:right="116"/>
        <w:jc w:val="both"/>
      </w:pPr>
      <w:r>
        <w:rPr>
          <w:b/>
          <w:color w:val="212121"/>
        </w:rPr>
        <w:t>Robustez</w:t>
      </w:r>
      <w:r>
        <w:rPr>
          <w:color w:val="212121"/>
        </w:rPr>
        <w:t>: La robustez de un procedimiento analítico es la medida de la  capacidad de permanecer sin ser afectado por pequeñas o  deliberadas variaciones en los parámetros del método y proporciona un indicio de su confiabilidad durante su uso</w:t>
      </w:r>
      <w:r>
        <w:rPr>
          <w:color w:val="212121"/>
          <w:spacing w:val="-9"/>
        </w:rPr>
        <w:t> </w:t>
      </w:r>
      <w:r>
        <w:rPr>
          <w:color w:val="212121"/>
        </w:rPr>
        <w:t>normal.</w:t>
      </w:r>
    </w:p>
    <w:p>
      <w:pPr>
        <w:pStyle w:val="BodyText"/>
        <w:spacing w:line="360" w:lineRule="auto" w:before="204"/>
        <w:ind w:left="102" w:right="121"/>
        <w:jc w:val="both"/>
      </w:pPr>
      <w:r>
        <w:rPr>
          <w:color w:val="212121"/>
        </w:rPr>
        <w:t>La revalidación de los procedimientos analíticos debe ser llevada a cabo cuando haya un cambio significativo en la síntesis del API, cambios en la composición del producto terminado y cambios en el procedimiento analítico.</w:t>
      </w:r>
    </w:p>
    <w:p>
      <w:pPr>
        <w:spacing w:after="0" w:line="360" w:lineRule="auto"/>
        <w:jc w:val="both"/>
        <w:sectPr>
          <w:pgSz w:w="12240" w:h="15840"/>
          <w:pgMar w:header="0" w:footer="919" w:top="1360" w:bottom="1100" w:left="1600" w:right="1580"/>
        </w:sectPr>
      </w:pPr>
    </w:p>
    <w:p>
      <w:pPr>
        <w:pStyle w:val="Heading1"/>
        <w:numPr>
          <w:ilvl w:val="3"/>
          <w:numId w:val="4"/>
        </w:numPr>
        <w:tabs>
          <w:tab w:pos="971" w:val="left" w:leader="none"/>
        </w:tabs>
        <w:spacing w:line="240" w:lineRule="auto" w:before="59" w:after="0"/>
        <w:ind w:left="970" w:right="0" w:hanging="868"/>
        <w:jc w:val="both"/>
        <w:rPr>
          <w:b w:val="0"/>
          <w:sz w:val="16"/>
        </w:rPr>
      </w:pPr>
      <w:bookmarkStart w:name="_bookmark13" w:id="23"/>
      <w:bookmarkEnd w:id="23"/>
      <w:r>
        <w:rPr>
          <w:b w:val="0"/>
        </w:rPr>
      </w:r>
      <w:bookmarkStart w:name="_bookmark13" w:id="24"/>
      <w:bookmarkEnd w:id="24"/>
      <w:r>
        <w:rPr>
          <w:color w:val="212121"/>
        </w:rPr>
        <w:t>ICH</w:t>
      </w:r>
      <w:r>
        <w:rPr>
          <w:color w:val="212121"/>
        </w:rPr>
        <w:t> Q8 Desarrollo Farmacéutico</w:t>
      </w:r>
      <w:r>
        <w:rPr>
          <w:color w:val="212121"/>
          <w:spacing w:val="-4"/>
        </w:rPr>
        <w:t> </w:t>
      </w:r>
      <w:r>
        <w:rPr>
          <w:b w:val="0"/>
          <w:color w:val="212121"/>
          <w:position w:val="11"/>
          <w:sz w:val="16"/>
        </w:rPr>
        <w:t>2</w:t>
      </w:r>
    </w:p>
    <w:p>
      <w:pPr>
        <w:pStyle w:val="BodyText"/>
        <w:spacing w:before="10"/>
        <w:rPr>
          <w:sz w:val="39"/>
        </w:rPr>
      </w:pPr>
    </w:p>
    <w:p>
      <w:pPr>
        <w:pStyle w:val="BodyText"/>
        <w:spacing w:line="360" w:lineRule="auto"/>
        <w:ind w:left="102" w:right="115"/>
        <w:jc w:val="both"/>
      </w:pPr>
      <w:r>
        <w:rPr>
          <w:color w:val="212121"/>
        </w:rPr>
        <w:t>La sección de Desarrollo Farmacéutico ofrece la oportunidad de presentar los conocimientos adquiridos mediante la aplicación de métodos científicos y el riesgo en el manejo de la calidad (por definición, ver ICH Q9) para el desarrollo de un producto y su proceso de manufactura.</w:t>
      </w:r>
    </w:p>
    <w:p>
      <w:pPr>
        <w:pStyle w:val="BodyText"/>
        <w:spacing w:line="360" w:lineRule="auto" w:before="204"/>
        <w:ind w:left="102" w:right="120"/>
        <w:jc w:val="both"/>
      </w:pPr>
      <w:r>
        <w:rPr>
          <w:color w:val="212121"/>
        </w:rPr>
        <w:t>La sección de desarrollo farmacéutico está destinada a proporcionar una amplia comprensión del proceso y fabricación de productos para los colaboradores e inspectores</w:t>
      </w:r>
    </w:p>
    <w:p>
      <w:pPr>
        <w:pStyle w:val="BodyText"/>
        <w:spacing w:line="360" w:lineRule="auto" w:before="204"/>
        <w:ind w:left="102" w:right="117"/>
        <w:jc w:val="both"/>
      </w:pPr>
      <w:r>
        <w:rPr>
          <w:color w:val="212121"/>
        </w:rPr>
        <w:t>El objetivo del desarrollo farmacéutico es diseñar un producto de calidad y su proceso de fabricación para entregar consistentemente un rendimiento previsto del producto. La información y los conocimientos adquiridos en el desarrollo farmacéutico, estudios y experiencia en la fabricación proporcionan la comprensión científica para apoyar el establecimiento del espacio de diseño, especificaciones y controles de</w:t>
      </w:r>
      <w:r>
        <w:rPr>
          <w:color w:val="212121"/>
          <w:spacing w:val="-10"/>
        </w:rPr>
        <w:t> </w:t>
      </w:r>
      <w:r>
        <w:rPr>
          <w:color w:val="212121"/>
        </w:rPr>
        <w:t>proceso.</w:t>
      </w:r>
    </w:p>
    <w:p>
      <w:pPr>
        <w:pStyle w:val="BodyText"/>
        <w:spacing w:line="360" w:lineRule="auto" w:before="204"/>
        <w:ind w:left="102" w:right="116"/>
        <w:jc w:val="both"/>
      </w:pPr>
      <w:r>
        <w:rPr>
          <w:color w:val="212121"/>
        </w:rPr>
        <w:t>La información de los estudios de desarrollo farmacéutico puede ser una base  para la gestión en el manejo de riesgo de la calidad. Es importante destacar que la calidad no puede ser probada en productos debe ser construida en el diseño. Los cambios en la formulación y fabricación durante el proceso de desarrollo y la gestión del ciclo de vida deben ser considerados como oportunidades para adquirir conocimientos adicionales y establecer además el apoyo del espacio de</w:t>
      </w:r>
      <w:r>
        <w:rPr>
          <w:color w:val="212121"/>
          <w:spacing w:val="-29"/>
        </w:rPr>
        <w:t> </w:t>
      </w:r>
      <w:r>
        <w:rPr>
          <w:color w:val="212121"/>
        </w:rPr>
        <w:t>diseño.</w:t>
      </w:r>
    </w:p>
    <w:p>
      <w:pPr>
        <w:pStyle w:val="BodyText"/>
        <w:spacing w:line="360" w:lineRule="auto" w:before="204"/>
        <w:ind w:left="102" w:right="116"/>
        <w:jc w:val="both"/>
      </w:pPr>
      <w:r>
        <w:rPr>
          <w:color w:val="212121"/>
        </w:rPr>
        <w:t>El espacio de diseño es propuesto por el solicitante y está sujeto a la evaluación y aprobación de las agencias reguladoras. Trabajar dentro del espacio de diseño no se considera como un cambio, hacer actividades fuera del espacio de diseño, si es considerado como un cambio y se debe de iniciar un proceso de aprobación regulatorio.</w:t>
      </w:r>
    </w:p>
    <w:p>
      <w:pPr>
        <w:pStyle w:val="BodyText"/>
        <w:spacing w:line="360" w:lineRule="auto" w:before="204"/>
        <w:ind w:left="102" w:right="123"/>
        <w:jc w:val="both"/>
      </w:pPr>
      <w:r>
        <w:rPr>
          <w:color w:val="212121"/>
        </w:rPr>
        <w:t>El solicitante puede elegir para llevar a cabo estudios farmacéuticos de desarrollo que puedan conducir a un mejor conocimiento del rendimiento del producto a través  de  una  gama  más  amplia  de  los  atributos  del  material,  opciones    de</w:t>
      </w:r>
    </w:p>
    <w:p>
      <w:pPr>
        <w:spacing w:after="0" w:line="360" w:lineRule="auto"/>
        <w:jc w:val="both"/>
        <w:sectPr>
          <w:pgSz w:w="12240" w:h="15840"/>
          <w:pgMar w:header="0" w:footer="919" w:top="1320" w:bottom="1100" w:left="1600" w:right="1580"/>
        </w:sectPr>
      </w:pPr>
    </w:p>
    <w:p>
      <w:pPr>
        <w:pStyle w:val="BodyText"/>
        <w:spacing w:line="360" w:lineRule="auto" w:before="56"/>
        <w:ind w:left="102" w:right="118"/>
        <w:jc w:val="both"/>
      </w:pPr>
      <w:r>
        <w:rPr>
          <w:color w:val="212121"/>
        </w:rPr>
        <w:t>procesamiento y parámetros del proceso, esta inclusión de información demuestra un mayor grado de comprensión de los atributos de los materiales, procesos de fabricación y controles. Así mismo, genera oportunidades para desarrollar enfoques regulatorios más flexibles para facilitar, por ejemplo:</w:t>
      </w:r>
    </w:p>
    <w:p>
      <w:pPr>
        <w:pStyle w:val="ListParagraph"/>
        <w:numPr>
          <w:ilvl w:val="4"/>
          <w:numId w:val="4"/>
        </w:numPr>
        <w:tabs>
          <w:tab w:pos="821" w:val="left" w:leader="none"/>
          <w:tab w:pos="822" w:val="left" w:leader="none"/>
        </w:tabs>
        <w:spacing w:line="240" w:lineRule="auto" w:before="205" w:after="0"/>
        <w:ind w:left="822" w:right="0" w:hanging="360"/>
        <w:jc w:val="left"/>
        <w:rPr>
          <w:rFonts w:ascii="Symbol"/>
          <w:color w:val="212121"/>
          <w:sz w:val="24"/>
        </w:rPr>
      </w:pPr>
      <w:r>
        <w:rPr>
          <w:color w:val="212121"/>
          <w:sz w:val="24"/>
        </w:rPr>
        <w:t>Decisiones regulatorias basadas en el</w:t>
      </w:r>
      <w:r>
        <w:rPr>
          <w:color w:val="212121"/>
          <w:spacing w:val="-14"/>
          <w:sz w:val="24"/>
        </w:rPr>
        <w:t> </w:t>
      </w:r>
      <w:r>
        <w:rPr>
          <w:color w:val="212121"/>
          <w:sz w:val="24"/>
        </w:rPr>
        <w:t>riesgo</w:t>
      </w:r>
    </w:p>
    <w:p>
      <w:pPr>
        <w:pStyle w:val="ListParagraph"/>
        <w:numPr>
          <w:ilvl w:val="4"/>
          <w:numId w:val="4"/>
        </w:numPr>
        <w:tabs>
          <w:tab w:pos="821" w:val="left" w:leader="none"/>
          <w:tab w:pos="822" w:val="left" w:leader="none"/>
        </w:tabs>
        <w:spacing w:line="240" w:lineRule="auto" w:before="135" w:after="0"/>
        <w:ind w:left="822" w:right="0" w:hanging="360"/>
        <w:jc w:val="left"/>
        <w:rPr>
          <w:rFonts w:ascii="Symbol" w:hAnsi="Symbol"/>
          <w:color w:val="212121"/>
          <w:sz w:val="24"/>
        </w:rPr>
      </w:pPr>
      <w:r>
        <w:rPr>
          <w:color w:val="212121"/>
          <w:sz w:val="24"/>
        </w:rPr>
        <w:t>Mejora de procesos de manufactura, sin más revisión</w:t>
      </w:r>
      <w:r>
        <w:rPr>
          <w:color w:val="212121"/>
          <w:spacing w:val="-17"/>
          <w:sz w:val="24"/>
        </w:rPr>
        <w:t> </w:t>
      </w:r>
      <w:r>
        <w:rPr>
          <w:color w:val="212121"/>
          <w:sz w:val="24"/>
        </w:rPr>
        <w:t>reglamentaria</w:t>
      </w:r>
    </w:p>
    <w:p>
      <w:pPr>
        <w:pStyle w:val="ListParagraph"/>
        <w:numPr>
          <w:ilvl w:val="4"/>
          <w:numId w:val="4"/>
        </w:numPr>
        <w:tabs>
          <w:tab w:pos="821" w:val="left" w:leader="none"/>
          <w:tab w:pos="822" w:val="left" w:leader="none"/>
        </w:tabs>
        <w:spacing w:line="240" w:lineRule="auto" w:before="138" w:after="0"/>
        <w:ind w:left="822" w:right="0" w:hanging="360"/>
        <w:jc w:val="left"/>
        <w:rPr>
          <w:rFonts w:ascii="Symbol" w:hAnsi="Symbol"/>
          <w:color w:val="212121"/>
          <w:sz w:val="24"/>
        </w:rPr>
      </w:pPr>
      <w:r>
        <w:rPr>
          <w:color w:val="212121"/>
          <w:sz w:val="24"/>
        </w:rPr>
        <w:t>La reducción de las presentaciones posteriores a la</w:t>
      </w:r>
      <w:r>
        <w:rPr>
          <w:color w:val="212121"/>
          <w:spacing w:val="-22"/>
          <w:sz w:val="24"/>
        </w:rPr>
        <w:t> </w:t>
      </w:r>
      <w:r>
        <w:rPr>
          <w:color w:val="212121"/>
          <w:sz w:val="24"/>
        </w:rPr>
        <w:t>aprobación</w:t>
      </w:r>
    </w:p>
    <w:p>
      <w:pPr>
        <w:pStyle w:val="ListParagraph"/>
        <w:numPr>
          <w:ilvl w:val="4"/>
          <w:numId w:val="4"/>
        </w:numPr>
        <w:tabs>
          <w:tab w:pos="821" w:val="left" w:leader="none"/>
          <w:tab w:pos="822" w:val="left" w:leader="none"/>
        </w:tabs>
        <w:spacing w:line="350" w:lineRule="auto" w:before="135" w:after="0"/>
        <w:ind w:left="822" w:right="126" w:hanging="360"/>
        <w:jc w:val="left"/>
        <w:rPr>
          <w:rFonts w:ascii="Symbol" w:hAnsi="Symbol"/>
          <w:color w:val="212121"/>
          <w:sz w:val="24"/>
        </w:rPr>
      </w:pPr>
      <w:r>
        <w:rPr>
          <w:color w:val="212121"/>
          <w:sz w:val="24"/>
        </w:rPr>
        <w:t>Control de calidad en tiempo real, lo que lleva a una reducción de las pruebas de liberación del producto</w:t>
      </w:r>
      <w:r>
        <w:rPr>
          <w:color w:val="212121"/>
          <w:spacing w:val="-14"/>
          <w:sz w:val="24"/>
        </w:rPr>
        <w:t> </w:t>
      </w:r>
      <w:r>
        <w:rPr>
          <w:color w:val="212121"/>
          <w:sz w:val="24"/>
        </w:rPr>
        <w:t>final</w:t>
      </w:r>
    </w:p>
    <w:p>
      <w:pPr>
        <w:pStyle w:val="BodyText"/>
        <w:spacing w:line="360" w:lineRule="auto" w:before="174"/>
        <w:ind w:left="102" w:right="115"/>
        <w:jc w:val="both"/>
      </w:pPr>
      <w:r>
        <w:rPr>
          <w:color w:val="212121"/>
        </w:rPr>
        <w:t>El diseño y la conducción de los estudios de desarrollo farmacéutico deben ser consistentes con el propósito científico. Se debe de reconocer que el nivel de conocimiento adquirido y no el volumen de datos recopilados, proporcionan la base científica para el cumplimiento y su evaluación</w:t>
      </w:r>
      <w:r>
        <w:rPr>
          <w:color w:val="212121"/>
          <w:spacing w:val="-20"/>
        </w:rPr>
        <w:t> </w:t>
      </w:r>
      <w:r>
        <w:rPr>
          <w:color w:val="212121"/>
        </w:rPr>
        <w:t>regulatoria.</w:t>
      </w:r>
    </w:p>
    <w:p>
      <w:pPr>
        <w:pStyle w:val="Heading1"/>
        <w:numPr>
          <w:ilvl w:val="3"/>
          <w:numId w:val="4"/>
        </w:numPr>
        <w:tabs>
          <w:tab w:pos="971" w:val="left" w:leader="none"/>
        </w:tabs>
        <w:spacing w:line="240" w:lineRule="auto" w:before="205" w:after="0"/>
        <w:ind w:left="970" w:right="0" w:hanging="868"/>
        <w:jc w:val="both"/>
        <w:rPr>
          <w:b w:val="0"/>
          <w:sz w:val="16"/>
        </w:rPr>
      </w:pPr>
      <w:bookmarkStart w:name="_bookmark14" w:id="25"/>
      <w:bookmarkEnd w:id="25"/>
      <w:r>
        <w:rPr>
          <w:b w:val="0"/>
        </w:rPr>
      </w:r>
      <w:bookmarkStart w:name="_bookmark14" w:id="26"/>
      <w:bookmarkEnd w:id="26"/>
      <w:r>
        <w:rPr>
          <w:color w:val="212121"/>
        </w:rPr>
        <w:t>ICH</w:t>
      </w:r>
      <w:r>
        <w:rPr>
          <w:color w:val="212121"/>
        </w:rPr>
        <w:t> Q9 Manejo del riesgo de la calidad</w:t>
      </w:r>
      <w:r>
        <w:rPr>
          <w:color w:val="212121"/>
          <w:spacing w:val="-8"/>
        </w:rPr>
        <w:t> </w:t>
      </w:r>
      <w:r>
        <w:rPr>
          <w:b w:val="0"/>
          <w:color w:val="212121"/>
          <w:position w:val="11"/>
          <w:sz w:val="16"/>
        </w:rPr>
        <w:t>11</w:t>
      </w:r>
    </w:p>
    <w:p>
      <w:pPr>
        <w:pStyle w:val="BodyText"/>
        <w:spacing w:before="10"/>
        <w:rPr>
          <w:sz w:val="35"/>
        </w:rPr>
      </w:pPr>
    </w:p>
    <w:p>
      <w:pPr>
        <w:pStyle w:val="BodyText"/>
        <w:spacing w:line="360" w:lineRule="auto"/>
        <w:ind w:left="102" w:right="116"/>
        <w:jc w:val="both"/>
      </w:pPr>
      <w:r>
        <w:rPr>
          <w:color w:val="212121"/>
        </w:rPr>
        <w:t>Los principios de gestión de riesgos se utilizan efectivamente en muchas áreas de negocio y gobierno, incluyendo finanzas, seguros, seguridad en el trabajo, la salud pública, farmacovigilancia, y por los organismos que regulan a estas industrias.</w:t>
      </w:r>
    </w:p>
    <w:p>
      <w:pPr>
        <w:pStyle w:val="BodyText"/>
        <w:spacing w:line="360" w:lineRule="auto" w:before="204"/>
        <w:ind w:left="102" w:right="115"/>
        <w:jc w:val="both"/>
      </w:pPr>
      <w:r>
        <w:rPr>
          <w:color w:val="212121"/>
        </w:rPr>
        <w:t>Se entiende que el riesgo se define como la combinación de la probabilidad de  que ocurra un daño y la gravedad de dicho daño. En relación a los productos farmacéuticos, aunque hay una  gran  variedad  de  partes  interesadas,  incluyendo los pacientes, los profesionales de la medicina, el gobierno y la industria, la protección del paciente mediante la gestión de los riesgos para la calidad debe ser considerada de primera</w:t>
      </w:r>
      <w:r>
        <w:rPr>
          <w:color w:val="212121"/>
          <w:spacing w:val="-12"/>
        </w:rPr>
        <w:t> </w:t>
      </w:r>
      <w:r>
        <w:rPr>
          <w:color w:val="212121"/>
        </w:rPr>
        <w:t>importancia.</w:t>
      </w:r>
    </w:p>
    <w:p>
      <w:pPr>
        <w:pStyle w:val="BodyText"/>
        <w:spacing w:line="360" w:lineRule="auto" w:before="204"/>
        <w:ind w:left="102" w:right="115"/>
        <w:jc w:val="both"/>
      </w:pPr>
      <w:r>
        <w:rPr>
          <w:color w:val="212121"/>
        </w:rPr>
        <w:t>La fabricación y uso de un fármaco (medicamento), incluyendo sus componentes, implica un cierto grado de riesgo. El riesgo para su calidad es sólo un componente del riesgo global. Es importante entender que la calidad del producto debe ser mantenida a lo largo del ciclo de vida del producto de tal manera que los atributos que  son  importantes para  la  calidad  del fármaco  (medicamento) siguen  siendo</w:t>
      </w:r>
    </w:p>
    <w:p>
      <w:pPr>
        <w:spacing w:after="0" w:line="360" w:lineRule="auto"/>
        <w:jc w:val="both"/>
        <w:sectPr>
          <w:footerReference w:type="default" r:id="rId14"/>
          <w:pgSz w:w="12240" w:h="15840"/>
          <w:pgMar w:footer="919" w:header="0" w:top="1360" w:bottom="1100" w:left="1600" w:right="1580"/>
        </w:sectPr>
      </w:pPr>
    </w:p>
    <w:p>
      <w:pPr>
        <w:pStyle w:val="BodyText"/>
        <w:spacing w:line="360" w:lineRule="auto" w:before="56"/>
        <w:ind w:left="102" w:right="115"/>
        <w:jc w:val="both"/>
      </w:pPr>
      <w:r>
        <w:rPr>
          <w:color w:val="212121"/>
        </w:rPr>
        <w:t>consistentes con las utilizadas en los estudios clínicos. Con un enfoque de gestión de riesgo de calidad eficaz es posible garantizar aún más la alta calidad del fármaco (medicamento) controlando los posibles problemas de calidad durante su desarrollo y fabricación.</w:t>
      </w:r>
    </w:p>
    <w:p>
      <w:pPr>
        <w:pStyle w:val="BodyText"/>
        <w:spacing w:before="204"/>
        <w:ind w:left="102"/>
        <w:jc w:val="both"/>
      </w:pPr>
      <w:r>
        <w:rPr>
          <w:color w:val="212121"/>
        </w:rPr>
        <w:t>Los principios del manejo del riesgo en la calidad son:</w:t>
      </w:r>
    </w:p>
    <w:p>
      <w:pPr>
        <w:pStyle w:val="BodyText"/>
        <w:spacing w:before="4"/>
        <w:rPr>
          <w:sz w:val="29"/>
        </w:rPr>
      </w:pPr>
    </w:p>
    <w:p>
      <w:pPr>
        <w:pStyle w:val="ListParagraph"/>
        <w:numPr>
          <w:ilvl w:val="0"/>
          <w:numId w:val="5"/>
        </w:numPr>
        <w:tabs>
          <w:tab w:pos="890" w:val="left" w:leader="none"/>
        </w:tabs>
        <w:spacing w:line="360" w:lineRule="auto" w:before="1" w:after="0"/>
        <w:ind w:left="889" w:right="124" w:hanging="360"/>
        <w:jc w:val="both"/>
        <w:rPr>
          <w:color w:val="212121"/>
          <w:sz w:val="24"/>
        </w:rPr>
      </w:pPr>
      <w:r>
        <w:rPr>
          <w:color w:val="212121"/>
          <w:sz w:val="24"/>
        </w:rPr>
        <w:t>La evaluación del riesgo de la calidad debe estar basada en el conocimiento científico y ligado a la protección del</w:t>
      </w:r>
      <w:r>
        <w:rPr>
          <w:color w:val="212121"/>
          <w:spacing w:val="-16"/>
          <w:sz w:val="24"/>
        </w:rPr>
        <w:t> </w:t>
      </w:r>
      <w:r>
        <w:rPr>
          <w:color w:val="212121"/>
          <w:sz w:val="24"/>
        </w:rPr>
        <w:t>paciente</w:t>
      </w:r>
    </w:p>
    <w:p>
      <w:pPr>
        <w:pStyle w:val="ListParagraph"/>
        <w:numPr>
          <w:ilvl w:val="0"/>
          <w:numId w:val="5"/>
        </w:numPr>
        <w:tabs>
          <w:tab w:pos="890" w:val="left" w:leader="none"/>
        </w:tabs>
        <w:spacing w:line="360" w:lineRule="auto" w:before="5" w:after="0"/>
        <w:ind w:left="889" w:right="123" w:hanging="360"/>
        <w:jc w:val="both"/>
        <w:rPr>
          <w:color w:val="212121"/>
          <w:sz w:val="24"/>
        </w:rPr>
      </w:pPr>
      <w:r>
        <w:rPr>
          <w:color w:val="212121"/>
          <w:sz w:val="24"/>
        </w:rPr>
        <w:t>El nivel de esfuerzo, la formalidad y la documentación de los riesgos de la calidad es un proceso de gestión que debe estar acorde con el nivel de riesgo</w:t>
      </w:r>
    </w:p>
    <w:p>
      <w:pPr>
        <w:pStyle w:val="BodyText"/>
        <w:spacing w:line="360" w:lineRule="auto" w:before="204"/>
        <w:ind w:left="102" w:right="114"/>
        <w:jc w:val="both"/>
      </w:pPr>
      <w:r>
        <w:rPr>
          <w:color w:val="212121"/>
        </w:rPr>
        <w:t>La gestión de riesgos de calidad es un proceso sistemático para la evaluación, el control, la comunicación y la revisión de los riesgos para la calidad de los medicamentos en todo el ciclo de vida del producto.</w:t>
      </w:r>
    </w:p>
    <w:p>
      <w:pPr>
        <w:pStyle w:val="BodyText"/>
        <w:spacing w:line="360" w:lineRule="auto" w:before="202"/>
        <w:ind w:left="102" w:right="116"/>
        <w:jc w:val="both"/>
      </w:pPr>
      <w:r>
        <w:rPr>
          <w:color w:val="212121"/>
        </w:rPr>
        <w:t>Un modelo para la gestión de riesgos de calidad se indica en la Figura 2.2. Se podrían utilizar otros modelos. El énfasis en cada componente del marco podría diferir de un caso a otro, sin embargo, un proceso robusto incorporará la consideración de todos los elementos en un nivel de detalle que sea acorde con el riesgo específico.</w:t>
      </w:r>
    </w:p>
    <w:p>
      <w:pPr>
        <w:pStyle w:val="BodyText"/>
        <w:spacing w:line="360" w:lineRule="auto" w:before="204"/>
        <w:ind w:left="102" w:right="115"/>
        <w:jc w:val="both"/>
      </w:pPr>
      <w:r>
        <w:rPr/>
        <w:t>En el diagrama de la Figura 2.2 no se muestran los nodos de decisión ya que estos se pueden presentar en cualquier parte del proceso. </w:t>
      </w:r>
      <w:r>
        <w:rPr>
          <w:color w:val="212121"/>
        </w:rPr>
        <w:t>Estas decisiones podrían ser para volver al paso anterior y buscar más información para ajustar los modelos de riesgo o para dar por terminado el proceso de gestión de riesgos basado en la información que apoya tal decisión. </w:t>
      </w:r>
      <w:r>
        <w:rPr>
          <w:color w:val="212121"/>
          <w:spacing w:val="2"/>
        </w:rPr>
        <w:t>En </w:t>
      </w:r>
      <w:r>
        <w:rPr>
          <w:color w:val="212121"/>
        </w:rPr>
        <w:t>el diagrama de flujo "inaceptable" no sólo se refiere a los requisitos legales, legislativos o reglamentarios, sino también a la necesidad de revisar el proceso de evaluación  de</w:t>
      </w:r>
      <w:r>
        <w:rPr>
          <w:color w:val="212121"/>
          <w:spacing w:val="-3"/>
        </w:rPr>
        <w:t> </w:t>
      </w:r>
      <w:r>
        <w:rPr>
          <w:color w:val="212121"/>
        </w:rPr>
        <w:t>riesgos.</w:t>
      </w:r>
    </w:p>
    <w:p>
      <w:pPr>
        <w:spacing w:after="0" w:line="360" w:lineRule="auto"/>
        <w:jc w:val="both"/>
        <w:sectPr>
          <w:footerReference w:type="default" r:id="rId15"/>
          <w:pgSz w:w="12240" w:h="15840"/>
          <w:pgMar w:footer="919" w:header="0" w:top="1360" w:bottom="1100" w:left="1600" w:right="1580"/>
          <w:pgNumType w:start="11"/>
        </w:sectPr>
      </w:pPr>
    </w:p>
    <w:p>
      <w:pPr>
        <w:pStyle w:val="BodyText"/>
        <w:ind w:left="722"/>
        <w:rPr>
          <w:sz w:val="20"/>
        </w:rPr>
      </w:pPr>
      <w:r>
        <w:rPr>
          <w:sz w:val="20"/>
        </w:rPr>
        <w:drawing>
          <wp:inline distT="0" distB="0" distL="0" distR="0">
            <wp:extent cx="4839271" cy="5193792"/>
            <wp:effectExtent l="0" t="0" r="0" b="0"/>
            <wp:docPr id="9" name="image5.png" descr=""/>
            <wp:cNvGraphicFramePr>
              <a:graphicFrameLocks noChangeAspect="1"/>
            </wp:cNvGraphicFramePr>
            <a:graphic>
              <a:graphicData uri="http://schemas.openxmlformats.org/drawingml/2006/picture">
                <pic:pic>
                  <pic:nvPicPr>
                    <pic:cNvPr id="10" name="image5.png"/>
                    <pic:cNvPicPr/>
                  </pic:nvPicPr>
                  <pic:blipFill>
                    <a:blip r:embed="rId16" cstate="print"/>
                    <a:stretch>
                      <a:fillRect/>
                    </a:stretch>
                  </pic:blipFill>
                  <pic:spPr>
                    <a:xfrm>
                      <a:off x="0" y="0"/>
                      <a:ext cx="4839271" cy="5193792"/>
                    </a:xfrm>
                    <a:prstGeom prst="rect">
                      <a:avLst/>
                    </a:prstGeom>
                  </pic:spPr>
                </pic:pic>
              </a:graphicData>
            </a:graphic>
          </wp:inline>
        </w:drawing>
      </w:r>
      <w:r>
        <w:rPr>
          <w:sz w:val="20"/>
        </w:rPr>
      </w:r>
    </w:p>
    <w:p>
      <w:pPr>
        <w:pStyle w:val="BodyText"/>
        <w:spacing w:before="6"/>
        <w:rPr>
          <w:sz w:val="23"/>
        </w:rPr>
      </w:pPr>
    </w:p>
    <w:p>
      <w:pPr>
        <w:spacing w:before="70"/>
        <w:ind w:left="274" w:right="0" w:firstLine="0"/>
        <w:jc w:val="left"/>
        <w:rPr>
          <w:sz w:val="18"/>
        </w:rPr>
      </w:pPr>
      <w:r>
        <w:rPr>
          <w:color w:val="212121"/>
          <w:sz w:val="24"/>
        </w:rPr>
        <w:t>Figura 2.2 Proceso general del manejo de riesgo de la calidad </w:t>
      </w:r>
      <w:r>
        <w:rPr>
          <w:color w:val="212121"/>
          <w:sz w:val="18"/>
        </w:rPr>
        <w:t>(Traducido de ICH Q9)</w:t>
      </w:r>
    </w:p>
    <w:p>
      <w:pPr>
        <w:pStyle w:val="BodyText"/>
      </w:pPr>
    </w:p>
    <w:p>
      <w:pPr>
        <w:pStyle w:val="BodyText"/>
      </w:pPr>
    </w:p>
    <w:p>
      <w:pPr>
        <w:pStyle w:val="BodyText"/>
        <w:spacing w:line="360" w:lineRule="auto"/>
        <w:ind w:left="102" w:right="124"/>
      </w:pPr>
      <w:r>
        <w:rPr/>
        <w:t>A continuación se describen cada uno de los componentes del proceso general para el manejo del riesgo en la calidad.</w:t>
      </w:r>
    </w:p>
    <w:p>
      <w:pPr>
        <w:pStyle w:val="BodyText"/>
      </w:pPr>
    </w:p>
    <w:p>
      <w:pPr>
        <w:pStyle w:val="ListParagraph"/>
        <w:numPr>
          <w:ilvl w:val="4"/>
          <w:numId w:val="4"/>
        </w:numPr>
        <w:tabs>
          <w:tab w:pos="822" w:val="left" w:leader="none"/>
        </w:tabs>
        <w:spacing w:line="355" w:lineRule="auto" w:before="143" w:after="0"/>
        <w:ind w:left="822" w:right="117" w:hanging="360"/>
        <w:jc w:val="both"/>
        <w:rPr>
          <w:rFonts w:ascii="Symbol" w:hAnsi="Symbol"/>
          <w:sz w:val="24"/>
        </w:rPr>
      </w:pPr>
      <w:r>
        <w:rPr>
          <w:b/>
          <w:sz w:val="24"/>
        </w:rPr>
        <w:t>Iniciación del proceso de manejo del riesgo de la calidad</w:t>
      </w:r>
      <w:r>
        <w:rPr>
          <w:sz w:val="24"/>
        </w:rPr>
        <w:t>, debe incluir procesos sistemáticos diseñados para coordinar, facilitar y mejorar la toma de</w:t>
      </w:r>
      <w:r>
        <w:rPr>
          <w:spacing w:val="-6"/>
          <w:sz w:val="24"/>
        </w:rPr>
        <w:t> </w:t>
      </w:r>
      <w:r>
        <w:rPr>
          <w:sz w:val="24"/>
        </w:rPr>
        <w:t>decisiones.</w:t>
      </w:r>
    </w:p>
    <w:p>
      <w:pPr>
        <w:pStyle w:val="BodyText"/>
        <w:spacing w:line="336" w:lineRule="auto" w:before="8"/>
        <w:ind w:left="1542" w:hanging="360"/>
      </w:pPr>
      <w:r>
        <w:rPr>
          <w:rFonts w:ascii="Courier New" w:hAnsi="Courier New"/>
        </w:rPr>
        <w:t>o </w:t>
      </w:r>
      <w:r>
        <w:rPr/>
        <w:t>Definir las preguntas sobre el problema o los riesgos, incluyendo las hipótesis que permitan identificar el potencial de riesgo</w:t>
      </w:r>
    </w:p>
    <w:p>
      <w:pPr>
        <w:spacing w:after="0" w:line="336" w:lineRule="auto"/>
        <w:sectPr>
          <w:pgSz w:w="12240" w:h="15840"/>
          <w:pgMar w:header="0" w:footer="919" w:top="1420" w:bottom="1100" w:left="1600" w:right="1580"/>
        </w:sectPr>
      </w:pPr>
    </w:p>
    <w:p>
      <w:pPr>
        <w:pStyle w:val="ListParagraph"/>
        <w:numPr>
          <w:ilvl w:val="5"/>
          <w:numId w:val="4"/>
        </w:numPr>
        <w:tabs>
          <w:tab w:pos="1422" w:val="left" w:leader="none"/>
        </w:tabs>
        <w:spacing w:line="333" w:lineRule="auto" w:before="56" w:after="0"/>
        <w:ind w:left="1422" w:right="125" w:hanging="360"/>
        <w:jc w:val="left"/>
        <w:rPr>
          <w:sz w:val="24"/>
        </w:rPr>
      </w:pPr>
      <w:r>
        <w:rPr>
          <w:sz w:val="24"/>
        </w:rPr>
        <w:t>Reunir toda la información de fondo y los datos sobre el peligro potencial, daño o impacto en la salud</w:t>
      </w:r>
      <w:r>
        <w:rPr>
          <w:spacing w:val="-19"/>
          <w:sz w:val="24"/>
        </w:rPr>
        <w:t> </w:t>
      </w:r>
      <w:r>
        <w:rPr>
          <w:sz w:val="24"/>
        </w:rPr>
        <w:t>humana</w:t>
      </w:r>
    </w:p>
    <w:p>
      <w:pPr>
        <w:pStyle w:val="ListParagraph"/>
        <w:numPr>
          <w:ilvl w:val="5"/>
          <w:numId w:val="4"/>
        </w:numPr>
        <w:tabs>
          <w:tab w:pos="1422" w:val="left" w:leader="none"/>
        </w:tabs>
        <w:spacing w:line="240" w:lineRule="auto" w:before="34" w:after="0"/>
        <w:ind w:left="1422" w:right="0" w:hanging="360"/>
        <w:jc w:val="left"/>
        <w:rPr>
          <w:sz w:val="24"/>
        </w:rPr>
      </w:pPr>
      <w:r>
        <w:rPr>
          <w:sz w:val="24"/>
        </w:rPr>
        <w:t>Identificar un líder y los recursos</w:t>
      </w:r>
      <w:r>
        <w:rPr>
          <w:spacing w:val="-14"/>
          <w:sz w:val="24"/>
        </w:rPr>
        <w:t> </w:t>
      </w:r>
      <w:r>
        <w:rPr>
          <w:sz w:val="24"/>
        </w:rPr>
        <w:t>necesarios</w:t>
      </w:r>
    </w:p>
    <w:p>
      <w:pPr>
        <w:pStyle w:val="ListParagraph"/>
        <w:numPr>
          <w:ilvl w:val="5"/>
          <w:numId w:val="4"/>
        </w:numPr>
        <w:tabs>
          <w:tab w:pos="1422" w:val="left" w:leader="none"/>
        </w:tabs>
        <w:spacing w:line="336" w:lineRule="auto" w:before="115" w:after="0"/>
        <w:ind w:left="1422" w:right="125" w:hanging="360"/>
        <w:jc w:val="left"/>
        <w:rPr>
          <w:sz w:val="24"/>
        </w:rPr>
      </w:pPr>
      <w:r>
        <w:rPr>
          <w:sz w:val="24"/>
        </w:rPr>
        <w:t>Especificar una línea de tiempo, los resultados y el nivel apropiado  de decisiones para el proceso de gestión de</w:t>
      </w:r>
      <w:r>
        <w:rPr>
          <w:spacing w:val="-24"/>
          <w:sz w:val="24"/>
        </w:rPr>
        <w:t> </w:t>
      </w:r>
      <w:r>
        <w:rPr>
          <w:sz w:val="24"/>
        </w:rPr>
        <w:t>riesgo</w:t>
      </w:r>
    </w:p>
    <w:p>
      <w:pPr>
        <w:pStyle w:val="ListParagraph"/>
        <w:numPr>
          <w:ilvl w:val="0"/>
          <w:numId w:val="6"/>
        </w:numPr>
        <w:tabs>
          <w:tab w:pos="702" w:val="left" w:leader="none"/>
        </w:tabs>
        <w:spacing w:line="357" w:lineRule="auto" w:before="30" w:after="0"/>
        <w:ind w:left="702" w:right="114" w:hanging="360"/>
        <w:jc w:val="both"/>
        <w:rPr>
          <w:sz w:val="24"/>
        </w:rPr>
      </w:pPr>
      <w:r>
        <w:rPr>
          <w:b/>
          <w:sz w:val="24"/>
        </w:rPr>
        <w:t>Evaluación del riesgo</w:t>
      </w:r>
      <w:r>
        <w:rPr>
          <w:sz w:val="24"/>
        </w:rPr>
        <w:t>, consiste en la identificación del los peligros y el análisis y evaluación de los riesgos asociados con la exposición a estos peligros. se tiene que comenzar con una descripción bien definida del problema y utilizar la herramienta adecuada, utilizando tres cuestiones fundamentales tales</w:t>
      </w:r>
      <w:r>
        <w:rPr>
          <w:spacing w:val="-11"/>
          <w:sz w:val="24"/>
        </w:rPr>
        <w:t> </w:t>
      </w:r>
      <w:r>
        <w:rPr>
          <w:sz w:val="24"/>
        </w:rPr>
        <w:t>como:</w:t>
      </w:r>
    </w:p>
    <w:p>
      <w:pPr>
        <w:pStyle w:val="ListParagraph"/>
        <w:numPr>
          <w:ilvl w:val="1"/>
          <w:numId w:val="6"/>
        </w:numPr>
        <w:tabs>
          <w:tab w:pos="1422" w:val="left" w:leader="none"/>
        </w:tabs>
        <w:spacing w:line="240" w:lineRule="auto" w:before="5" w:after="0"/>
        <w:ind w:left="1422" w:right="0" w:hanging="360"/>
        <w:jc w:val="left"/>
        <w:rPr>
          <w:sz w:val="24"/>
        </w:rPr>
      </w:pPr>
      <w:r>
        <w:rPr>
          <w:sz w:val="24"/>
        </w:rPr>
        <w:t>¿Qué puede salir</w:t>
      </w:r>
      <w:r>
        <w:rPr>
          <w:spacing w:val="-6"/>
          <w:sz w:val="24"/>
        </w:rPr>
        <w:t> </w:t>
      </w:r>
      <w:r>
        <w:rPr>
          <w:sz w:val="24"/>
        </w:rPr>
        <w:t>mal?</w:t>
      </w:r>
    </w:p>
    <w:p>
      <w:pPr>
        <w:pStyle w:val="ListParagraph"/>
        <w:numPr>
          <w:ilvl w:val="1"/>
          <w:numId w:val="6"/>
        </w:numPr>
        <w:tabs>
          <w:tab w:pos="1422" w:val="left" w:leader="none"/>
        </w:tabs>
        <w:spacing w:line="240" w:lineRule="auto" w:before="118" w:after="0"/>
        <w:ind w:left="1422" w:right="0" w:hanging="360"/>
        <w:jc w:val="left"/>
        <w:rPr>
          <w:sz w:val="24"/>
        </w:rPr>
      </w:pPr>
      <w:r>
        <w:rPr>
          <w:sz w:val="24"/>
        </w:rPr>
        <w:t>¿Cuál es la probabilidad de que algo salga</w:t>
      </w:r>
      <w:r>
        <w:rPr>
          <w:spacing w:val="-12"/>
          <w:sz w:val="24"/>
        </w:rPr>
        <w:t> </w:t>
      </w:r>
      <w:r>
        <w:rPr>
          <w:sz w:val="24"/>
        </w:rPr>
        <w:t>mal?</w:t>
      </w:r>
    </w:p>
    <w:p>
      <w:pPr>
        <w:pStyle w:val="ListParagraph"/>
        <w:numPr>
          <w:ilvl w:val="1"/>
          <w:numId w:val="6"/>
        </w:numPr>
        <w:tabs>
          <w:tab w:pos="1422" w:val="left" w:leader="none"/>
        </w:tabs>
        <w:spacing w:line="240" w:lineRule="auto" w:before="115" w:after="0"/>
        <w:ind w:left="1422" w:right="0" w:hanging="360"/>
        <w:jc w:val="left"/>
        <w:rPr>
          <w:sz w:val="24"/>
        </w:rPr>
      </w:pPr>
      <w:r>
        <w:rPr>
          <w:sz w:val="24"/>
        </w:rPr>
        <w:t>¿Cuáles serían las</w:t>
      </w:r>
      <w:r>
        <w:rPr>
          <w:spacing w:val="-10"/>
          <w:sz w:val="24"/>
        </w:rPr>
        <w:t> </w:t>
      </w:r>
      <w:r>
        <w:rPr>
          <w:sz w:val="24"/>
        </w:rPr>
        <w:t>consecuencias?</w:t>
      </w:r>
    </w:p>
    <w:p>
      <w:pPr>
        <w:pStyle w:val="ListParagraph"/>
        <w:numPr>
          <w:ilvl w:val="0"/>
          <w:numId w:val="6"/>
        </w:numPr>
        <w:tabs>
          <w:tab w:pos="702" w:val="left" w:leader="none"/>
        </w:tabs>
        <w:spacing w:line="357" w:lineRule="auto" w:before="118" w:after="0"/>
        <w:ind w:left="702" w:right="117" w:hanging="360"/>
        <w:jc w:val="both"/>
        <w:rPr>
          <w:sz w:val="24"/>
        </w:rPr>
      </w:pPr>
      <w:r>
        <w:rPr>
          <w:b/>
          <w:sz w:val="24"/>
        </w:rPr>
        <w:t>Control del riesgo</w:t>
      </w:r>
      <w:r>
        <w:rPr>
          <w:sz w:val="24"/>
        </w:rPr>
        <w:t>, incluye la toma de decisiones para reducir o aceptar riesgos. el objetivo del control del riesgo es reducir el riesgo a niveles aceptables. la cantidad de esfuerzo utilizado para el control del riesgo debe ser proporcional al significado del riesgo. el control del riesgo debe enfocarse en las siguientes</w:t>
      </w:r>
      <w:r>
        <w:rPr>
          <w:spacing w:val="-12"/>
          <w:sz w:val="24"/>
        </w:rPr>
        <w:t> </w:t>
      </w:r>
      <w:r>
        <w:rPr>
          <w:sz w:val="24"/>
        </w:rPr>
        <w:t>cuestiones:</w:t>
      </w:r>
    </w:p>
    <w:p>
      <w:pPr>
        <w:pStyle w:val="Heading1"/>
        <w:numPr>
          <w:ilvl w:val="1"/>
          <w:numId w:val="6"/>
        </w:numPr>
        <w:tabs>
          <w:tab w:pos="1422" w:val="left" w:leader="none"/>
        </w:tabs>
        <w:spacing w:line="240" w:lineRule="auto" w:before="5" w:after="0"/>
        <w:ind w:left="1422" w:right="0" w:hanging="360"/>
        <w:jc w:val="left"/>
      </w:pPr>
      <w:r>
        <w:rPr/>
        <w:t>¿El riesgo está por arriba del nivel</w:t>
      </w:r>
      <w:r>
        <w:rPr>
          <w:spacing w:val="-17"/>
        </w:rPr>
        <w:t> </w:t>
      </w:r>
      <w:r>
        <w:rPr/>
        <w:t>aceptable?</w:t>
      </w:r>
    </w:p>
    <w:p>
      <w:pPr>
        <w:pStyle w:val="ListParagraph"/>
        <w:numPr>
          <w:ilvl w:val="1"/>
          <w:numId w:val="6"/>
        </w:numPr>
        <w:tabs>
          <w:tab w:pos="1422" w:val="left" w:leader="none"/>
        </w:tabs>
        <w:spacing w:line="240" w:lineRule="auto" w:before="118" w:after="0"/>
        <w:ind w:left="1422" w:right="0" w:hanging="360"/>
        <w:jc w:val="left"/>
        <w:rPr>
          <w:sz w:val="24"/>
        </w:rPr>
      </w:pPr>
      <w:r>
        <w:rPr>
          <w:sz w:val="24"/>
        </w:rPr>
        <w:t>¿Cómo se puede hacer para reducir o eliminar el</w:t>
      </w:r>
      <w:r>
        <w:rPr>
          <w:spacing w:val="-15"/>
          <w:sz w:val="24"/>
        </w:rPr>
        <w:t> </w:t>
      </w:r>
      <w:r>
        <w:rPr>
          <w:sz w:val="24"/>
        </w:rPr>
        <w:t>riesgo?</w:t>
      </w:r>
    </w:p>
    <w:p>
      <w:pPr>
        <w:pStyle w:val="ListParagraph"/>
        <w:numPr>
          <w:ilvl w:val="1"/>
          <w:numId w:val="6"/>
        </w:numPr>
        <w:tabs>
          <w:tab w:pos="1422" w:val="left" w:leader="none"/>
        </w:tabs>
        <w:spacing w:line="240" w:lineRule="auto" w:before="115" w:after="0"/>
        <w:ind w:left="1422" w:right="0" w:hanging="360"/>
        <w:jc w:val="left"/>
        <w:rPr>
          <w:sz w:val="24"/>
        </w:rPr>
      </w:pPr>
      <w:r>
        <w:rPr>
          <w:sz w:val="24"/>
        </w:rPr>
        <w:t>¿Cuál es el balance apropiado entre beneficios, riesgos y</w:t>
      </w:r>
      <w:r>
        <w:rPr>
          <w:spacing w:val="-24"/>
          <w:sz w:val="24"/>
        </w:rPr>
        <w:t> </w:t>
      </w:r>
      <w:r>
        <w:rPr>
          <w:sz w:val="24"/>
        </w:rPr>
        <w:t>recursos?</w:t>
      </w:r>
    </w:p>
    <w:p>
      <w:pPr>
        <w:pStyle w:val="ListParagraph"/>
        <w:numPr>
          <w:ilvl w:val="1"/>
          <w:numId w:val="6"/>
        </w:numPr>
        <w:tabs>
          <w:tab w:pos="1422" w:val="left" w:leader="none"/>
        </w:tabs>
        <w:spacing w:line="333" w:lineRule="auto" w:before="118" w:after="0"/>
        <w:ind w:left="1422" w:right="117" w:hanging="360"/>
        <w:jc w:val="left"/>
        <w:rPr>
          <w:sz w:val="24"/>
        </w:rPr>
      </w:pPr>
      <w:r>
        <w:rPr>
          <w:sz w:val="24"/>
        </w:rPr>
        <w:t>¿Hay nuevos riesgos que se introducen como resultado de la identificación de los riesgos</w:t>
      </w:r>
      <w:r>
        <w:rPr>
          <w:spacing w:val="-10"/>
          <w:sz w:val="24"/>
        </w:rPr>
        <w:t> </w:t>
      </w:r>
      <w:r>
        <w:rPr>
          <w:sz w:val="24"/>
        </w:rPr>
        <w:t>controlados?</w:t>
      </w:r>
    </w:p>
    <w:p>
      <w:pPr>
        <w:pStyle w:val="ListParagraph"/>
        <w:numPr>
          <w:ilvl w:val="0"/>
          <w:numId w:val="6"/>
        </w:numPr>
        <w:tabs>
          <w:tab w:pos="702" w:val="left" w:leader="none"/>
        </w:tabs>
        <w:spacing w:line="355" w:lineRule="auto" w:before="33" w:after="0"/>
        <w:ind w:left="702" w:right="122" w:hanging="360"/>
        <w:jc w:val="both"/>
        <w:rPr>
          <w:sz w:val="24"/>
        </w:rPr>
      </w:pPr>
      <w:r>
        <w:rPr>
          <w:b/>
          <w:sz w:val="24"/>
        </w:rPr>
        <w:t>Comunicación del riesgo</w:t>
      </w:r>
      <w:r>
        <w:rPr>
          <w:sz w:val="24"/>
        </w:rPr>
        <w:t>, es el intercambio de información sobre los riesgos y la gestión de los riesgos entre los que toman las decisiones y los demás</w:t>
      </w:r>
    </w:p>
    <w:p>
      <w:pPr>
        <w:pStyle w:val="ListParagraph"/>
        <w:numPr>
          <w:ilvl w:val="0"/>
          <w:numId w:val="6"/>
        </w:numPr>
        <w:tabs>
          <w:tab w:pos="702" w:val="left" w:leader="none"/>
        </w:tabs>
        <w:spacing w:line="355" w:lineRule="auto" w:before="11" w:after="0"/>
        <w:ind w:left="702" w:right="125" w:hanging="360"/>
        <w:jc w:val="both"/>
        <w:rPr>
          <w:sz w:val="24"/>
        </w:rPr>
      </w:pPr>
      <w:r>
        <w:rPr>
          <w:sz w:val="24"/>
        </w:rPr>
        <w:t>Revisión del riesgo, debe ser una parte activa del proceso de gestión de la calidad. se debe de implementar un mecanismo para revisar o monitorear los</w:t>
      </w:r>
      <w:r>
        <w:rPr>
          <w:spacing w:val="-3"/>
          <w:sz w:val="24"/>
        </w:rPr>
        <w:t> </w:t>
      </w:r>
      <w:r>
        <w:rPr>
          <w:sz w:val="24"/>
        </w:rPr>
        <w:t>eventos</w:t>
      </w:r>
    </w:p>
    <w:p>
      <w:pPr>
        <w:spacing w:after="0" w:line="355" w:lineRule="auto"/>
        <w:jc w:val="both"/>
        <w:rPr>
          <w:sz w:val="24"/>
        </w:rPr>
        <w:sectPr>
          <w:pgSz w:w="12240" w:h="15840"/>
          <w:pgMar w:header="0" w:footer="919" w:top="1360" w:bottom="1100" w:left="1720" w:right="1580"/>
        </w:sectPr>
      </w:pPr>
    </w:p>
    <w:p>
      <w:pPr>
        <w:pStyle w:val="Heading1"/>
        <w:numPr>
          <w:ilvl w:val="3"/>
          <w:numId w:val="4"/>
        </w:numPr>
        <w:tabs>
          <w:tab w:pos="971" w:val="left" w:leader="none"/>
        </w:tabs>
        <w:spacing w:line="240" w:lineRule="auto" w:before="61" w:after="0"/>
        <w:ind w:left="970" w:right="0" w:hanging="868"/>
        <w:jc w:val="both"/>
        <w:rPr>
          <w:b w:val="0"/>
          <w:sz w:val="16"/>
        </w:rPr>
      </w:pPr>
      <w:bookmarkStart w:name="_bookmark15" w:id="27"/>
      <w:bookmarkEnd w:id="27"/>
      <w:r>
        <w:rPr>
          <w:b w:val="0"/>
        </w:rPr>
      </w:r>
      <w:bookmarkStart w:name="_bookmark15" w:id="28"/>
      <w:bookmarkEnd w:id="28"/>
      <w:r>
        <w:rPr>
          <w:color w:val="212121"/>
        </w:rPr>
        <w:t>ICH</w:t>
      </w:r>
      <w:r>
        <w:rPr>
          <w:color w:val="212121"/>
        </w:rPr>
        <w:t> Q3 Impurezas</w:t>
      </w:r>
      <w:r>
        <w:rPr>
          <w:color w:val="212121"/>
          <w:spacing w:val="-4"/>
        </w:rPr>
        <w:t> </w:t>
      </w:r>
      <w:r>
        <w:rPr>
          <w:b w:val="0"/>
          <w:color w:val="212121"/>
          <w:position w:val="11"/>
          <w:sz w:val="16"/>
        </w:rPr>
        <w:t>12</w:t>
      </w:r>
    </w:p>
    <w:p>
      <w:pPr>
        <w:pStyle w:val="BodyText"/>
        <w:spacing w:line="360" w:lineRule="auto" w:before="137"/>
        <w:ind w:left="102" w:right="115"/>
        <w:jc w:val="both"/>
      </w:pPr>
      <w:r>
        <w:rPr/>
        <w:t>La directriz ICH Q3 existente clasifica a las impurezas como orgánicas, inorgánicas y solventes residuales. Específicamente, las Directrices Q3A y Q3B abordan lo relativo a las impurezas orgánicas. Adicionalmente la directriz Q3C fue desarrollada para proporcionar los requisitos para solventes residuales. La nueva Directriz Q3D proporciona los requisitos para los metales, que se incluyen en la clasificación de impurezas</w:t>
      </w:r>
      <w:r>
        <w:rPr>
          <w:spacing w:val="-9"/>
        </w:rPr>
        <w:t> </w:t>
      </w:r>
      <w:r>
        <w:rPr/>
        <w:t>inorgánicas.</w:t>
      </w:r>
    </w:p>
    <w:p>
      <w:pPr>
        <w:pStyle w:val="BodyText"/>
      </w:pPr>
    </w:p>
    <w:p>
      <w:pPr>
        <w:pStyle w:val="BodyText"/>
        <w:spacing w:line="360" w:lineRule="auto" w:before="142"/>
        <w:ind w:left="102" w:right="118"/>
        <w:jc w:val="both"/>
      </w:pPr>
      <w:r>
        <w:rPr/>
        <w:t>Un enfoque armonizado para el control de impurezas metálicas, incluyendo la lista de metales específicos y los límites apropiados para estos metales, será beneficioso para ayudar a evitar la incertidumbre y la duplicación de trabajo para la industria. La EMA (Entidad Mexicana de Acreditación) proporcionó recientemente algunas directrices reguladoras sobre límites para los residuos de catalizadores metálicos y reactivos. Una directriz de la ICH se asegurará de que los nuevos requisitos tengan la información necesaria de las autoridades reguladoras regionales, en beneficio de los reguladores, la industria y la salud pública.</w:t>
      </w:r>
    </w:p>
    <w:p>
      <w:pPr>
        <w:pStyle w:val="BodyText"/>
      </w:pPr>
    </w:p>
    <w:p>
      <w:pPr>
        <w:pStyle w:val="BodyText"/>
        <w:spacing w:line="360" w:lineRule="auto" w:before="142"/>
        <w:ind w:left="102" w:right="117"/>
        <w:jc w:val="both"/>
      </w:pPr>
      <w:r>
        <w:rPr/>
        <w:t>Una directriz ICH para las impurezas metálicas hace hincapié en el control de las cadenas de suministro y evaluación de riesgos. Este enfoque está fuera del ámbito habitual de farmacopeas y requiere una aportación significativa de las autoridades reguladoras. La nueva Directriz Q3D se centra en el establecimiento de límites adecuados para metales específicos, sin proporcionar necesariamente detalles sobre los procedimientos analíticos que se utilizarán. En apoyo de la Directriz  Q3D, los procedimientos analíticos deben ser establecidos por las farmacopeas para determinar los niveles de impurezas elementales, con una previsión de uso de cualquier procedimiento validado apropiado para una aplicación en</w:t>
      </w:r>
      <w:r>
        <w:rPr>
          <w:spacing w:val="-21"/>
        </w:rPr>
        <w:t> </w:t>
      </w:r>
      <w:r>
        <w:rPr/>
        <w:t>particular.</w:t>
      </w:r>
    </w:p>
    <w:p>
      <w:pPr>
        <w:pStyle w:val="BodyText"/>
      </w:pPr>
    </w:p>
    <w:p>
      <w:pPr>
        <w:pStyle w:val="BodyText"/>
        <w:spacing w:line="360" w:lineRule="auto" w:before="142"/>
        <w:ind w:left="102" w:right="119"/>
        <w:jc w:val="both"/>
      </w:pPr>
      <w:r>
        <w:rPr/>
        <w:t>La toxicidad de las impurezas elementales está relacionada con su biodisponibilidad. Los elementos incluidos en la Guía ICH Q3D se colocaron de acuerdo a su toxicidad (PDE, Exposición Diaria Permitida) y se clasificaron en 4 categorias Ver Figura 2.3</w:t>
      </w:r>
    </w:p>
    <w:p>
      <w:pPr>
        <w:spacing w:after="0" w:line="360" w:lineRule="auto"/>
        <w:jc w:val="both"/>
        <w:sectPr>
          <w:pgSz w:w="12240" w:h="15840"/>
          <w:pgMar w:header="0" w:footer="919" w:top="1320" w:bottom="1100" w:left="1600" w:right="1580"/>
        </w:sectPr>
      </w:pPr>
    </w:p>
    <w:p>
      <w:pPr>
        <w:pStyle w:val="BodyText"/>
        <w:rPr>
          <w:sz w:val="20"/>
        </w:rPr>
      </w:pPr>
    </w:p>
    <w:p>
      <w:pPr>
        <w:pStyle w:val="BodyText"/>
        <w:rPr>
          <w:sz w:val="20"/>
        </w:rPr>
      </w:pPr>
    </w:p>
    <w:p>
      <w:pPr>
        <w:pStyle w:val="BodyText"/>
        <w:rPr>
          <w:sz w:val="20"/>
        </w:rPr>
      </w:pPr>
    </w:p>
    <w:p>
      <w:pPr>
        <w:pStyle w:val="BodyText"/>
        <w:spacing w:before="9"/>
      </w:pPr>
    </w:p>
    <w:p>
      <w:pPr>
        <w:pStyle w:val="BodyText"/>
        <w:ind w:left="393"/>
        <w:rPr>
          <w:sz w:val="20"/>
        </w:rPr>
      </w:pPr>
      <w:r>
        <w:rPr>
          <w:sz w:val="20"/>
        </w:rPr>
        <w:drawing>
          <wp:inline distT="0" distB="0" distL="0" distR="0">
            <wp:extent cx="7042683" cy="4252912"/>
            <wp:effectExtent l="0" t="0" r="0" b="0"/>
            <wp:docPr id="11" name="image6.png" descr=""/>
            <wp:cNvGraphicFramePr>
              <a:graphicFrameLocks noChangeAspect="1"/>
            </wp:cNvGraphicFramePr>
            <a:graphic>
              <a:graphicData uri="http://schemas.openxmlformats.org/drawingml/2006/picture">
                <pic:pic>
                  <pic:nvPicPr>
                    <pic:cNvPr id="12" name="image6.png"/>
                    <pic:cNvPicPr/>
                  </pic:nvPicPr>
                  <pic:blipFill>
                    <a:blip r:embed="rId18" cstate="print"/>
                    <a:stretch>
                      <a:fillRect/>
                    </a:stretch>
                  </pic:blipFill>
                  <pic:spPr>
                    <a:xfrm>
                      <a:off x="0" y="0"/>
                      <a:ext cx="7042683" cy="4252912"/>
                    </a:xfrm>
                    <a:prstGeom prst="rect">
                      <a:avLst/>
                    </a:prstGeom>
                  </pic:spPr>
                </pic:pic>
              </a:graphicData>
            </a:graphic>
          </wp:inline>
        </w:drawing>
      </w:r>
      <w:r>
        <w:rPr>
          <w:sz w:val="20"/>
        </w:rPr>
      </w:r>
    </w:p>
    <w:p>
      <w:pPr>
        <w:spacing w:before="108"/>
        <w:ind w:left="106" w:right="0" w:firstLine="0"/>
        <w:jc w:val="left"/>
        <w:rPr>
          <w:sz w:val="18"/>
        </w:rPr>
      </w:pPr>
      <w:r>
        <w:rPr>
          <w:sz w:val="24"/>
        </w:rPr>
        <w:t>Figura 2.3 Clasificación de las impurezas elementales de acuerdo a la guía ICH Q3D </w:t>
      </w:r>
      <w:r>
        <w:rPr>
          <w:color w:val="212121"/>
          <w:sz w:val="18"/>
        </w:rPr>
        <w:t>(Fuente: elaboración propia)</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7"/>
        <w:rPr>
          <w:sz w:val="18"/>
        </w:rPr>
      </w:pPr>
    </w:p>
    <w:p>
      <w:pPr>
        <w:spacing w:before="57"/>
        <w:ind w:left="0" w:right="112" w:firstLine="0"/>
        <w:jc w:val="right"/>
        <w:rPr>
          <w:rFonts w:ascii="Calibri"/>
          <w:sz w:val="22"/>
        </w:rPr>
      </w:pPr>
      <w:r>
        <w:rPr>
          <w:rFonts w:ascii="Calibri"/>
          <w:sz w:val="22"/>
        </w:rPr>
        <w:t>15</w:t>
      </w:r>
    </w:p>
    <w:p>
      <w:pPr>
        <w:spacing w:after="0"/>
        <w:jc w:val="right"/>
        <w:rPr>
          <w:rFonts w:ascii="Calibri"/>
          <w:sz w:val="22"/>
        </w:rPr>
        <w:sectPr>
          <w:footerReference w:type="default" r:id="rId17"/>
          <w:pgSz w:w="15840" w:h="12240" w:orient="landscape"/>
          <w:pgMar w:footer="0" w:header="0" w:top="1140" w:bottom="280" w:left="2020" w:right="1300"/>
        </w:sectPr>
      </w:pPr>
    </w:p>
    <w:p>
      <w:pPr>
        <w:pStyle w:val="BodyText"/>
        <w:spacing w:line="360" w:lineRule="auto" w:before="56"/>
        <w:ind w:left="102" w:right="114"/>
        <w:jc w:val="both"/>
      </w:pPr>
      <w:r>
        <w:rPr/>
        <w:t>Clase 1: As, Cd, Hg y Pb. Estos elementos son considerados como tóxicos para el humano y su uso es limitado o prohibido para la manufactura de los productos farmacéuticos. Su presencia se puede deber a los materiales usados como excipientes. Debido a su naturaleza única estos elementos deben ser considerados durante la evaluación del riesgo, en todas las rutas de administración.</w:t>
      </w:r>
    </w:p>
    <w:p>
      <w:pPr>
        <w:pStyle w:val="BodyText"/>
      </w:pPr>
    </w:p>
    <w:p>
      <w:pPr>
        <w:pStyle w:val="BodyText"/>
        <w:spacing w:line="360" w:lineRule="auto" w:before="142"/>
        <w:ind w:left="102" w:right="116"/>
        <w:jc w:val="both"/>
      </w:pPr>
      <w:r>
        <w:rPr/>
        <w:t>Clase 2: Estos elementos son considerados como tóxicos para el humano y se subdividen en 2 grupos dependiendo de la probabilidad relativa de su presencia en los fármacos.</w:t>
      </w:r>
    </w:p>
    <w:p>
      <w:pPr>
        <w:pStyle w:val="BodyText"/>
      </w:pPr>
    </w:p>
    <w:p>
      <w:pPr>
        <w:pStyle w:val="BodyText"/>
        <w:spacing w:line="360" w:lineRule="auto" w:before="142"/>
        <w:ind w:left="810" w:right="115"/>
        <w:jc w:val="both"/>
      </w:pPr>
      <w:r>
        <w:rPr/>
        <w:t>Clase 2A: Elementos con alta probabilidad de presencia en los fármacos y requieren ser evaluados no importando la ruta de administración. Estos elementos son: V, Co y Ni.</w:t>
      </w:r>
    </w:p>
    <w:p>
      <w:pPr>
        <w:pStyle w:val="BodyText"/>
      </w:pPr>
    </w:p>
    <w:p>
      <w:pPr>
        <w:pStyle w:val="BodyText"/>
        <w:spacing w:line="360" w:lineRule="auto" w:before="142"/>
        <w:ind w:left="810" w:right="121"/>
        <w:jc w:val="both"/>
      </w:pPr>
      <w:r>
        <w:rPr/>
        <w:t>Clase 2B: Elementos con una baja probabilidad de presencia en los fármacos, baja abundancia. Por lo tanto, estos solo deben de ser evaluados cuando sean adicionados de manera intencional durante el proceso de fabricación, excipientes o algún componente de la ruta de síntesis. Los elementos de este grupo son: Ag, Au, Ir, Os, Pd, Pt, Rh, Ru, Se y Tl.</w:t>
      </w:r>
    </w:p>
    <w:p>
      <w:pPr>
        <w:pStyle w:val="BodyText"/>
      </w:pPr>
    </w:p>
    <w:p>
      <w:pPr>
        <w:pStyle w:val="BodyText"/>
        <w:spacing w:line="360" w:lineRule="auto" w:before="142"/>
        <w:ind w:left="102" w:right="122"/>
        <w:jc w:val="both"/>
      </w:pPr>
      <w:r>
        <w:rPr/>
        <w:t>Clase 3: Los elementos de esta clase tienen una toxicidad relativamente baja en la ruta de administración oral, pero requieren ser evaluados cuando se trate de administración por la vía parenteral o inhalada. Para la ruta de administración oral se debe considerar únicamente cuando estos sean adicionados de manera intencional. Los elementos de esta clase son: Ba, Cr, Cu, Li, Mo, Sb y Sn.</w:t>
      </w:r>
    </w:p>
    <w:p>
      <w:pPr>
        <w:pStyle w:val="BodyText"/>
      </w:pPr>
    </w:p>
    <w:p>
      <w:pPr>
        <w:pStyle w:val="BodyText"/>
        <w:spacing w:line="360" w:lineRule="auto" w:before="142"/>
        <w:ind w:left="102" w:right="119"/>
        <w:jc w:val="both"/>
      </w:pPr>
      <w:r>
        <w:rPr/>
        <w:t>Clase 4: Algunas impurezas elementales para los que no se han establecido las PDE debido a su baja toxicidad y / o diferencias en los reglamentos regionales. Algunos de los elementos considerados son: Al, B, Ca, Fe, K, Mg, Mn, Na, W y Zn.</w:t>
      </w:r>
    </w:p>
    <w:p>
      <w:pPr>
        <w:spacing w:after="0" w:line="360" w:lineRule="auto"/>
        <w:jc w:val="both"/>
        <w:sectPr>
          <w:footerReference w:type="default" r:id="rId19"/>
          <w:pgSz w:w="12240" w:h="15840"/>
          <w:pgMar w:footer="919" w:header="0" w:top="1360" w:bottom="1100" w:left="1600" w:right="1580"/>
          <w:pgNumType w:start="16"/>
        </w:sectPr>
      </w:pPr>
    </w:p>
    <w:p>
      <w:pPr>
        <w:pStyle w:val="BodyText"/>
        <w:spacing w:line="360" w:lineRule="auto" w:before="56"/>
        <w:ind w:left="102" w:right="126"/>
        <w:jc w:val="both"/>
      </w:pPr>
      <w:r>
        <w:rPr/>
        <w:t>La </w:t>
      </w:r>
      <w:r>
        <w:rPr>
          <w:b/>
        </w:rPr>
        <w:t>Tabla 2.2 </w:t>
      </w:r>
      <w:r>
        <w:rPr/>
        <w:t>muestra la exposición diaria máxima permisible en valores de (µg/día) para la administración de productos basados en una persona promedio de 50</w:t>
      </w:r>
      <w:r>
        <w:rPr>
          <w:spacing w:val="-2"/>
        </w:rPr>
        <w:t> </w:t>
      </w:r>
      <w:r>
        <w:rPr/>
        <w:t>kg.</w:t>
      </w:r>
    </w:p>
    <w:p>
      <w:pPr>
        <w:pStyle w:val="BodyText"/>
      </w:pPr>
    </w:p>
    <w:p>
      <w:pPr>
        <w:pStyle w:val="BodyText"/>
        <w:spacing w:before="142" w:after="43"/>
        <w:ind w:left="102"/>
        <w:jc w:val="both"/>
      </w:pPr>
      <w:r>
        <w:rPr/>
        <w:t>Tabla 2.2. Exposición diaria máxima permisible en µg/día</w:t>
      </w:r>
    </w:p>
    <w:tbl>
      <w:tblPr>
        <w:tblW w:w="0" w:type="auto"/>
        <w:jc w:val="left"/>
        <w:tblInd w:w="102" w:type="dxa"/>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Layout w:type="fixed"/>
        <w:tblCellMar>
          <w:top w:w="0" w:type="dxa"/>
          <w:left w:w="0" w:type="dxa"/>
          <w:bottom w:w="0" w:type="dxa"/>
          <w:right w:w="0" w:type="dxa"/>
        </w:tblCellMar>
        <w:tblLook w:val="01E0"/>
      </w:tblPr>
      <w:tblGrid>
        <w:gridCol w:w="1320"/>
        <w:gridCol w:w="1090"/>
        <w:gridCol w:w="1985"/>
        <w:gridCol w:w="2163"/>
        <w:gridCol w:w="1968"/>
      </w:tblGrid>
      <w:tr>
        <w:trPr>
          <w:trHeight w:val="842" w:hRule="exact"/>
        </w:trPr>
        <w:tc>
          <w:tcPr>
            <w:tcW w:w="1320" w:type="dxa"/>
            <w:tcBorders>
              <w:top w:val="nil"/>
              <w:left w:val="nil"/>
              <w:bottom w:val="single" w:sz="12" w:space="0" w:color="FFFFFF"/>
            </w:tcBorders>
            <w:shd w:val="clear" w:color="auto" w:fill="4F81BC"/>
          </w:tcPr>
          <w:p>
            <w:pPr>
              <w:pStyle w:val="TableParagraph"/>
              <w:spacing w:before="7"/>
              <w:jc w:val="left"/>
              <w:rPr>
                <w:sz w:val="23"/>
              </w:rPr>
            </w:pPr>
          </w:p>
          <w:p>
            <w:pPr>
              <w:pStyle w:val="TableParagraph"/>
              <w:ind w:left="100" w:right="94"/>
              <w:rPr>
                <w:b/>
                <w:sz w:val="24"/>
              </w:rPr>
            </w:pPr>
            <w:r>
              <w:rPr>
                <w:b/>
                <w:color w:val="FFFFFF"/>
                <w:sz w:val="24"/>
              </w:rPr>
              <w:t>Elemento</w:t>
            </w:r>
          </w:p>
        </w:tc>
        <w:tc>
          <w:tcPr>
            <w:tcW w:w="1090" w:type="dxa"/>
            <w:tcBorders>
              <w:top w:val="nil"/>
              <w:bottom w:val="single" w:sz="12" w:space="0" w:color="FFFFFF"/>
            </w:tcBorders>
            <w:shd w:val="clear" w:color="auto" w:fill="4F81BC"/>
          </w:tcPr>
          <w:p>
            <w:pPr>
              <w:pStyle w:val="TableParagraph"/>
              <w:spacing w:before="7"/>
              <w:jc w:val="left"/>
              <w:rPr>
                <w:sz w:val="23"/>
              </w:rPr>
            </w:pPr>
          </w:p>
          <w:p>
            <w:pPr>
              <w:pStyle w:val="TableParagraph"/>
              <w:ind w:left="198" w:right="202"/>
              <w:rPr>
                <w:b/>
                <w:sz w:val="24"/>
              </w:rPr>
            </w:pPr>
            <w:r>
              <w:rPr>
                <w:b/>
                <w:color w:val="FFFFFF"/>
                <w:sz w:val="24"/>
              </w:rPr>
              <w:t>Clase</w:t>
            </w:r>
          </w:p>
        </w:tc>
        <w:tc>
          <w:tcPr>
            <w:tcW w:w="1985" w:type="dxa"/>
            <w:tcBorders>
              <w:top w:val="nil"/>
              <w:bottom w:val="single" w:sz="12" w:space="0" w:color="FFFFFF"/>
            </w:tcBorders>
            <w:shd w:val="clear" w:color="auto" w:fill="4F81BC"/>
          </w:tcPr>
          <w:p>
            <w:pPr>
              <w:pStyle w:val="TableParagraph"/>
              <w:spacing w:line="274" w:lineRule="exact" w:before="141"/>
              <w:ind w:left="285" w:right="130" w:hanging="140"/>
              <w:jc w:val="left"/>
              <w:rPr>
                <w:b/>
                <w:sz w:val="24"/>
              </w:rPr>
            </w:pPr>
            <w:r>
              <w:rPr>
                <w:b/>
                <w:color w:val="FFFFFF"/>
                <w:sz w:val="24"/>
              </w:rPr>
              <w:t>Concentración Oral (µg/día)</w:t>
            </w:r>
          </w:p>
        </w:tc>
        <w:tc>
          <w:tcPr>
            <w:tcW w:w="2163" w:type="dxa"/>
            <w:tcBorders>
              <w:top w:val="nil"/>
              <w:bottom w:val="single" w:sz="12" w:space="0" w:color="FFFFFF"/>
            </w:tcBorders>
            <w:shd w:val="clear" w:color="auto" w:fill="4F81BC"/>
          </w:tcPr>
          <w:p>
            <w:pPr>
              <w:pStyle w:val="TableParagraph"/>
              <w:ind w:left="259" w:right="258"/>
              <w:rPr>
                <w:b/>
                <w:sz w:val="24"/>
              </w:rPr>
            </w:pPr>
            <w:r>
              <w:rPr>
                <w:b/>
                <w:color w:val="FFFFFF"/>
                <w:w w:val="95"/>
                <w:sz w:val="24"/>
              </w:rPr>
              <w:t>Concentración </w:t>
            </w:r>
            <w:r>
              <w:rPr>
                <w:b/>
                <w:color w:val="FFFFFF"/>
                <w:sz w:val="24"/>
              </w:rPr>
              <w:t>Parenteral (µg/día)</w:t>
            </w:r>
          </w:p>
        </w:tc>
        <w:tc>
          <w:tcPr>
            <w:tcW w:w="1968" w:type="dxa"/>
            <w:tcBorders>
              <w:top w:val="nil"/>
              <w:bottom w:val="single" w:sz="12" w:space="0" w:color="FFFFFF"/>
              <w:right w:val="nil"/>
            </w:tcBorders>
            <w:shd w:val="clear" w:color="auto" w:fill="4F81BC"/>
          </w:tcPr>
          <w:p>
            <w:pPr>
              <w:pStyle w:val="TableParagraph"/>
              <w:ind w:left="136" w:right="142"/>
              <w:rPr>
                <w:b/>
                <w:sz w:val="24"/>
              </w:rPr>
            </w:pPr>
            <w:r>
              <w:rPr>
                <w:b/>
                <w:color w:val="FFFFFF"/>
                <w:sz w:val="24"/>
              </w:rPr>
              <w:t>Concentración Inhalada (µg/día)</w:t>
            </w:r>
          </w:p>
        </w:tc>
      </w:tr>
      <w:tr>
        <w:trPr>
          <w:trHeight w:val="296" w:hRule="exact"/>
        </w:trPr>
        <w:tc>
          <w:tcPr>
            <w:tcW w:w="1320" w:type="dxa"/>
            <w:tcBorders>
              <w:top w:val="single" w:sz="12" w:space="0" w:color="FFFFFF"/>
              <w:left w:val="nil"/>
              <w:bottom w:val="single" w:sz="5" w:space="0" w:color="FFFFFF"/>
            </w:tcBorders>
            <w:shd w:val="clear" w:color="auto" w:fill="B8CCE3"/>
          </w:tcPr>
          <w:p>
            <w:pPr>
              <w:pStyle w:val="TableParagraph"/>
              <w:spacing w:line="272" w:lineRule="exact"/>
              <w:ind w:left="97" w:right="94"/>
              <w:rPr>
                <w:sz w:val="24"/>
              </w:rPr>
            </w:pPr>
            <w:r>
              <w:rPr>
                <w:sz w:val="24"/>
              </w:rPr>
              <w:t>Cd</w:t>
            </w:r>
          </w:p>
        </w:tc>
        <w:tc>
          <w:tcPr>
            <w:tcW w:w="1090" w:type="dxa"/>
            <w:tcBorders>
              <w:top w:val="single" w:sz="12" w:space="0" w:color="FFFFFF"/>
              <w:bottom w:val="single" w:sz="5" w:space="0" w:color="FFFFFF"/>
            </w:tcBorders>
            <w:shd w:val="clear" w:color="auto" w:fill="B8CCE3"/>
          </w:tcPr>
          <w:p>
            <w:pPr>
              <w:pStyle w:val="TableParagraph"/>
              <w:spacing w:line="272" w:lineRule="exact"/>
              <w:ind w:right="3"/>
              <w:rPr>
                <w:sz w:val="24"/>
              </w:rPr>
            </w:pPr>
            <w:r>
              <w:rPr>
                <w:w w:val="99"/>
                <w:sz w:val="24"/>
              </w:rPr>
              <w:t>1</w:t>
            </w:r>
          </w:p>
        </w:tc>
        <w:tc>
          <w:tcPr>
            <w:tcW w:w="1985" w:type="dxa"/>
            <w:tcBorders>
              <w:top w:val="single" w:sz="12" w:space="0" w:color="FFFFFF"/>
              <w:bottom w:val="single" w:sz="5" w:space="0" w:color="FFFFFF"/>
            </w:tcBorders>
            <w:shd w:val="clear" w:color="auto" w:fill="B8CCE3"/>
          </w:tcPr>
          <w:p>
            <w:pPr>
              <w:pStyle w:val="TableParagraph"/>
              <w:spacing w:line="272" w:lineRule="exact"/>
              <w:ind w:right="1"/>
              <w:rPr>
                <w:sz w:val="24"/>
              </w:rPr>
            </w:pPr>
            <w:r>
              <w:rPr>
                <w:w w:val="99"/>
                <w:sz w:val="24"/>
              </w:rPr>
              <w:t>5</w:t>
            </w:r>
          </w:p>
        </w:tc>
        <w:tc>
          <w:tcPr>
            <w:tcW w:w="2163" w:type="dxa"/>
            <w:tcBorders>
              <w:top w:val="single" w:sz="12" w:space="0" w:color="FFFFFF"/>
              <w:bottom w:val="single" w:sz="5" w:space="0" w:color="FFFFFF"/>
            </w:tcBorders>
            <w:shd w:val="clear" w:color="auto" w:fill="B8CCE3"/>
          </w:tcPr>
          <w:p>
            <w:pPr>
              <w:pStyle w:val="TableParagraph"/>
              <w:spacing w:line="272" w:lineRule="exact"/>
              <w:ind w:right="1"/>
              <w:rPr>
                <w:sz w:val="24"/>
              </w:rPr>
            </w:pPr>
            <w:r>
              <w:rPr>
                <w:w w:val="99"/>
                <w:sz w:val="24"/>
              </w:rPr>
              <w:t>2</w:t>
            </w:r>
          </w:p>
        </w:tc>
        <w:tc>
          <w:tcPr>
            <w:tcW w:w="1968" w:type="dxa"/>
            <w:tcBorders>
              <w:top w:val="single" w:sz="12" w:space="0" w:color="FFFFFF"/>
              <w:bottom w:val="single" w:sz="5" w:space="0" w:color="FFFFFF"/>
              <w:right w:val="nil"/>
            </w:tcBorders>
            <w:shd w:val="clear" w:color="auto" w:fill="B8CCE3"/>
          </w:tcPr>
          <w:p>
            <w:pPr>
              <w:pStyle w:val="TableParagraph"/>
              <w:spacing w:line="272" w:lineRule="exact"/>
              <w:ind w:right="3"/>
              <w:rPr>
                <w:sz w:val="24"/>
              </w:rPr>
            </w:pPr>
            <w:r>
              <w:rPr>
                <w:w w:val="99"/>
                <w:sz w:val="24"/>
              </w:rPr>
              <w:t>2</w:t>
            </w:r>
          </w:p>
        </w:tc>
      </w:tr>
      <w:tr>
        <w:trPr>
          <w:trHeight w:val="287" w:hRule="exact"/>
        </w:trPr>
        <w:tc>
          <w:tcPr>
            <w:tcW w:w="1320" w:type="dxa"/>
            <w:tcBorders>
              <w:top w:val="single" w:sz="5" w:space="0" w:color="FFFFFF"/>
              <w:left w:val="nil"/>
            </w:tcBorders>
            <w:shd w:val="clear" w:color="auto" w:fill="DBE4F0"/>
          </w:tcPr>
          <w:p>
            <w:pPr>
              <w:pStyle w:val="TableParagraph"/>
              <w:spacing w:line="272" w:lineRule="exact"/>
              <w:ind w:left="100" w:right="94"/>
              <w:rPr>
                <w:sz w:val="24"/>
              </w:rPr>
            </w:pPr>
            <w:r>
              <w:rPr>
                <w:sz w:val="24"/>
              </w:rPr>
              <w:t>Pb</w:t>
            </w:r>
          </w:p>
        </w:tc>
        <w:tc>
          <w:tcPr>
            <w:tcW w:w="1090" w:type="dxa"/>
            <w:tcBorders>
              <w:top w:val="single" w:sz="5" w:space="0" w:color="FFFFFF"/>
            </w:tcBorders>
            <w:shd w:val="clear" w:color="auto" w:fill="DBE4F0"/>
          </w:tcPr>
          <w:p>
            <w:pPr>
              <w:pStyle w:val="TableParagraph"/>
              <w:spacing w:line="272" w:lineRule="exact"/>
              <w:ind w:right="3"/>
              <w:rPr>
                <w:sz w:val="24"/>
              </w:rPr>
            </w:pPr>
            <w:r>
              <w:rPr>
                <w:w w:val="99"/>
                <w:sz w:val="24"/>
              </w:rPr>
              <w:t>1</w:t>
            </w:r>
          </w:p>
        </w:tc>
        <w:tc>
          <w:tcPr>
            <w:tcW w:w="1985" w:type="dxa"/>
            <w:tcBorders>
              <w:top w:val="single" w:sz="5" w:space="0" w:color="FFFFFF"/>
            </w:tcBorders>
            <w:shd w:val="clear" w:color="auto" w:fill="DBE4F0"/>
          </w:tcPr>
          <w:p>
            <w:pPr>
              <w:pStyle w:val="TableParagraph"/>
              <w:spacing w:line="272" w:lineRule="exact"/>
              <w:ind w:right="1"/>
              <w:rPr>
                <w:sz w:val="24"/>
              </w:rPr>
            </w:pPr>
            <w:r>
              <w:rPr>
                <w:w w:val="99"/>
                <w:sz w:val="24"/>
              </w:rPr>
              <w:t>5</w:t>
            </w:r>
          </w:p>
        </w:tc>
        <w:tc>
          <w:tcPr>
            <w:tcW w:w="2163" w:type="dxa"/>
            <w:tcBorders>
              <w:top w:val="single" w:sz="5" w:space="0" w:color="FFFFFF"/>
            </w:tcBorders>
            <w:shd w:val="clear" w:color="auto" w:fill="DBE4F0"/>
          </w:tcPr>
          <w:p>
            <w:pPr>
              <w:pStyle w:val="TableParagraph"/>
              <w:spacing w:line="272" w:lineRule="exact"/>
              <w:ind w:right="1"/>
              <w:rPr>
                <w:sz w:val="24"/>
              </w:rPr>
            </w:pPr>
            <w:r>
              <w:rPr>
                <w:w w:val="99"/>
                <w:sz w:val="24"/>
              </w:rPr>
              <w:t>5</w:t>
            </w:r>
          </w:p>
        </w:tc>
        <w:tc>
          <w:tcPr>
            <w:tcW w:w="1968" w:type="dxa"/>
            <w:tcBorders>
              <w:top w:val="single" w:sz="5" w:space="0" w:color="FFFFFF"/>
              <w:right w:val="nil"/>
            </w:tcBorders>
            <w:shd w:val="clear" w:color="auto" w:fill="DBE4F0"/>
          </w:tcPr>
          <w:p>
            <w:pPr>
              <w:pStyle w:val="TableParagraph"/>
              <w:spacing w:line="272" w:lineRule="exact"/>
              <w:ind w:right="3"/>
              <w:rPr>
                <w:sz w:val="24"/>
              </w:rPr>
            </w:pPr>
            <w:r>
              <w:rPr>
                <w:w w:val="99"/>
                <w:sz w:val="24"/>
              </w:rPr>
              <w:t>5</w:t>
            </w:r>
          </w:p>
        </w:tc>
      </w:tr>
      <w:tr>
        <w:trPr>
          <w:trHeight w:val="286" w:hRule="exact"/>
        </w:trPr>
        <w:tc>
          <w:tcPr>
            <w:tcW w:w="1320" w:type="dxa"/>
            <w:tcBorders>
              <w:left w:val="nil"/>
            </w:tcBorders>
            <w:shd w:val="clear" w:color="auto" w:fill="B8CCE3"/>
          </w:tcPr>
          <w:p>
            <w:pPr>
              <w:pStyle w:val="TableParagraph"/>
              <w:spacing w:line="272" w:lineRule="exact"/>
              <w:ind w:left="97" w:right="94"/>
              <w:rPr>
                <w:sz w:val="24"/>
              </w:rPr>
            </w:pPr>
            <w:r>
              <w:rPr>
                <w:sz w:val="24"/>
              </w:rPr>
              <w:t>As</w:t>
            </w:r>
          </w:p>
        </w:tc>
        <w:tc>
          <w:tcPr>
            <w:tcW w:w="1090" w:type="dxa"/>
            <w:shd w:val="clear" w:color="auto" w:fill="B8CCE3"/>
          </w:tcPr>
          <w:p>
            <w:pPr>
              <w:pStyle w:val="TableParagraph"/>
              <w:spacing w:line="272" w:lineRule="exact"/>
              <w:ind w:right="3"/>
              <w:rPr>
                <w:sz w:val="24"/>
              </w:rPr>
            </w:pPr>
            <w:r>
              <w:rPr>
                <w:w w:val="99"/>
                <w:sz w:val="24"/>
              </w:rPr>
              <w:t>1</w:t>
            </w:r>
          </w:p>
        </w:tc>
        <w:tc>
          <w:tcPr>
            <w:tcW w:w="1985" w:type="dxa"/>
            <w:shd w:val="clear" w:color="auto" w:fill="B8CCE3"/>
          </w:tcPr>
          <w:p>
            <w:pPr>
              <w:pStyle w:val="TableParagraph"/>
              <w:spacing w:line="272" w:lineRule="exact"/>
              <w:ind w:left="634" w:right="633"/>
              <w:rPr>
                <w:sz w:val="24"/>
              </w:rPr>
            </w:pPr>
            <w:r>
              <w:rPr>
                <w:sz w:val="24"/>
              </w:rPr>
              <w:t>15</w:t>
            </w:r>
          </w:p>
        </w:tc>
        <w:tc>
          <w:tcPr>
            <w:tcW w:w="2163" w:type="dxa"/>
            <w:shd w:val="clear" w:color="auto" w:fill="B8CCE3"/>
          </w:tcPr>
          <w:p>
            <w:pPr>
              <w:pStyle w:val="TableParagraph"/>
              <w:spacing w:line="272" w:lineRule="exact"/>
              <w:ind w:left="259" w:right="258"/>
              <w:rPr>
                <w:sz w:val="24"/>
              </w:rPr>
            </w:pPr>
            <w:r>
              <w:rPr>
                <w:sz w:val="24"/>
              </w:rPr>
              <w:t>15</w:t>
            </w:r>
          </w:p>
        </w:tc>
        <w:tc>
          <w:tcPr>
            <w:tcW w:w="1968" w:type="dxa"/>
            <w:tcBorders>
              <w:right w:val="nil"/>
            </w:tcBorders>
            <w:shd w:val="clear" w:color="auto" w:fill="B8CCE3"/>
          </w:tcPr>
          <w:p>
            <w:pPr>
              <w:pStyle w:val="TableParagraph"/>
              <w:spacing w:line="272" w:lineRule="exact"/>
              <w:ind w:right="3"/>
              <w:rPr>
                <w:sz w:val="24"/>
              </w:rPr>
            </w:pPr>
            <w:r>
              <w:rPr>
                <w:w w:val="99"/>
                <w:sz w:val="24"/>
              </w:rPr>
              <w:t>2</w:t>
            </w:r>
          </w:p>
        </w:tc>
      </w:tr>
      <w:tr>
        <w:trPr>
          <w:trHeight w:val="286" w:hRule="exact"/>
        </w:trPr>
        <w:tc>
          <w:tcPr>
            <w:tcW w:w="1320" w:type="dxa"/>
            <w:tcBorders>
              <w:left w:val="nil"/>
            </w:tcBorders>
            <w:shd w:val="clear" w:color="auto" w:fill="DBE4F0"/>
          </w:tcPr>
          <w:p>
            <w:pPr>
              <w:pStyle w:val="TableParagraph"/>
              <w:spacing w:line="272" w:lineRule="exact"/>
              <w:ind w:left="97" w:right="94"/>
              <w:rPr>
                <w:sz w:val="24"/>
              </w:rPr>
            </w:pPr>
            <w:r>
              <w:rPr>
                <w:sz w:val="24"/>
              </w:rPr>
              <w:t>Hg</w:t>
            </w:r>
          </w:p>
        </w:tc>
        <w:tc>
          <w:tcPr>
            <w:tcW w:w="1090" w:type="dxa"/>
            <w:shd w:val="clear" w:color="auto" w:fill="DBE4F0"/>
          </w:tcPr>
          <w:p>
            <w:pPr>
              <w:pStyle w:val="TableParagraph"/>
              <w:spacing w:line="272" w:lineRule="exact"/>
              <w:ind w:right="3"/>
              <w:rPr>
                <w:sz w:val="24"/>
              </w:rPr>
            </w:pPr>
            <w:r>
              <w:rPr>
                <w:w w:val="99"/>
                <w:sz w:val="24"/>
              </w:rPr>
              <w:t>1</w:t>
            </w:r>
          </w:p>
        </w:tc>
        <w:tc>
          <w:tcPr>
            <w:tcW w:w="1985" w:type="dxa"/>
            <w:shd w:val="clear" w:color="auto" w:fill="DBE4F0"/>
          </w:tcPr>
          <w:p>
            <w:pPr>
              <w:pStyle w:val="TableParagraph"/>
              <w:spacing w:line="272" w:lineRule="exact"/>
              <w:ind w:left="634" w:right="633"/>
              <w:rPr>
                <w:sz w:val="24"/>
              </w:rPr>
            </w:pPr>
            <w:r>
              <w:rPr>
                <w:sz w:val="24"/>
              </w:rPr>
              <w:t>30</w:t>
            </w:r>
          </w:p>
        </w:tc>
        <w:tc>
          <w:tcPr>
            <w:tcW w:w="2163" w:type="dxa"/>
            <w:shd w:val="clear" w:color="auto" w:fill="DBE4F0"/>
          </w:tcPr>
          <w:p>
            <w:pPr>
              <w:pStyle w:val="TableParagraph"/>
              <w:spacing w:line="272" w:lineRule="exact"/>
              <w:ind w:right="1"/>
              <w:rPr>
                <w:sz w:val="24"/>
              </w:rPr>
            </w:pPr>
            <w:r>
              <w:rPr>
                <w:w w:val="99"/>
                <w:sz w:val="24"/>
              </w:rPr>
              <w:t>3</w:t>
            </w:r>
          </w:p>
        </w:tc>
        <w:tc>
          <w:tcPr>
            <w:tcW w:w="1968" w:type="dxa"/>
            <w:tcBorders>
              <w:right w:val="nil"/>
            </w:tcBorders>
            <w:shd w:val="clear" w:color="auto" w:fill="DBE4F0"/>
          </w:tcPr>
          <w:p>
            <w:pPr>
              <w:pStyle w:val="TableParagraph"/>
              <w:spacing w:line="272" w:lineRule="exact"/>
              <w:ind w:right="3"/>
              <w:rPr>
                <w:sz w:val="24"/>
              </w:rPr>
            </w:pPr>
            <w:r>
              <w:rPr>
                <w:w w:val="99"/>
                <w:sz w:val="24"/>
              </w:rPr>
              <w:t>1</w:t>
            </w:r>
          </w:p>
        </w:tc>
      </w:tr>
      <w:tr>
        <w:trPr>
          <w:trHeight w:val="286" w:hRule="exact"/>
        </w:trPr>
        <w:tc>
          <w:tcPr>
            <w:tcW w:w="1320" w:type="dxa"/>
            <w:tcBorders>
              <w:left w:val="nil"/>
            </w:tcBorders>
            <w:shd w:val="clear" w:color="auto" w:fill="B8CCE3"/>
          </w:tcPr>
          <w:p>
            <w:pPr>
              <w:pStyle w:val="TableParagraph"/>
              <w:spacing w:line="272" w:lineRule="exact"/>
              <w:ind w:left="97" w:right="94"/>
              <w:rPr>
                <w:sz w:val="24"/>
              </w:rPr>
            </w:pPr>
            <w:r>
              <w:rPr>
                <w:sz w:val="24"/>
              </w:rPr>
              <w:t>Co</w:t>
            </w:r>
          </w:p>
        </w:tc>
        <w:tc>
          <w:tcPr>
            <w:tcW w:w="1090" w:type="dxa"/>
            <w:shd w:val="clear" w:color="auto" w:fill="B8CCE3"/>
          </w:tcPr>
          <w:p>
            <w:pPr>
              <w:pStyle w:val="TableParagraph"/>
              <w:spacing w:line="272" w:lineRule="exact"/>
              <w:ind w:left="198" w:right="198"/>
              <w:rPr>
                <w:sz w:val="24"/>
              </w:rPr>
            </w:pPr>
            <w:r>
              <w:rPr>
                <w:sz w:val="24"/>
              </w:rPr>
              <w:t>2A</w:t>
            </w:r>
          </w:p>
        </w:tc>
        <w:tc>
          <w:tcPr>
            <w:tcW w:w="1985" w:type="dxa"/>
            <w:shd w:val="clear" w:color="auto" w:fill="B8CCE3"/>
          </w:tcPr>
          <w:p>
            <w:pPr>
              <w:pStyle w:val="TableParagraph"/>
              <w:spacing w:line="272" w:lineRule="exact"/>
              <w:ind w:left="634" w:right="633"/>
              <w:rPr>
                <w:sz w:val="24"/>
              </w:rPr>
            </w:pPr>
            <w:r>
              <w:rPr>
                <w:sz w:val="24"/>
              </w:rPr>
              <w:t>50</w:t>
            </w:r>
          </w:p>
        </w:tc>
        <w:tc>
          <w:tcPr>
            <w:tcW w:w="2163" w:type="dxa"/>
            <w:shd w:val="clear" w:color="auto" w:fill="B8CCE3"/>
          </w:tcPr>
          <w:p>
            <w:pPr>
              <w:pStyle w:val="TableParagraph"/>
              <w:spacing w:line="272" w:lineRule="exact"/>
              <w:ind w:right="1"/>
              <w:rPr>
                <w:sz w:val="24"/>
              </w:rPr>
            </w:pPr>
            <w:r>
              <w:rPr>
                <w:w w:val="99"/>
                <w:sz w:val="24"/>
              </w:rPr>
              <w:t>5</w:t>
            </w:r>
          </w:p>
        </w:tc>
        <w:tc>
          <w:tcPr>
            <w:tcW w:w="1968" w:type="dxa"/>
            <w:tcBorders>
              <w:right w:val="nil"/>
            </w:tcBorders>
            <w:shd w:val="clear" w:color="auto" w:fill="B8CCE3"/>
          </w:tcPr>
          <w:p>
            <w:pPr>
              <w:pStyle w:val="TableParagraph"/>
              <w:spacing w:line="272" w:lineRule="exact"/>
              <w:ind w:right="3"/>
              <w:rPr>
                <w:sz w:val="24"/>
              </w:rPr>
            </w:pPr>
            <w:r>
              <w:rPr>
                <w:w w:val="99"/>
                <w:sz w:val="24"/>
              </w:rPr>
              <w:t>3</w:t>
            </w:r>
          </w:p>
        </w:tc>
      </w:tr>
      <w:tr>
        <w:trPr>
          <w:trHeight w:val="286" w:hRule="exact"/>
        </w:trPr>
        <w:tc>
          <w:tcPr>
            <w:tcW w:w="1320" w:type="dxa"/>
            <w:tcBorders>
              <w:left w:val="nil"/>
            </w:tcBorders>
            <w:shd w:val="clear" w:color="auto" w:fill="DBE4F0"/>
          </w:tcPr>
          <w:p>
            <w:pPr>
              <w:pStyle w:val="TableParagraph"/>
              <w:spacing w:line="272" w:lineRule="exact"/>
              <w:ind w:left="1"/>
              <w:rPr>
                <w:sz w:val="24"/>
              </w:rPr>
            </w:pPr>
            <w:r>
              <w:rPr>
                <w:w w:val="100"/>
                <w:sz w:val="24"/>
              </w:rPr>
              <w:t>V</w:t>
            </w:r>
          </w:p>
        </w:tc>
        <w:tc>
          <w:tcPr>
            <w:tcW w:w="1090" w:type="dxa"/>
            <w:shd w:val="clear" w:color="auto" w:fill="DBE4F0"/>
          </w:tcPr>
          <w:p>
            <w:pPr>
              <w:pStyle w:val="TableParagraph"/>
              <w:spacing w:line="272" w:lineRule="exact"/>
              <w:ind w:left="198" w:right="198"/>
              <w:rPr>
                <w:sz w:val="24"/>
              </w:rPr>
            </w:pPr>
            <w:r>
              <w:rPr>
                <w:sz w:val="24"/>
              </w:rPr>
              <w:t>2A</w:t>
            </w:r>
          </w:p>
        </w:tc>
        <w:tc>
          <w:tcPr>
            <w:tcW w:w="1985" w:type="dxa"/>
            <w:shd w:val="clear" w:color="auto" w:fill="DBE4F0"/>
          </w:tcPr>
          <w:p>
            <w:pPr>
              <w:pStyle w:val="TableParagraph"/>
              <w:spacing w:line="272" w:lineRule="exact"/>
              <w:ind w:left="634" w:right="633"/>
              <w:rPr>
                <w:sz w:val="24"/>
              </w:rPr>
            </w:pPr>
            <w:r>
              <w:rPr>
                <w:sz w:val="24"/>
              </w:rPr>
              <w:t>100</w:t>
            </w:r>
          </w:p>
        </w:tc>
        <w:tc>
          <w:tcPr>
            <w:tcW w:w="2163" w:type="dxa"/>
            <w:shd w:val="clear" w:color="auto" w:fill="DBE4F0"/>
          </w:tcPr>
          <w:p>
            <w:pPr>
              <w:pStyle w:val="TableParagraph"/>
              <w:spacing w:line="272" w:lineRule="exact"/>
              <w:ind w:left="259" w:right="258"/>
              <w:rPr>
                <w:sz w:val="24"/>
              </w:rPr>
            </w:pPr>
            <w:r>
              <w:rPr>
                <w:sz w:val="24"/>
              </w:rPr>
              <w:t>10</w:t>
            </w:r>
          </w:p>
        </w:tc>
        <w:tc>
          <w:tcPr>
            <w:tcW w:w="1968" w:type="dxa"/>
            <w:tcBorders>
              <w:right w:val="nil"/>
            </w:tcBorders>
            <w:shd w:val="clear" w:color="auto" w:fill="DBE4F0"/>
          </w:tcPr>
          <w:p>
            <w:pPr>
              <w:pStyle w:val="TableParagraph"/>
              <w:spacing w:line="272" w:lineRule="exact"/>
              <w:ind w:right="3"/>
              <w:rPr>
                <w:sz w:val="24"/>
              </w:rPr>
            </w:pPr>
            <w:r>
              <w:rPr>
                <w:w w:val="99"/>
                <w:sz w:val="24"/>
              </w:rPr>
              <w:t>1</w:t>
            </w:r>
          </w:p>
        </w:tc>
      </w:tr>
      <w:tr>
        <w:trPr>
          <w:trHeight w:val="287" w:hRule="exact"/>
        </w:trPr>
        <w:tc>
          <w:tcPr>
            <w:tcW w:w="1320" w:type="dxa"/>
            <w:tcBorders>
              <w:left w:val="nil"/>
              <w:bottom w:val="single" w:sz="5" w:space="0" w:color="FFFFFF"/>
            </w:tcBorders>
            <w:shd w:val="clear" w:color="auto" w:fill="B8CCE3"/>
          </w:tcPr>
          <w:p>
            <w:pPr>
              <w:pStyle w:val="TableParagraph"/>
              <w:spacing w:line="272" w:lineRule="exact"/>
              <w:ind w:left="98" w:right="94"/>
              <w:rPr>
                <w:sz w:val="24"/>
              </w:rPr>
            </w:pPr>
            <w:r>
              <w:rPr>
                <w:sz w:val="24"/>
              </w:rPr>
              <w:t>Ni</w:t>
            </w:r>
          </w:p>
        </w:tc>
        <w:tc>
          <w:tcPr>
            <w:tcW w:w="1090" w:type="dxa"/>
            <w:tcBorders>
              <w:bottom w:val="single" w:sz="5" w:space="0" w:color="FFFFFF"/>
            </w:tcBorders>
            <w:shd w:val="clear" w:color="auto" w:fill="B8CCE3"/>
          </w:tcPr>
          <w:p>
            <w:pPr>
              <w:pStyle w:val="TableParagraph"/>
              <w:spacing w:line="272" w:lineRule="exact"/>
              <w:ind w:left="198" w:right="198"/>
              <w:rPr>
                <w:sz w:val="24"/>
              </w:rPr>
            </w:pPr>
            <w:r>
              <w:rPr>
                <w:sz w:val="24"/>
              </w:rPr>
              <w:t>2A</w:t>
            </w:r>
          </w:p>
        </w:tc>
        <w:tc>
          <w:tcPr>
            <w:tcW w:w="1985" w:type="dxa"/>
            <w:tcBorders>
              <w:bottom w:val="single" w:sz="5" w:space="0" w:color="FFFFFF"/>
            </w:tcBorders>
            <w:shd w:val="clear" w:color="auto" w:fill="B8CCE3"/>
          </w:tcPr>
          <w:p>
            <w:pPr>
              <w:pStyle w:val="TableParagraph"/>
              <w:spacing w:line="272" w:lineRule="exact"/>
              <w:ind w:left="634" w:right="633"/>
              <w:rPr>
                <w:sz w:val="24"/>
              </w:rPr>
            </w:pPr>
            <w:r>
              <w:rPr>
                <w:sz w:val="24"/>
              </w:rPr>
              <w:t>200</w:t>
            </w:r>
          </w:p>
        </w:tc>
        <w:tc>
          <w:tcPr>
            <w:tcW w:w="2163" w:type="dxa"/>
            <w:tcBorders>
              <w:bottom w:val="single" w:sz="5" w:space="0" w:color="FFFFFF"/>
            </w:tcBorders>
            <w:shd w:val="clear" w:color="auto" w:fill="B8CCE3"/>
          </w:tcPr>
          <w:p>
            <w:pPr>
              <w:pStyle w:val="TableParagraph"/>
              <w:spacing w:line="272" w:lineRule="exact"/>
              <w:ind w:left="259" w:right="258"/>
              <w:rPr>
                <w:sz w:val="24"/>
              </w:rPr>
            </w:pPr>
            <w:r>
              <w:rPr>
                <w:sz w:val="24"/>
              </w:rPr>
              <w:t>20</w:t>
            </w:r>
          </w:p>
        </w:tc>
        <w:tc>
          <w:tcPr>
            <w:tcW w:w="1968" w:type="dxa"/>
            <w:tcBorders>
              <w:bottom w:val="single" w:sz="5" w:space="0" w:color="FFFFFF"/>
              <w:right w:val="nil"/>
            </w:tcBorders>
            <w:shd w:val="clear" w:color="auto" w:fill="B8CCE3"/>
          </w:tcPr>
          <w:p>
            <w:pPr>
              <w:pStyle w:val="TableParagraph"/>
              <w:spacing w:line="272" w:lineRule="exact"/>
              <w:ind w:right="3"/>
              <w:rPr>
                <w:sz w:val="24"/>
              </w:rPr>
            </w:pPr>
            <w:r>
              <w:rPr>
                <w:w w:val="99"/>
                <w:sz w:val="24"/>
              </w:rPr>
              <w:t>5</w:t>
            </w:r>
          </w:p>
        </w:tc>
      </w:tr>
      <w:tr>
        <w:trPr>
          <w:trHeight w:val="287" w:hRule="exact"/>
        </w:trPr>
        <w:tc>
          <w:tcPr>
            <w:tcW w:w="1320" w:type="dxa"/>
            <w:tcBorders>
              <w:top w:val="single" w:sz="5" w:space="0" w:color="FFFFFF"/>
              <w:left w:val="nil"/>
            </w:tcBorders>
            <w:shd w:val="clear" w:color="auto" w:fill="DBE4F0"/>
          </w:tcPr>
          <w:p>
            <w:pPr>
              <w:pStyle w:val="TableParagraph"/>
              <w:spacing w:line="272" w:lineRule="exact"/>
              <w:ind w:left="100" w:right="93"/>
              <w:rPr>
                <w:sz w:val="24"/>
              </w:rPr>
            </w:pPr>
            <w:r>
              <w:rPr>
                <w:sz w:val="24"/>
              </w:rPr>
              <w:t>Tl</w:t>
            </w:r>
          </w:p>
        </w:tc>
        <w:tc>
          <w:tcPr>
            <w:tcW w:w="1090" w:type="dxa"/>
            <w:tcBorders>
              <w:top w:val="single" w:sz="5" w:space="0" w:color="FFFFFF"/>
            </w:tcBorders>
            <w:shd w:val="clear" w:color="auto" w:fill="DBE4F0"/>
          </w:tcPr>
          <w:p>
            <w:pPr>
              <w:pStyle w:val="TableParagraph"/>
              <w:spacing w:line="272" w:lineRule="exact"/>
              <w:ind w:left="198" w:right="198"/>
              <w:rPr>
                <w:sz w:val="24"/>
              </w:rPr>
            </w:pPr>
            <w:r>
              <w:rPr>
                <w:sz w:val="24"/>
              </w:rPr>
              <w:t>2B</w:t>
            </w:r>
          </w:p>
        </w:tc>
        <w:tc>
          <w:tcPr>
            <w:tcW w:w="1985" w:type="dxa"/>
            <w:tcBorders>
              <w:top w:val="single" w:sz="5" w:space="0" w:color="FFFFFF"/>
            </w:tcBorders>
            <w:shd w:val="clear" w:color="auto" w:fill="DBE4F0"/>
          </w:tcPr>
          <w:p>
            <w:pPr>
              <w:pStyle w:val="TableParagraph"/>
              <w:spacing w:line="272" w:lineRule="exact"/>
              <w:ind w:right="1"/>
              <w:rPr>
                <w:sz w:val="24"/>
              </w:rPr>
            </w:pPr>
            <w:r>
              <w:rPr>
                <w:w w:val="99"/>
                <w:sz w:val="24"/>
              </w:rPr>
              <w:t>8</w:t>
            </w:r>
          </w:p>
        </w:tc>
        <w:tc>
          <w:tcPr>
            <w:tcW w:w="2163" w:type="dxa"/>
            <w:tcBorders>
              <w:top w:val="single" w:sz="5" w:space="0" w:color="FFFFFF"/>
            </w:tcBorders>
            <w:shd w:val="clear" w:color="auto" w:fill="DBE4F0"/>
          </w:tcPr>
          <w:p>
            <w:pPr>
              <w:pStyle w:val="TableParagraph"/>
              <w:spacing w:line="272" w:lineRule="exact"/>
              <w:ind w:right="1"/>
              <w:rPr>
                <w:sz w:val="24"/>
              </w:rPr>
            </w:pPr>
            <w:r>
              <w:rPr>
                <w:w w:val="99"/>
                <w:sz w:val="24"/>
              </w:rPr>
              <w:t>8</w:t>
            </w:r>
          </w:p>
        </w:tc>
        <w:tc>
          <w:tcPr>
            <w:tcW w:w="1968" w:type="dxa"/>
            <w:tcBorders>
              <w:top w:val="single" w:sz="5" w:space="0" w:color="FFFFFF"/>
              <w:right w:val="nil"/>
            </w:tcBorders>
            <w:shd w:val="clear" w:color="auto" w:fill="DBE4F0"/>
          </w:tcPr>
          <w:p>
            <w:pPr>
              <w:pStyle w:val="TableParagraph"/>
              <w:spacing w:line="272" w:lineRule="exact"/>
              <w:ind w:right="3"/>
              <w:rPr>
                <w:sz w:val="24"/>
              </w:rPr>
            </w:pPr>
            <w:r>
              <w:rPr>
                <w:w w:val="99"/>
                <w:sz w:val="24"/>
              </w:rPr>
              <w:t>8</w:t>
            </w:r>
          </w:p>
        </w:tc>
      </w:tr>
      <w:tr>
        <w:trPr>
          <w:trHeight w:val="286" w:hRule="exact"/>
        </w:trPr>
        <w:tc>
          <w:tcPr>
            <w:tcW w:w="1320" w:type="dxa"/>
            <w:tcBorders>
              <w:left w:val="nil"/>
            </w:tcBorders>
            <w:shd w:val="clear" w:color="auto" w:fill="B8CCE3"/>
          </w:tcPr>
          <w:p>
            <w:pPr>
              <w:pStyle w:val="TableParagraph"/>
              <w:spacing w:line="272" w:lineRule="exact"/>
              <w:ind w:left="100" w:right="94"/>
              <w:rPr>
                <w:sz w:val="24"/>
              </w:rPr>
            </w:pPr>
            <w:r>
              <w:rPr>
                <w:sz w:val="24"/>
              </w:rPr>
              <w:t>Au</w:t>
            </w:r>
          </w:p>
        </w:tc>
        <w:tc>
          <w:tcPr>
            <w:tcW w:w="1090" w:type="dxa"/>
            <w:shd w:val="clear" w:color="auto" w:fill="B8CCE3"/>
          </w:tcPr>
          <w:p>
            <w:pPr>
              <w:pStyle w:val="TableParagraph"/>
              <w:spacing w:line="272" w:lineRule="exact"/>
              <w:ind w:left="198" w:right="198"/>
              <w:rPr>
                <w:sz w:val="24"/>
              </w:rPr>
            </w:pPr>
            <w:r>
              <w:rPr>
                <w:sz w:val="24"/>
              </w:rPr>
              <w:t>2B</w:t>
            </w:r>
          </w:p>
        </w:tc>
        <w:tc>
          <w:tcPr>
            <w:tcW w:w="1985" w:type="dxa"/>
            <w:shd w:val="clear" w:color="auto" w:fill="B8CCE3"/>
          </w:tcPr>
          <w:p>
            <w:pPr>
              <w:pStyle w:val="TableParagraph"/>
              <w:spacing w:line="272" w:lineRule="exact"/>
              <w:ind w:left="634" w:right="633"/>
              <w:rPr>
                <w:sz w:val="24"/>
              </w:rPr>
            </w:pPr>
            <w:r>
              <w:rPr>
                <w:sz w:val="24"/>
              </w:rPr>
              <w:t>100</w:t>
            </w:r>
          </w:p>
        </w:tc>
        <w:tc>
          <w:tcPr>
            <w:tcW w:w="2163" w:type="dxa"/>
            <w:shd w:val="clear" w:color="auto" w:fill="B8CCE3"/>
          </w:tcPr>
          <w:p>
            <w:pPr>
              <w:pStyle w:val="TableParagraph"/>
              <w:spacing w:line="272" w:lineRule="exact"/>
              <w:ind w:left="259" w:right="258"/>
              <w:rPr>
                <w:sz w:val="24"/>
              </w:rPr>
            </w:pPr>
            <w:r>
              <w:rPr>
                <w:sz w:val="24"/>
              </w:rPr>
              <w:t>100</w:t>
            </w:r>
          </w:p>
        </w:tc>
        <w:tc>
          <w:tcPr>
            <w:tcW w:w="1968" w:type="dxa"/>
            <w:tcBorders>
              <w:right w:val="nil"/>
            </w:tcBorders>
            <w:shd w:val="clear" w:color="auto" w:fill="B8CCE3"/>
          </w:tcPr>
          <w:p>
            <w:pPr>
              <w:pStyle w:val="TableParagraph"/>
              <w:spacing w:line="272" w:lineRule="exact"/>
              <w:ind w:right="3"/>
              <w:rPr>
                <w:sz w:val="24"/>
              </w:rPr>
            </w:pPr>
            <w:r>
              <w:rPr>
                <w:w w:val="99"/>
                <w:sz w:val="24"/>
              </w:rPr>
              <w:t>1</w:t>
            </w:r>
          </w:p>
        </w:tc>
      </w:tr>
      <w:tr>
        <w:trPr>
          <w:trHeight w:val="286" w:hRule="exact"/>
        </w:trPr>
        <w:tc>
          <w:tcPr>
            <w:tcW w:w="1320" w:type="dxa"/>
            <w:tcBorders>
              <w:left w:val="nil"/>
            </w:tcBorders>
            <w:shd w:val="clear" w:color="auto" w:fill="DBE4F0"/>
          </w:tcPr>
          <w:p>
            <w:pPr>
              <w:pStyle w:val="TableParagraph"/>
              <w:spacing w:line="272" w:lineRule="exact"/>
              <w:ind w:left="100" w:right="94"/>
              <w:rPr>
                <w:sz w:val="24"/>
              </w:rPr>
            </w:pPr>
            <w:r>
              <w:rPr>
                <w:sz w:val="24"/>
              </w:rPr>
              <w:t>Pd</w:t>
            </w:r>
          </w:p>
        </w:tc>
        <w:tc>
          <w:tcPr>
            <w:tcW w:w="1090" w:type="dxa"/>
            <w:shd w:val="clear" w:color="auto" w:fill="DBE4F0"/>
          </w:tcPr>
          <w:p>
            <w:pPr>
              <w:pStyle w:val="TableParagraph"/>
              <w:spacing w:line="272" w:lineRule="exact"/>
              <w:ind w:left="198" w:right="198"/>
              <w:rPr>
                <w:sz w:val="24"/>
              </w:rPr>
            </w:pPr>
            <w:r>
              <w:rPr>
                <w:sz w:val="24"/>
              </w:rPr>
              <w:t>2B</w:t>
            </w:r>
          </w:p>
        </w:tc>
        <w:tc>
          <w:tcPr>
            <w:tcW w:w="1985" w:type="dxa"/>
            <w:shd w:val="clear" w:color="auto" w:fill="DBE4F0"/>
          </w:tcPr>
          <w:p>
            <w:pPr>
              <w:pStyle w:val="TableParagraph"/>
              <w:spacing w:line="272" w:lineRule="exact"/>
              <w:ind w:left="634" w:right="633"/>
              <w:rPr>
                <w:sz w:val="24"/>
              </w:rPr>
            </w:pPr>
            <w:r>
              <w:rPr>
                <w:sz w:val="24"/>
              </w:rPr>
              <w:t>100</w:t>
            </w:r>
          </w:p>
        </w:tc>
        <w:tc>
          <w:tcPr>
            <w:tcW w:w="2163" w:type="dxa"/>
            <w:shd w:val="clear" w:color="auto" w:fill="DBE4F0"/>
          </w:tcPr>
          <w:p>
            <w:pPr>
              <w:pStyle w:val="TableParagraph"/>
              <w:spacing w:line="272" w:lineRule="exact"/>
              <w:ind w:left="259" w:right="258"/>
              <w:rPr>
                <w:sz w:val="24"/>
              </w:rPr>
            </w:pPr>
            <w:r>
              <w:rPr>
                <w:sz w:val="24"/>
              </w:rPr>
              <w:t>10</w:t>
            </w:r>
          </w:p>
        </w:tc>
        <w:tc>
          <w:tcPr>
            <w:tcW w:w="1968" w:type="dxa"/>
            <w:tcBorders>
              <w:right w:val="nil"/>
            </w:tcBorders>
            <w:shd w:val="clear" w:color="auto" w:fill="DBE4F0"/>
          </w:tcPr>
          <w:p>
            <w:pPr>
              <w:pStyle w:val="TableParagraph"/>
              <w:spacing w:line="272" w:lineRule="exact"/>
              <w:ind w:right="3"/>
              <w:rPr>
                <w:sz w:val="24"/>
              </w:rPr>
            </w:pPr>
            <w:r>
              <w:rPr>
                <w:w w:val="99"/>
                <w:sz w:val="24"/>
              </w:rPr>
              <w:t>1</w:t>
            </w:r>
          </w:p>
        </w:tc>
      </w:tr>
      <w:tr>
        <w:trPr>
          <w:trHeight w:val="286" w:hRule="exact"/>
        </w:trPr>
        <w:tc>
          <w:tcPr>
            <w:tcW w:w="1320" w:type="dxa"/>
            <w:tcBorders>
              <w:left w:val="nil"/>
            </w:tcBorders>
            <w:shd w:val="clear" w:color="auto" w:fill="B8CCE3"/>
          </w:tcPr>
          <w:p>
            <w:pPr>
              <w:pStyle w:val="TableParagraph"/>
              <w:spacing w:line="272" w:lineRule="exact"/>
              <w:ind w:left="97" w:right="94"/>
              <w:rPr>
                <w:sz w:val="24"/>
              </w:rPr>
            </w:pPr>
            <w:r>
              <w:rPr>
                <w:sz w:val="24"/>
              </w:rPr>
              <w:t>Ir</w:t>
            </w:r>
          </w:p>
        </w:tc>
        <w:tc>
          <w:tcPr>
            <w:tcW w:w="1090" w:type="dxa"/>
            <w:shd w:val="clear" w:color="auto" w:fill="B8CCE3"/>
          </w:tcPr>
          <w:p>
            <w:pPr>
              <w:pStyle w:val="TableParagraph"/>
              <w:spacing w:line="272" w:lineRule="exact"/>
              <w:ind w:left="198" w:right="198"/>
              <w:rPr>
                <w:sz w:val="24"/>
              </w:rPr>
            </w:pPr>
            <w:r>
              <w:rPr>
                <w:sz w:val="24"/>
              </w:rPr>
              <w:t>2B</w:t>
            </w:r>
          </w:p>
        </w:tc>
        <w:tc>
          <w:tcPr>
            <w:tcW w:w="1985" w:type="dxa"/>
            <w:shd w:val="clear" w:color="auto" w:fill="B8CCE3"/>
          </w:tcPr>
          <w:p>
            <w:pPr>
              <w:pStyle w:val="TableParagraph"/>
              <w:spacing w:line="272" w:lineRule="exact"/>
              <w:ind w:left="634" w:right="633"/>
              <w:rPr>
                <w:sz w:val="24"/>
              </w:rPr>
            </w:pPr>
            <w:r>
              <w:rPr>
                <w:sz w:val="24"/>
              </w:rPr>
              <w:t>100</w:t>
            </w:r>
          </w:p>
        </w:tc>
        <w:tc>
          <w:tcPr>
            <w:tcW w:w="2163" w:type="dxa"/>
            <w:shd w:val="clear" w:color="auto" w:fill="B8CCE3"/>
          </w:tcPr>
          <w:p>
            <w:pPr>
              <w:pStyle w:val="TableParagraph"/>
              <w:spacing w:line="272" w:lineRule="exact"/>
              <w:ind w:left="259" w:right="258"/>
              <w:rPr>
                <w:sz w:val="24"/>
              </w:rPr>
            </w:pPr>
            <w:r>
              <w:rPr>
                <w:sz w:val="24"/>
              </w:rPr>
              <w:t>10</w:t>
            </w:r>
          </w:p>
        </w:tc>
        <w:tc>
          <w:tcPr>
            <w:tcW w:w="1968" w:type="dxa"/>
            <w:tcBorders>
              <w:right w:val="nil"/>
            </w:tcBorders>
            <w:shd w:val="clear" w:color="auto" w:fill="B8CCE3"/>
          </w:tcPr>
          <w:p>
            <w:pPr>
              <w:pStyle w:val="TableParagraph"/>
              <w:spacing w:line="272" w:lineRule="exact"/>
              <w:ind w:right="3"/>
              <w:rPr>
                <w:sz w:val="24"/>
              </w:rPr>
            </w:pPr>
            <w:r>
              <w:rPr>
                <w:w w:val="99"/>
                <w:sz w:val="24"/>
              </w:rPr>
              <w:t>1</w:t>
            </w:r>
          </w:p>
        </w:tc>
      </w:tr>
      <w:tr>
        <w:trPr>
          <w:trHeight w:val="286" w:hRule="exact"/>
        </w:trPr>
        <w:tc>
          <w:tcPr>
            <w:tcW w:w="1320" w:type="dxa"/>
            <w:tcBorders>
              <w:left w:val="nil"/>
            </w:tcBorders>
            <w:shd w:val="clear" w:color="auto" w:fill="DBE4F0"/>
          </w:tcPr>
          <w:p>
            <w:pPr>
              <w:pStyle w:val="TableParagraph"/>
              <w:spacing w:line="272" w:lineRule="exact"/>
              <w:ind w:left="99" w:right="94"/>
              <w:rPr>
                <w:sz w:val="24"/>
              </w:rPr>
            </w:pPr>
            <w:r>
              <w:rPr>
                <w:sz w:val="24"/>
              </w:rPr>
              <w:t>Os</w:t>
            </w:r>
          </w:p>
        </w:tc>
        <w:tc>
          <w:tcPr>
            <w:tcW w:w="1090" w:type="dxa"/>
            <w:shd w:val="clear" w:color="auto" w:fill="DBE4F0"/>
          </w:tcPr>
          <w:p>
            <w:pPr>
              <w:pStyle w:val="TableParagraph"/>
              <w:spacing w:line="272" w:lineRule="exact"/>
              <w:ind w:left="198" w:right="198"/>
              <w:rPr>
                <w:sz w:val="24"/>
              </w:rPr>
            </w:pPr>
            <w:r>
              <w:rPr>
                <w:sz w:val="24"/>
              </w:rPr>
              <w:t>2B</w:t>
            </w:r>
          </w:p>
        </w:tc>
        <w:tc>
          <w:tcPr>
            <w:tcW w:w="1985" w:type="dxa"/>
            <w:shd w:val="clear" w:color="auto" w:fill="DBE4F0"/>
          </w:tcPr>
          <w:p>
            <w:pPr>
              <w:pStyle w:val="TableParagraph"/>
              <w:spacing w:line="272" w:lineRule="exact"/>
              <w:ind w:left="634" w:right="633"/>
              <w:rPr>
                <w:sz w:val="24"/>
              </w:rPr>
            </w:pPr>
            <w:r>
              <w:rPr>
                <w:sz w:val="24"/>
              </w:rPr>
              <w:t>100</w:t>
            </w:r>
          </w:p>
        </w:tc>
        <w:tc>
          <w:tcPr>
            <w:tcW w:w="2163" w:type="dxa"/>
            <w:shd w:val="clear" w:color="auto" w:fill="DBE4F0"/>
          </w:tcPr>
          <w:p>
            <w:pPr>
              <w:pStyle w:val="TableParagraph"/>
              <w:spacing w:line="272" w:lineRule="exact"/>
              <w:ind w:left="259" w:right="258"/>
              <w:rPr>
                <w:sz w:val="24"/>
              </w:rPr>
            </w:pPr>
            <w:r>
              <w:rPr>
                <w:sz w:val="24"/>
              </w:rPr>
              <w:t>10</w:t>
            </w:r>
          </w:p>
        </w:tc>
        <w:tc>
          <w:tcPr>
            <w:tcW w:w="1968" w:type="dxa"/>
            <w:tcBorders>
              <w:right w:val="nil"/>
            </w:tcBorders>
            <w:shd w:val="clear" w:color="auto" w:fill="DBE4F0"/>
          </w:tcPr>
          <w:p>
            <w:pPr>
              <w:pStyle w:val="TableParagraph"/>
              <w:spacing w:line="272" w:lineRule="exact"/>
              <w:ind w:right="3"/>
              <w:rPr>
                <w:sz w:val="24"/>
              </w:rPr>
            </w:pPr>
            <w:r>
              <w:rPr>
                <w:w w:val="99"/>
                <w:sz w:val="24"/>
              </w:rPr>
              <w:t>1</w:t>
            </w:r>
          </w:p>
        </w:tc>
      </w:tr>
      <w:tr>
        <w:trPr>
          <w:trHeight w:val="287" w:hRule="exact"/>
        </w:trPr>
        <w:tc>
          <w:tcPr>
            <w:tcW w:w="1320" w:type="dxa"/>
            <w:tcBorders>
              <w:left w:val="nil"/>
              <w:bottom w:val="single" w:sz="5" w:space="0" w:color="FFFFFF"/>
            </w:tcBorders>
            <w:shd w:val="clear" w:color="auto" w:fill="B8CCE3"/>
          </w:tcPr>
          <w:p>
            <w:pPr>
              <w:pStyle w:val="TableParagraph"/>
              <w:spacing w:line="272" w:lineRule="exact"/>
              <w:ind w:left="97" w:right="94"/>
              <w:rPr>
                <w:sz w:val="24"/>
              </w:rPr>
            </w:pPr>
            <w:r>
              <w:rPr>
                <w:sz w:val="24"/>
              </w:rPr>
              <w:t>Rh</w:t>
            </w:r>
          </w:p>
        </w:tc>
        <w:tc>
          <w:tcPr>
            <w:tcW w:w="1090" w:type="dxa"/>
            <w:tcBorders>
              <w:bottom w:val="single" w:sz="5" w:space="0" w:color="FFFFFF"/>
            </w:tcBorders>
            <w:shd w:val="clear" w:color="auto" w:fill="B8CCE3"/>
          </w:tcPr>
          <w:p>
            <w:pPr>
              <w:pStyle w:val="TableParagraph"/>
              <w:spacing w:line="272" w:lineRule="exact"/>
              <w:ind w:left="198" w:right="198"/>
              <w:rPr>
                <w:sz w:val="24"/>
              </w:rPr>
            </w:pPr>
            <w:r>
              <w:rPr>
                <w:sz w:val="24"/>
              </w:rPr>
              <w:t>2B</w:t>
            </w:r>
          </w:p>
        </w:tc>
        <w:tc>
          <w:tcPr>
            <w:tcW w:w="1985" w:type="dxa"/>
            <w:tcBorders>
              <w:bottom w:val="single" w:sz="5" w:space="0" w:color="FFFFFF"/>
            </w:tcBorders>
            <w:shd w:val="clear" w:color="auto" w:fill="B8CCE3"/>
          </w:tcPr>
          <w:p>
            <w:pPr>
              <w:pStyle w:val="TableParagraph"/>
              <w:spacing w:line="272" w:lineRule="exact"/>
              <w:ind w:left="634" w:right="633"/>
              <w:rPr>
                <w:sz w:val="24"/>
              </w:rPr>
            </w:pPr>
            <w:r>
              <w:rPr>
                <w:sz w:val="24"/>
              </w:rPr>
              <w:t>100</w:t>
            </w:r>
          </w:p>
        </w:tc>
        <w:tc>
          <w:tcPr>
            <w:tcW w:w="2163" w:type="dxa"/>
            <w:tcBorders>
              <w:bottom w:val="single" w:sz="5" w:space="0" w:color="FFFFFF"/>
            </w:tcBorders>
            <w:shd w:val="clear" w:color="auto" w:fill="B8CCE3"/>
          </w:tcPr>
          <w:p>
            <w:pPr>
              <w:pStyle w:val="TableParagraph"/>
              <w:spacing w:line="272" w:lineRule="exact"/>
              <w:ind w:left="259" w:right="258"/>
              <w:rPr>
                <w:sz w:val="24"/>
              </w:rPr>
            </w:pPr>
            <w:r>
              <w:rPr>
                <w:sz w:val="24"/>
              </w:rPr>
              <w:t>10</w:t>
            </w:r>
          </w:p>
        </w:tc>
        <w:tc>
          <w:tcPr>
            <w:tcW w:w="1968" w:type="dxa"/>
            <w:tcBorders>
              <w:bottom w:val="single" w:sz="5" w:space="0" w:color="FFFFFF"/>
              <w:right w:val="nil"/>
            </w:tcBorders>
            <w:shd w:val="clear" w:color="auto" w:fill="B8CCE3"/>
          </w:tcPr>
          <w:p>
            <w:pPr>
              <w:pStyle w:val="TableParagraph"/>
              <w:spacing w:line="272" w:lineRule="exact"/>
              <w:ind w:right="3"/>
              <w:rPr>
                <w:sz w:val="24"/>
              </w:rPr>
            </w:pPr>
            <w:r>
              <w:rPr>
                <w:w w:val="99"/>
                <w:sz w:val="24"/>
              </w:rPr>
              <w:t>1</w:t>
            </w:r>
          </w:p>
        </w:tc>
      </w:tr>
      <w:tr>
        <w:trPr>
          <w:trHeight w:val="287" w:hRule="exact"/>
        </w:trPr>
        <w:tc>
          <w:tcPr>
            <w:tcW w:w="1320" w:type="dxa"/>
            <w:tcBorders>
              <w:top w:val="single" w:sz="5" w:space="0" w:color="FFFFFF"/>
              <w:left w:val="nil"/>
            </w:tcBorders>
            <w:shd w:val="clear" w:color="auto" w:fill="DBE4F0"/>
          </w:tcPr>
          <w:p>
            <w:pPr>
              <w:pStyle w:val="TableParagraph"/>
              <w:spacing w:line="272" w:lineRule="exact"/>
              <w:ind w:left="97" w:right="94"/>
              <w:rPr>
                <w:sz w:val="24"/>
              </w:rPr>
            </w:pPr>
            <w:r>
              <w:rPr>
                <w:sz w:val="24"/>
              </w:rPr>
              <w:t>Ru</w:t>
            </w:r>
          </w:p>
        </w:tc>
        <w:tc>
          <w:tcPr>
            <w:tcW w:w="1090" w:type="dxa"/>
            <w:tcBorders>
              <w:top w:val="single" w:sz="5" w:space="0" w:color="FFFFFF"/>
            </w:tcBorders>
            <w:shd w:val="clear" w:color="auto" w:fill="DBE4F0"/>
          </w:tcPr>
          <w:p>
            <w:pPr>
              <w:pStyle w:val="TableParagraph"/>
              <w:spacing w:line="272" w:lineRule="exact"/>
              <w:ind w:left="198" w:right="198"/>
              <w:rPr>
                <w:sz w:val="24"/>
              </w:rPr>
            </w:pPr>
            <w:r>
              <w:rPr>
                <w:sz w:val="24"/>
              </w:rPr>
              <w:t>2B</w:t>
            </w:r>
          </w:p>
        </w:tc>
        <w:tc>
          <w:tcPr>
            <w:tcW w:w="1985" w:type="dxa"/>
            <w:tcBorders>
              <w:top w:val="single" w:sz="5" w:space="0" w:color="FFFFFF"/>
            </w:tcBorders>
            <w:shd w:val="clear" w:color="auto" w:fill="DBE4F0"/>
          </w:tcPr>
          <w:p>
            <w:pPr>
              <w:pStyle w:val="TableParagraph"/>
              <w:spacing w:line="272" w:lineRule="exact"/>
              <w:ind w:left="634" w:right="633"/>
              <w:rPr>
                <w:sz w:val="24"/>
              </w:rPr>
            </w:pPr>
            <w:r>
              <w:rPr>
                <w:sz w:val="24"/>
              </w:rPr>
              <w:t>100</w:t>
            </w:r>
          </w:p>
        </w:tc>
        <w:tc>
          <w:tcPr>
            <w:tcW w:w="2163" w:type="dxa"/>
            <w:tcBorders>
              <w:top w:val="single" w:sz="5" w:space="0" w:color="FFFFFF"/>
            </w:tcBorders>
            <w:shd w:val="clear" w:color="auto" w:fill="DBE4F0"/>
          </w:tcPr>
          <w:p>
            <w:pPr>
              <w:pStyle w:val="TableParagraph"/>
              <w:spacing w:line="272" w:lineRule="exact"/>
              <w:ind w:left="259" w:right="258"/>
              <w:rPr>
                <w:sz w:val="24"/>
              </w:rPr>
            </w:pPr>
            <w:r>
              <w:rPr>
                <w:sz w:val="24"/>
              </w:rPr>
              <w:t>10</w:t>
            </w:r>
          </w:p>
        </w:tc>
        <w:tc>
          <w:tcPr>
            <w:tcW w:w="1968" w:type="dxa"/>
            <w:tcBorders>
              <w:top w:val="single" w:sz="5" w:space="0" w:color="FFFFFF"/>
              <w:right w:val="nil"/>
            </w:tcBorders>
            <w:shd w:val="clear" w:color="auto" w:fill="DBE4F0"/>
          </w:tcPr>
          <w:p>
            <w:pPr>
              <w:pStyle w:val="TableParagraph"/>
              <w:spacing w:line="272" w:lineRule="exact"/>
              <w:ind w:right="3"/>
              <w:rPr>
                <w:sz w:val="24"/>
              </w:rPr>
            </w:pPr>
            <w:r>
              <w:rPr>
                <w:w w:val="99"/>
                <w:sz w:val="24"/>
              </w:rPr>
              <w:t>1</w:t>
            </w:r>
          </w:p>
        </w:tc>
      </w:tr>
      <w:tr>
        <w:trPr>
          <w:trHeight w:val="286" w:hRule="exact"/>
        </w:trPr>
        <w:tc>
          <w:tcPr>
            <w:tcW w:w="1320" w:type="dxa"/>
            <w:tcBorders>
              <w:left w:val="nil"/>
            </w:tcBorders>
            <w:shd w:val="clear" w:color="auto" w:fill="B8CCE3"/>
          </w:tcPr>
          <w:p>
            <w:pPr>
              <w:pStyle w:val="TableParagraph"/>
              <w:spacing w:line="272" w:lineRule="exact"/>
              <w:ind w:left="100" w:right="94"/>
              <w:rPr>
                <w:sz w:val="24"/>
              </w:rPr>
            </w:pPr>
            <w:r>
              <w:rPr>
                <w:sz w:val="24"/>
              </w:rPr>
              <w:t>Se</w:t>
            </w:r>
          </w:p>
        </w:tc>
        <w:tc>
          <w:tcPr>
            <w:tcW w:w="1090" w:type="dxa"/>
            <w:shd w:val="clear" w:color="auto" w:fill="B8CCE3"/>
          </w:tcPr>
          <w:p>
            <w:pPr>
              <w:pStyle w:val="TableParagraph"/>
              <w:spacing w:line="272" w:lineRule="exact"/>
              <w:ind w:left="198" w:right="198"/>
              <w:rPr>
                <w:sz w:val="24"/>
              </w:rPr>
            </w:pPr>
            <w:r>
              <w:rPr>
                <w:sz w:val="24"/>
              </w:rPr>
              <w:t>2B</w:t>
            </w:r>
          </w:p>
        </w:tc>
        <w:tc>
          <w:tcPr>
            <w:tcW w:w="1985" w:type="dxa"/>
            <w:shd w:val="clear" w:color="auto" w:fill="B8CCE3"/>
          </w:tcPr>
          <w:p>
            <w:pPr>
              <w:pStyle w:val="TableParagraph"/>
              <w:spacing w:line="272" w:lineRule="exact"/>
              <w:ind w:left="634" w:right="633"/>
              <w:rPr>
                <w:sz w:val="24"/>
              </w:rPr>
            </w:pPr>
            <w:r>
              <w:rPr>
                <w:sz w:val="24"/>
              </w:rPr>
              <w:t>150</w:t>
            </w:r>
          </w:p>
        </w:tc>
        <w:tc>
          <w:tcPr>
            <w:tcW w:w="2163" w:type="dxa"/>
            <w:shd w:val="clear" w:color="auto" w:fill="B8CCE3"/>
          </w:tcPr>
          <w:p>
            <w:pPr>
              <w:pStyle w:val="TableParagraph"/>
              <w:spacing w:line="272" w:lineRule="exact"/>
              <w:ind w:left="259" w:right="258"/>
              <w:rPr>
                <w:sz w:val="24"/>
              </w:rPr>
            </w:pPr>
            <w:r>
              <w:rPr>
                <w:sz w:val="24"/>
              </w:rPr>
              <w:t>80</w:t>
            </w:r>
          </w:p>
        </w:tc>
        <w:tc>
          <w:tcPr>
            <w:tcW w:w="1968" w:type="dxa"/>
            <w:tcBorders>
              <w:right w:val="nil"/>
            </w:tcBorders>
            <w:shd w:val="clear" w:color="auto" w:fill="B8CCE3"/>
          </w:tcPr>
          <w:p>
            <w:pPr>
              <w:pStyle w:val="TableParagraph"/>
              <w:spacing w:line="272" w:lineRule="exact"/>
              <w:ind w:left="136" w:right="138"/>
              <w:rPr>
                <w:sz w:val="24"/>
              </w:rPr>
            </w:pPr>
            <w:r>
              <w:rPr>
                <w:sz w:val="24"/>
              </w:rPr>
              <w:t>130</w:t>
            </w:r>
          </w:p>
        </w:tc>
      </w:tr>
      <w:tr>
        <w:trPr>
          <w:trHeight w:val="286" w:hRule="exact"/>
        </w:trPr>
        <w:tc>
          <w:tcPr>
            <w:tcW w:w="1320" w:type="dxa"/>
            <w:tcBorders>
              <w:left w:val="nil"/>
            </w:tcBorders>
            <w:shd w:val="clear" w:color="auto" w:fill="DBE4F0"/>
          </w:tcPr>
          <w:p>
            <w:pPr>
              <w:pStyle w:val="TableParagraph"/>
              <w:spacing w:line="272" w:lineRule="exact"/>
              <w:ind w:left="100" w:right="94"/>
              <w:rPr>
                <w:sz w:val="24"/>
              </w:rPr>
            </w:pPr>
            <w:r>
              <w:rPr>
                <w:sz w:val="24"/>
              </w:rPr>
              <w:t>Ag</w:t>
            </w:r>
          </w:p>
        </w:tc>
        <w:tc>
          <w:tcPr>
            <w:tcW w:w="1090" w:type="dxa"/>
            <w:shd w:val="clear" w:color="auto" w:fill="DBE4F0"/>
          </w:tcPr>
          <w:p>
            <w:pPr>
              <w:pStyle w:val="TableParagraph"/>
              <w:spacing w:line="272" w:lineRule="exact"/>
              <w:ind w:left="198" w:right="198"/>
              <w:rPr>
                <w:sz w:val="24"/>
              </w:rPr>
            </w:pPr>
            <w:r>
              <w:rPr>
                <w:sz w:val="24"/>
              </w:rPr>
              <w:t>2B</w:t>
            </w:r>
          </w:p>
        </w:tc>
        <w:tc>
          <w:tcPr>
            <w:tcW w:w="1985" w:type="dxa"/>
            <w:shd w:val="clear" w:color="auto" w:fill="DBE4F0"/>
          </w:tcPr>
          <w:p>
            <w:pPr>
              <w:pStyle w:val="TableParagraph"/>
              <w:spacing w:line="272" w:lineRule="exact"/>
              <w:ind w:left="634" w:right="633"/>
              <w:rPr>
                <w:sz w:val="24"/>
              </w:rPr>
            </w:pPr>
            <w:r>
              <w:rPr>
                <w:sz w:val="24"/>
              </w:rPr>
              <w:t>150</w:t>
            </w:r>
          </w:p>
        </w:tc>
        <w:tc>
          <w:tcPr>
            <w:tcW w:w="2163" w:type="dxa"/>
            <w:shd w:val="clear" w:color="auto" w:fill="DBE4F0"/>
          </w:tcPr>
          <w:p>
            <w:pPr>
              <w:pStyle w:val="TableParagraph"/>
              <w:spacing w:line="272" w:lineRule="exact"/>
              <w:ind w:left="259" w:right="258"/>
              <w:rPr>
                <w:sz w:val="24"/>
              </w:rPr>
            </w:pPr>
            <w:r>
              <w:rPr>
                <w:sz w:val="24"/>
              </w:rPr>
              <w:t>10</w:t>
            </w:r>
          </w:p>
        </w:tc>
        <w:tc>
          <w:tcPr>
            <w:tcW w:w="1968" w:type="dxa"/>
            <w:tcBorders>
              <w:right w:val="nil"/>
            </w:tcBorders>
            <w:shd w:val="clear" w:color="auto" w:fill="DBE4F0"/>
          </w:tcPr>
          <w:p>
            <w:pPr>
              <w:pStyle w:val="TableParagraph"/>
              <w:spacing w:line="272" w:lineRule="exact"/>
              <w:ind w:right="3"/>
              <w:rPr>
                <w:sz w:val="24"/>
              </w:rPr>
            </w:pPr>
            <w:r>
              <w:rPr>
                <w:w w:val="99"/>
                <w:sz w:val="24"/>
              </w:rPr>
              <w:t>7</w:t>
            </w:r>
          </w:p>
        </w:tc>
      </w:tr>
      <w:tr>
        <w:trPr>
          <w:trHeight w:val="286" w:hRule="exact"/>
        </w:trPr>
        <w:tc>
          <w:tcPr>
            <w:tcW w:w="1320" w:type="dxa"/>
            <w:tcBorders>
              <w:left w:val="nil"/>
            </w:tcBorders>
            <w:shd w:val="clear" w:color="auto" w:fill="B8CCE3"/>
          </w:tcPr>
          <w:p>
            <w:pPr>
              <w:pStyle w:val="TableParagraph"/>
              <w:spacing w:line="272" w:lineRule="exact"/>
              <w:ind w:left="100" w:right="93"/>
              <w:rPr>
                <w:sz w:val="24"/>
              </w:rPr>
            </w:pPr>
            <w:r>
              <w:rPr>
                <w:sz w:val="24"/>
              </w:rPr>
              <w:t>Pt</w:t>
            </w:r>
          </w:p>
        </w:tc>
        <w:tc>
          <w:tcPr>
            <w:tcW w:w="1090" w:type="dxa"/>
            <w:shd w:val="clear" w:color="auto" w:fill="B8CCE3"/>
          </w:tcPr>
          <w:p>
            <w:pPr>
              <w:pStyle w:val="TableParagraph"/>
              <w:spacing w:line="272" w:lineRule="exact"/>
              <w:ind w:left="198" w:right="198"/>
              <w:rPr>
                <w:sz w:val="24"/>
              </w:rPr>
            </w:pPr>
            <w:r>
              <w:rPr>
                <w:sz w:val="24"/>
              </w:rPr>
              <w:t>2B</w:t>
            </w:r>
          </w:p>
        </w:tc>
        <w:tc>
          <w:tcPr>
            <w:tcW w:w="1985" w:type="dxa"/>
            <w:shd w:val="clear" w:color="auto" w:fill="B8CCE3"/>
          </w:tcPr>
          <w:p>
            <w:pPr>
              <w:pStyle w:val="TableParagraph"/>
              <w:spacing w:line="272" w:lineRule="exact"/>
              <w:ind w:left="634" w:right="633"/>
              <w:rPr>
                <w:sz w:val="24"/>
              </w:rPr>
            </w:pPr>
            <w:r>
              <w:rPr>
                <w:sz w:val="24"/>
              </w:rPr>
              <w:t>100</w:t>
            </w:r>
          </w:p>
        </w:tc>
        <w:tc>
          <w:tcPr>
            <w:tcW w:w="2163" w:type="dxa"/>
            <w:shd w:val="clear" w:color="auto" w:fill="B8CCE3"/>
          </w:tcPr>
          <w:p>
            <w:pPr>
              <w:pStyle w:val="TableParagraph"/>
              <w:spacing w:line="272" w:lineRule="exact"/>
              <w:ind w:left="259" w:right="258"/>
              <w:rPr>
                <w:sz w:val="24"/>
              </w:rPr>
            </w:pPr>
            <w:r>
              <w:rPr>
                <w:sz w:val="24"/>
              </w:rPr>
              <w:t>10</w:t>
            </w:r>
          </w:p>
        </w:tc>
        <w:tc>
          <w:tcPr>
            <w:tcW w:w="1968" w:type="dxa"/>
            <w:tcBorders>
              <w:right w:val="nil"/>
            </w:tcBorders>
            <w:shd w:val="clear" w:color="auto" w:fill="B8CCE3"/>
          </w:tcPr>
          <w:p>
            <w:pPr>
              <w:pStyle w:val="TableParagraph"/>
              <w:spacing w:line="272" w:lineRule="exact"/>
              <w:ind w:right="3"/>
              <w:rPr>
                <w:sz w:val="24"/>
              </w:rPr>
            </w:pPr>
            <w:r>
              <w:rPr>
                <w:w w:val="99"/>
                <w:sz w:val="24"/>
              </w:rPr>
              <w:t>1</w:t>
            </w:r>
          </w:p>
        </w:tc>
      </w:tr>
      <w:tr>
        <w:trPr>
          <w:trHeight w:val="286" w:hRule="exact"/>
        </w:trPr>
        <w:tc>
          <w:tcPr>
            <w:tcW w:w="1320" w:type="dxa"/>
            <w:tcBorders>
              <w:left w:val="nil"/>
            </w:tcBorders>
            <w:shd w:val="clear" w:color="auto" w:fill="DBE4F0"/>
          </w:tcPr>
          <w:p>
            <w:pPr>
              <w:pStyle w:val="TableParagraph"/>
              <w:spacing w:line="272" w:lineRule="exact"/>
              <w:ind w:left="100" w:right="94"/>
              <w:rPr>
                <w:sz w:val="24"/>
              </w:rPr>
            </w:pPr>
            <w:r>
              <w:rPr>
                <w:sz w:val="24"/>
              </w:rPr>
              <w:t>Li</w:t>
            </w:r>
          </w:p>
        </w:tc>
        <w:tc>
          <w:tcPr>
            <w:tcW w:w="1090" w:type="dxa"/>
            <w:shd w:val="clear" w:color="auto" w:fill="DBE4F0"/>
          </w:tcPr>
          <w:p>
            <w:pPr>
              <w:pStyle w:val="TableParagraph"/>
              <w:spacing w:line="272" w:lineRule="exact"/>
              <w:ind w:right="3"/>
              <w:rPr>
                <w:sz w:val="24"/>
              </w:rPr>
            </w:pPr>
            <w:r>
              <w:rPr>
                <w:w w:val="99"/>
                <w:sz w:val="24"/>
              </w:rPr>
              <w:t>3</w:t>
            </w:r>
          </w:p>
        </w:tc>
        <w:tc>
          <w:tcPr>
            <w:tcW w:w="1985" w:type="dxa"/>
            <w:shd w:val="clear" w:color="auto" w:fill="DBE4F0"/>
          </w:tcPr>
          <w:p>
            <w:pPr>
              <w:pStyle w:val="TableParagraph"/>
              <w:spacing w:line="272" w:lineRule="exact"/>
              <w:ind w:left="634" w:right="633"/>
              <w:rPr>
                <w:sz w:val="24"/>
              </w:rPr>
            </w:pPr>
            <w:r>
              <w:rPr>
                <w:sz w:val="24"/>
              </w:rPr>
              <w:t>550</w:t>
            </w:r>
          </w:p>
        </w:tc>
        <w:tc>
          <w:tcPr>
            <w:tcW w:w="2163" w:type="dxa"/>
            <w:shd w:val="clear" w:color="auto" w:fill="DBE4F0"/>
          </w:tcPr>
          <w:p>
            <w:pPr>
              <w:pStyle w:val="TableParagraph"/>
              <w:spacing w:line="272" w:lineRule="exact"/>
              <w:ind w:left="259" w:right="258"/>
              <w:rPr>
                <w:sz w:val="24"/>
              </w:rPr>
            </w:pPr>
            <w:r>
              <w:rPr>
                <w:sz w:val="24"/>
              </w:rPr>
              <w:t>250</w:t>
            </w:r>
          </w:p>
        </w:tc>
        <w:tc>
          <w:tcPr>
            <w:tcW w:w="1968" w:type="dxa"/>
            <w:tcBorders>
              <w:right w:val="nil"/>
            </w:tcBorders>
            <w:shd w:val="clear" w:color="auto" w:fill="DBE4F0"/>
          </w:tcPr>
          <w:p>
            <w:pPr>
              <w:pStyle w:val="TableParagraph"/>
              <w:spacing w:line="272" w:lineRule="exact"/>
              <w:ind w:left="136" w:right="138"/>
              <w:rPr>
                <w:sz w:val="24"/>
              </w:rPr>
            </w:pPr>
            <w:r>
              <w:rPr>
                <w:sz w:val="24"/>
              </w:rPr>
              <w:t>25</w:t>
            </w:r>
          </w:p>
        </w:tc>
      </w:tr>
      <w:tr>
        <w:trPr>
          <w:trHeight w:val="286" w:hRule="exact"/>
        </w:trPr>
        <w:tc>
          <w:tcPr>
            <w:tcW w:w="1320" w:type="dxa"/>
            <w:tcBorders>
              <w:left w:val="nil"/>
            </w:tcBorders>
            <w:shd w:val="clear" w:color="auto" w:fill="B8CCE3"/>
          </w:tcPr>
          <w:p>
            <w:pPr>
              <w:pStyle w:val="TableParagraph"/>
              <w:spacing w:line="272" w:lineRule="exact"/>
              <w:ind w:left="100" w:right="94"/>
              <w:rPr>
                <w:sz w:val="24"/>
              </w:rPr>
            </w:pPr>
            <w:r>
              <w:rPr>
                <w:sz w:val="24"/>
              </w:rPr>
              <w:t>Sb</w:t>
            </w:r>
          </w:p>
        </w:tc>
        <w:tc>
          <w:tcPr>
            <w:tcW w:w="1090" w:type="dxa"/>
            <w:shd w:val="clear" w:color="auto" w:fill="B8CCE3"/>
          </w:tcPr>
          <w:p>
            <w:pPr>
              <w:pStyle w:val="TableParagraph"/>
              <w:spacing w:line="272" w:lineRule="exact"/>
              <w:ind w:right="3"/>
              <w:rPr>
                <w:sz w:val="24"/>
              </w:rPr>
            </w:pPr>
            <w:r>
              <w:rPr>
                <w:w w:val="99"/>
                <w:sz w:val="24"/>
              </w:rPr>
              <w:t>3</w:t>
            </w:r>
          </w:p>
        </w:tc>
        <w:tc>
          <w:tcPr>
            <w:tcW w:w="1985" w:type="dxa"/>
            <w:shd w:val="clear" w:color="auto" w:fill="B8CCE3"/>
          </w:tcPr>
          <w:p>
            <w:pPr>
              <w:pStyle w:val="TableParagraph"/>
              <w:spacing w:line="272" w:lineRule="exact"/>
              <w:ind w:left="633" w:right="634"/>
              <w:rPr>
                <w:sz w:val="24"/>
              </w:rPr>
            </w:pPr>
            <w:r>
              <w:rPr>
                <w:sz w:val="24"/>
              </w:rPr>
              <w:t>1200</w:t>
            </w:r>
          </w:p>
        </w:tc>
        <w:tc>
          <w:tcPr>
            <w:tcW w:w="2163" w:type="dxa"/>
            <w:shd w:val="clear" w:color="auto" w:fill="B8CCE3"/>
          </w:tcPr>
          <w:p>
            <w:pPr>
              <w:pStyle w:val="TableParagraph"/>
              <w:spacing w:line="272" w:lineRule="exact"/>
              <w:ind w:left="259" w:right="258"/>
              <w:rPr>
                <w:sz w:val="24"/>
              </w:rPr>
            </w:pPr>
            <w:r>
              <w:rPr>
                <w:sz w:val="24"/>
              </w:rPr>
              <w:t>90</w:t>
            </w:r>
          </w:p>
        </w:tc>
        <w:tc>
          <w:tcPr>
            <w:tcW w:w="1968" w:type="dxa"/>
            <w:tcBorders>
              <w:right w:val="nil"/>
            </w:tcBorders>
            <w:shd w:val="clear" w:color="auto" w:fill="B8CCE3"/>
          </w:tcPr>
          <w:p>
            <w:pPr>
              <w:pStyle w:val="TableParagraph"/>
              <w:spacing w:line="272" w:lineRule="exact"/>
              <w:ind w:left="136" w:right="138"/>
              <w:rPr>
                <w:sz w:val="24"/>
              </w:rPr>
            </w:pPr>
            <w:r>
              <w:rPr>
                <w:sz w:val="24"/>
              </w:rPr>
              <w:t>20</w:t>
            </w:r>
          </w:p>
        </w:tc>
      </w:tr>
      <w:tr>
        <w:trPr>
          <w:trHeight w:val="287" w:hRule="exact"/>
        </w:trPr>
        <w:tc>
          <w:tcPr>
            <w:tcW w:w="1320" w:type="dxa"/>
            <w:tcBorders>
              <w:left w:val="nil"/>
              <w:bottom w:val="single" w:sz="5" w:space="0" w:color="FFFFFF"/>
            </w:tcBorders>
            <w:shd w:val="clear" w:color="auto" w:fill="DBE4F0"/>
          </w:tcPr>
          <w:p>
            <w:pPr>
              <w:pStyle w:val="TableParagraph"/>
              <w:spacing w:line="272" w:lineRule="exact"/>
              <w:ind w:left="100" w:right="94"/>
              <w:rPr>
                <w:sz w:val="24"/>
              </w:rPr>
            </w:pPr>
            <w:r>
              <w:rPr>
                <w:sz w:val="24"/>
              </w:rPr>
              <w:t>Ba</w:t>
            </w:r>
          </w:p>
        </w:tc>
        <w:tc>
          <w:tcPr>
            <w:tcW w:w="1090" w:type="dxa"/>
            <w:tcBorders>
              <w:bottom w:val="single" w:sz="5" w:space="0" w:color="FFFFFF"/>
            </w:tcBorders>
            <w:shd w:val="clear" w:color="auto" w:fill="DBE4F0"/>
          </w:tcPr>
          <w:p>
            <w:pPr>
              <w:pStyle w:val="TableParagraph"/>
              <w:spacing w:line="272" w:lineRule="exact"/>
              <w:ind w:right="3"/>
              <w:rPr>
                <w:sz w:val="24"/>
              </w:rPr>
            </w:pPr>
            <w:r>
              <w:rPr>
                <w:w w:val="99"/>
                <w:sz w:val="24"/>
              </w:rPr>
              <w:t>3</w:t>
            </w:r>
          </w:p>
        </w:tc>
        <w:tc>
          <w:tcPr>
            <w:tcW w:w="1985" w:type="dxa"/>
            <w:tcBorders>
              <w:bottom w:val="single" w:sz="5" w:space="0" w:color="FFFFFF"/>
            </w:tcBorders>
            <w:shd w:val="clear" w:color="auto" w:fill="DBE4F0"/>
          </w:tcPr>
          <w:p>
            <w:pPr>
              <w:pStyle w:val="TableParagraph"/>
              <w:spacing w:line="272" w:lineRule="exact"/>
              <w:ind w:left="633" w:right="634"/>
              <w:rPr>
                <w:sz w:val="24"/>
              </w:rPr>
            </w:pPr>
            <w:r>
              <w:rPr>
                <w:sz w:val="24"/>
              </w:rPr>
              <w:t>1400</w:t>
            </w:r>
          </w:p>
        </w:tc>
        <w:tc>
          <w:tcPr>
            <w:tcW w:w="2163" w:type="dxa"/>
            <w:tcBorders>
              <w:bottom w:val="single" w:sz="5" w:space="0" w:color="FFFFFF"/>
            </w:tcBorders>
            <w:shd w:val="clear" w:color="auto" w:fill="DBE4F0"/>
          </w:tcPr>
          <w:p>
            <w:pPr>
              <w:pStyle w:val="TableParagraph"/>
              <w:spacing w:line="272" w:lineRule="exact"/>
              <w:ind w:left="259" w:right="258"/>
              <w:rPr>
                <w:sz w:val="24"/>
              </w:rPr>
            </w:pPr>
            <w:r>
              <w:rPr>
                <w:sz w:val="24"/>
              </w:rPr>
              <w:t>700</w:t>
            </w:r>
          </w:p>
        </w:tc>
        <w:tc>
          <w:tcPr>
            <w:tcW w:w="1968" w:type="dxa"/>
            <w:tcBorders>
              <w:bottom w:val="single" w:sz="5" w:space="0" w:color="FFFFFF"/>
              <w:right w:val="nil"/>
            </w:tcBorders>
            <w:shd w:val="clear" w:color="auto" w:fill="DBE4F0"/>
          </w:tcPr>
          <w:p>
            <w:pPr>
              <w:pStyle w:val="TableParagraph"/>
              <w:spacing w:line="272" w:lineRule="exact"/>
              <w:ind w:left="136" w:right="138"/>
              <w:rPr>
                <w:sz w:val="24"/>
              </w:rPr>
            </w:pPr>
            <w:r>
              <w:rPr>
                <w:sz w:val="24"/>
              </w:rPr>
              <w:t>300</w:t>
            </w:r>
          </w:p>
        </w:tc>
      </w:tr>
      <w:tr>
        <w:trPr>
          <w:trHeight w:val="287" w:hRule="exact"/>
        </w:trPr>
        <w:tc>
          <w:tcPr>
            <w:tcW w:w="1320" w:type="dxa"/>
            <w:tcBorders>
              <w:top w:val="single" w:sz="5" w:space="0" w:color="FFFFFF"/>
              <w:left w:val="nil"/>
            </w:tcBorders>
            <w:shd w:val="clear" w:color="auto" w:fill="B8CCE3"/>
          </w:tcPr>
          <w:p>
            <w:pPr>
              <w:pStyle w:val="TableParagraph"/>
              <w:spacing w:line="272" w:lineRule="exact"/>
              <w:ind w:left="94" w:right="94"/>
              <w:rPr>
                <w:sz w:val="24"/>
              </w:rPr>
            </w:pPr>
            <w:r>
              <w:rPr>
                <w:sz w:val="24"/>
              </w:rPr>
              <w:t>Mo</w:t>
            </w:r>
          </w:p>
        </w:tc>
        <w:tc>
          <w:tcPr>
            <w:tcW w:w="1090" w:type="dxa"/>
            <w:tcBorders>
              <w:top w:val="single" w:sz="5" w:space="0" w:color="FFFFFF"/>
            </w:tcBorders>
            <w:shd w:val="clear" w:color="auto" w:fill="B8CCE3"/>
          </w:tcPr>
          <w:p>
            <w:pPr>
              <w:pStyle w:val="TableParagraph"/>
              <w:spacing w:line="272" w:lineRule="exact"/>
              <w:ind w:right="3"/>
              <w:rPr>
                <w:sz w:val="24"/>
              </w:rPr>
            </w:pPr>
            <w:r>
              <w:rPr>
                <w:w w:val="99"/>
                <w:sz w:val="24"/>
              </w:rPr>
              <w:t>3</w:t>
            </w:r>
          </w:p>
        </w:tc>
        <w:tc>
          <w:tcPr>
            <w:tcW w:w="1985" w:type="dxa"/>
            <w:tcBorders>
              <w:top w:val="single" w:sz="5" w:space="0" w:color="FFFFFF"/>
            </w:tcBorders>
            <w:shd w:val="clear" w:color="auto" w:fill="B8CCE3"/>
          </w:tcPr>
          <w:p>
            <w:pPr>
              <w:pStyle w:val="TableParagraph"/>
              <w:spacing w:line="272" w:lineRule="exact"/>
              <w:ind w:left="633" w:right="634"/>
              <w:rPr>
                <w:sz w:val="24"/>
              </w:rPr>
            </w:pPr>
            <w:r>
              <w:rPr>
                <w:sz w:val="24"/>
              </w:rPr>
              <w:t>3000</w:t>
            </w:r>
          </w:p>
        </w:tc>
        <w:tc>
          <w:tcPr>
            <w:tcW w:w="2163" w:type="dxa"/>
            <w:tcBorders>
              <w:top w:val="single" w:sz="5" w:space="0" w:color="FFFFFF"/>
            </w:tcBorders>
            <w:shd w:val="clear" w:color="auto" w:fill="B8CCE3"/>
          </w:tcPr>
          <w:p>
            <w:pPr>
              <w:pStyle w:val="TableParagraph"/>
              <w:spacing w:line="272" w:lineRule="exact"/>
              <w:ind w:left="258" w:right="258"/>
              <w:rPr>
                <w:sz w:val="24"/>
              </w:rPr>
            </w:pPr>
            <w:r>
              <w:rPr>
                <w:sz w:val="24"/>
              </w:rPr>
              <w:t>1500</w:t>
            </w:r>
          </w:p>
        </w:tc>
        <w:tc>
          <w:tcPr>
            <w:tcW w:w="1968" w:type="dxa"/>
            <w:tcBorders>
              <w:top w:val="single" w:sz="5" w:space="0" w:color="FFFFFF"/>
              <w:right w:val="nil"/>
            </w:tcBorders>
            <w:shd w:val="clear" w:color="auto" w:fill="B8CCE3"/>
          </w:tcPr>
          <w:p>
            <w:pPr>
              <w:pStyle w:val="TableParagraph"/>
              <w:spacing w:line="272" w:lineRule="exact"/>
              <w:ind w:left="136" w:right="138"/>
              <w:rPr>
                <w:sz w:val="24"/>
              </w:rPr>
            </w:pPr>
            <w:r>
              <w:rPr>
                <w:sz w:val="24"/>
              </w:rPr>
              <w:t>10</w:t>
            </w:r>
          </w:p>
        </w:tc>
      </w:tr>
      <w:tr>
        <w:trPr>
          <w:trHeight w:val="286" w:hRule="exact"/>
        </w:trPr>
        <w:tc>
          <w:tcPr>
            <w:tcW w:w="1320" w:type="dxa"/>
            <w:tcBorders>
              <w:left w:val="nil"/>
            </w:tcBorders>
            <w:shd w:val="clear" w:color="auto" w:fill="DBE4F0"/>
          </w:tcPr>
          <w:p>
            <w:pPr>
              <w:pStyle w:val="TableParagraph"/>
              <w:spacing w:line="272" w:lineRule="exact"/>
              <w:ind w:left="97" w:right="94"/>
              <w:rPr>
                <w:sz w:val="24"/>
              </w:rPr>
            </w:pPr>
            <w:r>
              <w:rPr>
                <w:sz w:val="24"/>
              </w:rPr>
              <w:t>Cu</w:t>
            </w:r>
          </w:p>
        </w:tc>
        <w:tc>
          <w:tcPr>
            <w:tcW w:w="1090" w:type="dxa"/>
            <w:shd w:val="clear" w:color="auto" w:fill="DBE4F0"/>
          </w:tcPr>
          <w:p>
            <w:pPr>
              <w:pStyle w:val="TableParagraph"/>
              <w:spacing w:line="272" w:lineRule="exact"/>
              <w:ind w:right="3"/>
              <w:rPr>
                <w:sz w:val="24"/>
              </w:rPr>
            </w:pPr>
            <w:r>
              <w:rPr>
                <w:w w:val="99"/>
                <w:sz w:val="24"/>
              </w:rPr>
              <w:t>3</w:t>
            </w:r>
          </w:p>
        </w:tc>
        <w:tc>
          <w:tcPr>
            <w:tcW w:w="1985" w:type="dxa"/>
            <w:shd w:val="clear" w:color="auto" w:fill="DBE4F0"/>
          </w:tcPr>
          <w:p>
            <w:pPr>
              <w:pStyle w:val="TableParagraph"/>
              <w:spacing w:line="272" w:lineRule="exact"/>
              <w:ind w:left="633" w:right="634"/>
              <w:rPr>
                <w:sz w:val="24"/>
              </w:rPr>
            </w:pPr>
            <w:r>
              <w:rPr>
                <w:sz w:val="24"/>
              </w:rPr>
              <w:t>3000</w:t>
            </w:r>
          </w:p>
        </w:tc>
        <w:tc>
          <w:tcPr>
            <w:tcW w:w="2163" w:type="dxa"/>
            <w:shd w:val="clear" w:color="auto" w:fill="DBE4F0"/>
          </w:tcPr>
          <w:p>
            <w:pPr>
              <w:pStyle w:val="TableParagraph"/>
              <w:spacing w:line="272" w:lineRule="exact"/>
              <w:ind w:left="259" w:right="258"/>
              <w:rPr>
                <w:sz w:val="24"/>
              </w:rPr>
            </w:pPr>
            <w:r>
              <w:rPr>
                <w:sz w:val="24"/>
              </w:rPr>
              <w:t>300</w:t>
            </w:r>
          </w:p>
        </w:tc>
        <w:tc>
          <w:tcPr>
            <w:tcW w:w="1968" w:type="dxa"/>
            <w:tcBorders>
              <w:right w:val="nil"/>
            </w:tcBorders>
            <w:shd w:val="clear" w:color="auto" w:fill="DBE4F0"/>
          </w:tcPr>
          <w:p>
            <w:pPr>
              <w:pStyle w:val="TableParagraph"/>
              <w:spacing w:line="272" w:lineRule="exact"/>
              <w:ind w:left="136" w:right="138"/>
              <w:rPr>
                <w:sz w:val="24"/>
              </w:rPr>
            </w:pPr>
            <w:r>
              <w:rPr>
                <w:sz w:val="24"/>
              </w:rPr>
              <w:t>30</w:t>
            </w:r>
          </w:p>
        </w:tc>
      </w:tr>
      <w:tr>
        <w:trPr>
          <w:trHeight w:val="286" w:hRule="exact"/>
        </w:trPr>
        <w:tc>
          <w:tcPr>
            <w:tcW w:w="1320" w:type="dxa"/>
            <w:tcBorders>
              <w:left w:val="nil"/>
            </w:tcBorders>
            <w:shd w:val="clear" w:color="auto" w:fill="B8CCE3"/>
          </w:tcPr>
          <w:p>
            <w:pPr>
              <w:pStyle w:val="TableParagraph"/>
              <w:spacing w:line="272" w:lineRule="exact"/>
              <w:ind w:left="100" w:right="94"/>
              <w:rPr>
                <w:sz w:val="24"/>
              </w:rPr>
            </w:pPr>
            <w:r>
              <w:rPr>
                <w:sz w:val="24"/>
              </w:rPr>
              <w:t>Sn</w:t>
            </w:r>
          </w:p>
        </w:tc>
        <w:tc>
          <w:tcPr>
            <w:tcW w:w="1090" w:type="dxa"/>
            <w:shd w:val="clear" w:color="auto" w:fill="B8CCE3"/>
          </w:tcPr>
          <w:p>
            <w:pPr>
              <w:pStyle w:val="TableParagraph"/>
              <w:spacing w:line="272" w:lineRule="exact"/>
              <w:ind w:right="3"/>
              <w:rPr>
                <w:sz w:val="24"/>
              </w:rPr>
            </w:pPr>
            <w:r>
              <w:rPr>
                <w:w w:val="99"/>
                <w:sz w:val="24"/>
              </w:rPr>
              <w:t>3</w:t>
            </w:r>
          </w:p>
        </w:tc>
        <w:tc>
          <w:tcPr>
            <w:tcW w:w="1985" w:type="dxa"/>
            <w:shd w:val="clear" w:color="auto" w:fill="B8CCE3"/>
          </w:tcPr>
          <w:p>
            <w:pPr>
              <w:pStyle w:val="TableParagraph"/>
              <w:spacing w:line="272" w:lineRule="exact"/>
              <w:ind w:left="633" w:right="634"/>
              <w:rPr>
                <w:sz w:val="24"/>
              </w:rPr>
            </w:pPr>
            <w:r>
              <w:rPr>
                <w:sz w:val="24"/>
              </w:rPr>
              <w:t>6000</w:t>
            </w:r>
          </w:p>
        </w:tc>
        <w:tc>
          <w:tcPr>
            <w:tcW w:w="2163" w:type="dxa"/>
            <w:shd w:val="clear" w:color="auto" w:fill="B8CCE3"/>
          </w:tcPr>
          <w:p>
            <w:pPr>
              <w:pStyle w:val="TableParagraph"/>
              <w:spacing w:line="272" w:lineRule="exact"/>
              <w:ind w:left="259" w:right="258"/>
              <w:rPr>
                <w:sz w:val="24"/>
              </w:rPr>
            </w:pPr>
            <w:r>
              <w:rPr>
                <w:sz w:val="24"/>
              </w:rPr>
              <w:t>600</w:t>
            </w:r>
          </w:p>
        </w:tc>
        <w:tc>
          <w:tcPr>
            <w:tcW w:w="1968" w:type="dxa"/>
            <w:tcBorders>
              <w:right w:val="nil"/>
            </w:tcBorders>
            <w:shd w:val="clear" w:color="auto" w:fill="B8CCE3"/>
          </w:tcPr>
          <w:p>
            <w:pPr>
              <w:pStyle w:val="TableParagraph"/>
              <w:spacing w:line="272" w:lineRule="exact"/>
              <w:ind w:left="136" w:right="138"/>
              <w:rPr>
                <w:sz w:val="24"/>
              </w:rPr>
            </w:pPr>
            <w:r>
              <w:rPr>
                <w:sz w:val="24"/>
              </w:rPr>
              <w:t>60</w:t>
            </w:r>
          </w:p>
        </w:tc>
      </w:tr>
      <w:tr>
        <w:trPr>
          <w:trHeight w:val="281" w:hRule="exact"/>
        </w:trPr>
        <w:tc>
          <w:tcPr>
            <w:tcW w:w="1320" w:type="dxa"/>
            <w:tcBorders>
              <w:left w:val="nil"/>
              <w:bottom w:val="nil"/>
            </w:tcBorders>
            <w:shd w:val="clear" w:color="auto" w:fill="DBE4F0"/>
          </w:tcPr>
          <w:p>
            <w:pPr>
              <w:pStyle w:val="TableParagraph"/>
              <w:spacing w:line="272" w:lineRule="exact"/>
              <w:ind w:left="96" w:right="94"/>
              <w:rPr>
                <w:sz w:val="24"/>
              </w:rPr>
            </w:pPr>
            <w:r>
              <w:rPr>
                <w:sz w:val="24"/>
              </w:rPr>
              <w:t>Cr</w:t>
            </w:r>
          </w:p>
        </w:tc>
        <w:tc>
          <w:tcPr>
            <w:tcW w:w="1090" w:type="dxa"/>
            <w:tcBorders>
              <w:bottom w:val="nil"/>
            </w:tcBorders>
            <w:shd w:val="clear" w:color="auto" w:fill="DBE4F0"/>
          </w:tcPr>
          <w:p>
            <w:pPr>
              <w:pStyle w:val="TableParagraph"/>
              <w:spacing w:line="272" w:lineRule="exact"/>
              <w:ind w:right="3"/>
              <w:rPr>
                <w:sz w:val="24"/>
              </w:rPr>
            </w:pPr>
            <w:r>
              <w:rPr>
                <w:w w:val="99"/>
                <w:sz w:val="24"/>
              </w:rPr>
              <w:t>3</w:t>
            </w:r>
          </w:p>
        </w:tc>
        <w:tc>
          <w:tcPr>
            <w:tcW w:w="1985" w:type="dxa"/>
            <w:tcBorders>
              <w:bottom w:val="nil"/>
            </w:tcBorders>
            <w:shd w:val="clear" w:color="auto" w:fill="DBE4F0"/>
          </w:tcPr>
          <w:p>
            <w:pPr>
              <w:pStyle w:val="TableParagraph"/>
              <w:spacing w:line="272" w:lineRule="exact"/>
              <w:ind w:left="634" w:right="634"/>
              <w:rPr>
                <w:sz w:val="24"/>
              </w:rPr>
            </w:pPr>
            <w:r>
              <w:rPr>
                <w:sz w:val="24"/>
              </w:rPr>
              <w:t>11000</w:t>
            </w:r>
          </w:p>
        </w:tc>
        <w:tc>
          <w:tcPr>
            <w:tcW w:w="2163" w:type="dxa"/>
            <w:tcBorders>
              <w:bottom w:val="nil"/>
            </w:tcBorders>
            <w:shd w:val="clear" w:color="auto" w:fill="DBE4F0"/>
          </w:tcPr>
          <w:p>
            <w:pPr>
              <w:pStyle w:val="TableParagraph"/>
              <w:spacing w:line="272" w:lineRule="exact"/>
              <w:ind w:left="258" w:right="258"/>
              <w:rPr>
                <w:sz w:val="24"/>
              </w:rPr>
            </w:pPr>
            <w:r>
              <w:rPr>
                <w:sz w:val="24"/>
              </w:rPr>
              <w:t>1100</w:t>
            </w:r>
          </w:p>
        </w:tc>
        <w:tc>
          <w:tcPr>
            <w:tcW w:w="1968" w:type="dxa"/>
            <w:tcBorders>
              <w:bottom w:val="nil"/>
              <w:right w:val="nil"/>
            </w:tcBorders>
            <w:shd w:val="clear" w:color="auto" w:fill="DBE4F0"/>
          </w:tcPr>
          <w:p>
            <w:pPr>
              <w:pStyle w:val="TableParagraph"/>
              <w:spacing w:line="272" w:lineRule="exact"/>
              <w:ind w:right="3"/>
              <w:rPr>
                <w:sz w:val="24"/>
              </w:rPr>
            </w:pPr>
            <w:r>
              <w:rPr>
                <w:w w:val="99"/>
                <w:sz w:val="24"/>
              </w:rPr>
              <w:t>3</w:t>
            </w:r>
          </w:p>
        </w:tc>
      </w:tr>
    </w:tbl>
    <w:p>
      <w:pPr>
        <w:spacing w:before="8"/>
        <w:ind w:left="810" w:right="1789" w:firstLine="0"/>
        <w:jc w:val="left"/>
        <w:rPr>
          <w:sz w:val="18"/>
        </w:rPr>
      </w:pPr>
      <w:r>
        <w:rPr>
          <w:sz w:val="18"/>
        </w:rPr>
        <w:t>Fuente: Guía ICH Q3D, vigencia: 2014-12-16</w:t>
      </w:r>
    </w:p>
    <w:p>
      <w:pPr>
        <w:spacing w:after="0"/>
        <w:jc w:val="left"/>
        <w:rPr>
          <w:sz w:val="18"/>
        </w:rPr>
        <w:sectPr>
          <w:pgSz w:w="12240" w:h="15840"/>
          <w:pgMar w:header="0" w:footer="919" w:top="1360" w:bottom="1100" w:left="1600" w:right="1580"/>
        </w:sectPr>
      </w:pPr>
    </w:p>
    <w:p>
      <w:pPr>
        <w:pStyle w:val="BodyText"/>
        <w:spacing w:line="360" w:lineRule="auto" w:before="56"/>
        <w:ind w:left="102" w:right="185"/>
        <w:jc w:val="both"/>
      </w:pPr>
      <w:r>
        <w:rPr/>
        <w:t>La </w:t>
      </w:r>
      <w:r>
        <w:rPr>
          <w:b/>
        </w:rPr>
        <w:t>Tabla 2.3 </w:t>
      </w:r>
      <w:r>
        <w:rPr/>
        <w:t>muestra la exposición diaria máxima permisible en valores de (µg/g) microgramo por gramo o ppm (partes por millón) para la administración de productos basados en una persona promedio de 50 kg.</w:t>
      </w:r>
    </w:p>
    <w:p>
      <w:pPr>
        <w:pStyle w:val="BodyText"/>
        <w:spacing w:before="11"/>
        <w:rPr>
          <w:sz w:val="27"/>
        </w:rPr>
      </w:pPr>
    </w:p>
    <w:p>
      <w:pPr>
        <w:pStyle w:val="BodyText"/>
        <w:spacing w:after="43"/>
        <w:ind w:left="810"/>
      </w:pPr>
      <w:r>
        <w:rPr/>
        <w:t>Tabla 2.3. Exposición diaria máxima permisible en ppm (µg/g)</w:t>
      </w:r>
    </w:p>
    <w:tbl>
      <w:tblPr>
        <w:tblW w:w="0" w:type="auto"/>
        <w:jc w:val="left"/>
        <w:tblInd w:w="651" w:type="dxa"/>
        <w:tblBorders>
          <w:top w:val="single" w:sz="13" w:space="0" w:color="FFFFFF"/>
          <w:left w:val="single" w:sz="13" w:space="0" w:color="FFFFFF"/>
          <w:bottom w:val="single" w:sz="13" w:space="0" w:color="FFFFFF"/>
          <w:right w:val="single" w:sz="13" w:space="0" w:color="FFFFFF"/>
          <w:insideH w:val="single" w:sz="13" w:space="0" w:color="FFFFFF"/>
          <w:insideV w:val="single" w:sz="13" w:space="0" w:color="FFFFFF"/>
        </w:tblBorders>
        <w:tblLayout w:type="fixed"/>
        <w:tblCellMar>
          <w:top w:w="0" w:type="dxa"/>
          <w:left w:w="0" w:type="dxa"/>
          <w:bottom w:w="0" w:type="dxa"/>
          <w:right w:w="0" w:type="dxa"/>
        </w:tblCellMar>
        <w:tblLook w:val="01E0"/>
      </w:tblPr>
      <w:tblGrid>
        <w:gridCol w:w="1258"/>
        <w:gridCol w:w="1200"/>
        <w:gridCol w:w="2141"/>
        <w:gridCol w:w="1940"/>
        <w:gridCol w:w="1820"/>
      </w:tblGrid>
      <w:tr>
        <w:trPr>
          <w:trHeight w:val="848" w:hRule="exact"/>
        </w:trPr>
        <w:tc>
          <w:tcPr>
            <w:tcW w:w="1258" w:type="dxa"/>
            <w:tcBorders>
              <w:top w:val="nil"/>
              <w:left w:val="nil"/>
              <w:bottom w:val="single" w:sz="16" w:space="0" w:color="FFFFFF"/>
              <w:right w:val="single" w:sz="4" w:space="0" w:color="FFFFFF"/>
            </w:tcBorders>
            <w:shd w:val="clear" w:color="auto" w:fill="4F81BC"/>
          </w:tcPr>
          <w:p>
            <w:pPr>
              <w:pStyle w:val="TableParagraph"/>
              <w:spacing w:before="7"/>
              <w:jc w:val="left"/>
              <w:rPr>
                <w:sz w:val="23"/>
              </w:rPr>
            </w:pPr>
          </w:p>
          <w:p>
            <w:pPr>
              <w:pStyle w:val="TableParagraph"/>
              <w:ind w:left="69" w:right="63"/>
              <w:rPr>
                <w:b/>
                <w:sz w:val="24"/>
              </w:rPr>
            </w:pPr>
            <w:r>
              <w:rPr>
                <w:b/>
                <w:color w:val="FFFFFF"/>
                <w:sz w:val="24"/>
              </w:rPr>
              <w:t>Elemento</w:t>
            </w:r>
          </w:p>
        </w:tc>
        <w:tc>
          <w:tcPr>
            <w:tcW w:w="1200" w:type="dxa"/>
            <w:tcBorders>
              <w:top w:val="nil"/>
              <w:left w:val="single" w:sz="4" w:space="0" w:color="FFFFFF"/>
              <w:bottom w:val="single" w:sz="16" w:space="0" w:color="FFFFFF"/>
              <w:right w:val="single" w:sz="4" w:space="0" w:color="FFFFFF"/>
            </w:tcBorders>
            <w:shd w:val="clear" w:color="auto" w:fill="4F81BC"/>
          </w:tcPr>
          <w:p>
            <w:pPr>
              <w:pStyle w:val="TableParagraph"/>
              <w:spacing w:before="7"/>
              <w:jc w:val="left"/>
              <w:rPr>
                <w:sz w:val="23"/>
              </w:rPr>
            </w:pPr>
          </w:p>
          <w:p>
            <w:pPr>
              <w:pStyle w:val="TableParagraph"/>
              <w:ind w:left="254" w:right="255"/>
              <w:rPr>
                <w:b/>
                <w:sz w:val="24"/>
              </w:rPr>
            </w:pPr>
            <w:r>
              <w:rPr>
                <w:b/>
                <w:color w:val="FFFFFF"/>
                <w:sz w:val="24"/>
              </w:rPr>
              <w:t>Clase</w:t>
            </w:r>
          </w:p>
        </w:tc>
        <w:tc>
          <w:tcPr>
            <w:tcW w:w="2141" w:type="dxa"/>
            <w:tcBorders>
              <w:top w:val="nil"/>
              <w:left w:val="single" w:sz="4" w:space="0" w:color="FFFFFF"/>
              <w:bottom w:val="single" w:sz="16" w:space="0" w:color="FFFFFF"/>
              <w:right w:val="single" w:sz="4" w:space="0" w:color="FFFFFF"/>
            </w:tcBorders>
            <w:shd w:val="clear" w:color="auto" w:fill="4F81BC"/>
          </w:tcPr>
          <w:p>
            <w:pPr>
              <w:pStyle w:val="TableParagraph"/>
              <w:spacing w:before="132"/>
              <w:ind w:left="427" w:right="208" w:hanging="204"/>
              <w:jc w:val="left"/>
              <w:rPr>
                <w:b/>
                <w:sz w:val="24"/>
              </w:rPr>
            </w:pPr>
            <w:r>
              <w:rPr>
                <w:b/>
                <w:color w:val="FFFFFF"/>
                <w:sz w:val="24"/>
              </w:rPr>
              <w:t>Concentración Oral ( µg/g)</w:t>
            </w:r>
          </w:p>
        </w:tc>
        <w:tc>
          <w:tcPr>
            <w:tcW w:w="1940" w:type="dxa"/>
            <w:tcBorders>
              <w:top w:val="nil"/>
              <w:left w:val="single" w:sz="4" w:space="0" w:color="FFFFFF"/>
              <w:bottom w:val="single" w:sz="16" w:space="0" w:color="FFFFFF"/>
              <w:right w:val="single" w:sz="4" w:space="0" w:color="FFFFFF"/>
            </w:tcBorders>
            <w:shd w:val="clear" w:color="auto" w:fill="4F81BC"/>
          </w:tcPr>
          <w:p>
            <w:pPr>
              <w:pStyle w:val="TableParagraph"/>
              <w:ind w:left="146" w:right="148"/>
              <w:rPr>
                <w:b/>
                <w:sz w:val="24"/>
              </w:rPr>
            </w:pPr>
            <w:r>
              <w:rPr>
                <w:b/>
                <w:color w:val="FFFFFF"/>
                <w:w w:val="95"/>
                <w:sz w:val="24"/>
              </w:rPr>
              <w:t>Concentración </w:t>
            </w:r>
            <w:r>
              <w:rPr>
                <w:b/>
                <w:color w:val="FFFFFF"/>
                <w:sz w:val="24"/>
              </w:rPr>
              <w:t>Parenteral (µg/g)</w:t>
            </w:r>
          </w:p>
        </w:tc>
        <w:tc>
          <w:tcPr>
            <w:tcW w:w="1820" w:type="dxa"/>
            <w:tcBorders>
              <w:top w:val="nil"/>
              <w:left w:val="single" w:sz="4" w:space="0" w:color="FFFFFF"/>
              <w:bottom w:val="single" w:sz="16" w:space="0" w:color="FFFFFF"/>
              <w:right w:val="nil"/>
            </w:tcBorders>
            <w:shd w:val="clear" w:color="auto" w:fill="4F81BC"/>
          </w:tcPr>
          <w:p>
            <w:pPr>
              <w:pStyle w:val="TableParagraph"/>
              <w:ind w:left="66" w:right="68"/>
              <w:rPr>
                <w:b/>
                <w:sz w:val="24"/>
              </w:rPr>
            </w:pPr>
            <w:r>
              <w:rPr>
                <w:b/>
                <w:color w:val="FFFFFF"/>
                <w:sz w:val="24"/>
              </w:rPr>
              <w:t>Concentración Inhalada (µg/g)</w:t>
            </w:r>
          </w:p>
        </w:tc>
      </w:tr>
      <w:tr>
        <w:trPr>
          <w:trHeight w:val="313" w:hRule="exact"/>
        </w:trPr>
        <w:tc>
          <w:tcPr>
            <w:tcW w:w="1258" w:type="dxa"/>
            <w:tcBorders>
              <w:top w:val="single" w:sz="16" w:space="0" w:color="FFFFFF"/>
              <w:left w:val="nil"/>
              <w:right w:val="single" w:sz="4" w:space="0" w:color="FFFFFF"/>
            </w:tcBorders>
            <w:shd w:val="clear" w:color="auto" w:fill="B8CCE3"/>
          </w:tcPr>
          <w:p>
            <w:pPr>
              <w:pStyle w:val="TableParagraph"/>
              <w:spacing w:line="272" w:lineRule="exact"/>
              <w:ind w:left="65" w:right="63"/>
              <w:rPr>
                <w:sz w:val="24"/>
              </w:rPr>
            </w:pPr>
            <w:r>
              <w:rPr>
                <w:sz w:val="24"/>
              </w:rPr>
              <w:t>Cd</w:t>
            </w:r>
          </w:p>
        </w:tc>
        <w:tc>
          <w:tcPr>
            <w:tcW w:w="1200" w:type="dxa"/>
            <w:tcBorders>
              <w:top w:val="single" w:sz="16" w:space="0" w:color="FFFFFF"/>
              <w:left w:val="single" w:sz="4" w:space="0" w:color="FFFFFF"/>
              <w:right w:val="single" w:sz="4" w:space="0" w:color="FFFFFF"/>
            </w:tcBorders>
            <w:shd w:val="clear" w:color="auto" w:fill="B8CCE3"/>
          </w:tcPr>
          <w:p>
            <w:pPr>
              <w:pStyle w:val="TableParagraph"/>
              <w:spacing w:line="272" w:lineRule="exact"/>
              <w:rPr>
                <w:sz w:val="24"/>
              </w:rPr>
            </w:pPr>
            <w:r>
              <w:rPr>
                <w:w w:val="99"/>
                <w:sz w:val="24"/>
              </w:rPr>
              <w:t>1</w:t>
            </w:r>
          </w:p>
        </w:tc>
        <w:tc>
          <w:tcPr>
            <w:tcW w:w="2141" w:type="dxa"/>
            <w:tcBorders>
              <w:top w:val="single" w:sz="16" w:space="0" w:color="FFFFFF"/>
              <w:left w:val="single" w:sz="4" w:space="0" w:color="FFFFFF"/>
              <w:right w:val="single" w:sz="4" w:space="0" w:color="FFFFFF"/>
            </w:tcBorders>
            <w:shd w:val="clear" w:color="auto" w:fill="B8CCE3"/>
          </w:tcPr>
          <w:p>
            <w:pPr>
              <w:pStyle w:val="TableParagraph"/>
              <w:spacing w:line="272" w:lineRule="exact"/>
              <w:ind w:left="777" w:right="777"/>
              <w:rPr>
                <w:sz w:val="24"/>
              </w:rPr>
            </w:pPr>
            <w:r>
              <w:rPr>
                <w:sz w:val="24"/>
              </w:rPr>
              <w:t>0.5</w:t>
            </w:r>
          </w:p>
        </w:tc>
        <w:tc>
          <w:tcPr>
            <w:tcW w:w="1940" w:type="dxa"/>
            <w:tcBorders>
              <w:top w:val="single" w:sz="16" w:space="0" w:color="FFFFFF"/>
              <w:left w:val="single" w:sz="4" w:space="0" w:color="FFFFFF"/>
              <w:right w:val="single" w:sz="4" w:space="0" w:color="FFFFFF"/>
            </w:tcBorders>
            <w:shd w:val="clear" w:color="auto" w:fill="B8CCE3"/>
          </w:tcPr>
          <w:p>
            <w:pPr>
              <w:pStyle w:val="TableParagraph"/>
              <w:spacing w:line="272" w:lineRule="exact"/>
              <w:ind w:left="146" w:right="146"/>
              <w:rPr>
                <w:sz w:val="24"/>
              </w:rPr>
            </w:pPr>
            <w:r>
              <w:rPr>
                <w:sz w:val="24"/>
              </w:rPr>
              <w:t>0.2</w:t>
            </w:r>
          </w:p>
        </w:tc>
        <w:tc>
          <w:tcPr>
            <w:tcW w:w="1820" w:type="dxa"/>
            <w:tcBorders>
              <w:top w:val="single" w:sz="16" w:space="0" w:color="FFFFFF"/>
              <w:left w:val="single" w:sz="4" w:space="0" w:color="FFFFFF"/>
              <w:right w:val="nil"/>
            </w:tcBorders>
            <w:shd w:val="clear" w:color="auto" w:fill="B8CCE3"/>
          </w:tcPr>
          <w:p>
            <w:pPr>
              <w:pStyle w:val="TableParagraph"/>
              <w:spacing w:line="272" w:lineRule="exact"/>
              <w:ind w:left="718" w:right="722"/>
              <w:rPr>
                <w:sz w:val="24"/>
              </w:rPr>
            </w:pPr>
            <w:r>
              <w:rPr>
                <w:sz w:val="24"/>
              </w:rPr>
              <w:t>0.2</w:t>
            </w:r>
          </w:p>
        </w:tc>
      </w:tr>
      <w:tr>
        <w:trPr>
          <w:trHeight w:val="311" w:hRule="exact"/>
        </w:trPr>
        <w:tc>
          <w:tcPr>
            <w:tcW w:w="1258" w:type="dxa"/>
            <w:tcBorders>
              <w:left w:val="nil"/>
              <w:bottom w:val="single" w:sz="14" w:space="0" w:color="FFFFFF"/>
              <w:right w:val="single" w:sz="4" w:space="0" w:color="FFFFFF"/>
            </w:tcBorders>
            <w:shd w:val="clear" w:color="auto" w:fill="DBE4F0"/>
          </w:tcPr>
          <w:p>
            <w:pPr>
              <w:pStyle w:val="TableParagraph"/>
              <w:spacing w:line="272" w:lineRule="exact"/>
              <w:ind w:left="69" w:right="63"/>
              <w:rPr>
                <w:sz w:val="24"/>
              </w:rPr>
            </w:pPr>
            <w:r>
              <w:rPr>
                <w:sz w:val="24"/>
              </w:rPr>
              <w:t>Pb</w:t>
            </w:r>
          </w:p>
        </w:tc>
        <w:tc>
          <w:tcPr>
            <w:tcW w:w="1200" w:type="dxa"/>
            <w:tcBorders>
              <w:left w:val="single" w:sz="4" w:space="0" w:color="FFFFFF"/>
              <w:bottom w:val="single" w:sz="14" w:space="0" w:color="FFFFFF"/>
              <w:right w:val="single" w:sz="4" w:space="0" w:color="FFFFFF"/>
            </w:tcBorders>
            <w:shd w:val="clear" w:color="auto" w:fill="DBE4F0"/>
          </w:tcPr>
          <w:p>
            <w:pPr>
              <w:pStyle w:val="TableParagraph"/>
              <w:spacing w:line="272" w:lineRule="exact"/>
              <w:rPr>
                <w:sz w:val="24"/>
              </w:rPr>
            </w:pPr>
            <w:r>
              <w:rPr>
                <w:w w:val="99"/>
                <w:sz w:val="24"/>
              </w:rPr>
              <w:t>1</w:t>
            </w:r>
          </w:p>
        </w:tc>
        <w:tc>
          <w:tcPr>
            <w:tcW w:w="2141" w:type="dxa"/>
            <w:tcBorders>
              <w:left w:val="single" w:sz="4" w:space="0" w:color="FFFFFF"/>
              <w:bottom w:val="single" w:sz="14" w:space="0" w:color="FFFFFF"/>
              <w:right w:val="single" w:sz="4" w:space="0" w:color="FFFFFF"/>
            </w:tcBorders>
            <w:shd w:val="clear" w:color="auto" w:fill="DBE4F0"/>
          </w:tcPr>
          <w:p>
            <w:pPr>
              <w:pStyle w:val="TableParagraph"/>
              <w:spacing w:line="272" w:lineRule="exact"/>
              <w:ind w:left="777" w:right="777"/>
              <w:rPr>
                <w:sz w:val="24"/>
              </w:rPr>
            </w:pPr>
            <w:r>
              <w:rPr>
                <w:sz w:val="24"/>
              </w:rPr>
              <w:t>0.5</w:t>
            </w:r>
          </w:p>
        </w:tc>
        <w:tc>
          <w:tcPr>
            <w:tcW w:w="1940" w:type="dxa"/>
            <w:tcBorders>
              <w:left w:val="single" w:sz="4" w:space="0" w:color="FFFFFF"/>
              <w:bottom w:val="single" w:sz="14" w:space="0" w:color="FFFFFF"/>
              <w:right w:val="single" w:sz="4" w:space="0" w:color="FFFFFF"/>
            </w:tcBorders>
            <w:shd w:val="clear" w:color="auto" w:fill="DBE4F0"/>
          </w:tcPr>
          <w:p>
            <w:pPr>
              <w:pStyle w:val="TableParagraph"/>
              <w:spacing w:line="272" w:lineRule="exact"/>
              <w:ind w:left="146" w:right="146"/>
              <w:rPr>
                <w:sz w:val="24"/>
              </w:rPr>
            </w:pPr>
            <w:r>
              <w:rPr>
                <w:sz w:val="24"/>
              </w:rPr>
              <w:t>0.5</w:t>
            </w:r>
          </w:p>
        </w:tc>
        <w:tc>
          <w:tcPr>
            <w:tcW w:w="1820" w:type="dxa"/>
            <w:tcBorders>
              <w:left w:val="single" w:sz="4" w:space="0" w:color="FFFFFF"/>
              <w:bottom w:val="single" w:sz="14" w:space="0" w:color="FFFFFF"/>
              <w:right w:val="nil"/>
            </w:tcBorders>
            <w:shd w:val="clear" w:color="auto" w:fill="DBE4F0"/>
          </w:tcPr>
          <w:p>
            <w:pPr>
              <w:pStyle w:val="TableParagraph"/>
              <w:spacing w:line="272" w:lineRule="exact"/>
              <w:ind w:left="718" w:right="722"/>
              <w:rPr>
                <w:sz w:val="24"/>
              </w:rPr>
            </w:pPr>
            <w:r>
              <w:rPr>
                <w:sz w:val="24"/>
              </w:rPr>
              <w:t>0.5</w:t>
            </w:r>
          </w:p>
        </w:tc>
      </w:tr>
      <w:tr>
        <w:trPr>
          <w:trHeight w:val="311" w:hRule="exact"/>
        </w:trPr>
        <w:tc>
          <w:tcPr>
            <w:tcW w:w="1258" w:type="dxa"/>
            <w:tcBorders>
              <w:top w:val="single" w:sz="14" w:space="0" w:color="FFFFFF"/>
              <w:left w:val="nil"/>
              <w:right w:val="single" w:sz="4" w:space="0" w:color="FFFFFF"/>
            </w:tcBorders>
            <w:shd w:val="clear" w:color="auto" w:fill="B8CCE3"/>
          </w:tcPr>
          <w:p>
            <w:pPr>
              <w:pStyle w:val="TableParagraph"/>
              <w:spacing w:line="272" w:lineRule="exact"/>
              <w:ind w:left="65" w:right="63"/>
              <w:rPr>
                <w:sz w:val="24"/>
              </w:rPr>
            </w:pPr>
            <w:r>
              <w:rPr>
                <w:sz w:val="24"/>
              </w:rPr>
              <w:t>As</w:t>
            </w:r>
          </w:p>
        </w:tc>
        <w:tc>
          <w:tcPr>
            <w:tcW w:w="1200" w:type="dxa"/>
            <w:tcBorders>
              <w:top w:val="single" w:sz="14" w:space="0" w:color="FFFFFF"/>
              <w:left w:val="single" w:sz="4" w:space="0" w:color="FFFFFF"/>
              <w:right w:val="single" w:sz="4" w:space="0" w:color="FFFFFF"/>
            </w:tcBorders>
            <w:shd w:val="clear" w:color="auto" w:fill="B8CCE3"/>
          </w:tcPr>
          <w:p>
            <w:pPr>
              <w:pStyle w:val="TableParagraph"/>
              <w:spacing w:line="272" w:lineRule="exact"/>
              <w:rPr>
                <w:sz w:val="24"/>
              </w:rPr>
            </w:pPr>
            <w:r>
              <w:rPr>
                <w:w w:val="99"/>
                <w:sz w:val="24"/>
              </w:rPr>
              <w:t>1</w:t>
            </w:r>
          </w:p>
        </w:tc>
        <w:tc>
          <w:tcPr>
            <w:tcW w:w="2141" w:type="dxa"/>
            <w:tcBorders>
              <w:top w:val="single" w:sz="14" w:space="0" w:color="FFFFFF"/>
              <w:left w:val="single" w:sz="4" w:space="0" w:color="FFFFFF"/>
              <w:right w:val="single" w:sz="4" w:space="0" w:color="FFFFFF"/>
            </w:tcBorders>
            <w:shd w:val="clear" w:color="auto" w:fill="B8CCE3"/>
          </w:tcPr>
          <w:p>
            <w:pPr>
              <w:pStyle w:val="TableParagraph"/>
              <w:spacing w:line="272" w:lineRule="exact"/>
              <w:ind w:left="777" w:right="777"/>
              <w:rPr>
                <w:sz w:val="24"/>
              </w:rPr>
            </w:pPr>
            <w:r>
              <w:rPr>
                <w:sz w:val="24"/>
              </w:rPr>
              <w:t>1.5</w:t>
            </w:r>
          </w:p>
        </w:tc>
        <w:tc>
          <w:tcPr>
            <w:tcW w:w="1940" w:type="dxa"/>
            <w:tcBorders>
              <w:top w:val="single" w:sz="14" w:space="0" w:color="FFFFFF"/>
              <w:left w:val="single" w:sz="4" w:space="0" w:color="FFFFFF"/>
              <w:right w:val="single" w:sz="4" w:space="0" w:color="FFFFFF"/>
            </w:tcBorders>
            <w:shd w:val="clear" w:color="auto" w:fill="B8CCE3"/>
          </w:tcPr>
          <w:p>
            <w:pPr>
              <w:pStyle w:val="TableParagraph"/>
              <w:spacing w:line="272" w:lineRule="exact"/>
              <w:ind w:left="146" w:right="146"/>
              <w:rPr>
                <w:sz w:val="24"/>
              </w:rPr>
            </w:pPr>
            <w:r>
              <w:rPr>
                <w:sz w:val="24"/>
              </w:rPr>
              <w:t>1.5</w:t>
            </w:r>
          </w:p>
        </w:tc>
        <w:tc>
          <w:tcPr>
            <w:tcW w:w="1820" w:type="dxa"/>
            <w:tcBorders>
              <w:top w:val="single" w:sz="14" w:space="0" w:color="FFFFFF"/>
              <w:left w:val="single" w:sz="4" w:space="0" w:color="FFFFFF"/>
              <w:right w:val="nil"/>
            </w:tcBorders>
            <w:shd w:val="clear" w:color="auto" w:fill="B8CCE3"/>
          </w:tcPr>
          <w:p>
            <w:pPr>
              <w:pStyle w:val="TableParagraph"/>
              <w:spacing w:line="272" w:lineRule="exact"/>
              <w:ind w:left="718" w:right="722"/>
              <w:rPr>
                <w:sz w:val="24"/>
              </w:rPr>
            </w:pPr>
            <w:r>
              <w:rPr>
                <w:sz w:val="24"/>
              </w:rPr>
              <w:t>0.2</w:t>
            </w:r>
          </w:p>
        </w:tc>
      </w:tr>
      <w:tr>
        <w:trPr>
          <w:trHeight w:val="310" w:hRule="exact"/>
        </w:trPr>
        <w:tc>
          <w:tcPr>
            <w:tcW w:w="1258" w:type="dxa"/>
            <w:tcBorders>
              <w:left w:val="nil"/>
              <w:right w:val="single" w:sz="4" w:space="0" w:color="FFFFFF"/>
            </w:tcBorders>
            <w:shd w:val="clear" w:color="auto" w:fill="DBE4F0"/>
          </w:tcPr>
          <w:p>
            <w:pPr>
              <w:pStyle w:val="TableParagraph"/>
              <w:spacing w:line="272" w:lineRule="exact"/>
              <w:ind w:left="65" w:right="63"/>
              <w:rPr>
                <w:sz w:val="24"/>
              </w:rPr>
            </w:pPr>
            <w:r>
              <w:rPr>
                <w:sz w:val="24"/>
              </w:rPr>
              <w:t>Hg</w:t>
            </w:r>
          </w:p>
        </w:tc>
        <w:tc>
          <w:tcPr>
            <w:tcW w:w="1200" w:type="dxa"/>
            <w:tcBorders>
              <w:left w:val="single" w:sz="4" w:space="0" w:color="FFFFFF"/>
              <w:right w:val="single" w:sz="4" w:space="0" w:color="FFFFFF"/>
            </w:tcBorders>
            <w:shd w:val="clear" w:color="auto" w:fill="DBE4F0"/>
          </w:tcPr>
          <w:p>
            <w:pPr>
              <w:pStyle w:val="TableParagraph"/>
              <w:spacing w:line="272" w:lineRule="exact"/>
              <w:rPr>
                <w:sz w:val="24"/>
              </w:rPr>
            </w:pPr>
            <w:r>
              <w:rPr>
                <w:w w:val="99"/>
                <w:sz w:val="24"/>
              </w:rPr>
              <w:t>1</w:t>
            </w:r>
          </w:p>
        </w:tc>
        <w:tc>
          <w:tcPr>
            <w:tcW w:w="2141" w:type="dxa"/>
            <w:tcBorders>
              <w:left w:val="single" w:sz="4" w:space="0" w:color="FFFFFF"/>
              <w:right w:val="single" w:sz="4" w:space="0" w:color="FFFFFF"/>
            </w:tcBorders>
            <w:shd w:val="clear" w:color="auto" w:fill="DBE4F0"/>
          </w:tcPr>
          <w:p>
            <w:pPr>
              <w:pStyle w:val="TableParagraph"/>
              <w:spacing w:line="272" w:lineRule="exact"/>
              <w:ind w:right="4"/>
              <w:rPr>
                <w:sz w:val="24"/>
              </w:rPr>
            </w:pPr>
            <w:r>
              <w:rPr>
                <w:w w:val="99"/>
                <w:sz w:val="24"/>
              </w:rPr>
              <w:t>3</w:t>
            </w:r>
          </w:p>
        </w:tc>
        <w:tc>
          <w:tcPr>
            <w:tcW w:w="1940" w:type="dxa"/>
            <w:tcBorders>
              <w:left w:val="single" w:sz="4" w:space="0" w:color="FFFFFF"/>
              <w:right w:val="single" w:sz="4" w:space="0" w:color="FFFFFF"/>
            </w:tcBorders>
            <w:shd w:val="clear" w:color="auto" w:fill="DBE4F0"/>
          </w:tcPr>
          <w:p>
            <w:pPr>
              <w:pStyle w:val="TableParagraph"/>
              <w:spacing w:line="272" w:lineRule="exact"/>
              <w:ind w:left="146" w:right="146"/>
              <w:rPr>
                <w:sz w:val="24"/>
              </w:rPr>
            </w:pPr>
            <w:r>
              <w:rPr>
                <w:sz w:val="24"/>
              </w:rPr>
              <w:t>0.3</w:t>
            </w:r>
          </w:p>
        </w:tc>
        <w:tc>
          <w:tcPr>
            <w:tcW w:w="1820" w:type="dxa"/>
            <w:tcBorders>
              <w:left w:val="single" w:sz="4" w:space="0" w:color="FFFFFF"/>
              <w:right w:val="nil"/>
            </w:tcBorders>
            <w:shd w:val="clear" w:color="auto" w:fill="DBE4F0"/>
          </w:tcPr>
          <w:p>
            <w:pPr>
              <w:pStyle w:val="TableParagraph"/>
              <w:spacing w:line="272" w:lineRule="exact"/>
              <w:ind w:left="718" w:right="722"/>
              <w:rPr>
                <w:sz w:val="24"/>
              </w:rPr>
            </w:pPr>
            <w:r>
              <w:rPr>
                <w:sz w:val="24"/>
              </w:rPr>
              <w:t>0.1</w:t>
            </w:r>
          </w:p>
        </w:tc>
      </w:tr>
      <w:tr>
        <w:trPr>
          <w:trHeight w:val="310" w:hRule="exact"/>
        </w:trPr>
        <w:tc>
          <w:tcPr>
            <w:tcW w:w="1258" w:type="dxa"/>
            <w:tcBorders>
              <w:left w:val="nil"/>
              <w:right w:val="single" w:sz="4" w:space="0" w:color="FFFFFF"/>
            </w:tcBorders>
            <w:shd w:val="clear" w:color="auto" w:fill="B8CCE3"/>
          </w:tcPr>
          <w:p>
            <w:pPr>
              <w:pStyle w:val="TableParagraph"/>
              <w:spacing w:line="272" w:lineRule="exact"/>
              <w:ind w:left="65" w:right="63"/>
              <w:rPr>
                <w:sz w:val="24"/>
              </w:rPr>
            </w:pPr>
            <w:r>
              <w:rPr>
                <w:sz w:val="24"/>
              </w:rPr>
              <w:t>Co</w:t>
            </w:r>
          </w:p>
        </w:tc>
        <w:tc>
          <w:tcPr>
            <w:tcW w:w="1200" w:type="dxa"/>
            <w:tcBorders>
              <w:left w:val="single" w:sz="4" w:space="0" w:color="FFFFFF"/>
              <w:right w:val="single" w:sz="4" w:space="0" w:color="FFFFFF"/>
            </w:tcBorders>
            <w:shd w:val="clear" w:color="auto" w:fill="B8CCE3"/>
          </w:tcPr>
          <w:p>
            <w:pPr>
              <w:pStyle w:val="TableParagraph"/>
              <w:spacing w:line="272" w:lineRule="exact"/>
              <w:ind w:left="254" w:right="252"/>
              <w:rPr>
                <w:sz w:val="24"/>
              </w:rPr>
            </w:pPr>
            <w:r>
              <w:rPr>
                <w:sz w:val="24"/>
              </w:rPr>
              <w:t>2A</w:t>
            </w:r>
          </w:p>
        </w:tc>
        <w:tc>
          <w:tcPr>
            <w:tcW w:w="2141" w:type="dxa"/>
            <w:tcBorders>
              <w:left w:val="single" w:sz="4" w:space="0" w:color="FFFFFF"/>
              <w:right w:val="single" w:sz="4" w:space="0" w:color="FFFFFF"/>
            </w:tcBorders>
            <w:shd w:val="clear" w:color="auto" w:fill="B8CCE3"/>
          </w:tcPr>
          <w:p>
            <w:pPr>
              <w:pStyle w:val="TableParagraph"/>
              <w:spacing w:line="272" w:lineRule="exact"/>
              <w:ind w:right="4"/>
              <w:rPr>
                <w:sz w:val="24"/>
              </w:rPr>
            </w:pPr>
            <w:r>
              <w:rPr>
                <w:w w:val="99"/>
                <w:sz w:val="24"/>
              </w:rPr>
              <w:t>5</w:t>
            </w:r>
          </w:p>
        </w:tc>
        <w:tc>
          <w:tcPr>
            <w:tcW w:w="1940" w:type="dxa"/>
            <w:tcBorders>
              <w:left w:val="single" w:sz="4" w:space="0" w:color="FFFFFF"/>
              <w:right w:val="single" w:sz="4" w:space="0" w:color="FFFFFF"/>
            </w:tcBorders>
            <w:shd w:val="clear" w:color="auto" w:fill="B8CCE3"/>
          </w:tcPr>
          <w:p>
            <w:pPr>
              <w:pStyle w:val="TableParagraph"/>
              <w:spacing w:line="272" w:lineRule="exact"/>
              <w:ind w:left="146" w:right="146"/>
              <w:rPr>
                <w:sz w:val="24"/>
              </w:rPr>
            </w:pPr>
            <w:r>
              <w:rPr>
                <w:sz w:val="24"/>
              </w:rPr>
              <w:t>0.5</w:t>
            </w:r>
          </w:p>
        </w:tc>
        <w:tc>
          <w:tcPr>
            <w:tcW w:w="1820" w:type="dxa"/>
            <w:tcBorders>
              <w:left w:val="single" w:sz="4" w:space="0" w:color="FFFFFF"/>
              <w:right w:val="nil"/>
            </w:tcBorders>
            <w:shd w:val="clear" w:color="auto" w:fill="B8CCE3"/>
          </w:tcPr>
          <w:p>
            <w:pPr>
              <w:pStyle w:val="TableParagraph"/>
              <w:spacing w:line="272" w:lineRule="exact"/>
              <w:ind w:left="718" w:right="722"/>
              <w:rPr>
                <w:sz w:val="24"/>
              </w:rPr>
            </w:pPr>
            <w:r>
              <w:rPr>
                <w:sz w:val="24"/>
              </w:rPr>
              <w:t>0.3</w:t>
            </w:r>
          </w:p>
        </w:tc>
      </w:tr>
      <w:tr>
        <w:trPr>
          <w:trHeight w:val="310" w:hRule="exact"/>
        </w:trPr>
        <w:tc>
          <w:tcPr>
            <w:tcW w:w="1258" w:type="dxa"/>
            <w:tcBorders>
              <w:left w:val="nil"/>
              <w:right w:val="single" w:sz="4" w:space="0" w:color="FFFFFF"/>
            </w:tcBorders>
            <w:shd w:val="clear" w:color="auto" w:fill="DBE4F0"/>
          </w:tcPr>
          <w:p>
            <w:pPr>
              <w:pStyle w:val="TableParagraph"/>
              <w:spacing w:line="272" w:lineRule="exact"/>
              <w:ind w:left="1"/>
              <w:rPr>
                <w:sz w:val="24"/>
              </w:rPr>
            </w:pPr>
            <w:r>
              <w:rPr>
                <w:w w:val="100"/>
                <w:sz w:val="24"/>
              </w:rPr>
              <w:t>V</w:t>
            </w:r>
          </w:p>
        </w:tc>
        <w:tc>
          <w:tcPr>
            <w:tcW w:w="1200" w:type="dxa"/>
            <w:tcBorders>
              <w:left w:val="single" w:sz="4" w:space="0" w:color="FFFFFF"/>
              <w:right w:val="single" w:sz="4" w:space="0" w:color="FFFFFF"/>
            </w:tcBorders>
            <w:shd w:val="clear" w:color="auto" w:fill="DBE4F0"/>
          </w:tcPr>
          <w:p>
            <w:pPr>
              <w:pStyle w:val="TableParagraph"/>
              <w:spacing w:line="272" w:lineRule="exact"/>
              <w:ind w:left="254" w:right="252"/>
              <w:rPr>
                <w:sz w:val="24"/>
              </w:rPr>
            </w:pPr>
            <w:r>
              <w:rPr>
                <w:sz w:val="24"/>
              </w:rPr>
              <w:t>2A</w:t>
            </w:r>
          </w:p>
        </w:tc>
        <w:tc>
          <w:tcPr>
            <w:tcW w:w="2141" w:type="dxa"/>
            <w:tcBorders>
              <w:left w:val="single" w:sz="4" w:space="0" w:color="FFFFFF"/>
              <w:right w:val="single" w:sz="4" w:space="0" w:color="FFFFFF"/>
            </w:tcBorders>
            <w:shd w:val="clear" w:color="auto" w:fill="DBE4F0"/>
          </w:tcPr>
          <w:p>
            <w:pPr>
              <w:pStyle w:val="TableParagraph"/>
              <w:spacing w:line="272" w:lineRule="exact"/>
              <w:ind w:left="777" w:right="777"/>
              <w:rPr>
                <w:sz w:val="24"/>
              </w:rPr>
            </w:pPr>
            <w:r>
              <w:rPr>
                <w:sz w:val="24"/>
              </w:rPr>
              <w:t>10</w:t>
            </w:r>
          </w:p>
        </w:tc>
        <w:tc>
          <w:tcPr>
            <w:tcW w:w="1940" w:type="dxa"/>
            <w:tcBorders>
              <w:left w:val="single" w:sz="4" w:space="0" w:color="FFFFFF"/>
              <w:right w:val="single" w:sz="4" w:space="0" w:color="FFFFFF"/>
            </w:tcBorders>
            <w:shd w:val="clear" w:color="auto" w:fill="DBE4F0"/>
          </w:tcPr>
          <w:p>
            <w:pPr>
              <w:pStyle w:val="TableParagraph"/>
              <w:spacing w:line="272" w:lineRule="exact"/>
              <w:ind w:right="1"/>
              <w:rPr>
                <w:sz w:val="24"/>
              </w:rPr>
            </w:pPr>
            <w:r>
              <w:rPr>
                <w:w w:val="99"/>
                <w:sz w:val="24"/>
              </w:rPr>
              <w:t>1</w:t>
            </w:r>
          </w:p>
        </w:tc>
        <w:tc>
          <w:tcPr>
            <w:tcW w:w="1820" w:type="dxa"/>
            <w:tcBorders>
              <w:left w:val="single" w:sz="4" w:space="0" w:color="FFFFFF"/>
              <w:right w:val="nil"/>
            </w:tcBorders>
            <w:shd w:val="clear" w:color="auto" w:fill="DBE4F0"/>
          </w:tcPr>
          <w:p>
            <w:pPr>
              <w:pStyle w:val="TableParagraph"/>
              <w:spacing w:line="272" w:lineRule="exact"/>
              <w:ind w:left="718" w:right="722"/>
              <w:rPr>
                <w:sz w:val="24"/>
              </w:rPr>
            </w:pPr>
            <w:r>
              <w:rPr>
                <w:sz w:val="24"/>
              </w:rPr>
              <w:t>0.1</w:t>
            </w:r>
          </w:p>
        </w:tc>
      </w:tr>
      <w:tr>
        <w:trPr>
          <w:trHeight w:val="310" w:hRule="exact"/>
        </w:trPr>
        <w:tc>
          <w:tcPr>
            <w:tcW w:w="1258" w:type="dxa"/>
            <w:tcBorders>
              <w:left w:val="nil"/>
              <w:right w:val="single" w:sz="4" w:space="0" w:color="FFFFFF"/>
            </w:tcBorders>
            <w:shd w:val="clear" w:color="auto" w:fill="B8CCE3"/>
          </w:tcPr>
          <w:p>
            <w:pPr>
              <w:pStyle w:val="TableParagraph"/>
              <w:spacing w:line="272" w:lineRule="exact"/>
              <w:ind w:left="67" w:right="63"/>
              <w:rPr>
                <w:sz w:val="24"/>
              </w:rPr>
            </w:pPr>
            <w:r>
              <w:rPr>
                <w:sz w:val="24"/>
              </w:rPr>
              <w:t>Ni</w:t>
            </w:r>
          </w:p>
        </w:tc>
        <w:tc>
          <w:tcPr>
            <w:tcW w:w="1200" w:type="dxa"/>
            <w:tcBorders>
              <w:left w:val="single" w:sz="4" w:space="0" w:color="FFFFFF"/>
              <w:right w:val="single" w:sz="4" w:space="0" w:color="FFFFFF"/>
            </w:tcBorders>
            <w:shd w:val="clear" w:color="auto" w:fill="B8CCE3"/>
          </w:tcPr>
          <w:p>
            <w:pPr>
              <w:pStyle w:val="TableParagraph"/>
              <w:spacing w:line="272" w:lineRule="exact"/>
              <w:ind w:left="254" w:right="252"/>
              <w:rPr>
                <w:sz w:val="24"/>
              </w:rPr>
            </w:pPr>
            <w:r>
              <w:rPr>
                <w:sz w:val="24"/>
              </w:rPr>
              <w:t>2A</w:t>
            </w:r>
          </w:p>
        </w:tc>
        <w:tc>
          <w:tcPr>
            <w:tcW w:w="2141" w:type="dxa"/>
            <w:tcBorders>
              <w:left w:val="single" w:sz="4" w:space="0" w:color="FFFFFF"/>
              <w:right w:val="single" w:sz="4" w:space="0" w:color="FFFFFF"/>
            </w:tcBorders>
            <w:shd w:val="clear" w:color="auto" w:fill="B8CCE3"/>
          </w:tcPr>
          <w:p>
            <w:pPr>
              <w:pStyle w:val="TableParagraph"/>
              <w:spacing w:line="272" w:lineRule="exact"/>
              <w:ind w:left="777" w:right="777"/>
              <w:rPr>
                <w:sz w:val="24"/>
              </w:rPr>
            </w:pPr>
            <w:r>
              <w:rPr>
                <w:sz w:val="24"/>
              </w:rPr>
              <w:t>20</w:t>
            </w:r>
          </w:p>
        </w:tc>
        <w:tc>
          <w:tcPr>
            <w:tcW w:w="1940" w:type="dxa"/>
            <w:tcBorders>
              <w:left w:val="single" w:sz="4" w:space="0" w:color="FFFFFF"/>
              <w:right w:val="single" w:sz="4" w:space="0" w:color="FFFFFF"/>
            </w:tcBorders>
            <w:shd w:val="clear" w:color="auto" w:fill="B8CCE3"/>
          </w:tcPr>
          <w:p>
            <w:pPr>
              <w:pStyle w:val="TableParagraph"/>
              <w:spacing w:line="272" w:lineRule="exact"/>
              <w:ind w:right="1"/>
              <w:rPr>
                <w:sz w:val="24"/>
              </w:rPr>
            </w:pPr>
            <w:r>
              <w:rPr>
                <w:w w:val="99"/>
                <w:sz w:val="24"/>
              </w:rPr>
              <w:t>2</w:t>
            </w:r>
          </w:p>
        </w:tc>
        <w:tc>
          <w:tcPr>
            <w:tcW w:w="1820" w:type="dxa"/>
            <w:tcBorders>
              <w:left w:val="single" w:sz="4" w:space="0" w:color="FFFFFF"/>
              <w:right w:val="nil"/>
            </w:tcBorders>
            <w:shd w:val="clear" w:color="auto" w:fill="B8CCE3"/>
          </w:tcPr>
          <w:p>
            <w:pPr>
              <w:pStyle w:val="TableParagraph"/>
              <w:spacing w:line="272" w:lineRule="exact"/>
              <w:ind w:left="718" w:right="722"/>
              <w:rPr>
                <w:sz w:val="24"/>
              </w:rPr>
            </w:pPr>
            <w:r>
              <w:rPr>
                <w:sz w:val="24"/>
              </w:rPr>
              <w:t>0.5</w:t>
            </w:r>
          </w:p>
        </w:tc>
      </w:tr>
      <w:tr>
        <w:trPr>
          <w:trHeight w:val="311" w:hRule="exact"/>
        </w:trPr>
        <w:tc>
          <w:tcPr>
            <w:tcW w:w="1258" w:type="dxa"/>
            <w:tcBorders>
              <w:left w:val="nil"/>
              <w:bottom w:val="single" w:sz="14" w:space="0" w:color="FFFFFF"/>
              <w:right w:val="single" w:sz="4" w:space="0" w:color="FFFFFF"/>
            </w:tcBorders>
            <w:shd w:val="clear" w:color="auto" w:fill="DBE4F0"/>
          </w:tcPr>
          <w:p>
            <w:pPr>
              <w:pStyle w:val="TableParagraph"/>
              <w:spacing w:line="272" w:lineRule="exact"/>
              <w:ind w:left="69" w:right="63"/>
              <w:rPr>
                <w:sz w:val="24"/>
              </w:rPr>
            </w:pPr>
            <w:r>
              <w:rPr>
                <w:sz w:val="24"/>
              </w:rPr>
              <w:t>Tl</w:t>
            </w:r>
          </w:p>
        </w:tc>
        <w:tc>
          <w:tcPr>
            <w:tcW w:w="1200" w:type="dxa"/>
            <w:tcBorders>
              <w:left w:val="single" w:sz="4" w:space="0" w:color="FFFFFF"/>
              <w:bottom w:val="single" w:sz="14" w:space="0" w:color="FFFFFF"/>
              <w:right w:val="single" w:sz="4" w:space="0" w:color="FFFFFF"/>
            </w:tcBorders>
            <w:shd w:val="clear" w:color="auto" w:fill="DBE4F0"/>
          </w:tcPr>
          <w:p>
            <w:pPr>
              <w:pStyle w:val="TableParagraph"/>
              <w:spacing w:line="272" w:lineRule="exact"/>
              <w:ind w:left="254" w:right="252"/>
              <w:rPr>
                <w:sz w:val="24"/>
              </w:rPr>
            </w:pPr>
            <w:r>
              <w:rPr>
                <w:sz w:val="24"/>
              </w:rPr>
              <w:t>2B</w:t>
            </w:r>
          </w:p>
        </w:tc>
        <w:tc>
          <w:tcPr>
            <w:tcW w:w="2141" w:type="dxa"/>
            <w:tcBorders>
              <w:left w:val="single" w:sz="4" w:space="0" w:color="FFFFFF"/>
              <w:bottom w:val="single" w:sz="14" w:space="0" w:color="FFFFFF"/>
              <w:right w:val="single" w:sz="4" w:space="0" w:color="FFFFFF"/>
            </w:tcBorders>
            <w:shd w:val="clear" w:color="auto" w:fill="DBE4F0"/>
          </w:tcPr>
          <w:p>
            <w:pPr>
              <w:pStyle w:val="TableParagraph"/>
              <w:spacing w:line="272" w:lineRule="exact"/>
              <w:ind w:left="777" w:right="777"/>
              <w:rPr>
                <w:sz w:val="24"/>
              </w:rPr>
            </w:pPr>
            <w:r>
              <w:rPr>
                <w:sz w:val="24"/>
              </w:rPr>
              <w:t>0.8</w:t>
            </w:r>
          </w:p>
        </w:tc>
        <w:tc>
          <w:tcPr>
            <w:tcW w:w="1940" w:type="dxa"/>
            <w:tcBorders>
              <w:left w:val="single" w:sz="4" w:space="0" w:color="FFFFFF"/>
              <w:bottom w:val="single" w:sz="14" w:space="0" w:color="FFFFFF"/>
              <w:right w:val="single" w:sz="4" w:space="0" w:color="FFFFFF"/>
            </w:tcBorders>
            <w:shd w:val="clear" w:color="auto" w:fill="DBE4F0"/>
          </w:tcPr>
          <w:p>
            <w:pPr>
              <w:pStyle w:val="TableParagraph"/>
              <w:spacing w:line="272" w:lineRule="exact"/>
              <w:ind w:left="146" w:right="146"/>
              <w:rPr>
                <w:sz w:val="24"/>
              </w:rPr>
            </w:pPr>
            <w:r>
              <w:rPr>
                <w:sz w:val="24"/>
              </w:rPr>
              <w:t>0.8</w:t>
            </w:r>
          </w:p>
        </w:tc>
        <w:tc>
          <w:tcPr>
            <w:tcW w:w="1820" w:type="dxa"/>
            <w:tcBorders>
              <w:left w:val="single" w:sz="4" w:space="0" w:color="FFFFFF"/>
              <w:bottom w:val="single" w:sz="14" w:space="0" w:color="FFFFFF"/>
              <w:right w:val="nil"/>
            </w:tcBorders>
            <w:shd w:val="clear" w:color="auto" w:fill="DBE4F0"/>
          </w:tcPr>
          <w:p>
            <w:pPr>
              <w:pStyle w:val="TableParagraph"/>
              <w:spacing w:line="272" w:lineRule="exact"/>
              <w:ind w:left="718" w:right="722"/>
              <w:rPr>
                <w:sz w:val="24"/>
              </w:rPr>
            </w:pPr>
            <w:r>
              <w:rPr>
                <w:sz w:val="24"/>
              </w:rPr>
              <w:t>0.8</w:t>
            </w:r>
          </w:p>
        </w:tc>
      </w:tr>
      <w:tr>
        <w:trPr>
          <w:trHeight w:val="311" w:hRule="exact"/>
        </w:trPr>
        <w:tc>
          <w:tcPr>
            <w:tcW w:w="1258" w:type="dxa"/>
            <w:tcBorders>
              <w:top w:val="single" w:sz="14" w:space="0" w:color="FFFFFF"/>
              <w:left w:val="nil"/>
              <w:right w:val="single" w:sz="4" w:space="0" w:color="FFFFFF"/>
            </w:tcBorders>
            <w:shd w:val="clear" w:color="auto" w:fill="B8CCE3"/>
          </w:tcPr>
          <w:p>
            <w:pPr>
              <w:pStyle w:val="TableParagraph"/>
              <w:spacing w:line="272" w:lineRule="exact"/>
              <w:ind w:left="69" w:right="63"/>
              <w:rPr>
                <w:sz w:val="24"/>
              </w:rPr>
            </w:pPr>
            <w:r>
              <w:rPr>
                <w:sz w:val="24"/>
              </w:rPr>
              <w:t>Au</w:t>
            </w:r>
          </w:p>
        </w:tc>
        <w:tc>
          <w:tcPr>
            <w:tcW w:w="1200" w:type="dxa"/>
            <w:tcBorders>
              <w:top w:val="single" w:sz="14" w:space="0" w:color="FFFFFF"/>
              <w:left w:val="single" w:sz="4" w:space="0" w:color="FFFFFF"/>
              <w:right w:val="single" w:sz="4" w:space="0" w:color="FFFFFF"/>
            </w:tcBorders>
            <w:shd w:val="clear" w:color="auto" w:fill="B8CCE3"/>
          </w:tcPr>
          <w:p>
            <w:pPr>
              <w:pStyle w:val="TableParagraph"/>
              <w:spacing w:line="272" w:lineRule="exact"/>
              <w:ind w:left="254" w:right="252"/>
              <w:rPr>
                <w:sz w:val="24"/>
              </w:rPr>
            </w:pPr>
            <w:r>
              <w:rPr>
                <w:sz w:val="24"/>
              </w:rPr>
              <w:t>2B</w:t>
            </w:r>
          </w:p>
        </w:tc>
        <w:tc>
          <w:tcPr>
            <w:tcW w:w="2141" w:type="dxa"/>
            <w:tcBorders>
              <w:top w:val="single" w:sz="14" w:space="0" w:color="FFFFFF"/>
              <w:left w:val="single" w:sz="4" w:space="0" w:color="FFFFFF"/>
              <w:right w:val="single" w:sz="4" w:space="0" w:color="FFFFFF"/>
            </w:tcBorders>
            <w:shd w:val="clear" w:color="auto" w:fill="B8CCE3"/>
          </w:tcPr>
          <w:p>
            <w:pPr>
              <w:pStyle w:val="TableParagraph"/>
              <w:spacing w:line="272" w:lineRule="exact"/>
              <w:ind w:left="777" w:right="777"/>
              <w:rPr>
                <w:sz w:val="24"/>
              </w:rPr>
            </w:pPr>
            <w:r>
              <w:rPr>
                <w:sz w:val="24"/>
              </w:rPr>
              <w:t>10</w:t>
            </w:r>
          </w:p>
        </w:tc>
        <w:tc>
          <w:tcPr>
            <w:tcW w:w="1940" w:type="dxa"/>
            <w:tcBorders>
              <w:top w:val="single" w:sz="14" w:space="0" w:color="FFFFFF"/>
              <w:left w:val="single" w:sz="4" w:space="0" w:color="FFFFFF"/>
              <w:right w:val="single" w:sz="4" w:space="0" w:color="FFFFFF"/>
            </w:tcBorders>
            <w:shd w:val="clear" w:color="auto" w:fill="B8CCE3"/>
          </w:tcPr>
          <w:p>
            <w:pPr>
              <w:pStyle w:val="TableParagraph"/>
              <w:spacing w:line="272" w:lineRule="exact"/>
              <w:ind w:left="146" w:right="146"/>
              <w:rPr>
                <w:sz w:val="24"/>
              </w:rPr>
            </w:pPr>
            <w:r>
              <w:rPr>
                <w:sz w:val="24"/>
              </w:rPr>
              <w:t>10</w:t>
            </w:r>
          </w:p>
        </w:tc>
        <w:tc>
          <w:tcPr>
            <w:tcW w:w="1820" w:type="dxa"/>
            <w:tcBorders>
              <w:top w:val="single" w:sz="14" w:space="0" w:color="FFFFFF"/>
              <w:left w:val="single" w:sz="4" w:space="0" w:color="FFFFFF"/>
              <w:right w:val="nil"/>
            </w:tcBorders>
            <w:shd w:val="clear" w:color="auto" w:fill="B8CCE3"/>
          </w:tcPr>
          <w:p>
            <w:pPr>
              <w:pStyle w:val="TableParagraph"/>
              <w:spacing w:line="272" w:lineRule="exact"/>
              <w:ind w:left="718" w:right="722"/>
              <w:rPr>
                <w:sz w:val="24"/>
              </w:rPr>
            </w:pPr>
            <w:r>
              <w:rPr>
                <w:sz w:val="24"/>
              </w:rPr>
              <w:t>0.1</w:t>
            </w:r>
          </w:p>
        </w:tc>
      </w:tr>
      <w:tr>
        <w:trPr>
          <w:trHeight w:val="310" w:hRule="exact"/>
        </w:trPr>
        <w:tc>
          <w:tcPr>
            <w:tcW w:w="1258" w:type="dxa"/>
            <w:tcBorders>
              <w:left w:val="nil"/>
              <w:right w:val="single" w:sz="4" w:space="0" w:color="FFFFFF"/>
            </w:tcBorders>
            <w:shd w:val="clear" w:color="auto" w:fill="DBE4F0"/>
          </w:tcPr>
          <w:p>
            <w:pPr>
              <w:pStyle w:val="TableParagraph"/>
              <w:spacing w:line="272" w:lineRule="exact"/>
              <w:ind w:left="69" w:right="63"/>
              <w:rPr>
                <w:sz w:val="24"/>
              </w:rPr>
            </w:pPr>
            <w:r>
              <w:rPr>
                <w:sz w:val="24"/>
              </w:rPr>
              <w:t>Pd</w:t>
            </w:r>
          </w:p>
        </w:tc>
        <w:tc>
          <w:tcPr>
            <w:tcW w:w="1200" w:type="dxa"/>
            <w:tcBorders>
              <w:left w:val="single" w:sz="4" w:space="0" w:color="FFFFFF"/>
              <w:right w:val="single" w:sz="4" w:space="0" w:color="FFFFFF"/>
            </w:tcBorders>
            <w:shd w:val="clear" w:color="auto" w:fill="DBE4F0"/>
          </w:tcPr>
          <w:p>
            <w:pPr>
              <w:pStyle w:val="TableParagraph"/>
              <w:spacing w:line="272" w:lineRule="exact"/>
              <w:ind w:left="254" w:right="252"/>
              <w:rPr>
                <w:sz w:val="24"/>
              </w:rPr>
            </w:pPr>
            <w:r>
              <w:rPr>
                <w:sz w:val="24"/>
              </w:rPr>
              <w:t>2B</w:t>
            </w:r>
          </w:p>
        </w:tc>
        <w:tc>
          <w:tcPr>
            <w:tcW w:w="2141" w:type="dxa"/>
            <w:tcBorders>
              <w:left w:val="single" w:sz="4" w:space="0" w:color="FFFFFF"/>
              <w:right w:val="single" w:sz="4" w:space="0" w:color="FFFFFF"/>
            </w:tcBorders>
            <w:shd w:val="clear" w:color="auto" w:fill="DBE4F0"/>
          </w:tcPr>
          <w:p>
            <w:pPr>
              <w:pStyle w:val="TableParagraph"/>
              <w:spacing w:line="272" w:lineRule="exact"/>
              <w:ind w:left="777" w:right="777"/>
              <w:rPr>
                <w:sz w:val="24"/>
              </w:rPr>
            </w:pPr>
            <w:r>
              <w:rPr>
                <w:sz w:val="24"/>
              </w:rPr>
              <w:t>10</w:t>
            </w:r>
          </w:p>
        </w:tc>
        <w:tc>
          <w:tcPr>
            <w:tcW w:w="1940" w:type="dxa"/>
            <w:tcBorders>
              <w:left w:val="single" w:sz="4" w:space="0" w:color="FFFFFF"/>
              <w:right w:val="single" w:sz="4" w:space="0" w:color="FFFFFF"/>
            </w:tcBorders>
            <w:shd w:val="clear" w:color="auto" w:fill="DBE4F0"/>
          </w:tcPr>
          <w:p>
            <w:pPr>
              <w:pStyle w:val="TableParagraph"/>
              <w:spacing w:line="272" w:lineRule="exact"/>
              <w:ind w:right="1"/>
              <w:rPr>
                <w:sz w:val="24"/>
              </w:rPr>
            </w:pPr>
            <w:r>
              <w:rPr>
                <w:w w:val="99"/>
                <w:sz w:val="24"/>
              </w:rPr>
              <w:t>1</w:t>
            </w:r>
          </w:p>
        </w:tc>
        <w:tc>
          <w:tcPr>
            <w:tcW w:w="1820" w:type="dxa"/>
            <w:tcBorders>
              <w:left w:val="single" w:sz="4" w:space="0" w:color="FFFFFF"/>
              <w:right w:val="nil"/>
            </w:tcBorders>
            <w:shd w:val="clear" w:color="auto" w:fill="DBE4F0"/>
          </w:tcPr>
          <w:p>
            <w:pPr>
              <w:pStyle w:val="TableParagraph"/>
              <w:spacing w:line="272" w:lineRule="exact"/>
              <w:ind w:left="718" w:right="722"/>
              <w:rPr>
                <w:sz w:val="24"/>
              </w:rPr>
            </w:pPr>
            <w:r>
              <w:rPr>
                <w:sz w:val="24"/>
              </w:rPr>
              <w:t>0.1</w:t>
            </w:r>
          </w:p>
        </w:tc>
      </w:tr>
      <w:tr>
        <w:trPr>
          <w:trHeight w:val="310" w:hRule="exact"/>
        </w:trPr>
        <w:tc>
          <w:tcPr>
            <w:tcW w:w="1258" w:type="dxa"/>
            <w:tcBorders>
              <w:left w:val="nil"/>
              <w:right w:val="single" w:sz="4" w:space="0" w:color="FFFFFF"/>
            </w:tcBorders>
            <w:shd w:val="clear" w:color="auto" w:fill="B8CCE3"/>
          </w:tcPr>
          <w:p>
            <w:pPr>
              <w:pStyle w:val="TableParagraph"/>
              <w:spacing w:line="272" w:lineRule="exact"/>
              <w:ind w:left="66" w:right="63"/>
              <w:rPr>
                <w:sz w:val="24"/>
              </w:rPr>
            </w:pPr>
            <w:r>
              <w:rPr>
                <w:sz w:val="24"/>
              </w:rPr>
              <w:t>Ir</w:t>
            </w:r>
          </w:p>
        </w:tc>
        <w:tc>
          <w:tcPr>
            <w:tcW w:w="1200" w:type="dxa"/>
            <w:tcBorders>
              <w:left w:val="single" w:sz="4" w:space="0" w:color="FFFFFF"/>
              <w:right w:val="single" w:sz="4" w:space="0" w:color="FFFFFF"/>
            </w:tcBorders>
            <w:shd w:val="clear" w:color="auto" w:fill="B8CCE3"/>
          </w:tcPr>
          <w:p>
            <w:pPr>
              <w:pStyle w:val="TableParagraph"/>
              <w:spacing w:line="272" w:lineRule="exact"/>
              <w:ind w:left="254" w:right="252"/>
              <w:rPr>
                <w:sz w:val="24"/>
              </w:rPr>
            </w:pPr>
            <w:r>
              <w:rPr>
                <w:sz w:val="24"/>
              </w:rPr>
              <w:t>2B</w:t>
            </w:r>
          </w:p>
        </w:tc>
        <w:tc>
          <w:tcPr>
            <w:tcW w:w="2141" w:type="dxa"/>
            <w:tcBorders>
              <w:left w:val="single" w:sz="4" w:space="0" w:color="FFFFFF"/>
              <w:right w:val="single" w:sz="4" w:space="0" w:color="FFFFFF"/>
            </w:tcBorders>
            <w:shd w:val="clear" w:color="auto" w:fill="B8CCE3"/>
          </w:tcPr>
          <w:p>
            <w:pPr>
              <w:pStyle w:val="TableParagraph"/>
              <w:spacing w:line="272" w:lineRule="exact"/>
              <w:ind w:left="777" w:right="777"/>
              <w:rPr>
                <w:sz w:val="24"/>
              </w:rPr>
            </w:pPr>
            <w:r>
              <w:rPr>
                <w:sz w:val="24"/>
              </w:rPr>
              <w:t>10</w:t>
            </w:r>
          </w:p>
        </w:tc>
        <w:tc>
          <w:tcPr>
            <w:tcW w:w="1940" w:type="dxa"/>
            <w:tcBorders>
              <w:left w:val="single" w:sz="4" w:space="0" w:color="FFFFFF"/>
              <w:right w:val="single" w:sz="4" w:space="0" w:color="FFFFFF"/>
            </w:tcBorders>
            <w:shd w:val="clear" w:color="auto" w:fill="B8CCE3"/>
          </w:tcPr>
          <w:p>
            <w:pPr>
              <w:pStyle w:val="TableParagraph"/>
              <w:spacing w:line="272" w:lineRule="exact"/>
              <w:ind w:right="1"/>
              <w:rPr>
                <w:sz w:val="24"/>
              </w:rPr>
            </w:pPr>
            <w:r>
              <w:rPr>
                <w:w w:val="99"/>
                <w:sz w:val="24"/>
              </w:rPr>
              <w:t>1</w:t>
            </w:r>
          </w:p>
        </w:tc>
        <w:tc>
          <w:tcPr>
            <w:tcW w:w="1820" w:type="dxa"/>
            <w:tcBorders>
              <w:left w:val="single" w:sz="4" w:space="0" w:color="FFFFFF"/>
              <w:right w:val="nil"/>
            </w:tcBorders>
            <w:shd w:val="clear" w:color="auto" w:fill="B8CCE3"/>
          </w:tcPr>
          <w:p>
            <w:pPr>
              <w:pStyle w:val="TableParagraph"/>
              <w:spacing w:line="272" w:lineRule="exact"/>
              <w:ind w:left="718" w:right="722"/>
              <w:rPr>
                <w:sz w:val="24"/>
              </w:rPr>
            </w:pPr>
            <w:r>
              <w:rPr>
                <w:sz w:val="24"/>
              </w:rPr>
              <w:t>0.1</w:t>
            </w:r>
          </w:p>
        </w:tc>
      </w:tr>
      <w:tr>
        <w:trPr>
          <w:trHeight w:val="310" w:hRule="exact"/>
        </w:trPr>
        <w:tc>
          <w:tcPr>
            <w:tcW w:w="1258" w:type="dxa"/>
            <w:tcBorders>
              <w:left w:val="nil"/>
              <w:right w:val="single" w:sz="4" w:space="0" w:color="FFFFFF"/>
            </w:tcBorders>
            <w:shd w:val="clear" w:color="auto" w:fill="DBE4F0"/>
          </w:tcPr>
          <w:p>
            <w:pPr>
              <w:pStyle w:val="TableParagraph"/>
              <w:spacing w:line="272" w:lineRule="exact"/>
              <w:ind w:left="67" w:right="63"/>
              <w:rPr>
                <w:sz w:val="24"/>
              </w:rPr>
            </w:pPr>
            <w:r>
              <w:rPr>
                <w:sz w:val="24"/>
              </w:rPr>
              <w:t>Os</w:t>
            </w:r>
          </w:p>
        </w:tc>
        <w:tc>
          <w:tcPr>
            <w:tcW w:w="1200" w:type="dxa"/>
            <w:tcBorders>
              <w:left w:val="single" w:sz="4" w:space="0" w:color="FFFFFF"/>
              <w:right w:val="single" w:sz="4" w:space="0" w:color="FFFFFF"/>
            </w:tcBorders>
            <w:shd w:val="clear" w:color="auto" w:fill="DBE4F0"/>
          </w:tcPr>
          <w:p>
            <w:pPr>
              <w:pStyle w:val="TableParagraph"/>
              <w:spacing w:line="272" w:lineRule="exact"/>
              <w:ind w:left="254" w:right="252"/>
              <w:rPr>
                <w:sz w:val="24"/>
              </w:rPr>
            </w:pPr>
            <w:r>
              <w:rPr>
                <w:sz w:val="24"/>
              </w:rPr>
              <w:t>2B</w:t>
            </w:r>
          </w:p>
        </w:tc>
        <w:tc>
          <w:tcPr>
            <w:tcW w:w="2141" w:type="dxa"/>
            <w:tcBorders>
              <w:left w:val="single" w:sz="4" w:space="0" w:color="FFFFFF"/>
              <w:right w:val="single" w:sz="4" w:space="0" w:color="FFFFFF"/>
            </w:tcBorders>
            <w:shd w:val="clear" w:color="auto" w:fill="DBE4F0"/>
          </w:tcPr>
          <w:p>
            <w:pPr>
              <w:pStyle w:val="TableParagraph"/>
              <w:spacing w:line="272" w:lineRule="exact"/>
              <w:ind w:left="777" w:right="777"/>
              <w:rPr>
                <w:sz w:val="24"/>
              </w:rPr>
            </w:pPr>
            <w:r>
              <w:rPr>
                <w:sz w:val="24"/>
              </w:rPr>
              <w:t>10</w:t>
            </w:r>
          </w:p>
        </w:tc>
        <w:tc>
          <w:tcPr>
            <w:tcW w:w="1940" w:type="dxa"/>
            <w:tcBorders>
              <w:left w:val="single" w:sz="4" w:space="0" w:color="FFFFFF"/>
              <w:right w:val="single" w:sz="4" w:space="0" w:color="FFFFFF"/>
            </w:tcBorders>
            <w:shd w:val="clear" w:color="auto" w:fill="DBE4F0"/>
          </w:tcPr>
          <w:p>
            <w:pPr>
              <w:pStyle w:val="TableParagraph"/>
              <w:spacing w:line="272" w:lineRule="exact"/>
              <w:ind w:right="1"/>
              <w:rPr>
                <w:sz w:val="24"/>
              </w:rPr>
            </w:pPr>
            <w:r>
              <w:rPr>
                <w:w w:val="99"/>
                <w:sz w:val="24"/>
              </w:rPr>
              <w:t>1</w:t>
            </w:r>
          </w:p>
        </w:tc>
        <w:tc>
          <w:tcPr>
            <w:tcW w:w="1820" w:type="dxa"/>
            <w:tcBorders>
              <w:left w:val="single" w:sz="4" w:space="0" w:color="FFFFFF"/>
              <w:right w:val="nil"/>
            </w:tcBorders>
            <w:shd w:val="clear" w:color="auto" w:fill="DBE4F0"/>
          </w:tcPr>
          <w:p>
            <w:pPr>
              <w:pStyle w:val="TableParagraph"/>
              <w:spacing w:line="272" w:lineRule="exact"/>
              <w:ind w:left="718" w:right="722"/>
              <w:rPr>
                <w:sz w:val="24"/>
              </w:rPr>
            </w:pPr>
            <w:r>
              <w:rPr>
                <w:sz w:val="24"/>
              </w:rPr>
              <w:t>0.1</w:t>
            </w:r>
          </w:p>
        </w:tc>
      </w:tr>
      <w:tr>
        <w:trPr>
          <w:trHeight w:val="310" w:hRule="exact"/>
        </w:trPr>
        <w:tc>
          <w:tcPr>
            <w:tcW w:w="1258" w:type="dxa"/>
            <w:tcBorders>
              <w:left w:val="nil"/>
              <w:right w:val="single" w:sz="4" w:space="0" w:color="FFFFFF"/>
            </w:tcBorders>
            <w:shd w:val="clear" w:color="auto" w:fill="B8CCE3"/>
          </w:tcPr>
          <w:p>
            <w:pPr>
              <w:pStyle w:val="TableParagraph"/>
              <w:spacing w:line="272" w:lineRule="exact"/>
              <w:ind w:left="65" w:right="63"/>
              <w:rPr>
                <w:sz w:val="24"/>
              </w:rPr>
            </w:pPr>
            <w:r>
              <w:rPr>
                <w:sz w:val="24"/>
              </w:rPr>
              <w:t>Rh</w:t>
            </w:r>
          </w:p>
        </w:tc>
        <w:tc>
          <w:tcPr>
            <w:tcW w:w="1200" w:type="dxa"/>
            <w:tcBorders>
              <w:left w:val="single" w:sz="4" w:space="0" w:color="FFFFFF"/>
              <w:right w:val="single" w:sz="4" w:space="0" w:color="FFFFFF"/>
            </w:tcBorders>
            <w:shd w:val="clear" w:color="auto" w:fill="B8CCE3"/>
          </w:tcPr>
          <w:p>
            <w:pPr>
              <w:pStyle w:val="TableParagraph"/>
              <w:spacing w:line="272" w:lineRule="exact"/>
              <w:ind w:left="254" w:right="252"/>
              <w:rPr>
                <w:sz w:val="24"/>
              </w:rPr>
            </w:pPr>
            <w:r>
              <w:rPr>
                <w:sz w:val="24"/>
              </w:rPr>
              <w:t>2B</w:t>
            </w:r>
          </w:p>
        </w:tc>
        <w:tc>
          <w:tcPr>
            <w:tcW w:w="2141" w:type="dxa"/>
            <w:tcBorders>
              <w:left w:val="single" w:sz="4" w:space="0" w:color="FFFFFF"/>
              <w:right w:val="single" w:sz="4" w:space="0" w:color="FFFFFF"/>
            </w:tcBorders>
            <w:shd w:val="clear" w:color="auto" w:fill="B8CCE3"/>
          </w:tcPr>
          <w:p>
            <w:pPr>
              <w:pStyle w:val="TableParagraph"/>
              <w:spacing w:line="272" w:lineRule="exact"/>
              <w:ind w:left="777" w:right="777"/>
              <w:rPr>
                <w:sz w:val="24"/>
              </w:rPr>
            </w:pPr>
            <w:r>
              <w:rPr>
                <w:sz w:val="24"/>
              </w:rPr>
              <w:t>10</w:t>
            </w:r>
          </w:p>
        </w:tc>
        <w:tc>
          <w:tcPr>
            <w:tcW w:w="1940" w:type="dxa"/>
            <w:tcBorders>
              <w:left w:val="single" w:sz="4" w:space="0" w:color="FFFFFF"/>
              <w:right w:val="single" w:sz="4" w:space="0" w:color="FFFFFF"/>
            </w:tcBorders>
            <w:shd w:val="clear" w:color="auto" w:fill="B8CCE3"/>
          </w:tcPr>
          <w:p>
            <w:pPr>
              <w:pStyle w:val="TableParagraph"/>
              <w:spacing w:line="272" w:lineRule="exact"/>
              <w:ind w:right="1"/>
              <w:rPr>
                <w:sz w:val="24"/>
              </w:rPr>
            </w:pPr>
            <w:r>
              <w:rPr>
                <w:w w:val="99"/>
                <w:sz w:val="24"/>
              </w:rPr>
              <w:t>1</w:t>
            </w:r>
          </w:p>
        </w:tc>
        <w:tc>
          <w:tcPr>
            <w:tcW w:w="1820" w:type="dxa"/>
            <w:tcBorders>
              <w:left w:val="single" w:sz="4" w:space="0" w:color="FFFFFF"/>
              <w:right w:val="nil"/>
            </w:tcBorders>
            <w:shd w:val="clear" w:color="auto" w:fill="B8CCE3"/>
          </w:tcPr>
          <w:p>
            <w:pPr>
              <w:pStyle w:val="TableParagraph"/>
              <w:spacing w:line="272" w:lineRule="exact"/>
              <w:ind w:left="718" w:right="722"/>
              <w:rPr>
                <w:sz w:val="24"/>
              </w:rPr>
            </w:pPr>
            <w:r>
              <w:rPr>
                <w:sz w:val="24"/>
              </w:rPr>
              <w:t>0.1</w:t>
            </w:r>
          </w:p>
        </w:tc>
      </w:tr>
      <w:tr>
        <w:trPr>
          <w:trHeight w:val="311" w:hRule="exact"/>
        </w:trPr>
        <w:tc>
          <w:tcPr>
            <w:tcW w:w="1258" w:type="dxa"/>
            <w:tcBorders>
              <w:left w:val="nil"/>
              <w:bottom w:val="single" w:sz="14" w:space="0" w:color="FFFFFF"/>
              <w:right w:val="single" w:sz="4" w:space="0" w:color="FFFFFF"/>
            </w:tcBorders>
            <w:shd w:val="clear" w:color="auto" w:fill="DBE4F0"/>
          </w:tcPr>
          <w:p>
            <w:pPr>
              <w:pStyle w:val="TableParagraph"/>
              <w:spacing w:line="272" w:lineRule="exact"/>
              <w:ind w:left="65" w:right="63"/>
              <w:rPr>
                <w:sz w:val="24"/>
              </w:rPr>
            </w:pPr>
            <w:r>
              <w:rPr>
                <w:sz w:val="24"/>
              </w:rPr>
              <w:t>Ru</w:t>
            </w:r>
          </w:p>
        </w:tc>
        <w:tc>
          <w:tcPr>
            <w:tcW w:w="1200" w:type="dxa"/>
            <w:tcBorders>
              <w:left w:val="single" w:sz="4" w:space="0" w:color="FFFFFF"/>
              <w:bottom w:val="single" w:sz="14" w:space="0" w:color="FFFFFF"/>
              <w:right w:val="single" w:sz="4" w:space="0" w:color="FFFFFF"/>
            </w:tcBorders>
            <w:shd w:val="clear" w:color="auto" w:fill="DBE4F0"/>
          </w:tcPr>
          <w:p>
            <w:pPr>
              <w:pStyle w:val="TableParagraph"/>
              <w:spacing w:line="272" w:lineRule="exact"/>
              <w:ind w:left="254" w:right="252"/>
              <w:rPr>
                <w:sz w:val="24"/>
              </w:rPr>
            </w:pPr>
            <w:r>
              <w:rPr>
                <w:sz w:val="24"/>
              </w:rPr>
              <w:t>2B</w:t>
            </w:r>
          </w:p>
        </w:tc>
        <w:tc>
          <w:tcPr>
            <w:tcW w:w="2141" w:type="dxa"/>
            <w:tcBorders>
              <w:left w:val="single" w:sz="4" w:space="0" w:color="FFFFFF"/>
              <w:bottom w:val="single" w:sz="14" w:space="0" w:color="FFFFFF"/>
              <w:right w:val="single" w:sz="4" w:space="0" w:color="FFFFFF"/>
            </w:tcBorders>
            <w:shd w:val="clear" w:color="auto" w:fill="DBE4F0"/>
          </w:tcPr>
          <w:p>
            <w:pPr>
              <w:pStyle w:val="TableParagraph"/>
              <w:spacing w:line="272" w:lineRule="exact"/>
              <w:ind w:left="777" w:right="777"/>
              <w:rPr>
                <w:sz w:val="24"/>
              </w:rPr>
            </w:pPr>
            <w:r>
              <w:rPr>
                <w:sz w:val="24"/>
              </w:rPr>
              <w:t>10</w:t>
            </w:r>
          </w:p>
        </w:tc>
        <w:tc>
          <w:tcPr>
            <w:tcW w:w="1940" w:type="dxa"/>
            <w:tcBorders>
              <w:left w:val="single" w:sz="4" w:space="0" w:color="FFFFFF"/>
              <w:bottom w:val="single" w:sz="14" w:space="0" w:color="FFFFFF"/>
              <w:right w:val="single" w:sz="4" w:space="0" w:color="FFFFFF"/>
            </w:tcBorders>
            <w:shd w:val="clear" w:color="auto" w:fill="DBE4F0"/>
          </w:tcPr>
          <w:p>
            <w:pPr>
              <w:pStyle w:val="TableParagraph"/>
              <w:spacing w:line="272" w:lineRule="exact"/>
              <w:ind w:right="1"/>
              <w:rPr>
                <w:sz w:val="24"/>
              </w:rPr>
            </w:pPr>
            <w:r>
              <w:rPr>
                <w:w w:val="99"/>
                <w:sz w:val="24"/>
              </w:rPr>
              <w:t>1</w:t>
            </w:r>
          </w:p>
        </w:tc>
        <w:tc>
          <w:tcPr>
            <w:tcW w:w="1820" w:type="dxa"/>
            <w:tcBorders>
              <w:left w:val="single" w:sz="4" w:space="0" w:color="FFFFFF"/>
              <w:bottom w:val="single" w:sz="14" w:space="0" w:color="FFFFFF"/>
              <w:right w:val="nil"/>
            </w:tcBorders>
            <w:shd w:val="clear" w:color="auto" w:fill="DBE4F0"/>
          </w:tcPr>
          <w:p>
            <w:pPr>
              <w:pStyle w:val="TableParagraph"/>
              <w:spacing w:line="272" w:lineRule="exact"/>
              <w:ind w:left="718" w:right="722"/>
              <w:rPr>
                <w:sz w:val="24"/>
              </w:rPr>
            </w:pPr>
            <w:r>
              <w:rPr>
                <w:sz w:val="24"/>
              </w:rPr>
              <w:t>0.1</w:t>
            </w:r>
          </w:p>
        </w:tc>
      </w:tr>
      <w:tr>
        <w:trPr>
          <w:trHeight w:val="311" w:hRule="exact"/>
        </w:trPr>
        <w:tc>
          <w:tcPr>
            <w:tcW w:w="1258" w:type="dxa"/>
            <w:tcBorders>
              <w:top w:val="single" w:sz="14" w:space="0" w:color="FFFFFF"/>
              <w:left w:val="nil"/>
              <w:right w:val="single" w:sz="4" w:space="0" w:color="FFFFFF"/>
            </w:tcBorders>
            <w:shd w:val="clear" w:color="auto" w:fill="B8CCE3"/>
          </w:tcPr>
          <w:p>
            <w:pPr>
              <w:pStyle w:val="TableParagraph"/>
              <w:spacing w:line="272" w:lineRule="exact"/>
              <w:ind w:left="69" w:right="63"/>
              <w:rPr>
                <w:sz w:val="24"/>
              </w:rPr>
            </w:pPr>
            <w:r>
              <w:rPr>
                <w:sz w:val="24"/>
              </w:rPr>
              <w:t>Se</w:t>
            </w:r>
          </w:p>
        </w:tc>
        <w:tc>
          <w:tcPr>
            <w:tcW w:w="1200" w:type="dxa"/>
            <w:tcBorders>
              <w:top w:val="single" w:sz="14" w:space="0" w:color="FFFFFF"/>
              <w:left w:val="single" w:sz="4" w:space="0" w:color="FFFFFF"/>
              <w:right w:val="single" w:sz="4" w:space="0" w:color="FFFFFF"/>
            </w:tcBorders>
            <w:shd w:val="clear" w:color="auto" w:fill="B8CCE3"/>
          </w:tcPr>
          <w:p>
            <w:pPr>
              <w:pStyle w:val="TableParagraph"/>
              <w:spacing w:line="272" w:lineRule="exact"/>
              <w:ind w:left="254" w:right="252"/>
              <w:rPr>
                <w:sz w:val="24"/>
              </w:rPr>
            </w:pPr>
            <w:r>
              <w:rPr>
                <w:sz w:val="24"/>
              </w:rPr>
              <w:t>2B</w:t>
            </w:r>
          </w:p>
        </w:tc>
        <w:tc>
          <w:tcPr>
            <w:tcW w:w="2141" w:type="dxa"/>
            <w:tcBorders>
              <w:top w:val="single" w:sz="14" w:space="0" w:color="FFFFFF"/>
              <w:left w:val="single" w:sz="4" w:space="0" w:color="FFFFFF"/>
              <w:right w:val="single" w:sz="4" w:space="0" w:color="FFFFFF"/>
            </w:tcBorders>
            <w:shd w:val="clear" w:color="auto" w:fill="B8CCE3"/>
          </w:tcPr>
          <w:p>
            <w:pPr>
              <w:pStyle w:val="TableParagraph"/>
              <w:spacing w:line="272" w:lineRule="exact"/>
              <w:ind w:left="777" w:right="777"/>
              <w:rPr>
                <w:sz w:val="24"/>
              </w:rPr>
            </w:pPr>
            <w:r>
              <w:rPr>
                <w:sz w:val="24"/>
              </w:rPr>
              <w:t>15</w:t>
            </w:r>
          </w:p>
        </w:tc>
        <w:tc>
          <w:tcPr>
            <w:tcW w:w="1940" w:type="dxa"/>
            <w:tcBorders>
              <w:top w:val="single" w:sz="14" w:space="0" w:color="FFFFFF"/>
              <w:left w:val="single" w:sz="4" w:space="0" w:color="FFFFFF"/>
              <w:right w:val="single" w:sz="4" w:space="0" w:color="FFFFFF"/>
            </w:tcBorders>
            <w:shd w:val="clear" w:color="auto" w:fill="B8CCE3"/>
          </w:tcPr>
          <w:p>
            <w:pPr>
              <w:pStyle w:val="TableParagraph"/>
              <w:spacing w:line="272" w:lineRule="exact"/>
              <w:ind w:right="1"/>
              <w:rPr>
                <w:sz w:val="24"/>
              </w:rPr>
            </w:pPr>
            <w:r>
              <w:rPr>
                <w:w w:val="99"/>
                <w:sz w:val="24"/>
              </w:rPr>
              <w:t>8</w:t>
            </w:r>
          </w:p>
        </w:tc>
        <w:tc>
          <w:tcPr>
            <w:tcW w:w="1820" w:type="dxa"/>
            <w:tcBorders>
              <w:top w:val="single" w:sz="14" w:space="0" w:color="FFFFFF"/>
              <w:left w:val="single" w:sz="4" w:space="0" w:color="FFFFFF"/>
              <w:right w:val="nil"/>
            </w:tcBorders>
            <w:shd w:val="clear" w:color="auto" w:fill="B8CCE3"/>
          </w:tcPr>
          <w:p>
            <w:pPr>
              <w:pStyle w:val="TableParagraph"/>
              <w:spacing w:line="272" w:lineRule="exact"/>
              <w:ind w:left="718" w:right="721"/>
              <w:rPr>
                <w:sz w:val="24"/>
              </w:rPr>
            </w:pPr>
            <w:r>
              <w:rPr>
                <w:sz w:val="24"/>
              </w:rPr>
              <w:t>13</w:t>
            </w:r>
          </w:p>
        </w:tc>
      </w:tr>
      <w:tr>
        <w:trPr>
          <w:trHeight w:val="310" w:hRule="exact"/>
        </w:trPr>
        <w:tc>
          <w:tcPr>
            <w:tcW w:w="1258" w:type="dxa"/>
            <w:tcBorders>
              <w:left w:val="nil"/>
              <w:right w:val="single" w:sz="4" w:space="0" w:color="FFFFFF"/>
            </w:tcBorders>
            <w:shd w:val="clear" w:color="auto" w:fill="DBE4F0"/>
          </w:tcPr>
          <w:p>
            <w:pPr>
              <w:pStyle w:val="TableParagraph"/>
              <w:spacing w:line="272" w:lineRule="exact"/>
              <w:ind w:left="69" w:right="63"/>
              <w:rPr>
                <w:sz w:val="24"/>
              </w:rPr>
            </w:pPr>
            <w:r>
              <w:rPr>
                <w:sz w:val="24"/>
              </w:rPr>
              <w:t>Ag</w:t>
            </w:r>
          </w:p>
        </w:tc>
        <w:tc>
          <w:tcPr>
            <w:tcW w:w="1200" w:type="dxa"/>
            <w:tcBorders>
              <w:left w:val="single" w:sz="4" w:space="0" w:color="FFFFFF"/>
              <w:right w:val="single" w:sz="4" w:space="0" w:color="FFFFFF"/>
            </w:tcBorders>
            <w:shd w:val="clear" w:color="auto" w:fill="DBE4F0"/>
          </w:tcPr>
          <w:p>
            <w:pPr>
              <w:pStyle w:val="TableParagraph"/>
              <w:spacing w:line="272" w:lineRule="exact"/>
              <w:ind w:left="254" w:right="252"/>
              <w:rPr>
                <w:sz w:val="24"/>
              </w:rPr>
            </w:pPr>
            <w:r>
              <w:rPr>
                <w:sz w:val="24"/>
              </w:rPr>
              <w:t>2B</w:t>
            </w:r>
          </w:p>
        </w:tc>
        <w:tc>
          <w:tcPr>
            <w:tcW w:w="2141" w:type="dxa"/>
            <w:tcBorders>
              <w:left w:val="single" w:sz="4" w:space="0" w:color="FFFFFF"/>
              <w:right w:val="single" w:sz="4" w:space="0" w:color="FFFFFF"/>
            </w:tcBorders>
            <w:shd w:val="clear" w:color="auto" w:fill="DBE4F0"/>
          </w:tcPr>
          <w:p>
            <w:pPr>
              <w:pStyle w:val="TableParagraph"/>
              <w:spacing w:line="272" w:lineRule="exact"/>
              <w:ind w:left="777" w:right="777"/>
              <w:rPr>
                <w:sz w:val="24"/>
              </w:rPr>
            </w:pPr>
            <w:r>
              <w:rPr>
                <w:sz w:val="24"/>
              </w:rPr>
              <w:t>15</w:t>
            </w:r>
          </w:p>
        </w:tc>
        <w:tc>
          <w:tcPr>
            <w:tcW w:w="1940" w:type="dxa"/>
            <w:tcBorders>
              <w:left w:val="single" w:sz="4" w:space="0" w:color="FFFFFF"/>
              <w:right w:val="single" w:sz="4" w:space="0" w:color="FFFFFF"/>
            </w:tcBorders>
            <w:shd w:val="clear" w:color="auto" w:fill="DBE4F0"/>
          </w:tcPr>
          <w:p>
            <w:pPr>
              <w:pStyle w:val="TableParagraph"/>
              <w:spacing w:line="272" w:lineRule="exact"/>
              <w:ind w:right="1"/>
              <w:rPr>
                <w:sz w:val="24"/>
              </w:rPr>
            </w:pPr>
            <w:r>
              <w:rPr>
                <w:w w:val="99"/>
                <w:sz w:val="24"/>
              </w:rPr>
              <w:t>1</w:t>
            </w:r>
          </w:p>
        </w:tc>
        <w:tc>
          <w:tcPr>
            <w:tcW w:w="1820" w:type="dxa"/>
            <w:tcBorders>
              <w:left w:val="single" w:sz="4" w:space="0" w:color="FFFFFF"/>
              <w:right w:val="nil"/>
            </w:tcBorders>
            <w:shd w:val="clear" w:color="auto" w:fill="DBE4F0"/>
          </w:tcPr>
          <w:p>
            <w:pPr>
              <w:pStyle w:val="TableParagraph"/>
              <w:spacing w:line="272" w:lineRule="exact"/>
              <w:ind w:left="718" w:right="722"/>
              <w:rPr>
                <w:sz w:val="24"/>
              </w:rPr>
            </w:pPr>
            <w:r>
              <w:rPr>
                <w:sz w:val="24"/>
              </w:rPr>
              <w:t>0.7</w:t>
            </w:r>
          </w:p>
        </w:tc>
      </w:tr>
      <w:tr>
        <w:trPr>
          <w:trHeight w:val="310" w:hRule="exact"/>
        </w:trPr>
        <w:tc>
          <w:tcPr>
            <w:tcW w:w="1258" w:type="dxa"/>
            <w:tcBorders>
              <w:left w:val="nil"/>
              <w:right w:val="single" w:sz="4" w:space="0" w:color="FFFFFF"/>
            </w:tcBorders>
            <w:shd w:val="clear" w:color="auto" w:fill="B8CCE3"/>
          </w:tcPr>
          <w:p>
            <w:pPr>
              <w:pStyle w:val="TableParagraph"/>
              <w:spacing w:line="272" w:lineRule="exact"/>
              <w:ind w:left="69" w:right="63"/>
              <w:rPr>
                <w:sz w:val="24"/>
              </w:rPr>
            </w:pPr>
            <w:r>
              <w:rPr>
                <w:sz w:val="24"/>
              </w:rPr>
              <w:t>Pt</w:t>
            </w:r>
          </w:p>
        </w:tc>
        <w:tc>
          <w:tcPr>
            <w:tcW w:w="1200" w:type="dxa"/>
            <w:tcBorders>
              <w:left w:val="single" w:sz="4" w:space="0" w:color="FFFFFF"/>
              <w:right w:val="single" w:sz="4" w:space="0" w:color="FFFFFF"/>
            </w:tcBorders>
            <w:shd w:val="clear" w:color="auto" w:fill="B8CCE3"/>
          </w:tcPr>
          <w:p>
            <w:pPr>
              <w:pStyle w:val="TableParagraph"/>
              <w:spacing w:line="272" w:lineRule="exact"/>
              <w:ind w:left="254" w:right="252"/>
              <w:rPr>
                <w:sz w:val="24"/>
              </w:rPr>
            </w:pPr>
            <w:r>
              <w:rPr>
                <w:sz w:val="24"/>
              </w:rPr>
              <w:t>2B</w:t>
            </w:r>
          </w:p>
        </w:tc>
        <w:tc>
          <w:tcPr>
            <w:tcW w:w="2141" w:type="dxa"/>
            <w:tcBorders>
              <w:left w:val="single" w:sz="4" w:space="0" w:color="FFFFFF"/>
              <w:right w:val="single" w:sz="4" w:space="0" w:color="FFFFFF"/>
            </w:tcBorders>
            <w:shd w:val="clear" w:color="auto" w:fill="B8CCE3"/>
          </w:tcPr>
          <w:p>
            <w:pPr>
              <w:pStyle w:val="TableParagraph"/>
              <w:spacing w:line="272" w:lineRule="exact"/>
              <w:ind w:left="777" w:right="777"/>
              <w:rPr>
                <w:sz w:val="24"/>
              </w:rPr>
            </w:pPr>
            <w:r>
              <w:rPr>
                <w:sz w:val="24"/>
              </w:rPr>
              <w:t>10</w:t>
            </w:r>
          </w:p>
        </w:tc>
        <w:tc>
          <w:tcPr>
            <w:tcW w:w="1940" w:type="dxa"/>
            <w:tcBorders>
              <w:left w:val="single" w:sz="4" w:space="0" w:color="FFFFFF"/>
              <w:right w:val="single" w:sz="4" w:space="0" w:color="FFFFFF"/>
            </w:tcBorders>
            <w:shd w:val="clear" w:color="auto" w:fill="B8CCE3"/>
          </w:tcPr>
          <w:p>
            <w:pPr>
              <w:pStyle w:val="TableParagraph"/>
              <w:spacing w:line="272" w:lineRule="exact"/>
              <w:ind w:right="1"/>
              <w:rPr>
                <w:sz w:val="24"/>
              </w:rPr>
            </w:pPr>
            <w:r>
              <w:rPr>
                <w:w w:val="99"/>
                <w:sz w:val="24"/>
              </w:rPr>
              <w:t>1</w:t>
            </w:r>
          </w:p>
        </w:tc>
        <w:tc>
          <w:tcPr>
            <w:tcW w:w="1820" w:type="dxa"/>
            <w:tcBorders>
              <w:left w:val="single" w:sz="4" w:space="0" w:color="FFFFFF"/>
              <w:right w:val="nil"/>
            </w:tcBorders>
            <w:shd w:val="clear" w:color="auto" w:fill="B8CCE3"/>
          </w:tcPr>
          <w:p>
            <w:pPr>
              <w:pStyle w:val="TableParagraph"/>
              <w:spacing w:line="272" w:lineRule="exact"/>
              <w:ind w:left="718" w:right="722"/>
              <w:rPr>
                <w:sz w:val="24"/>
              </w:rPr>
            </w:pPr>
            <w:r>
              <w:rPr>
                <w:sz w:val="24"/>
              </w:rPr>
              <w:t>0.1</w:t>
            </w:r>
          </w:p>
        </w:tc>
      </w:tr>
      <w:tr>
        <w:trPr>
          <w:trHeight w:val="310" w:hRule="exact"/>
        </w:trPr>
        <w:tc>
          <w:tcPr>
            <w:tcW w:w="1258" w:type="dxa"/>
            <w:tcBorders>
              <w:left w:val="nil"/>
              <w:right w:val="single" w:sz="4" w:space="0" w:color="FFFFFF"/>
            </w:tcBorders>
            <w:shd w:val="clear" w:color="auto" w:fill="DBE4F0"/>
          </w:tcPr>
          <w:p>
            <w:pPr>
              <w:pStyle w:val="TableParagraph"/>
              <w:spacing w:line="272" w:lineRule="exact"/>
              <w:ind w:left="68" w:right="63"/>
              <w:rPr>
                <w:sz w:val="24"/>
              </w:rPr>
            </w:pPr>
            <w:r>
              <w:rPr>
                <w:sz w:val="24"/>
              </w:rPr>
              <w:t>Li</w:t>
            </w:r>
          </w:p>
        </w:tc>
        <w:tc>
          <w:tcPr>
            <w:tcW w:w="1200" w:type="dxa"/>
            <w:tcBorders>
              <w:left w:val="single" w:sz="4" w:space="0" w:color="FFFFFF"/>
              <w:right w:val="single" w:sz="4" w:space="0" w:color="FFFFFF"/>
            </w:tcBorders>
            <w:shd w:val="clear" w:color="auto" w:fill="DBE4F0"/>
          </w:tcPr>
          <w:p>
            <w:pPr>
              <w:pStyle w:val="TableParagraph"/>
              <w:spacing w:line="272" w:lineRule="exact"/>
              <w:rPr>
                <w:sz w:val="24"/>
              </w:rPr>
            </w:pPr>
            <w:r>
              <w:rPr>
                <w:w w:val="99"/>
                <w:sz w:val="24"/>
              </w:rPr>
              <w:t>3</w:t>
            </w:r>
          </w:p>
        </w:tc>
        <w:tc>
          <w:tcPr>
            <w:tcW w:w="2141" w:type="dxa"/>
            <w:tcBorders>
              <w:left w:val="single" w:sz="4" w:space="0" w:color="FFFFFF"/>
              <w:right w:val="single" w:sz="4" w:space="0" w:color="FFFFFF"/>
            </w:tcBorders>
            <w:shd w:val="clear" w:color="auto" w:fill="DBE4F0"/>
          </w:tcPr>
          <w:p>
            <w:pPr>
              <w:pStyle w:val="TableParagraph"/>
              <w:spacing w:line="272" w:lineRule="exact"/>
              <w:ind w:left="777" w:right="777"/>
              <w:rPr>
                <w:sz w:val="24"/>
              </w:rPr>
            </w:pPr>
            <w:r>
              <w:rPr>
                <w:sz w:val="24"/>
              </w:rPr>
              <w:t>55</w:t>
            </w:r>
          </w:p>
        </w:tc>
        <w:tc>
          <w:tcPr>
            <w:tcW w:w="1940" w:type="dxa"/>
            <w:tcBorders>
              <w:left w:val="single" w:sz="4" w:space="0" w:color="FFFFFF"/>
              <w:right w:val="single" w:sz="4" w:space="0" w:color="FFFFFF"/>
            </w:tcBorders>
            <w:shd w:val="clear" w:color="auto" w:fill="DBE4F0"/>
          </w:tcPr>
          <w:p>
            <w:pPr>
              <w:pStyle w:val="TableParagraph"/>
              <w:spacing w:line="272" w:lineRule="exact"/>
              <w:ind w:left="146" w:right="146"/>
              <w:rPr>
                <w:sz w:val="24"/>
              </w:rPr>
            </w:pPr>
            <w:r>
              <w:rPr>
                <w:sz w:val="24"/>
              </w:rPr>
              <w:t>25</w:t>
            </w:r>
          </w:p>
        </w:tc>
        <w:tc>
          <w:tcPr>
            <w:tcW w:w="1820" w:type="dxa"/>
            <w:tcBorders>
              <w:left w:val="single" w:sz="4" w:space="0" w:color="FFFFFF"/>
              <w:right w:val="nil"/>
            </w:tcBorders>
            <w:shd w:val="clear" w:color="auto" w:fill="DBE4F0"/>
          </w:tcPr>
          <w:p>
            <w:pPr>
              <w:pStyle w:val="TableParagraph"/>
              <w:spacing w:line="272" w:lineRule="exact"/>
              <w:ind w:left="718" w:right="722"/>
              <w:rPr>
                <w:sz w:val="24"/>
              </w:rPr>
            </w:pPr>
            <w:r>
              <w:rPr>
                <w:sz w:val="24"/>
              </w:rPr>
              <w:t>2.5</w:t>
            </w:r>
          </w:p>
        </w:tc>
      </w:tr>
      <w:tr>
        <w:trPr>
          <w:trHeight w:val="310" w:hRule="exact"/>
        </w:trPr>
        <w:tc>
          <w:tcPr>
            <w:tcW w:w="1258" w:type="dxa"/>
            <w:tcBorders>
              <w:left w:val="nil"/>
              <w:right w:val="single" w:sz="4" w:space="0" w:color="FFFFFF"/>
            </w:tcBorders>
            <w:shd w:val="clear" w:color="auto" w:fill="B8CCE3"/>
          </w:tcPr>
          <w:p>
            <w:pPr>
              <w:pStyle w:val="TableParagraph"/>
              <w:spacing w:line="272" w:lineRule="exact"/>
              <w:ind w:left="69" w:right="63"/>
              <w:rPr>
                <w:sz w:val="24"/>
              </w:rPr>
            </w:pPr>
            <w:r>
              <w:rPr>
                <w:sz w:val="24"/>
              </w:rPr>
              <w:t>Sb</w:t>
            </w:r>
          </w:p>
        </w:tc>
        <w:tc>
          <w:tcPr>
            <w:tcW w:w="1200" w:type="dxa"/>
            <w:tcBorders>
              <w:left w:val="single" w:sz="4" w:space="0" w:color="FFFFFF"/>
              <w:right w:val="single" w:sz="4" w:space="0" w:color="FFFFFF"/>
            </w:tcBorders>
            <w:shd w:val="clear" w:color="auto" w:fill="B8CCE3"/>
          </w:tcPr>
          <w:p>
            <w:pPr>
              <w:pStyle w:val="TableParagraph"/>
              <w:spacing w:line="272" w:lineRule="exact"/>
              <w:rPr>
                <w:sz w:val="24"/>
              </w:rPr>
            </w:pPr>
            <w:r>
              <w:rPr>
                <w:w w:val="99"/>
                <w:sz w:val="24"/>
              </w:rPr>
              <w:t>3</w:t>
            </w:r>
          </w:p>
        </w:tc>
        <w:tc>
          <w:tcPr>
            <w:tcW w:w="2141" w:type="dxa"/>
            <w:tcBorders>
              <w:left w:val="single" w:sz="4" w:space="0" w:color="FFFFFF"/>
              <w:right w:val="single" w:sz="4" w:space="0" w:color="FFFFFF"/>
            </w:tcBorders>
            <w:shd w:val="clear" w:color="auto" w:fill="B8CCE3"/>
          </w:tcPr>
          <w:p>
            <w:pPr>
              <w:pStyle w:val="TableParagraph"/>
              <w:spacing w:line="272" w:lineRule="exact"/>
              <w:ind w:left="777" w:right="777"/>
              <w:rPr>
                <w:sz w:val="24"/>
              </w:rPr>
            </w:pPr>
            <w:r>
              <w:rPr>
                <w:sz w:val="24"/>
              </w:rPr>
              <w:t>120</w:t>
            </w:r>
          </w:p>
        </w:tc>
        <w:tc>
          <w:tcPr>
            <w:tcW w:w="1940" w:type="dxa"/>
            <w:tcBorders>
              <w:left w:val="single" w:sz="4" w:space="0" w:color="FFFFFF"/>
              <w:right w:val="single" w:sz="4" w:space="0" w:color="FFFFFF"/>
            </w:tcBorders>
            <w:shd w:val="clear" w:color="auto" w:fill="B8CCE3"/>
          </w:tcPr>
          <w:p>
            <w:pPr>
              <w:pStyle w:val="TableParagraph"/>
              <w:spacing w:line="272" w:lineRule="exact"/>
              <w:ind w:right="1"/>
              <w:rPr>
                <w:sz w:val="24"/>
              </w:rPr>
            </w:pPr>
            <w:r>
              <w:rPr>
                <w:w w:val="99"/>
                <w:sz w:val="24"/>
              </w:rPr>
              <w:t>9</w:t>
            </w:r>
          </w:p>
        </w:tc>
        <w:tc>
          <w:tcPr>
            <w:tcW w:w="1820" w:type="dxa"/>
            <w:tcBorders>
              <w:left w:val="single" w:sz="4" w:space="0" w:color="FFFFFF"/>
              <w:right w:val="nil"/>
            </w:tcBorders>
            <w:shd w:val="clear" w:color="auto" w:fill="B8CCE3"/>
          </w:tcPr>
          <w:p>
            <w:pPr>
              <w:pStyle w:val="TableParagraph"/>
              <w:spacing w:line="272" w:lineRule="exact"/>
              <w:ind w:right="4"/>
              <w:rPr>
                <w:sz w:val="24"/>
              </w:rPr>
            </w:pPr>
            <w:r>
              <w:rPr>
                <w:w w:val="99"/>
                <w:sz w:val="24"/>
              </w:rPr>
              <w:t>2</w:t>
            </w:r>
          </w:p>
        </w:tc>
      </w:tr>
      <w:tr>
        <w:trPr>
          <w:trHeight w:val="311" w:hRule="exact"/>
        </w:trPr>
        <w:tc>
          <w:tcPr>
            <w:tcW w:w="1258" w:type="dxa"/>
            <w:tcBorders>
              <w:left w:val="nil"/>
              <w:bottom w:val="single" w:sz="14" w:space="0" w:color="FFFFFF"/>
              <w:right w:val="single" w:sz="4" w:space="0" w:color="FFFFFF"/>
            </w:tcBorders>
            <w:shd w:val="clear" w:color="auto" w:fill="DBE4F0"/>
          </w:tcPr>
          <w:p>
            <w:pPr>
              <w:pStyle w:val="TableParagraph"/>
              <w:spacing w:line="272" w:lineRule="exact"/>
              <w:ind w:left="69" w:right="63"/>
              <w:rPr>
                <w:sz w:val="24"/>
              </w:rPr>
            </w:pPr>
            <w:r>
              <w:rPr>
                <w:sz w:val="24"/>
              </w:rPr>
              <w:t>Ba</w:t>
            </w:r>
          </w:p>
        </w:tc>
        <w:tc>
          <w:tcPr>
            <w:tcW w:w="1200" w:type="dxa"/>
            <w:tcBorders>
              <w:left w:val="single" w:sz="4" w:space="0" w:color="FFFFFF"/>
              <w:bottom w:val="single" w:sz="14" w:space="0" w:color="FFFFFF"/>
              <w:right w:val="single" w:sz="4" w:space="0" w:color="FFFFFF"/>
            </w:tcBorders>
            <w:shd w:val="clear" w:color="auto" w:fill="DBE4F0"/>
          </w:tcPr>
          <w:p>
            <w:pPr>
              <w:pStyle w:val="TableParagraph"/>
              <w:spacing w:line="272" w:lineRule="exact"/>
              <w:rPr>
                <w:sz w:val="24"/>
              </w:rPr>
            </w:pPr>
            <w:r>
              <w:rPr>
                <w:w w:val="99"/>
                <w:sz w:val="24"/>
              </w:rPr>
              <w:t>3</w:t>
            </w:r>
          </w:p>
        </w:tc>
        <w:tc>
          <w:tcPr>
            <w:tcW w:w="2141" w:type="dxa"/>
            <w:tcBorders>
              <w:left w:val="single" w:sz="4" w:space="0" w:color="FFFFFF"/>
              <w:bottom w:val="single" w:sz="14" w:space="0" w:color="FFFFFF"/>
              <w:right w:val="single" w:sz="4" w:space="0" w:color="FFFFFF"/>
            </w:tcBorders>
            <w:shd w:val="clear" w:color="auto" w:fill="DBE4F0"/>
          </w:tcPr>
          <w:p>
            <w:pPr>
              <w:pStyle w:val="TableParagraph"/>
              <w:spacing w:line="272" w:lineRule="exact"/>
              <w:ind w:left="777" w:right="777"/>
              <w:rPr>
                <w:sz w:val="24"/>
              </w:rPr>
            </w:pPr>
            <w:r>
              <w:rPr>
                <w:sz w:val="24"/>
              </w:rPr>
              <w:t>140</w:t>
            </w:r>
          </w:p>
        </w:tc>
        <w:tc>
          <w:tcPr>
            <w:tcW w:w="1940" w:type="dxa"/>
            <w:tcBorders>
              <w:left w:val="single" w:sz="4" w:space="0" w:color="FFFFFF"/>
              <w:bottom w:val="single" w:sz="14" w:space="0" w:color="FFFFFF"/>
              <w:right w:val="single" w:sz="4" w:space="0" w:color="FFFFFF"/>
            </w:tcBorders>
            <w:shd w:val="clear" w:color="auto" w:fill="DBE4F0"/>
          </w:tcPr>
          <w:p>
            <w:pPr>
              <w:pStyle w:val="TableParagraph"/>
              <w:spacing w:line="272" w:lineRule="exact"/>
              <w:ind w:left="146" w:right="146"/>
              <w:rPr>
                <w:sz w:val="24"/>
              </w:rPr>
            </w:pPr>
            <w:r>
              <w:rPr>
                <w:sz w:val="24"/>
              </w:rPr>
              <w:t>70</w:t>
            </w:r>
          </w:p>
        </w:tc>
        <w:tc>
          <w:tcPr>
            <w:tcW w:w="1820" w:type="dxa"/>
            <w:tcBorders>
              <w:left w:val="single" w:sz="4" w:space="0" w:color="FFFFFF"/>
              <w:bottom w:val="single" w:sz="14" w:space="0" w:color="FFFFFF"/>
              <w:right w:val="nil"/>
            </w:tcBorders>
            <w:shd w:val="clear" w:color="auto" w:fill="DBE4F0"/>
          </w:tcPr>
          <w:p>
            <w:pPr>
              <w:pStyle w:val="TableParagraph"/>
              <w:spacing w:line="272" w:lineRule="exact"/>
              <w:ind w:left="718" w:right="721"/>
              <w:rPr>
                <w:sz w:val="24"/>
              </w:rPr>
            </w:pPr>
            <w:r>
              <w:rPr>
                <w:sz w:val="24"/>
              </w:rPr>
              <w:t>30</w:t>
            </w:r>
          </w:p>
        </w:tc>
      </w:tr>
      <w:tr>
        <w:trPr>
          <w:trHeight w:val="311" w:hRule="exact"/>
        </w:trPr>
        <w:tc>
          <w:tcPr>
            <w:tcW w:w="1258" w:type="dxa"/>
            <w:tcBorders>
              <w:top w:val="single" w:sz="14" w:space="0" w:color="FFFFFF"/>
              <w:left w:val="nil"/>
              <w:right w:val="single" w:sz="4" w:space="0" w:color="FFFFFF"/>
            </w:tcBorders>
            <w:shd w:val="clear" w:color="auto" w:fill="B8CCE3"/>
          </w:tcPr>
          <w:p>
            <w:pPr>
              <w:pStyle w:val="TableParagraph"/>
              <w:spacing w:line="272" w:lineRule="exact"/>
              <w:ind w:left="63" w:right="63"/>
              <w:rPr>
                <w:sz w:val="24"/>
              </w:rPr>
            </w:pPr>
            <w:r>
              <w:rPr>
                <w:sz w:val="24"/>
              </w:rPr>
              <w:t>Mo</w:t>
            </w:r>
          </w:p>
        </w:tc>
        <w:tc>
          <w:tcPr>
            <w:tcW w:w="1200" w:type="dxa"/>
            <w:tcBorders>
              <w:top w:val="single" w:sz="14" w:space="0" w:color="FFFFFF"/>
              <w:left w:val="single" w:sz="4" w:space="0" w:color="FFFFFF"/>
              <w:right w:val="single" w:sz="4" w:space="0" w:color="FFFFFF"/>
            </w:tcBorders>
            <w:shd w:val="clear" w:color="auto" w:fill="B8CCE3"/>
          </w:tcPr>
          <w:p>
            <w:pPr>
              <w:pStyle w:val="TableParagraph"/>
              <w:spacing w:line="272" w:lineRule="exact"/>
              <w:rPr>
                <w:sz w:val="24"/>
              </w:rPr>
            </w:pPr>
            <w:r>
              <w:rPr>
                <w:w w:val="99"/>
                <w:sz w:val="24"/>
              </w:rPr>
              <w:t>3</w:t>
            </w:r>
          </w:p>
        </w:tc>
        <w:tc>
          <w:tcPr>
            <w:tcW w:w="2141" w:type="dxa"/>
            <w:tcBorders>
              <w:top w:val="single" w:sz="14" w:space="0" w:color="FFFFFF"/>
              <w:left w:val="single" w:sz="4" w:space="0" w:color="FFFFFF"/>
              <w:right w:val="single" w:sz="4" w:space="0" w:color="FFFFFF"/>
            </w:tcBorders>
            <w:shd w:val="clear" w:color="auto" w:fill="B8CCE3"/>
          </w:tcPr>
          <w:p>
            <w:pPr>
              <w:pStyle w:val="TableParagraph"/>
              <w:spacing w:line="272" w:lineRule="exact"/>
              <w:ind w:left="777" w:right="777"/>
              <w:rPr>
                <w:sz w:val="24"/>
              </w:rPr>
            </w:pPr>
            <w:r>
              <w:rPr>
                <w:sz w:val="24"/>
              </w:rPr>
              <w:t>300</w:t>
            </w:r>
          </w:p>
        </w:tc>
        <w:tc>
          <w:tcPr>
            <w:tcW w:w="1940" w:type="dxa"/>
            <w:tcBorders>
              <w:top w:val="single" w:sz="14" w:space="0" w:color="FFFFFF"/>
              <w:left w:val="single" w:sz="4" w:space="0" w:color="FFFFFF"/>
              <w:right w:val="single" w:sz="4" w:space="0" w:color="FFFFFF"/>
            </w:tcBorders>
            <w:shd w:val="clear" w:color="auto" w:fill="B8CCE3"/>
          </w:tcPr>
          <w:p>
            <w:pPr>
              <w:pStyle w:val="TableParagraph"/>
              <w:spacing w:line="272" w:lineRule="exact"/>
              <w:ind w:left="146" w:right="146"/>
              <w:rPr>
                <w:sz w:val="24"/>
              </w:rPr>
            </w:pPr>
            <w:r>
              <w:rPr>
                <w:sz w:val="24"/>
              </w:rPr>
              <w:t>150</w:t>
            </w:r>
          </w:p>
        </w:tc>
        <w:tc>
          <w:tcPr>
            <w:tcW w:w="1820" w:type="dxa"/>
            <w:tcBorders>
              <w:top w:val="single" w:sz="14" w:space="0" w:color="FFFFFF"/>
              <w:left w:val="single" w:sz="4" w:space="0" w:color="FFFFFF"/>
              <w:right w:val="nil"/>
            </w:tcBorders>
            <w:shd w:val="clear" w:color="auto" w:fill="B8CCE3"/>
          </w:tcPr>
          <w:p>
            <w:pPr>
              <w:pStyle w:val="TableParagraph"/>
              <w:spacing w:line="272" w:lineRule="exact"/>
              <w:ind w:right="4"/>
              <w:rPr>
                <w:sz w:val="24"/>
              </w:rPr>
            </w:pPr>
            <w:r>
              <w:rPr>
                <w:w w:val="99"/>
                <w:sz w:val="24"/>
              </w:rPr>
              <w:t>1</w:t>
            </w:r>
          </w:p>
        </w:tc>
      </w:tr>
      <w:tr>
        <w:trPr>
          <w:trHeight w:val="310" w:hRule="exact"/>
        </w:trPr>
        <w:tc>
          <w:tcPr>
            <w:tcW w:w="1258" w:type="dxa"/>
            <w:tcBorders>
              <w:left w:val="nil"/>
              <w:right w:val="single" w:sz="4" w:space="0" w:color="FFFFFF"/>
            </w:tcBorders>
            <w:shd w:val="clear" w:color="auto" w:fill="DBE4F0"/>
          </w:tcPr>
          <w:p>
            <w:pPr>
              <w:pStyle w:val="TableParagraph"/>
              <w:spacing w:line="272" w:lineRule="exact"/>
              <w:ind w:left="65" w:right="63"/>
              <w:rPr>
                <w:sz w:val="24"/>
              </w:rPr>
            </w:pPr>
            <w:r>
              <w:rPr>
                <w:sz w:val="24"/>
              </w:rPr>
              <w:t>Cu</w:t>
            </w:r>
          </w:p>
        </w:tc>
        <w:tc>
          <w:tcPr>
            <w:tcW w:w="1200" w:type="dxa"/>
            <w:tcBorders>
              <w:left w:val="single" w:sz="4" w:space="0" w:color="FFFFFF"/>
              <w:right w:val="single" w:sz="4" w:space="0" w:color="FFFFFF"/>
            </w:tcBorders>
            <w:shd w:val="clear" w:color="auto" w:fill="DBE4F0"/>
          </w:tcPr>
          <w:p>
            <w:pPr>
              <w:pStyle w:val="TableParagraph"/>
              <w:spacing w:line="272" w:lineRule="exact"/>
              <w:rPr>
                <w:sz w:val="24"/>
              </w:rPr>
            </w:pPr>
            <w:r>
              <w:rPr>
                <w:w w:val="99"/>
                <w:sz w:val="24"/>
              </w:rPr>
              <w:t>3</w:t>
            </w:r>
          </w:p>
        </w:tc>
        <w:tc>
          <w:tcPr>
            <w:tcW w:w="2141" w:type="dxa"/>
            <w:tcBorders>
              <w:left w:val="single" w:sz="4" w:space="0" w:color="FFFFFF"/>
              <w:right w:val="single" w:sz="4" w:space="0" w:color="FFFFFF"/>
            </w:tcBorders>
            <w:shd w:val="clear" w:color="auto" w:fill="DBE4F0"/>
          </w:tcPr>
          <w:p>
            <w:pPr>
              <w:pStyle w:val="TableParagraph"/>
              <w:spacing w:line="272" w:lineRule="exact"/>
              <w:ind w:left="777" w:right="777"/>
              <w:rPr>
                <w:sz w:val="24"/>
              </w:rPr>
            </w:pPr>
            <w:r>
              <w:rPr>
                <w:sz w:val="24"/>
              </w:rPr>
              <w:t>300</w:t>
            </w:r>
          </w:p>
        </w:tc>
        <w:tc>
          <w:tcPr>
            <w:tcW w:w="1940" w:type="dxa"/>
            <w:tcBorders>
              <w:left w:val="single" w:sz="4" w:space="0" w:color="FFFFFF"/>
              <w:right w:val="single" w:sz="4" w:space="0" w:color="FFFFFF"/>
            </w:tcBorders>
            <w:shd w:val="clear" w:color="auto" w:fill="DBE4F0"/>
          </w:tcPr>
          <w:p>
            <w:pPr>
              <w:pStyle w:val="TableParagraph"/>
              <w:spacing w:line="272" w:lineRule="exact"/>
              <w:ind w:left="146" w:right="146"/>
              <w:rPr>
                <w:sz w:val="24"/>
              </w:rPr>
            </w:pPr>
            <w:r>
              <w:rPr>
                <w:sz w:val="24"/>
              </w:rPr>
              <w:t>30</w:t>
            </w:r>
          </w:p>
        </w:tc>
        <w:tc>
          <w:tcPr>
            <w:tcW w:w="1820" w:type="dxa"/>
            <w:tcBorders>
              <w:left w:val="single" w:sz="4" w:space="0" w:color="FFFFFF"/>
              <w:right w:val="nil"/>
            </w:tcBorders>
            <w:shd w:val="clear" w:color="auto" w:fill="DBE4F0"/>
          </w:tcPr>
          <w:p>
            <w:pPr>
              <w:pStyle w:val="TableParagraph"/>
              <w:spacing w:line="272" w:lineRule="exact"/>
              <w:ind w:right="4"/>
              <w:rPr>
                <w:sz w:val="24"/>
              </w:rPr>
            </w:pPr>
            <w:r>
              <w:rPr>
                <w:w w:val="99"/>
                <w:sz w:val="24"/>
              </w:rPr>
              <w:t>3</w:t>
            </w:r>
          </w:p>
        </w:tc>
      </w:tr>
      <w:tr>
        <w:trPr>
          <w:trHeight w:val="310" w:hRule="exact"/>
        </w:trPr>
        <w:tc>
          <w:tcPr>
            <w:tcW w:w="1258" w:type="dxa"/>
            <w:tcBorders>
              <w:left w:val="nil"/>
              <w:right w:val="single" w:sz="4" w:space="0" w:color="FFFFFF"/>
            </w:tcBorders>
            <w:shd w:val="clear" w:color="auto" w:fill="B8CCE3"/>
          </w:tcPr>
          <w:p>
            <w:pPr>
              <w:pStyle w:val="TableParagraph"/>
              <w:spacing w:line="272" w:lineRule="exact"/>
              <w:ind w:left="69" w:right="63"/>
              <w:rPr>
                <w:sz w:val="24"/>
              </w:rPr>
            </w:pPr>
            <w:r>
              <w:rPr>
                <w:sz w:val="24"/>
              </w:rPr>
              <w:t>Sn</w:t>
            </w:r>
          </w:p>
        </w:tc>
        <w:tc>
          <w:tcPr>
            <w:tcW w:w="1200" w:type="dxa"/>
            <w:tcBorders>
              <w:left w:val="single" w:sz="4" w:space="0" w:color="FFFFFF"/>
              <w:right w:val="single" w:sz="4" w:space="0" w:color="FFFFFF"/>
            </w:tcBorders>
            <w:shd w:val="clear" w:color="auto" w:fill="B8CCE3"/>
          </w:tcPr>
          <w:p>
            <w:pPr>
              <w:pStyle w:val="TableParagraph"/>
              <w:spacing w:line="272" w:lineRule="exact"/>
              <w:rPr>
                <w:sz w:val="24"/>
              </w:rPr>
            </w:pPr>
            <w:r>
              <w:rPr>
                <w:w w:val="99"/>
                <w:sz w:val="24"/>
              </w:rPr>
              <w:t>3</w:t>
            </w:r>
          </w:p>
        </w:tc>
        <w:tc>
          <w:tcPr>
            <w:tcW w:w="2141" w:type="dxa"/>
            <w:tcBorders>
              <w:left w:val="single" w:sz="4" w:space="0" w:color="FFFFFF"/>
              <w:right w:val="single" w:sz="4" w:space="0" w:color="FFFFFF"/>
            </w:tcBorders>
            <w:shd w:val="clear" w:color="auto" w:fill="B8CCE3"/>
          </w:tcPr>
          <w:p>
            <w:pPr>
              <w:pStyle w:val="TableParagraph"/>
              <w:spacing w:line="272" w:lineRule="exact"/>
              <w:ind w:left="777" w:right="777"/>
              <w:rPr>
                <w:sz w:val="24"/>
              </w:rPr>
            </w:pPr>
            <w:r>
              <w:rPr>
                <w:sz w:val="24"/>
              </w:rPr>
              <w:t>600</w:t>
            </w:r>
          </w:p>
        </w:tc>
        <w:tc>
          <w:tcPr>
            <w:tcW w:w="1940" w:type="dxa"/>
            <w:tcBorders>
              <w:left w:val="single" w:sz="4" w:space="0" w:color="FFFFFF"/>
              <w:right w:val="single" w:sz="4" w:space="0" w:color="FFFFFF"/>
            </w:tcBorders>
            <w:shd w:val="clear" w:color="auto" w:fill="B8CCE3"/>
          </w:tcPr>
          <w:p>
            <w:pPr>
              <w:pStyle w:val="TableParagraph"/>
              <w:spacing w:line="272" w:lineRule="exact"/>
              <w:ind w:left="146" w:right="146"/>
              <w:rPr>
                <w:sz w:val="24"/>
              </w:rPr>
            </w:pPr>
            <w:r>
              <w:rPr>
                <w:sz w:val="24"/>
              </w:rPr>
              <w:t>60</w:t>
            </w:r>
          </w:p>
        </w:tc>
        <w:tc>
          <w:tcPr>
            <w:tcW w:w="1820" w:type="dxa"/>
            <w:tcBorders>
              <w:left w:val="single" w:sz="4" w:space="0" w:color="FFFFFF"/>
              <w:right w:val="nil"/>
            </w:tcBorders>
            <w:shd w:val="clear" w:color="auto" w:fill="B8CCE3"/>
          </w:tcPr>
          <w:p>
            <w:pPr>
              <w:pStyle w:val="TableParagraph"/>
              <w:spacing w:line="272" w:lineRule="exact"/>
              <w:ind w:right="4"/>
              <w:rPr>
                <w:sz w:val="24"/>
              </w:rPr>
            </w:pPr>
            <w:r>
              <w:rPr>
                <w:w w:val="99"/>
                <w:sz w:val="24"/>
              </w:rPr>
              <w:t>6</w:t>
            </w:r>
          </w:p>
        </w:tc>
      </w:tr>
      <w:tr>
        <w:trPr>
          <w:trHeight w:val="293" w:hRule="exact"/>
        </w:trPr>
        <w:tc>
          <w:tcPr>
            <w:tcW w:w="1258" w:type="dxa"/>
            <w:tcBorders>
              <w:left w:val="nil"/>
              <w:bottom w:val="nil"/>
              <w:right w:val="single" w:sz="4" w:space="0" w:color="FFFFFF"/>
            </w:tcBorders>
            <w:shd w:val="clear" w:color="auto" w:fill="DBE4F0"/>
          </w:tcPr>
          <w:p>
            <w:pPr>
              <w:pStyle w:val="TableParagraph"/>
              <w:spacing w:line="272" w:lineRule="exact"/>
              <w:ind w:left="65" w:right="63"/>
              <w:rPr>
                <w:sz w:val="24"/>
              </w:rPr>
            </w:pPr>
            <w:r>
              <w:rPr>
                <w:sz w:val="24"/>
              </w:rPr>
              <w:t>Cr</w:t>
            </w:r>
          </w:p>
        </w:tc>
        <w:tc>
          <w:tcPr>
            <w:tcW w:w="1200" w:type="dxa"/>
            <w:tcBorders>
              <w:left w:val="single" w:sz="4" w:space="0" w:color="FFFFFF"/>
              <w:bottom w:val="nil"/>
              <w:right w:val="single" w:sz="4" w:space="0" w:color="FFFFFF"/>
            </w:tcBorders>
            <w:shd w:val="clear" w:color="auto" w:fill="DBE4F0"/>
          </w:tcPr>
          <w:p>
            <w:pPr>
              <w:pStyle w:val="TableParagraph"/>
              <w:spacing w:line="272" w:lineRule="exact"/>
              <w:rPr>
                <w:sz w:val="24"/>
              </w:rPr>
            </w:pPr>
            <w:r>
              <w:rPr>
                <w:w w:val="99"/>
                <w:sz w:val="24"/>
              </w:rPr>
              <w:t>3</w:t>
            </w:r>
          </w:p>
        </w:tc>
        <w:tc>
          <w:tcPr>
            <w:tcW w:w="2141" w:type="dxa"/>
            <w:tcBorders>
              <w:left w:val="single" w:sz="4" w:space="0" w:color="FFFFFF"/>
              <w:bottom w:val="nil"/>
              <w:right w:val="single" w:sz="4" w:space="0" w:color="FFFFFF"/>
            </w:tcBorders>
            <w:shd w:val="clear" w:color="auto" w:fill="DBE4F0"/>
          </w:tcPr>
          <w:p>
            <w:pPr>
              <w:pStyle w:val="TableParagraph"/>
              <w:spacing w:line="272" w:lineRule="exact"/>
              <w:ind w:left="777" w:right="779"/>
              <w:rPr>
                <w:sz w:val="24"/>
              </w:rPr>
            </w:pPr>
            <w:r>
              <w:rPr>
                <w:sz w:val="24"/>
              </w:rPr>
              <w:t>1100</w:t>
            </w:r>
          </w:p>
        </w:tc>
        <w:tc>
          <w:tcPr>
            <w:tcW w:w="1940" w:type="dxa"/>
            <w:tcBorders>
              <w:left w:val="single" w:sz="4" w:space="0" w:color="FFFFFF"/>
              <w:bottom w:val="nil"/>
              <w:right w:val="single" w:sz="4" w:space="0" w:color="FFFFFF"/>
            </w:tcBorders>
            <w:shd w:val="clear" w:color="auto" w:fill="DBE4F0"/>
          </w:tcPr>
          <w:p>
            <w:pPr>
              <w:pStyle w:val="TableParagraph"/>
              <w:spacing w:line="272" w:lineRule="exact"/>
              <w:ind w:left="146" w:right="146"/>
              <w:rPr>
                <w:sz w:val="24"/>
              </w:rPr>
            </w:pPr>
            <w:r>
              <w:rPr>
                <w:sz w:val="24"/>
              </w:rPr>
              <w:t>110</w:t>
            </w:r>
          </w:p>
        </w:tc>
        <w:tc>
          <w:tcPr>
            <w:tcW w:w="1820" w:type="dxa"/>
            <w:tcBorders>
              <w:left w:val="single" w:sz="4" w:space="0" w:color="FFFFFF"/>
              <w:bottom w:val="nil"/>
              <w:right w:val="nil"/>
            </w:tcBorders>
            <w:shd w:val="clear" w:color="auto" w:fill="DBE4F0"/>
          </w:tcPr>
          <w:p>
            <w:pPr>
              <w:pStyle w:val="TableParagraph"/>
              <w:spacing w:line="272" w:lineRule="exact"/>
              <w:ind w:left="718" w:right="722"/>
              <w:rPr>
                <w:sz w:val="24"/>
              </w:rPr>
            </w:pPr>
            <w:r>
              <w:rPr>
                <w:sz w:val="24"/>
              </w:rPr>
              <w:t>0.3</w:t>
            </w:r>
          </w:p>
        </w:tc>
      </w:tr>
    </w:tbl>
    <w:p>
      <w:pPr>
        <w:spacing w:before="20"/>
        <w:ind w:left="810" w:right="0" w:firstLine="0"/>
        <w:jc w:val="left"/>
        <w:rPr>
          <w:sz w:val="18"/>
        </w:rPr>
      </w:pPr>
      <w:r>
        <w:rPr>
          <w:sz w:val="18"/>
        </w:rPr>
        <w:t>Fuente: Guía ICH Q3D, vigencia 2014-12-16</w:t>
      </w:r>
    </w:p>
    <w:p>
      <w:pPr>
        <w:spacing w:after="0"/>
        <w:jc w:val="left"/>
        <w:rPr>
          <w:sz w:val="18"/>
        </w:rPr>
        <w:sectPr>
          <w:pgSz w:w="12240" w:h="15840"/>
          <w:pgMar w:header="0" w:footer="919" w:top="1360" w:bottom="1100" w:left="1600" w:right="1520"/>
        </w:sectPr>
      </w:pPr>
    </w:p>
    <w:p>
      <w:pPr>
        <w:pStyle w:val="Heading2"/>
        <w:spacing w:line="328" w:lineRule="auto" w:before="56"/>
        <w:ind w:right="116" w:firstLine="0"/>
        <w:rPr>
          <w:b w:val="0"/>
          <w:i w:val="0"/>
          <w:sz w:val="16"/>
        </w:rPr>
      </w:pPr>
      <w:r>
        <w:rPr>
          <w:i/>
          <w:color w:val="212121"/>
        </w:rPr>
        <w:t>2.3. FDA (Administración de Alimentos y Medicamentos) y USP (Farmacopea </w:t>
      </w:r>
      <w:r>
        <w:rPr>
          <w:color w:val="212121"/>
        </w:rPr>
        <w:t>de los Estados Unidos) </w:t>
      </w:r>
      <w:r>
        <w:rPr>
          <w:b w:val="0"/>
          <w:i w:val="0"/>
          <w:color w:val="212121"/>
          <w:position w:val="11"/>
          <w:sz w:val="16"/>
        </w:rPr>
        <w:t>13, 19</w:t>
      </w:r>
    </w:p>
    <w:p>
      <w:pPr>
        <w:pStyle w:val="BodyText"/>
        <w:spacing w:before="1"/>
        <w:rPr>
          <w:sz w:val="38"/>
        </w:rPr>
      </w:pPr>
    </w:p>
    <w:p>
      <w:pPr>
        <w:pStyle w:val="BodyText"/>
        <w:spacing w:line="360" w:lineRule="auto" w:before="1"/>
        <w:ind w:left="102" w:right="118"/>
        <w:jc w:val="both"/>
      </w:pPr>
      <w:r>
        <w:rPr/>
        <w:t>La Convención de la Farmacopea de Estados Unidos (</w:t>
      </w:r>
      <w:r>
        <w:rPr>
          <w:b/>
        </w:rPr>
        <w:t>USP</w:t>
      </w:r>
      <w:r>
        <w:rPr/>
        <w:t>) es una organización independiente sin fines de lucro que establece estándares de calidad, pureza, identidad y potencia de medicamentos, ingredientes alimenticios y suplementos dietarios fabricados, distribuidos y consumidos en todo el mundo. La FDA es el organismo encargado de hacer cumplir los estándares de fármacos de USP en los Estados Unidos, y estos estándares se desarrollan y aplican en más de 140  países en todo el</w:t>
      </w:r>
      <w:r>
        <w:rPr>
          <w:spacing w:val="-11"/>
        </w:rPr>
        <w:t> </w:t>
      </w:r>
      <w:r>
        <w:rPr/>
        <w:t>mundo.</w:t>
      </w:r>
    </w:p>
    <w:p>
      <w:pPr>
        <w:pStyle w:val="BodyText"/>
      </w:pPr>
    </w:p>
    <w:p>
      <w:pPr>
        <w:pStyle w:val="BodyText"/>
        <w:spacing w:line="360" w:lineRule="auto" w:before="142"/>
        <w:ind w:left="102" w:right="121"/>
        <w:jc w:val="both"/>
      </w:pPr>
      <w:r>
        <w:rPr/>
        <w:t>En enero del 2010, la </w:t>
      </w:r>
      <w:r>
        <w:rPr>
          <w:b/>
        </w:rPr>
        <w:t>USP </w:t>
      </w:r>
      <w:r>
        <w:rPr/>
        <w:t>propuso límites toxicológicos para las impurezas elementales, con los cuales se pretende reemplazar los métodos existentes en el capítulo general &lt;231&gt; metales pesados, por técnicas modernas y de mayor sensibilidad.</w:t>
      </w:r>
    </w:p>
    <w:p>
      <w:pPr>
        <w:pStyle w:val="BodyText"/>
        <w:spacing w:line="360" w:lineRule="auto" w:before="202"/>
        <w:ind w:left="102" w:right="116"/>
        <w:jc w:val="both"/>
      </w:pPr>
      <w:r>
        <w:rPr/>
        <w:t>Los nuevos capítulos proporcionan los límites aceptables para la presencia de impurezas elementales, capítulo &lt;232&gt;, basados en datos de toxicidad y niveles de exposición, así como los procedimientos para la detección de impurezas seleccionadas en los productos basados en técnicas analíticas modernas,</w:t>
      </w:r>
      <w:r>
        <w:rPr>
          <w:spacing w:val="20"/>
        </w:rPr>
        <w:t> </w:t>
      </w:r>
      <w:r>
        <w:rPr/>
        <w:t>capítulo</w:t>
      </w:r>
    </w:p>
    <w:p>
      <w:pPr>
        <w:spacing w:line="279" w:lineRule="exact" w:before="0"/>
        <w:ind w:left="102" w:right="0" w:firstLine="0"/>
        <w:jc w:val="both"/>
        <w:rPr>
          <w:sz w:val="16"/>
        </w:rPr>
      </w:pPr>
      <w:r>
        <w:rPr>
          <w:sz w:val="24"/>
        </w:rPr>
        <w:t>&lt;233&gt;. </w:t>
      </w:r>
      <w:r>
        <w:rPr>
          <w:position w:val="11"/>
          <w:sz w:val="16"/>
        </w:rPr>
        <w:t>14</w:t>
      </w:r>
    </w:p>
    <w:p>
      <w:pPr>
        <w:pStyle w:val="BodyText"/>
        <w:spacing w:before="4"/>
        <w:rPr>
          <w:sz w:val="29"/>
        </w:rPr>
      </w:pPr>
    </w:p>
    <w:p>
      <w:pPr>
        <w:pStyle w:val="BodyText"/>
        <w:spacing w:line="352" w:lineRule="auto" w:before="1"/>
        <w:ind w:left="102" w:right="115"/>
        <w:jc w:val="both"/>
        <w:rPr>
          <w:sz w:val="16"/>
        </w:rPr>
      </w:pPr>
      <w:r>
        <w:rPr/>
        <w:t>El capítulo general &lt;232&gt; recomienda los límites para las cantidades aceptables de impurezas elementales en API’s. De las 15 impurezas elementales mencionadas, 11 son catalizadores. Las cuatro restantes (As, Cd, Hg y Pb) son impurezas naturales o ambientales, de las últimas cuatro es obligatorio la evaluación de su posible presencia.</w:t>
      </w:r>
      <w:r>
        <w:rPr>
          <w:spacing w:val="-7"/>
        </w:rPr>
        <w:t> </w:t>
      </w:r>
      <w:r>
        <w:rPr>
          <w:position w:val="11"/>
          <w:sz w:val="16"/>
        </w:rPr>
        <w:t>15</w:t>
      </w:r>
    </w:p>
    <w:p>
      <w:pPr>
        <w:pStyle w:val="BodyText"/>
        <w:spacing w:line="360" w:lineRule="auto" w:before="194"/>
        <w:ind w:left="102" w:right="117"/>
        <w:jc w:val="both"/>
      </w:pPr>
      <w:r>
        <w:rPr/>
        <w:t>El capítulo general &lt;233&gt; recomiendan las técnicas de Espectroscopia de Emisión Atómica de Plasma Inductivamente Acoplado (ICP-AES) y la de Espectrometría de emisión de Plasma Inductivamente Acoplado (ICP-MS) (información detallada </w:t>
      </w:r>
      <w:r>
        <w:rPr>
          <w:b/>
        </w:rPr>
        <w:t>Anexo    F</w:t>
      </w:r>
      <w:r>
        <w:rPr/>
        <w:t>)    para    detectar    impurezas    elementales,    también    describe las</w:t>
      </w:r>
    </w:p>
    <w:p>
      <w:pPr>
        <w:spacing w:after="0" w:line="360" w:lineRule="auto"/>
        <w:jc w:val="both"/>
        <w:sectPr>
          <w:pgSz w:w="12240" w:h="15840"/>
          <w:pgMar w:header="0" w:footer="919" w:top="1360" w:bottom="1100" w:left="1600" w:right="1580"/>
        </w:sectPr>
      </w:pPr>
    </w:p>
    <w:p>
      <w:pPr>
        <w:pStyle w:val="BodyText"/>
        <w:spacing w:line="328" w:lineRule="auto" w:before="56"/>
        <w:ind w:left="102" w:right="126"/>
        <w:jc w:val="both"/>
        <w:rPr>
          <w:sz w:val="16"/>
        </w:rPr>
      </w:pPr>
      <w:r>
        <w:rPr/>
        <w:t>consideraciones para la validación y/o verificación de los procedimientos y para el reconocimiento de métodos alternos aceptables. </w:t>
      </w:r>
      <w:r>
        <w:rPr>
          <w:position w:val="11"/>
          <w:sz w:val="16"/>
        </w:rPr>
        <w:t>15</w:t>
      </w:r>
    </w:p>
    <w:p>
      <w:pPr>
        <w:pStyle w:val="BodyText"/>
        <w:spacing w:line="360" w:lineRule="auto" w:before="225"/>
        <w:ind w:left="102" w:right="116"/>
        <w:jc w:val="both"/>
      </w:pPr>
      <w:r>
        <w:rPr/>
        <w:t>La modificación de los métodos para la cuantificación de estas impurezas elementales se debe a que el método tradicional del análisis de metales de la USP&lt;231&gt; lleva practicándose más de cien años. El método USP&lt;231&gt; es un método colorimétrico, donde la muestra es comparada con un patrón de 0.001% (10 ppm) de Pb; la comparación es visual lo cual indica subjetividad en el resultado, no proporciona un ensayo límite, no es cuantitativo, no es sensible a todos los elementos tóxicos o residuos de catalizadores y se requiere de una  gran</w:t>
      </w:r>
    </w:p>
    <w:p>
      <w:pPr>
        <w:pStyle w:val="BodyText"/>
        <w:spacing w:line="281" w:lineRule="exact"/>
        <w:ind w:left="102"/>
        <w:jc w:val="both"/>
        <w:rPr>
          <w:sz w:val="16"/>
        </w:rPr>
      </w:pPr>
      <w:r>
        <w:rPr/>
        <w:t>cantidad de muestra (2 g) por determinación. </w:t>
      </w:r>
      <w:r>
        <w:rPr>
          <w:position w:val="11"/>
          <w:sz w:val="16"/>
        </w:rPr>
        <w:t>16</w:t>
      </w:r>
    </w:p>
    <w:p>
      <w:pPr>
        <w:pStyle w:val="BodyText"/>
        <w:rPr>
          <w:sz w:val="28"/>
        </w:rPr>
      </w:pPr>
    </w:p>
    <w:p>
      <w:pPr>
        <w:pStyle w:val="BodyText"/>
        <w:spacing w:line="350" w:lineRule="auto" w:before="230"/>
        <w:ind w:left="102" w:right="115"/>
        <w:jc w:val="both"/>
        <w:rPr>
          <w:sz w:val="16"/>
        </w:rPr>
      </w:pPr>
      <w:r>
        <w:rPr/>
        <w:t>En el nuevo método USP&lt;233&gt; la preparación de la muestra se lleva a cabo por digestión en microondas y provee una completa disolución de la mayoría de los materiales sólidos, requiere una menor cantidad de muestra (0.1 g), mejorando la eficiencia y reduciendo el tiempo de análisis. </w:t>
      </w:r>
      <w:r>
        <w:rPr>
          <w:position w:val="11"/>
          <w:sz w:val="16"/>
        </w:rPr>
        <w:t>17</w:t>
      </w:r>
    </w:p>
    <w:p>
      <w:pPr>
        <w:spacing w:after="0" w:line="350" w:lineRule="auto"/>
        <w:jc w:val="both"/>
        <w:rPr>
          <w:sz w:val="16"/>
        </w:rPr>
        <w:sectPr>
          <w:footerReference w:type="default" r:id="rId20"/>
          <w:pgSz w:w="12240" w:h="15840"/>
          <w:pgMar w:footer="919" w:header="0" w:top="1360" w:bottom="1100" w:left="1600" w:right="1580"/>
        </w:sectPr>
      </w:pPr>
    </w:p>
    <w:p>
      <w:pPr>
        <w:pStyle w:val="Heading1"/>
        <w:numPr>
          <w:ilvl w:val="0"/>
          <w:numId w:val="5"/>
        </w:numPr>
        <w:tabs>
          <w:tab w:pos="371" w:val="left" w:leader="none"/>
        </w:tabs>
        <w:spacing w:line="240" w:lineRule="auto" w:before="56" w:after="0"/>
        <w:ind w:left="370" w:right="0" w:hanging="268"/>
        <w:jc w:val="both"/>
      </w:pPr>
      <w:bookmarkStart w:name="_bookmark16" w:id="29"/>
      <w:bookmarkEnd w:id="29"/>
      <w:r>
        <w:rPr>
          <w:b w:val="0"/>
        </w:rPr>
      </w:r>
      <w:bookmarkStart w:name="_bookmark16" w:id="30"/>
      <w:bookmarkEnd w:id="30"/>
      <w:r>
        <w:rPr/>
        <w:t>P</w:t>
      </w:r>
      <w:r>
        <w:rPr/>
        <w:t>LANTEAMIENTO DEL</w:t>
      </w:r>
      <w:r>
        <w:rPr>
          <w:spacing w:val="-9"/>
        </w:rPr>
        <w:t> </w:t>
      </w:r>
      <w:r>
        <w:rPr/>
        <w:t>PROBLEMA</w:t>
      </w:r>
    </w:p>
    <w:p>
      <w:pPr>
        <w:pStyle w:val="BodyText"/>
        <w:rPr>
          <w:b/>
        </w:rPr>
      </w:pPr>
    </w:p>
    <w:p>
      <w:pPr>
        <w:pStyle w:val="BodyText"/>
        <w:spacing w:before="10"/>
        <w:rPr>
          <w:b/>
          <w:sz w:val="20"/>
        </w:rPr>
      </w:pPr>
    </w:p>
    <w:p>
      <w:pPr>
        <w:pStyle w:val="BodyText"/>
        <w:spacing w:line="360" w:lineRule="auto"/>
        <w:ind w:left="102" w:right="117"/>
        <w:jc w:val="both"/>
      </w:pPr>
      <w:r>
        <w:rPr>
          <w:b/>
          <w:u w:val="thick"/>
        </w:rPr>
        <w:t>Tecnológico</w:t>
      </w:r>
      <w:r>
        <w:rPr/>
        <w:t>: En los últimos años, los límites de exposición a impurezas elementales tales como As, Cd, Pb y Hg han sido restringidos hasta    niveles de 5</w:t>
      </w:r>
    </w:p>
    <w:p>
      <w:pPr>
        <w:pStyle w:val="BodyText"/>
        <w:spacing w:line="360" w:lineRule="auto" w:before="5"/>
        <w:ind w:left="102" w:right="117"/>
        <w:jc w:val="both"/>
      </w:pPr>
      <w:r>
        <w:rPr>
          <w:rFonts w:ascii="Symbol" w:hAnsi="Symbol"/>
        </w:rPr>
        <w:t></w:t>
      </w:r>
      <w:r>
        <w:rPr/>
        <w:t>g /día, lo cual implica que los métodos analíticos tengan que ser capaces de cuantificar concentraciones menores a 1 ppm (partes por millón). Para cumplir con lo anterior, se deben desarrollar nuevos métodos basados en técnicas analíticas modernas cuya principal ventaja sea alcanzar un límite de detección más bajo ya que las metodologías actuales cuantifican niveles de 10 ppm o mayores.</w:t>
      </w:r>
    </w:p>
    <w:p>
      <w:pPr>
        <w:pStyle w:val="BodyText"/>
      </w:pPr>
    </w:p>
    <w:p>
      <w:pPr>
        <w:pStyle w:val="BodyText"/>
        <w:spacing w:line="360" w:lineRule="auto" w:before="142"/>
        <w:ind w:left="102" w:right="118"/>
        <w:jc w:val="both"/>
      </w:pPr>
      <w:r>
        <w:rPr>
          <w:b/>
          <w:u w:val="thick"/>
        </w:rPr>
        <w:t>Social</w:t>
      </w:r>
      <w:r>
        <w:rPr/>
        <w:t>: Debe existir un control para las impurezas elementales con el fin de proporcionar un beneficio a la salud pública, estableciendo controles apropiados para estas impurezas que se conoce tienen efectos tóxicos en el ser humano. Estas impurezas pueden provenir de las materias primas, excipientes, procesos de fabricación del producto y pueden ser catalizadores, reactivos, metales pesados u otros.</w:t>
      </w:r>
    </w:p>
    <w:p>
      <w:pPr>
        <w:pStyle w:val="BodyText"/>
      </w:pPr>
    </w:p>
    <w:p>
      <w:pPr>
        <w:pStyle w:val="BodyText"/>
        <w:spacing w:line="360" w:lineRule="auto" w:before="142"/>
        <w:ind w:left="102" w:right="115"/>
        <w:jc w:val="both"/>
      </w:pPr>
      <w:r>
        <w:rPr>
          <w:b/>
          <w:u w:val="thick"/>
        </w:rPr>
        <w:t>Económico</w:t>
      </w:r>
      <w:r>
        <w:rPr/>
        <w:t>: Los requerimientos regulatorios actuales exigen el cumplimiento de especificaciones más estrictas sobre impurezas elementales. Los productos que actualmente se producen en la empresa farmoquimica, no cuentan con una metodología de análisis de impurezas elementales que se ajuste a lo establecido en las normas regulatorias internacionales ICH Q3D, por lo cual es importante el desarrollo y validación de tal metodología. Esta metodología debe poder aplicarse a todos los principios activos que ya se encuentran en el mercado internacional y están regidos por las normas ICH.</w:t>
      </w:r>
    </w:p>
    <w:p>
      <w:pPr>
        <w:pStyle w:val="BodyText"/>
      </w:pPr>
    </w:p>
    <w:p>
      <w:pPr>
        <w:pStyle w:val="BodyText"/>
        <w:spacing w:line="360" w:lineRule="auto" w:before="140"/>
        <w:ind w:left="102" w:right="113"/>
        <w:jc w:val="both"/>
      </w:pPr>
      <w:r>
        <w:rPr>
          <w:b/>
          <w:u w:val="thick"/>
        </w:rPr>
        <w:t>Ambiental</w:t>
      </w:r>
      <w:r>
        <w:rPr/>
        <w:t>: Al contar con una metodología adecuada evitaremos retrabajos y reprocesos, lo que implica costos adicionales, residuos, consumos de energía, materias primas.</w:t>
      </w:r>
    </w:p>
    <w:p>
      <w:pPr>
        <w:spacing w:after="0" w:line="360" w:lineRule="auto"/>
        <w:jc w:val="both"/>
        <w:sectPr>
          <w:footerReference w:type="default" r:id="rId21"/>
          <w:pgSz w:w="12240" w:h="15840"/>
          <w:pgMar w:footer="919" w:header="0" w:top="1360" w:bottom="1100" w:left="1600" w:right="1580"/>
          <w:pgNumType w:start="21"/>
        </w:sectPr>
      </w:pPr>
    </w:p>
    <w:p>
      <w:pPr>
        <w:pStyle w:val="Heading1"/>
        <w:numPr>
          <w:ilvl w:val="0"/>
          <w:numId w:val="5"/>
        </w:numPr>
        <w:tabs>
          <w:tab w:pos="371" w:val="left" w:leader="none"/>
        </w:tabs>
        <w:spacing w:line="240" w:lineRule="auto" w:before="56" w:after="0"/>
        <w:ind w:left="370" w:right="0" w:hanging="268"/>
        <w:jc w:val="both"/>
      </w:pPr>
      <w:bookmarkStart w:name="_bookmark17" w:id="31"/>
      <w:bookmarkEnd w:id="31"/>
      <w:r>
        <w:rPr>
          <w:b w:val="0"/>
        </w:rPr>
      </w:r>
      <w:bookmarkStart w:name="_bookmark17" w:id="32"/>
      <w:bookmarkEnd w:id="32"/>
      <w:r>
        <w:rPr/>
        <w:t>OBJ</w:t>
      </w:r>
      <w:r>
        <w:rPr/>
        <w:t>ETIVO</w:t>
      </w:r>
      <w:r>
        <w:rPr>
          <w:spacing w:val="-12"/>
        </w:rPr>
        <w:t> </w:t>
      </w:r>
      <w:r>
        <w:rPr/>
        <w:t>GENERAL</w:t>
      </w:r>
    </w:p>
    <w:p>
      <w:pPr>
        <w:pStyle w:val="BodyText"/>
        <w:rPr>
          <w:b/>
        </w:rPr>
      </w:pPr>
    </w:p>
    <w:p>
      <w:pPr>
        <w:pStyle w:val="BodyText"/>
        <w:spacing w:before="10"/>
        <w:rPr>
          <w:b/>
          <w:sz w:val="20"/>
        </w:rPr>
      </w:pPr>
    </w:p>
    <w:p>
      <w:pPr>
        <w:pStyle w:val="BodyText"/>
        <w:spacing w:line="360" w:lineRule="auto"/>
        <w:ind w:left="102" w:right="117"/>
        <w:jc w:val="both"/>
      </w:pPr>
      <w:r>
        <w:rPr/>
        <w:t>Desarrollar una metodología general para el análisis de las posibles impurezas elementales presentes en los API’s para asegurar el cumplimiento del producto de acuerdo a la ICH Q3D previo a la implementación del proceso.</w:t>
      </w:r>
    </w:p>
    <w:p>
      <w:pPr>
        <w:pStyle w:val="BodyText"/>
        <w:spacing w:before="1"/>
        <w:rPr>
          <w:sz w:val="21"/>
        </w:rPr>
      </w:pPr>
    </w:p>
    <w:p>
      <w:pPr>
        <w:pStyle w:val="Heading2"/>
        <w:numPr>
          <w:ilvl w:val="1"/>
          <w:numId w:val="5"/>
        </w:numPr>
        <w:tabs>
          <w:tab w:pos="570" w:val="left" w:leader="none"/>
        </w:tabs>
        <w:spacing w:line="240" w:lineRule="auto" w:before="0" w:after="0"/>
        <w:ind w:left="570" w:right="0" w:hanging="468"/>
        <w:jc w:val="both"/>
        <w:rPr>
          <w:i/>
        </w:rPr>
      </w:pPr>
      <w:bookmarkStart w:name="_bookmark18" w:id="33"/>
      <w:bookmarkEnd w:id="33"/>
      <w:r>
        <w:rPr>
          <w:b w:val="0"/>
          <w:i w:val="0"/>
        </w:rPr>
      </w:r>
      <w:bookmarkStart w:name="_bookmark18" w:id="34"/>
      <w:bookmarkEnd w:id="34"/>
      <w:r>
        <w:rPr>
          <w:i/>
        </w:rPr>
        <w:t>OBJ</w:t>
      </w:r>
      <w:r>
        <w:rPr>
          <w:i/>
        </w:rPr>
        <w:t>ETIVOS</w:t>
      </w:r>
      <w:r>
        <w:rPr>
          <w:i/>
          <w:spacing w:val="-5"/>
        </w:rPr>
        <w:t> </w:t>
      </w:r>
      <w:r>
        <w:rPr>
          <w:i/>
        </w:rPr>
        <w:t>ESPECÍFICOS</w:t>
      </w:r>
    </w:p>
    <w:p>
      <w:pPr>
        <w:pStyle w:val="BodyText"/>
        <w:rPr>
          <w:b/>
          <w:i/>
        </w:rPr>
      </w:pPr>
    </w:p>
    <w:p>
      <w:pPr>
        <w:pStyle w:val="BodyText"/>
        <w:spacing w:before="10"/>
        <w:rPr>
          <w:b/>
          <w:i/>
          <w:sz w:val="20"/>
        </w:rPr>
      </w:pPr>
    </w:p>
    <w:p>
      <w:pPr>
        <w:pStyle w:val="ListParagraph"/>
        <w:numPr>
          <w:ilvl w:val="2"/>
          <w:numId w:val="5"/>
        </w:numPr>
        <w:tabs>
          <w:tab w:pos="822" w:val="left" w:leader="none"/>
        </w:tabs>
        <w:spacing w:line="360" w:lineRule="auto" w:before="0" w:after="0"/>
        <w:ind w:left="822" w:right="114" w:hanging="720"/>
        <w:jc w:val="both"/>
        <w:rPr>
          <w:sz w:val="24"/>
        </w:rPr>
      </w:pPr>
      <w:r>
        <w:rPr>
          <w:sz w:val="24"/>
        </w:rPr>
        <w:t>Desarrollar una metodología analítica general para la determinación de impurezas elementales Clase 1, Clase 2A y Pd mediante la técnica de ICP- MS de acuerdo a los límites establecidos en las guías ICH Q3D en base a  la dosis diaria máxima</w:t>
      </w:r>
      <w:r>
        <w:rPr>
          <w:spacing w:val="-10"/>
          <w:sz w:val="24"/>
        </w:rPr>
        <w:t> </w:t>
      </w:r>
      <w:r>
        <w:rPr>
          <w:sz w:val="24"/>
        </w:rPr>
        <w:t>permisible</w:t>
      </w:r>
    </w:p>
    <w:p>
      <w:pPr>
        <w:pStyle w:val="BodyText"/>
      </w:pPr>
    </w:p>
    <w:p>
      <w:pPr>
        <w:pStyle w:val="ListParagraph"/>
        <w:numPr>
          <w:ilvl w:val="2"/>
          <w:numId w:val="5"/>
        </w:numPr>
        <w:tabs>
          <w:tab w:pos="822" w:val="left" w:leader="none"/>
        </w:tabs>
        <w:spacing w:line="360" w:lineRule="auto" w:before="142" w:after="0"/>
        <w:ind w:left="822" w:right="118" w:hanging="720"/>
        <w:jc w:val="both"/>
        <w:rPr>
          <w:sz w:val="24"/>
        </w:rPr>
      </w:pPr>
      <w:r>
        <w:rPr>
          <w:sz w:val="24"/>
        </w:rPr>
        <w:t>Revisar y documentar información toxicológica de cada una de las impurezas elementales a monitorear: As, Cd, Hg, Pb, V, Co, Ni y</w:t>
      </w:r>
      <w:r>
        <w:rPr>
          <w:spacing w:val="-19"/>
          <w:sz w:val="24"/>
        </w:rPr>
        <w:t> </w:t>
      </w:r>
      <w:r>
        <w:rPr>
          <w:sz w:val="24"/>
        </w:rPr>
        <w:t>Pd</w:t>
      </w:r>
    </w:p>
    <w:p>
      <w:pPr>
        <w:pStyle w:val="BodyText"/>
      </w:pPr>
    </w:p>
    <w:p>
      <w:pPr>
        <w:pStyle w:val="ListParagraph"/>
        <w:numPr>
          <w:ilvl w:val="2"/>
          <w:numId w:val="5"/>
        </w:numPr>
        <w:tabs>
          <w:tab w:pos="822" w:val="left" w:leader="none"/>
        </w:tabs>
        <w:spacing w:line="360" w:lineRule="auto" w:before="142" w:after="0"/>
        <w:ind w:left="822" w:right="116" w:hanging="720"/>
        <w:jc w:val="both"/>
        <w:rPr>
          <w:sz w:val="24"/>
        </w:rPr>
      </w:pPr>
      <w:r>
        <w:rPr>
          <w:sz w:val="24"/>
        </w:rPr>
        <w:t>Elaborar los protocolos de validación para los métodos analíticos desarrollados, así como la validación de dichos métodos y presentación de resultados mediante un reporte de</w:t>
      </w:r>
      <w:r>
        <w:rPr>
          <w:spacing w:val="-13"/>
          <w:sz w:val="24"/>
        </w:rPr>
        <w:t> </w:t>
      </w:r>
      <w:r>
        <w:rPr>
          <w:sz w:val="24"/>
        </w:rPr>
        <w:t>validación</w:t>
      </w:r>
    </w:p>
    <w:p>
      <w:pPr>
        <w:pStyle w:val="BodyText"/>
      </w:pPr>
    </w:p>
    <w:p>
      <w:pPr>
        <w:pStyle w:val="BodyText"/>
        <w:spacing w:before="3"/>
        <w:rPr>
          <w:sz w:val="21"/>
        </w:rPr>
      </w:pPr>
    </w:p>
    <w:p>
      <w:pPr>
        <w:pStyle w:val="ListParagraph"/>
        <w:numPr>
          <w:ilvl w:val="2"/>
          <w:numId w:val="5"/>
        </w:numPr>
        <w:tabs>
          <w:tab w:pos="822" w:val="left" w:leader="none"/>
        </w:tabs>
        <w:spacing w:line="360" w:lineRule="auto" w:before="0" w:after="0"/>
        <w:ind w:left="822" w:right="115" w:hanging="720"/>
        <w:jc w:val="both"/>
        <w:rPr>
          <w:sz w:val="24"/>
        </w:rPr>
      </w:pPr>
      <w:r>
        <w:rPr>
          <w:sz w:val="24"/>
        </w:rPr>
        <w:t>Identificar y documentar el origen de las posibles fuentes de impurezas elementales en el proceso de fabricación del API a estudiar para asegurar que el producto cumpla el requerimiento</w:t>
      </w:r>
      <w:r>
        <w:rPr>
          <w:spacing w:val="-21"/>
          <w:sz w:val="24"/>
        </w:rPr>
        <w:t> </w:t>
      </w:r>
      <w:r>
        <w:rPr>
          <w:sz w:val="24"/>
        </w:rPr>
        <w:t>regulatorio</w:t>
      </w:r>
    </w:p>
    <w:p>
      <w:pPr>
        <w:spacing w:after="0" w:line="360" w:lineRule="auto"/>
        <w:jc w:val="both"/>
        <w:rPr>
          <w:sz w:val="24"/>
        </w:rPr>
        <w:sectPr>
          <w:pgSz w:w="12240" w:h="15840"/>
          <w:pgMar w:header="0" w:footer="919" w:top="1360" w:bottom="1100" w:left="1600" w:right="1580"/>
        </w:sectPr>
      </w:pPr>
    </w:p>
    <w:p>
      <w:pPr>
        <w:pStyle w:val="Heading1"/>
        <w:numPr>
          <w:ilvl w:val="0"/>
          <w:numId w:val="5"/>
        </w:numPr>
        <w:tabs>
          <w:tab w:pos="411" w:val="left" w:leader="none"/>
        </w:tabs>
        <w:spacing w:line="240" w:lineRule="auto" w:before="56" w:after="0"/>
        <w:ind w:left="410" w:right="0" w:hanging="268"/>
        <w:jc w:val="both"/>
      </w:pPr>
      <w:bookmarkStart w:name="_bookmark19" w:id="35"/>
      <w:bookmarkEnd w:id="35"/>
      <w:r>
        <w:rPr>
          <w:b w:val="0"/>
        </w:rPr>
      </w:r>
      <w:bookmarkStart w:name="_bookmark19" w:id="36"/>
      <w:bookmarkEnd w:id="36"/>
      <w:r>
        <w:rPr/>
        <w:t>M</w:t>
      </w:r>
      <w:r>
        <w:rPr/>
        <w:t>ETODOLOGÍA</w:t>
      </w:r>
    </w:p>
    <w:p>
      <w:pPr>
        <w:pStyle w:val="BodyText"/>
        <w:rPr>
          <w:b/>
        </w:rPr>
      </w:pPr>
    </w:p>
    <w:p>
      <w:pPr>
        <w:pStyle w:val="BodyText"/>
        <w:spacing w:before="10"/>
        <w:rPr>
          <w:b/>
          <w:sz w:val="20"/>
        </w:rPr>
      </w:pPr>
    </w:p>
    <w:p>
      <w:pPr>
        <w:pStyle w:val="BodyText"/>
        <w:spacing w:line="360" w:lineRule="auto"/>
        <w:ind w:left="142" w:right="306"/>
        <w:jc w:val="both"/>
      </w:pPr>
      <w:r>
        <w:rPr/>
        <w:t>La metodología que se llevó a cabo para el cumplimiento de los diferentes objetivos específicos fue la siguiente:</w:t>
      </w:r>
    </w:p>
    <w:p>
      <w:pPr>
        <w:pStyle w:val="BodyText"/>
      </w:pPr>
    </w:p>
    <w:p>
      <w:pPr>
        <w:pStyle w:val="BodyText"/>
        <w:spacing w:line="360" w:lineRule="auto" w:before="142"/>
        <w:ind w:left="142" w:right="299"/>
        <w:jc w:val="both"/>
      </w:pPr>
      <w:r>
        <w:rPr>
          <w:b/>
        </w:rPr>
        <w:t>Objetivo específico 1</w:t>
      </w:r>
      <w:r>
        <w:rPr/>
        <w:t>: Desarrollar métodos analíticos para la determinación de impurezas elementales clase 1, clase 2A y Pd.</w:t>
      </w:r>
    </w:p>
    <w:p>
      <w:pPr>
        <w:pStyle w:val="BodyText"/>
      </w:pPr>
    </w:p>
    <w:p>
      <w:pPr>
        <w:pStyle w:val="BodyText"/>
        <w:spacing w:line="360" w:lineRule="auto" w:before="142"/>
        <w:ind w:left="142" w:right="295"/>
        <w:jc w:val="both"/>
      </w:pPr>
      <w:r>
        <w:rPr/>
        <w:t>Para el desarrollo de estos métodos se utilizó la metodología indicada en el capítulo USP &lt;233&gt; referente a los procedimientos analíticos y considerando la dosis máxima de ingesta de 10 g/día del API, para cada elemento se determinó la concentración máxima permisible, quedando los valores como se muestra en la Tabla 5.1, estos valores corresponden con lo especificado en la guía ICH Q3D y</w:t>
      </w:r>
    </w:p>
    <w:p>
      <w:pPr>
        <w:pStyle w:val="BodyText"/>
        <w:spacing w:line="328" w:lineRule="auto" w:before="5"/>
        <w:ind w:left="142" w:right="301"/>
        <w:jc w:val="both"/>
        <w:rPr>
          <w:sz w:val="16"/>
        </w:rPr>
      </w:pPr>
      <w:r>
        <w:rPr/>
        <w:t>se utilizaron los equipos, materiales, estándares y reactivos descritos más adelante</w:t>
      </w:r>
      <w:r>
        <w:rPr>
          <w:spacing w:val="-1"/>
        </w:rPr>
        <w:t> </w:t>
      </w:r>
      <w:r>
        <w:rPr>
          <w:position w:val="11"/>
          <w:sz w:val="16"/>
        </w:rPr>
        <w:t>18</w:t>
      </w:r>
    </w:p>
    <w:p>
      <w:pPr>
        <w:pStyle w:val="BodyText"/>
        <w:spacing w:before="1"/>
        <w:rPr>
          <w:sz w:val="38"/>
        </w:rPr>
      </w:pPr>
    </w:p>
    <w:p>
      <w:pPr>
        <w:pStyle w:val="BodyText"/>
        <w:spacing w:before="1"/>
        <w:ind w:left="142"/>
        <w:jc w:val="both"/>
      </w:pPr>
      <w:r>
        <w:rPr/>
        <w:t>Tabla 5.1 Especificación vigente para las impurezas elementales</w:t>
      </w:r>
    </w:p>
    <w:p>
      <w:pPr>
        <w:pStyle w:val="BodyText"/>
        <w:spacing w:before="3"/>
        <w:rPr>
          <w:sz w:val="12"/>
        </w:rPr>
      </w:pPr>
    </w:p>
    <w:tbl>
      <w:tblPr>
        <w:tblW w:w="0" w:type="auto"/>
        <w:jc w:val="left"/>
        <w:tblInd w:w="113"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1875"/>
        <w:gridCol w:w="895"/>
        <w:gridCol w:w="895"/>
        <w:gridCol w:w="896"/>
        <w:gridCol w:w="895"/>
        <w:gridCol w:w="895"/>
        <w:gridCol w:w="896"/>
        <w:gridCol w:w="894"/>
        <w:gridCol w:w="896"/>
      </w:tblGrid>
      <w:tr>
        <w:trPr>
          <w:trHeight w:val="434" w:hRule="exact"/>
        </w:trPr>
        <w:tc>
          <w:tcPr>
            <w:tcW w:w="1875" w:type="dxa"/>
            <w:tcBorders>
              <w:bottom w:val="single" w:sz="4" w:space="0" w:color="000000"/>
              <w:right w:val="single" w:sz="4" w:space="0" w:color="000000"/>
            </w:tcBorders>
            <w:shd w:val="clear" w:color="auto" w:fill="EDEBE0"/>
          </w:tcPr>
          <w:p>
            <w:pPr>
              <w:pStyle w:val="TableParagraph"/>
              <w:spacing w:before="67"/>
              <w:ind w:left="400" w:right="405"/>
              <w:rPr>
                <w:sz w:val="24"/>
              </w:rPr>
            </w:pPr>
            <w:r>
              <w:rPr>
                <w:sz w:val="24"/>
              </w:rPr>
              <w:t>Elemento</w:t>
            </w:r>
          </w:p>
        </w:tc>
        <w:tc>
          <w:tcPr>
            <w:tcW w:w="895" w:type="dxa"/>
            <w:tcBorders>
              <w:left w:val="single" w:sz="4" w:space="0" w:color="000000"/>
              <w:bottom w:val="single" w:sz="4" w:space="0" w:color="000000"/>
              <w:right w:val="single" w:sz="4" w:space="0" w:color="000000"/>
            </w:tcBorders>
            <w:shd w:val="clear" w:color="auto" w:fill="CCCCFF"/>
          </w:tcPr>
          <w:p>
            <w:pPr>
              <w:pStyle w:val="TableParagraph"/>
              <w:spacing w:before="67"/>
              <w:ind w:left="245" w:right="256"/>
              <w:rPr>
                <w:b/>
                <w:sz w:val="24"/>
              </w:rPr>
            </w:pPr>
            <w:r>
              <w:rPr>
                <w:b/>
                <w:sz w:val="24"/>
              </w:rPr>
              <w:t>As</w:t>
            </w:r>
          </w:p>
        </w:tc>
        <w:tc>
          <w:tcPr>
            <w:tcW w:w="895" w:type="dxa"/>
            <w:tcBorders>
              <w:left w:val="single" w:sz="4" w:space="0" w:color="000000"/>
              <w:bottom w:val="single" w:sz="4" w:space="0" w:color="000000"/>
              <w:right w:val="single" w:sz="4" w:space="0" w:color="000000"/>
            </w:tcBorders>
            <w:shd w:val="clear" w:color="auto" w:fill="CCCCFF"/>
          </w:tcPr>
          <w:p>
            <w:pPr>
              <w:pStyle w:val="TableParagraph"/>
              <w:spacing w:before="67"/>
              <w:ind w:left="256" w:right="256"/>
              <w:rPr>
                <w:b/>
                <w:sz w:val="24"/>
              </w:rPr>
            </w:pPr>
            <w:r>
              <w:rPr>
                <w:b/>
                <w:sz w:val="24"/>
              </w:rPr>
              <w:t>Cd</w:t>
            </w:r>
          </w:p>
        </w:tc>
        <w:tc>
          <w:tcPr>
            <w:tcW w:w="896" w:type="dxa"/>
            <w:tcBorders>
              <w:left w:val="single" w:sz="4" w:space="0" w:color="000000"/>
              <w:bottom w:val="single" w:sz="4" w:space="0" w:color="000000"/>
              <w:right w:val="single" w:sz="4" w:space="0" w:color="000000"/>
            </w:tcBorders>
            <w:shd w:val="clear" w:color="auto" w:fill="CCCCFF"/>
          </w:tcPr>
          <w:p>
            <w:pPr>
              <w:pStyle w:val="TableParagraph"/>
              <w:spacing w:before="67"/>
              <w:ind w:left="263" w:right="263"/>
              <w:rPr>
                <w:b/>
                <w:sz w:val="24"/>
              </w:rPr>
            </w:pPr>
            <w:r>
              <w:rPr>
                <w:b/>
                <w:sz w:val="24"/>
              </w:rPr>
              <w:t>Hg</w:t>
            </w:r>
          </w:p>
        </w:tc>
        <w:tc>
          <w:tcPr>
            <w:tcW w:w="895" w:type="dxa"/>
            <w:tcBorders>
              <w:left w:val="single" w:sz="4" w:space="0" w:color="000000"/>
              <w:bottom w:val="single" w:sz="4" w:space="0" w:color="000000"/>
              <w:right w:val="single" w:sz="4" w:space="0" w:color="000000"/>
            </w:tcBorders>
            <w:shd w:val="clear" w:color="auto" w:fill="CCCCFF"/>
          </w:tcPr>
          <w:p>
            <w:pPr>
              <w:pStyle w:val="TableParagraph"/>
              <w:spacing w:before="67"/>
              <w:ind w:left="255" w:right="256"/>
              <w:rPr>
                <w:b/>
                <w:sz w:val="24"/>
              </w:rPr>
            </w:pPr>
            <w:r>
              <w:rPr>
                <w:b/>
                <w:sz w:val="24"/>
              </w:rPr>
              <w:t>Pb</w:t>
            </w:r>
          </w:p>
        </w:tc>
        <w:tc>
          <w:tcPr>
            <w:tcW w:w="895" w:type="dxa"/>
            <w:tcBorders>
              <w:left w:val="single" w:sz="4" w:space="0" w:color="000000"/>
              <w:bottom w:val="single" w:sz="4" w:space="0" w:color="000000"/>
              <w:right w:val="single" w:sz="4" w:space="0" w:color="000000"/>
            </w:tcBorders>
            <w:shd w:val="clear" w:color="auto" w:fill="E4DFEB"/>
          </w:tcPr>
          <w:p>
            <w:pPr>
              <w:pStyle w:val="TableParagraph"/>
              <w:spacing w:before="67"/>
              <w:ind w:left="362"/>
              <w:jc w:val="left"/>
              <w:rPr>
                <w:b/>
                <w:sz w:val="24"/>
              </w:rPr>
            </w:pPr>
            <w:r>
              <w:rPr>
                <w:b/>
                <w:sz w:val="24"/>
              </w:rPr>
              <w:t>V</w:t>
            </w:r>
          </w:p>
        </w:tc>
        <w:tc>
          <w:tcPr>
            <w:tcW w:w="896" w:type="dxa"/>
            <w:tcBorders>
              <w:left w:val="single" w:sz="4" w:space="0" w:color="000000"/>
              <w:bottom w:val="single" w:sz="4" w:space="0" w:color="000000"/>
              <w:right w:val="single" w:sz="4" w:space="0" w:color="000000"/>
            </w:tcBorders>
            <w:shd w:val="clear" w:color="auto" w:fill="E4DFEB"/>
          </w:tcPr>
          <w:p>
            <w:pPr>
              <w:pStyle w:val="TableParagraph"/>
              <w:spacing w:before="67"/>
              <w:ind w:left="263" w:right="263"/>
              <w:rPr>
                <w:b/>
                <w:sz w:val="24"/>
              </w:rPr>
            </w:pPr>
            <w:r>
              <w:rPr>
                <w:b/>
                <w:sz w:val="24"/>
              </w:rPr>
              <w:t>Co</w:t>
            </w:r>
          </w:p>
        </w:tc>
        <w:tc>
          <w:tcPr>
            <w:tcW w:w="894" w:type="dxa"/>
            <w:tcBorders>
              <w:left w:val="single" w:sz="4" w:space="0" w:color="000000"/>
              <w:bottom w:val="single" w:sz="4" w:space="0" w:color="000000"/>
              <w:right w:val="single" w:sz="4" w:space="0" w:color="000000"/>
            </w:tcBorders>
            <w:shd w:val="clear" w:color="auto" w:fill="E4DFEB"/>
          </w:tcPr>
          <w:p>
            <w:pPr>
              <w:pStyle w:val="TableParagraph"/>
              <w:spacing w:before="67"/>
              <w:ind w:left="321"/>
              <w:jc w:val="left"/>
              <w:rPr>
                <w:b/>
                <w:sz w:val="24"/>
              </w:rPr>
            </w:pPr>
            <w:r>
              <w:rPr>
                <w:b/>
                <w:sz w:val="24"/>
              </w:rPr>
              <w:t>Ni</w:t>
            </w:r>
          </w:p>
        </w:tc>
        <w:tc>
          <w:tcPr>
            <w:tcW w:w="896" w:type="dxa"/>
            <w:tcBorders>
              <w:left w:val="single" w:sz="4" w:space="0" w:color="000000"/>
              <w:bottom w:val="single" w:sz="4" w:space="0" w:color="000000"/>
            </w:tcBorders>
            <w:shd w:val="clear" w:color="auto" w:fill="DBEDF3"/>
          </w:tcPr>
          <w:p>
            <w:pPr>
              <w:pStyle w:val="TableParagraph"/>
              <w:spacing w:before="67"/>
              <w:ind w:left="289"/>
              <w:jc w:val="left"/>
              <w:rPr>
                <w:b/>
                <w:sz w:val="24"/>
              </w:rPr>
            </w:pPr>
            <w:r>
              <w:rPr>
                <w:b/>
                <w:sz w:val="24"/>
              </w:rPr>
              <w:t>Pd</w:t>
            </w:r>
          </w:p>
        </w:tc>
      </w:tr>
      <w:tr>
        <w:trPr>
          <w:trHeight w:val="430" w:hRule="exact"/>
        </w:trPr>
        <w:tc>
          <w:tcPr>
            <w:tcW w:w="1875" w:type="dxa"/>
            <w:tcBorders>
              <w:top w:val="single" w:sz="4" w:space="0" w:color="000000"/>
              <w:bottom w:val="single" w:sz="4" w:space="0" w:color="000000"/>
              <w:right w:val="single" w:sz="4" w:space="0" w:color="000000"/>
            </w:tcBorders>
            <w:shd w:val="clear" w:color="auto" w:fill="EDEBE0"/>
          </w:tcPr>
          <w:p>
            <w:pPr>
              <w:pStyle w:val="TableParagraph"/>
              <w:spacing w:before="67"/>
              <w:ind w:left="398" w:right="405"/>
              <w:rPr>
                <w:sz w:val="24"/>
              </w:rPr>
            </w:pPr>
            <w:r>
              <w:rPr>
                <w:sz w:val="24"/>
              </w:rPr>
              <w:t>Clase</w:t>
            </w:r>
          </w:p>
        </w:tc>
        <w:tc>
          <w:tcPr>
            <w:tcW w:w="895" w:type="dxa"/>
            <w:tcBorders>
              <w:top w:val="single" w:sz="4" w:space="0" w:color="000000"/>
              <w:left w:val="single" w:sz="4" w:space="0" w:color="000000"/>
              <w:bottom w:val="single" w:sz="4" w:space="0" w:color="000000"/>
              <w:right w:val="single" w:sz="4" w:space="0" w:color="000000"/>
            </w:tcBorders>
            <w:shd w:val="clear" w:color="auto" w:fill="CCCCFF"/>
          </w:tcPr>
          <w:p>
            <w:pPr>
              <w:pStyle w:val="TableParagraph"/>
              <w:spacing w:before="67"/>
              <w:ind w:right="1"/>
              <w:rPr>
                <w:sz w:val="24"/>
              </w:rPr>
            </w:pPr>
            <w:r>
              <w:rPr>
                <w:w w:val="99"/>
                <w:sz w:val="24"/>
              </w:rPr>
              <w:t>1</w:t>
            </w:r>
          </w:p>
        </w:tc>
        <w:tc>
          <w:tcPr>
            <w:tcW w:w="895" w:type="dxa"/>
            <w:tcBorders>
              <w:top w:val="single" w:sz="4" w:space="0" w:color="000000"/>
              <w:left w:val="single" w:sz="4" w:space="0" w:color="000000"/>
              <w:bottom w:val="single" w:sz="4" w:space="0" w:color="000000"/>
              <w:right w:val="single" w:sz="4" w:space="0" w:color="000000"/>
            </w:tcBorders>
            <w:shd w:val="clear" w:color="auto" w:fill="CCCCFF"/>
          </w:tcPr>
          <w:p>
            <w:pPr>
              <w:pStyle w:val="TableParagraph"/>
              <w:spacing w:before="67"/>
              <w:ind w:right="1"/>
              <w:rPr>
                <w:sz w:val="24"/>
              </w:rPr>
            </w:pPr>
            <w:r>
              <w:rPr>
                <w:w w:val="99"/>
                <w:sz w:val="24"/>
              </w:rPr>
              <w:t>1</w:t>
            </w:r>
          </w:p>
        </w:tc>
        <w:tc>
          <w:tcPr>
            <w:tcW w:w="896" w:type="dxa"/>
            <w:tcBorders>
              <w:top w:val="single" w:sz="4" w:space="0" w:color="000000"/>
              <w:left w:val="single" w:sz="4" w:space="0" w:color="000000"/>
              <w:bottom w:val="single" w:sz="4" w:space="0" w:color="000000"/>
              <w:right w:val="single" w:sz="4" w:space="0" w:color="000000"/>
            </w:tcBorders>
            <w:shd w:val="clear" w:color="auto" w:fill="CCCCFF"/>
          </w:tcPr>
          <w:p>
            <w:pPr>
              <w:pStyle w:val="TableParagraph"/>
              <w:spacing w:before="67"/>
              <w:ind w:right="1"/>
              <w:rPr>
                <w:sz w:val="24"/>
              </w:rPr>
            </w:pPr>
            <w:r>
              <w:rPr>
                <w:w w:val="99"/>
                <w:sz w:val="24"/>
              </w:rPr>
              <w:t>1</w:t>
            </w:r>
          </w:p>
        </w:tc>
        <w:tc>
          <w:tcPr>
            <w:tcW w:w="895" w:type="dxa"/>
            <w:tcBorders>
              <w:top w:val="single" w:sz="4" w:space="0" w:color="000000"/>
              <w:left w:val="single" w:sz="4" w:space="0" w:color="000000"/>
              <w:bottom w:val="single" w:sz="4" w:space="0" w:color="000000"/>
              <w:right w:val="single" w:sz="4" w:space="0" w:color="000000"/>
            </w:tcBorders>
            <w:shd w:val="clear" w:color="auto" w:fill="CCCCFF"/>
          </w:tcPr>
          <w:p>
            <w:pPr>
              <w:pStyle w:val="TableParagraph"/>
              <w:spacing w:before="67"/>
              <w:ind w:right="1"/>
              <w:rPr>
                <w:sz w:val="24"/>
              </w:rPr>
            </w:pPr>
            <w:r>
              <w:rPr>
                <w:w w:val="99"/>
                <w:sz w:val="24"/>
              </w:rPr>
              <w:t>1</w:t>
            </w:r>
          </w:p>
        </w:tc>
        <w:tc>
          <w:tcPr>
            <w:tcW w:w="895" w:type="dxa"/>
            <w:tcBorders>
              <w:top w:val="single" w:sz="4" w:space="0" w:color="000000"/>
              <w:left w:val="single" w:sz="4" w:space="0" w:color="000000"/>
              <w:bottom w:val="single" w:sz="4" w:space="0" w:color="000000"/>
              <w:right w:val="single" w:sz="4" w:space="0" w:color="000000"/>
            </w:tcBorders>
            <w:shd w:val="clear" w:color="auto" w:fill="E4DFEB"/>
          </w:tcPr>
          <w:p>
            <w:pPr>
              <w:pStyle w:val="TableParagraph"/>
              <w:spacing w:before="67"/>
              <w:ind w:left="295"/>
              <w:jc w:val="left"/>
              <w:rPr>
                <w:sz w:val="24"/>
              </w:rPr>
            </w:pPr>
            <w:r>
              <w:rPr>
                <w:sz w:val="24"/>
              </w:rPr>
              <w:t>2A</w:t>
            </w:r>
          </w:p>
        </w:tc>
        <w:tc>
          <w:tcPr>
            <w:tcW w:w="896" w:type="dxa"/>
            <w:tcBorders>
              <w:top w:val="single" w:sz="4" w:space="0" w:color="000000"/>
              <w:left w:val="single" w:sz="4" w:space="0" w:color="000000"/>
              <w:bottom w:val="single" w:sz="4" w:space="0" w:color="000000"/>
              <w:right w:val="single" w:sz="4" w:space="0" w:color="000000"/>
            </w:tcBorders>
            <w:shd w:val="clear" w:color="auto" w:fill="E4DFEB"/>
          </w:tcPr>
          <w:p>
            <w:pPr>
              <w:pStyle w:val="TableParagraph"/>
              <w:spacing w:before="67"/>
              <w:ind w:left="263" w:right="263"/>
              <w:rPr>
                <w:sz w:val="24"/>
              </w:rPr>
            </w:pPr>
            <w:r>
              <w:rPr>
                <w:sz w:val="24"/>
              </w:rPr>
              <w:t>2A</w:t>
            </w:r>
          </w:p>
        </w:tc>
        <w:tc>
          <w:tcPr>
            <w:tcW w:w="894" w:type="dxa"/>
            <w:tcBorders>
              <w:top w:val="single" w:sz="4" w:space="0" w:color="000000"/>
              <w:left w:val="single" w:sz="4" w:space="0" w:color="000000"/>
              <w:bottom w:val="single" w:sz="4" w:space="0" w:color="000000"/>
              <w:right w:val="single" w:sz="4" w:space="0" w:color="000000"/>
            </w:tcBorders>
            <w:shd w:val="clear" w:color="auto" w:fill="E4DFEB"/>
          </w:tcPr>
          <w:p>
            <w:pPr>
              <w:pStyle w:val="TableParagraph"/>
              <w:spacing w:before="67"/>
              <w:ind w:left="295"/>
              <w:jc w:val="left"/>
              <w:rPr>
                <w:sz w:val="24"/>
              </w:rPr>
            </w:pPr>
            <w:r>
              <w:rPr>
                <w:sz w:val="24"/>
              </w:rPr>
              <w:t>2A</w:t>
            </w:r>
          </w:p>
        </w:tc>
        <w:tc>
          <w:tcPr>
            <w:tcW w:w="896" w:type="dxa"/>
            <w:tcBorders>
              <w:top w:val="single" w:sz="4" w:space="0" w:color="000000"/>
              <w:left w:val="single" w:sz="4" w:space="0" w:color="000000"/>
              <w:bottom w:val="single" w:sz="4" w:space="0" w:color="000000"/>
            </w:tcBorders>
            <w:shd w:val="clear" w:color="auto" w:fill="DBEDF3"/>
          </w:tcPr>
          <w:p>
            <w:pPr>
              <w:pStyle w:val="TableParagraph"/>
              <w:spacing w:before="67"/>
              <w:ind w:left="296"/>
              <w:jc w:val="left"/>
              <w:rPr>
                <w:sz w:val="24"/>
              </w:rPr>
            </w:pPr>
            <w:r>
              <w:rPr>
                <w:sz w:val="24"/>
              </w:rPr>
              <w:t>2B</w:t>
            </w:r>
          </w:p>
        </w:tc>
      </w:tr>
      <w:tr>
        <w:trPr>
          <w:trHeight w:val="874" w:hRule="exact"/>
        </w:trPr>
        <w:tc>
          <w:tcPr>
            <w:tcW w:w="1875" w:type="dxa"/>
            <w:tcBorders>
              <w:top w:val="single" w:sz="4" w:space="0" w:color="000000"/>
              <w:right w:val="single" w:sz="4" w:space="0" w:color="000000"/>
            </w:tcBorders>
            <w:shd w:val="clear" w:color="auto" w:fill="EDEBE0"/>
          </w:tcPr>
          <w:p>
            <w:pPr>
              <w:pStyle w:val="TableParagraph"/>
              <w:spacing w:before="149"/>
              <w:ind w:left="172" w:right="149" w:hanging="15"/>
              <w:jc w:val="left"/>
              <w:rPr>
                <w:sz w:val="24"/>
              </w:rPr>
            </w:pPr>
            <w:r>
              <w:rPr>
                <w:sz w:val="24"/>
              </w:rPr>
              <w:t>Especificación Vigente (ppm)</w:t>
            </w:r>
          </w:p>
        </w:tc>
        <w:tc>
          <w:tcPr>
            <w:tcW w:w="895" w:type="dxa"/>
            <w:tcBorders>
              <w:top w:val="single" w:sz="4" w:space="0" w:color="000000"/>
              <w:left w:val="single" w:sz="4" w:space="0" w:color="000000"/>
              <w:right w:val="single" w:sz="4" w:space="0" w:color="000000"/>
            </w:tcBorders>
            <w:shd w:val="clear" w:color="auto" w:fill="CCCCFF"/>
          </w:tcPr>
          <w:p>
            <w:pPr>
              <w:pStyle w:val="TableParagraph"/>
              <w:spacing w:before="10"/>
              <w:jc w:val="left"/>
              <w:rPr>
                <w:sz w:val="24"/>
              </w:rPr>
            </w:pPr>
          </w:p>
          <w:p>
            <w:pPr>
              <w:pStyle w:val="TableParagraph"/>
              <w:ind w:left="256" w:right="256"/>
              <w:rPr>
                <w:sz w:val="24"/>
              </w:rPr>
            </w:pPr>
            <w:r>
              <w:rPr>
                <w:sz w:val="24"/>
              </w:rPr>
              <w:t>1.5</w:t>
            </w:r>
          </w:p>
        </w:tc>
        <w:tc>
          <w:tcPr>
            <w:tcW w:w="895" w:type="dxa"/>
            <w:tcBorders>
              <w:top w:val="single" w:sz="4" w:space="0" w:color="000000"/>
              <w:left w:val="single" w:sz="4" w:space="0" w:color="000000"/>
              <w:right w:val="single" w:sz="4" w:space="0" w:color="000000"/>
            </w:tcBorders>
            <w:shd w:val="clear" w:color="auto" w:fill="CCCCFF"/>
          </w:tcPr>
          <w:p>
            <w:pPr>
              <w:pStyle w:val="TableParagraph"/>
              <w:spacing w:before="10"/>
              <w:jc w:val="left"/>
              <w:rPr>
                <w:sz w:val="24"/>
              </w:rPr>
            </w:pPr>
          </w:p>
          <w:p>
            <w:pPr>
              <w:pStyle w:val="TableParagraph"/>
              <w:ind w:left="256" w:right="256"/>
              <w:rPr>
                <w:sz w:val="24"/>
              </w:rPr>
            </w:pPr>
            <w:r>
              <w:rPr>
                <w:sz w:val="24"/>
              </w:rPr>
              <w:t>0.5</w:t>
            </w:r>
          </w:p>
        </w:tc>
        <w:tc>
          <w:tcPr>
            <w:tcW w:w="896" w:type="dxa"/>
            <w:tcBorders>
              <w:top w:val="single" w:sz="4" w:space="0" w:color="000000"/>
              <w:left w:val="single" w:sz="4" w:space="0" w:color="000000"/>
              <w:right w:val="single" w:sz="4" w:space="0" w:color="000000"/>
            </w:tcBorders>
            <w:shd w:val="clear" w:color="auto" w:fill="CCCCFF"/>
          </w:tcPr>
          <w:p>
            <w:pPr>
              <w:pStyle w:val="TableParagraph"/>
              <w:spacing w:before="10"/>
              <w:jc w:val="left"/>
              <w:rPr>
                <w:sz w:val="24"/>
              </w:rPr>
            </w:pPr>
          </w:p>
          <w:p>
            <w:pPr>
              <w:pStyle w:val="TableParagraph"/>
              <w:ind w:right="1"/>
              <w:rPr>
                <w:sz w:val="24"/>
              </w:rPr>
            </w:pPr>
            <w:r>
              <w:rPr>
                <w:w w:val="99"/>
                <w:sz w:val="24"/>
              </w:rPr>
              <w:t>3</w:t>
            </w:r>
          </w:p>
        </w:tc>
        <w:tc>
          <w:tcPr>
            <w:tcW w:w="895" w:type="dxa"/>
            <w:tcBorders>
              <w:top w:val="single" w:sz="4" w:space="0" w:color="000000"/>
              <w:left w:val="single" w:sz="4" w:space="0" w:color="000000"/>
              <w:right w:val="single" w:sz="4" w:space="0" w:color="000000"/>
            </w:tcBorders>
            <w:shd w:val="clear" w:color="auto" w:fill="CCCCFF"/>
          </w:tcPr>
          <w:p>
            <w:pPr>
              <w:pStyle w:val="TableParagraph"/>
              <w:spacing w:before="10"/>
              <w:jc w:val="left"/>
              <w:rPr>
                <w:sz w:val="24"/>
              </w:rPr>
            </w:pPr>
          </w:p>
          <w:p>
            <w:pPr>
              <w:pStyle w:val="TableParagraph"/>
              <w:ind w:left="256" w:right="256"/>
              <w:rPr>
                <w:sz w:val="24"/>
              </w:rPr>
            </w:pPr>
            <w:r>
              <w:rPr>
                <w:sz w:val="24"/>
              </w:rPr>
              <w:t>0.5</w:t>
            </w:r>
          </w:p>
        </w:tc>
        <w:tc>
          <w:tcPr>
            <w:tcW w:w="895" w:type="dxa"/>
            <w:tcBorders>
              <w:top w:val="single" w:sz="4" w:space="0" w:color="000000"/>
              <w:left w:val="single" w:sz="4" w:space="0" w:color="000000"/>
              <w:right w:val="single" w:sz="4" w:space="0" w:color="000000"/>
            </w:tcBorders>
            <w:shd w:val="clear" w:color="auto" w:fill="E4DFEB"/>
          </w:tcPr>
          <w:p>
            <w:pPr>
              <w:pStyle w:val="TableParagraph"/>
              <w:spacing w:before="10"/>
              <w:jc w:val="left"/>
              <w:rPr>
                <w:sz w:val="24"/>
              </w:rPr>
            </w:pPr>
          </w:p>
          <w:p>
            <w:pPr>
              <w:pStyle w:val="TableParagraph"/>
              <w:ind w:left="309"/>
              <w:jc w:val="left"/>
              <w:rPr>
                <w:sz w:val="24"/>
              </w:rPr>
            </w:pPr>
            <w:r>
              <w:rPr>
                <w:sz w:val="24"/>
              </w:rPr>
              <w:t>10</w:t>
            </w:r>
          </w:p>
        </w:tc>
        <w:tc>
          <w:tcPr>
            <w:tcW w:w="896" w:type="dxa"/>
            <w:tcBorders>
              <w:top w:val="single" w:sz="4" w:space="0" w:color="000000"/>
              <w:left w:val="single" w:sz="4" w:space="0" w:color="000000"/>
              <w:right w:val="single" w:sz="4" w:space="0" w:color="000000"/>
            </w:tcBorders>
            <w:shd w:val="clear" w:color="auto" w:fill="E4DFEB"/>
          </w:tcPr>
          <w:p>
            <w:pPr>
              <w:pStyle w:val="TableParagraph"/>
              <w:spacing w:before="10"/>
              <w:jc w:val="left"/>
              <w:rPr>
                <w:sz w:val="24"/>
              </w:rPr>
            </w:pPr>
          </w:p>
          <w:p>
            <w:pPr>
              <w:pStyle w:val="TableParagraph"/>
              <w:rPr>
                <w:sz w:val="24"/>
              </w:rPr>
            </w:pPr>
            <w:r>
              <w:rPr>
                <w:w w:val="99"/>
                <w:sz w:val="24"/>
              </w:rPr>
              <w:t>5</w:t>
            </w:r>
          </w:p>
        </w:tc>
        <w:tc>
          <w:tcPr>
            <w:tcW w:w="894" w:type="dxa"/>
            <w:tcBorders>
              <w:top w:val="single" w:sz="4" w:space="0" w:color="000000"/>
              <w:left w:val="single" w:sz="4" w:space="0" w:color="000000"/>
              <w:right w:val="single" w:sz="4" w:space="0" w:color="000000"/>
            </w:tcBorders>
            <w:shd w:val="clear" w:color="auto" w:fill="E4DFEB"/>
          </w:tcPr>
          <w:p>
            <w:pPr>
              <w:pStyle w:val="TableParagraph"/>
              <w:spacing w:before="10"/>
              <w:jc w:val="left"/>
              <w:rPr>
                <w:sz w:val="24"/>
              </w:rPr>
            </w:pPr>
          </w:p>
          <w:p>
            <w:pPr>
              <w:pStyle w:val="TableParagraph"/>
              <w:ind w:left="309"/>
              <w:jc w:val="left"/>
              <w:rPr>
                <w:sz w:val="24"/>
              </w:rPr>
            </w:pPr>
            <w:r>
              <w:rPr>
                <w:sz w:val="24"/>
              </w:rPr>
              <w:t>20</w:t>
            </w:r>
          </w:p>
        </w:tc>
        <w:tc>
          <w:tcPr>
            <w:tcW w:w="896" w:type="dxa"/>
            <w:tcBorders>
              <w:top w:val="single" w:sz="4" w:space="0" w:color="000000"/>
              <w:left w:val="single" w:sz="4" w:space="0" w:color="000000"/>
            </w:tcBorders>
            <w:shd w:val="clear" w:color="auto" w:fill="DBEDF3"/>
          </w:tcPr>
          <w:p>
            <w:pPr>
              <w:pStyle w:val="TableParagraph"/>
              <w:spacing w:before="10"/>
              <w:jc w:val="left"/>
              <w:rPr>
                <w:sz w:val="24"/>
              </w:rPr>
            </w:pPr>
          </w:p>
          <w:p>
            <w:pPr>
              <w:pStyle w:val="TableParagraph"/>
              <w:ind w:left="310"/>
              <w:jc w:val="left"/>
              <w:rPr>
                <w:sz w:val="24"/>
              </w:rPr>
            </w:pPr>
            <w:r>
              <w:rPr>
                <w:sz w:val="24"/>
              </w:rPr>
              <w:t>10</w:t>
            </w:r>
          </w:p>
        </w:tc>
      </w:tr>
    </w:tbl>
    <w:p>
      <w:pPr>
        <w:spacing w:line="206" w:lineRule="exact" w:before="0"/>
        <w:ind w:left="850" w:right="0" w:firstLine="0"/>
        <w:jc w:val="left"/>
        <w:rPr>
          <w:sz w:val="18"/>
        </w:rPr>
      </w:pPr>
      <w:r>
        <w:rPr>
          <w:sz w:val="18"/>
        </w:rPr>
        <w:t>Fuente: Guía ICH Q3D, vigencia 2014-12-16</w:t>
      </w:r>
    </w:p>
    <w:p>
      <w:pPr>
        <w:pStyle w:val="BodyText"/>
        <w:rPr>
          <w:sz w:val="18"/>
        </w:rPr>
      </w:pPr>
    </w:p>
    <w:p>
      <w:pPr>
        <w:pStyle w:val="BodyText"/>
        <w:rPr>
          <w:sz w:val="18"/>
        </w:rPr>
      </w:pPr>
    </w:p>
    <w:p>
      <w:pPr>
        <w:pStyle w:val="BodyText"/>
        <w:spacing w:before="3"/>
        <w:rPr>
          <w:sz w:val="26"/>
        </w:rPr>
      </w:pPr>
    </w:p>
    <w:p>
      <w:pPr>
        <w:pStyle w:val="BodyText"/>
        <w:ind w:left="142"/>
      </w:pPr>
      <w:r>
        <w:rPr/>
        <w:t>Equipos y materiales</w:t>
      </w:r>
    </w:p>
    <w:p>
      <w:pPr>
        <w:pStyle w:val="BodyText"/>
      </w:pPr>
    </w:p>
    <w:p>
      <w:pPr>
        <w:pStyle w:val="BodyText"/>
        <w:spacing w:before="6"/>
        <w:rPr>
          <w:sz w:val="34"/>
        </w:rPr>
      </w:pPr>
    </w:p>
    <w:p>
      <w:pPr>
        <w:pStyle w:val="ListParagraph"/>
        <w:numPr>
          <w:ilvl w:val="3"/>
          <w:numId w:val="5"/>
        </w:numPr>
        <w:tabs>
          <w:tab w:pos="861" w:val="left" w:leader="none"/>
          <w:tab w:pos="862" w:val="left" w:leader="none"/>
        </w:tabs>
        <w:spacing w:line="240" w:lineRule="auto" w:before="0" w:after="0"/>
        <w:ind w:left="822" w:right="0" w:hanging="320"/>
        <w:jc w:val="left"/>
        <w:rPr>
          <w:sz w:val="24"/>
        </w:rPr>
      </w:pPr>
      <w:r>
        <w:rPr>
          <w:sz w:val="24"/>
        </w:rPr>
        <w:t>ICP-MS 7700 Series Agilent</w:t>
      </w:r>
      <w:r>
        <w:rPr>
          <w:spacing w:val="-18"/>
          <w:sz w:val="24"/>
        </w:rPr>
        <w:t> </w:t>
      </w:r>
      <w:r>
        <w:rPr>
          <w:sz w:val="24"/>
        </w:rPr>
        <w:t>Technologies</w:t>
      </w:r>
    </w:p>
    <w:p>
      <w:pPr>
        <w:pStyle w:val="ListParagraph"/>
        <w:numPr>
          <w:ilvl w:val="3"/>
          <w:numId w:val="5"/>
        </w:numPr>
        <w:tabs>
          <w:tab w:pos="861" w:val="left" w:leader="none"/>
          <w:tab w:pos="862" w:val="left" w:leader="none"/>
        </w:tabs>
        <w:spacing w:line="240" w:lineRule="auto" w:before="135" w:after="0"/>
        <w:ind w:left="862" w:right="0" w:hanging="360"/>
        <w:jc w:val="left"/>
        <w:rPr>
          <w:sz w:val="24"/>
        </w:rPr>
      </w:pPr>
      <w:r>
        <w:rPr>
          <w:sz w:val="24"/>
        </w:rPr>
        <w:t>Digestor Mars</w:t>
      </w:r>
      <w:r>
        <w:rPr>
          <w:spacing w:val="-6"/>
          <w:sz w:val="24"/>
        </w:rPr>
        <w:t> </w:t>
      </w:r>
      <w:r>
        <w:rPr>
          <w:sz w:val="24"/>
        </w:rPr>
        <w:t>Express</w:t>
      </w:r>
    </w:p>
    <w:p>
      <w:pPr>
        <w:pStyle w:val="ListParagraph"/>
        <w:numPr>
          <w:ilvl w:val="3"/>
          <w:numId w:val="5"/>
        </w:numPr>
        <w:tabs>
          <w:tab w:pos="861" w:val="left" w:leader="none"/>
          <w:tab w:pos="862" w:val="left" w:leader="none"/>
        </w:tabs>
        <w:spacing w:line="240" w:lineRule="auto" w:before="138" w:after="0"/>
        <w:ind w:left="862" w:right="0" w:hanging="360"/>
        <w:jc w:val="left"/>
        <w:rPr>
          <w:sz w:val="24"/>
        </w:rPr>
      </w:pPr>
      <w:r>
        <w:rPr>
          <w:sz w:val="24"/>
        </w:rPr>
        <w:t>Balanza Analitica</w:t>
      </w:r>
      <w:r>
        <w:rPr>
          <w:spacing w:val="-13"/>
          <w:sz w:val="24"/>
        </w:rPr>
        <w:t> </w:t>
      </w:r>
      <w:r>
        <w:rPr>
          <w:sz w:val="24"/>
        </w:rPr>
        <w:t>Sartorius</w:t>
      </w:r>
    </w:p>
    <w:p>
      <w:pPr>
        <w:pStyle w:val="ListParagraph"/>
        <w:numPr>
          <w:ilvl w:val="3"/>
          <w:numId w:val="5"/>
        </w:numPr>
        <w:tabs>
          <w:tab w:pos="861" w:val="left" w:leader="none"/>
          <w:tab w:pos="862" w:val="left" w:leader="none"/>
        </w:tabs>
        <w:spacing w:line="240" w:lineRule="auto" w:before="135" w:after="0"/>
        <w:ind w:left="862" w:right="0" w:hanging="360"/>
        <w:jc w:val="left"/>
        <w:rPr>
          <w:sz w:val="24"/>
        </w:rPr>
      </w:pPr>
      <w:r>
        <w:rPr>
          <w:sz w:val="24"/>
        </w:rPr>
        <w:t>Agilent MassHunter Workstation Software for 7700 Series</w:t>
      </w:r>
      <w:r>
        <w:rPr>
          <w:spacing w:val="-16"/>
          <w:sz w:val="24"/>
        </w:rPr>
        <w:t> </w:t>
      </w:r>
      <w:r>
        <w:rPr>
          <w:sz w:val="24"/>
        </w:rPr>
        <w:t>ICP-MS</w:t>
      </w:r>
    </w:p>
    <w:p>
      <w:pPr>
        <w:pStyle w:val="ListParagraph"/>
        <w:numPr>
          <w:ilvl w:val="3"/>
          <w:numId w:val="5"/>
        </w:numPr>
        <w:tabs>
          <w:tab w:pos="861" w:val="left" w:leader="none"/>
          <w:tab w:pos="862" w:val="left" w:leader="none"/>
        </w:tabs>
        <w:spacing w:line="240" w:lineRule="auto" w:before="135" w:after="0"/>
        <w:ind w:left="862" w:right="0" w:hanging="360"/>
        <w:jc w:val="left"/>
        <w:rPr>
          <w:sz w:val="24"/>
        </w:rPr>
      </w:pPr>
      <w:r>
        <w:rPr>
          <w:sz w:val="24"/>
        </w:rPr>
        <w:t>Tubos de teflón para digestión de</w:t>
      </w:r>
      <w:r>
        <w:rPr>
          <w:spacing w:val="-10"/>
          <w:sz w:val="24"/>
        </w:rPr>
        <w:t> </w:t>
      </w:r>
      <w:r>
        <w:rPr>
          <w:sz w:val="24"/>
        </w:rPr>
        <w:t>muestras</w:t>
      </w:r>
    </w:p>
    <w:p>
      <w:pPr>
        <w:spacing w:after="0" w:line="240" w:lineRule="auto"/>
        <w:jc w:val="left"/>
        <w:rPr>
          <w:sz w:val="24"/>
        </w:rPr>
        <w:sectPr>
          <w:pgSz w:w="12240" w:h="15840"/>
          <w:pgMar w:header="0" w:footer="919" w:top="1360" w:bottom="1100" w:left="1560" w:right="1400"/>
        </w:sectPr>
      </w:pPr>
    </w:p>
    <w:p>
      <w:pPr>
        <w:pStyle w:val="ListParagraph"/>
        <w:numPr>
          <w:ilvl w:val="3"/>
          <w:numId w:val="5"/>
        </w:numPr>
        <w:tabs>
          <w:tab w:pos="821" w:val="left" w:leader="none"/>
          <w:tab w:pos="822" w:val="left" w:leader="none"/>
        </w:tabs>
        <w:spacing w:line="240" w:lineRule="auto" w:before="37" w:after="0"/>
        <w:ind w:left="822" w:right="0" w:hanging="360"/>
        <w:jc w:val="left"/>
        <w:rPr>
          <w:sz w:val="24"/>
        </w:rPr>
      </w:pPr>
      <w:r>
        <w:rPr>
          <w:sz w:val="24"/>
        </w:rPr>
        <w:t>Micropipetas de 5 mL, 1000 µL, 100</w:t>
      </w:r>
      <w:r>
        <w:rPr>
          <w:spacing w:val="-20"/>
          <w:sz w:val="24"/>
        </w:rPr>
        <w:t> </w:t>
      </w:r>
      <w:r>
        <w:rPr>
          <w:spacing w:val="2"/>
          <w:sz w:val="24"/>
        </w:rPr>
        <w:t>µL</w:t>
      </w:r>
    </w:p>
    <w:p>
      <w:pPr>
        <w:pStyle w:val="ListParagraph"/>
        <w:numPr>
          <w:ilvl w:val="3"/>
          <w:numId w:val="5"/>
        </w:numPr>
        <w:tabs>
          <w:tab w:pos="821" w:val="left" w:leader="none"/>
          <w:tab w:pos="822" w:val="left" w:leader="none"/>
        </w:tabs>
        <w:spacing w:line="240" w:lineRule="auto" w:before="136" w:after="0"/>
        <w:ind w:left="822" w:right="0" w:hanging="360"/>
        <w:jc w:val="left"/>
        <w:rPr>
          <w:sz w:val="24"/>
        </w:rPr>
      </w:pPr>
      <w:r>
        <w:rPr>
          <w:sz w:val="24"/>
        </w:rPr>
        <w:t>Matraces volumétricos de 100, 50, 25 y 10</w:t>
      </w:r>
      <w:r>
        <w:rPr>
          <w:spacing w:val="-17"/>
          <w:sz w:val="24"/>
        </w:rPr>
        <w:t> </w:t>
      </w:r>
      <w:r>
        <w:rPr>
          <w:sz w:val="24"/>
        </w:rPr>
        <w:t>mL</w:t>
      </w:r>
    </w:p>
    <w:p>
      <w:pPr>
        <w:pStyle w:val="ListParagraph"/>
        <w:numPr>
          <w:ilvl w:val="3"/>
          <w:numId w:val="5"/>
        </w:numPr>
        <w:tabs>
          <w:tab w:pos="821" w:val="left" w:leader="none"/>
          <w:tab w:pos="822" w:val="left" w:leader="none"/>
        </w:tabs>
        <w:spacing w:line="240" w:lineRule="auto" w:before="135" w:after="0"/>
        <w:ind w:left="822" w:right="0" w:hanging="360"/>
        <w:jc w:val="left"/>
        <w:rPr>
          <w:sz w:val="24"/>
        </w:rPr>
      </w:pPr>
      <w:r>
        <w:rPr>
          <w:sz w:val="24"/>
        </w:rPr>
        <w:t>Acrodiscos de nylon de 0.2</w:t>
      </w:r>
      <w:r>
        <w:rPr>
          <w:spacing w:val="-12"/>
          <w:sz w:val="24"/>
        </w:rPr>
        <w:t> </w:t>
      </w:r>
      <w:r>
        <w:rPr>
          <w:sz w:val="24"/>
        </w:rPr>
        <w:t>µm</w:t>
      </w:r>
    </w:p>
    <w:p>
      <w:pPr>
        <w:pStyle w:val="ListParagraph"/>
        <w:numPr>
          <w:ilvl w:val="3"/>
          <w:numId w:val="5"/>
        </w:numPr>
        <w:tabs>
          <w:tab w:pos="821" w:val="left" w:leader="none"/>
          <w:tab w:pos="822" w:val="left" w:leader="none"/>
        </w:tabs>
        <w:spacing w:line="240" w:lineRule="auto" w:before="138" w:after="0"/>
        <w:ind w:left="822" w:right="0" w:hanging="360"/>
        <w:jc w:val="left"/>
        <w:rPr>
          <w:sz w:val="24"/>
        </w:rPr>
      </w:pPr>
      <w:r>
        <w:rPr>
          <w:sz w:val="24"/>
        </w:rPr>
        <w:t>Jeringas de 5</w:t>
      </w:r>
      <w:r>
        <w:rPr>
          <w:spacing w:val="-6"/>
          <w:sz w:val="24"/>
        </w:rPr>
        <w:t> </w:t>
      </w:r>
      <w:r>
        <w:rPr>
          <w:sz w:val="24"/>
        </w:rPr>
        <w:t>mL</w:t>
      </w:r>
    </w:p>
    <w:p>
      <w:pPr>
        <w:pStyle w:val="BodyText"/>
      </w:pPr>
    </w:p>
    <w:p>
      <w:pPr>
        <w:pStyle w:val="BodyText"/>
        <w:spacing w:before="7"/>
        <w:rPr>
          <w:sz w:val="23"/>
        </w:rPr>
      </w:pPr>
    </w:p>
    <w:p>
      <w:pPr>
        <w:pStyle w:val="BodyText"/>
        <w:ind w:left="102"/>
        <w:jc w:val="both"/>
      </w:pPr>
      <w:r>
        <w:rPr/>
        <w:t>Estándares y reactivos:</w:t>
      </w:r>
    </w:p>
    <w:p>
      <w:pPr>
        <w:pStyle w:val="ListParagraph"/>
        <w:numPr>
          <w:ilvl w:val="3"/>
          <w:numId w:val="5"/>
        </w:numPr>
        <w:tabs>
          <w:tab w:pos="821" w:val="left" w:leader="none"/>
          <w:tab w:pos="822" w:val="left" w:leader="none"/>
        </w:tabs>
        <w:spacing w:line="350" w:lineRule="auto" w:before="140" w:after="0"/>
        <w:ind w:left="822" w:right="116" w:hanging="360"/>
        <w:jc w:val="left"/>
        <w:rPr>
          <w:sz w:val="24"/>
        </w:rPr>
      </w:pPr>
      <w:r>
        <w:rPr>
          <w:sz w:val="24"/>
        </w:rPr>
        <w:t>Soluciones estándar de Indio, Arsénico, Cadmio, Mercurio, Plomo, Vanadio, Cobalto, Níquel y Paladio [1000</w:t>
      </w:r>
      <w:r>
        <w:rPr>
          <w:spacing w:val="-12"/>
          <w:sz w:val="24"/>
        </w:rPr>
        <w:t> </w:t>
      </w:r>
      <w:r>
        <w:rPr>
          <w:sz w:val="24"/>
        </w:rPr>
        <w:t>mg/L]</w:t>
      </w:r>
    </w:p>
    <w:p>
      <w:pPr>
        <w:pStyle w:val="ListParagraph"/>
        <w:numPr>
          <w:ilvl w:val="3"/>
          <w:numId w:val="5"/>
        </w:numPr>
        <w:tabs>
          <w:tab w:pos="821" w:val="left" w:leader="none"/>
          <w:tab w:pos="822" w:val="left" w:leader="none"/>
        </w:tabs>
        <w:spacing w:line="240" w:lineRule="auto" w:before="14" w:after="0"/>
        <w:ind w:left="822" w:right="0" w:hanging="360"/>
        <w:jc w:val="left"/>
        <w:rPr>
          <w:sz w:val="24"/>
        </w:rPr>
      </w:pPr>
      <w:r>
        <w:rPr>
          <w:sz w:val="24"/>
        </w:rPr>
        <w:t>Ácido nítrico (HNO</w:t>
      </w:r>
      <w:r>
        <w:rPr>
          <w:position w:val="-2"/>
          <w:sz w:val="16"/>
        </w:rPr>
        <w:t>3</w:t>
      </w:r>
      <w:r>
        <w:rPr>
          <w:sz w:val="24"/>
        </w:rPr>
        <w:t>) 70%, Aldrich, nivel</w:t>
      </w:r>
      <w:r>
        <w:rPr>
          <w:spacing w:val="-12"/>
          <w:sz w:val="24"/>
        </w:rPr>
        <w:t> </w:t>
      </w:r>
      <w:r>
        <w:rPr>
          <w:sz w:val="24"/>
        </w:rPr>
        <w:t>trazas</w:t>
      </w:r>
    </w:p>
    <w:p>
      <w:pPr>
        <w:pStyle w:val="ListParagraph"/>
        <w:numPr>
          <w:ilvl w:val="3"/>
          <w:numId w:val="5"/>
        </w:numPr>
        <w:tabs>
          <w:tab w:pos="821" w:val="left" w:leader="none"/>
          <w:tab w:pos="822" w:val="left" w:leader="none"/>
        </w:tabs>
        <w:spacing w:line="240" w:lineRule="auto" w:before="127" w:after="0"/>
        <w:ind w:left="822" w:right="0" w:hanging="360"/>
        <w:jc w:val="left"/>
        <w:rPr>
          <w:sz w:val="24"/>
        </w:rPr>
      </w:pPr>
      <w:r>
        <w:rPr>
          <w:sz w:val="24"/>
        </w:rPr>
        <w:t>Ácido clorhídrico (HCl), 36.5 – 38.0%, J.T. Baker, nivel</w:t>
      </w:r>
      <w:r>
        <w:rPr>
          <w:spacing w:val="-20"/>
          <w:sz w:val="24"/>
        </w:rPr>
        <w:t> </w:t>
      </w:r>
      <w:r>
        <w:rPr>
          <w:sz w:val="24"/>
        </w:rPr>
        <w:t>trazas</w:t>
      </w:r>
    </w:p>
    <w:p>
      <w:pPr>
        <w:pStyle w:val="ListParagraph"/>
        <w:numPr>
          <w:ilvl w:val="3"/>
          <w:numId w:val="5"/>
        </w:numPr>
        <w:tabs>
          <w:tab w:pos="821" w:val="left" w:leader="none"/>
          <w:tab w:pos="822" w:val="left" w:leader="none"/>
        </w:tabs>
        <w:spacing w:line="240" w:lineRule="auto" w:before="135" w:after="0"/>
        <w:ind w:left="822" w:right="0" w:hanging="360"/>
        <w:jc w:val="left"/>
        <w:rPr>
          <w:sz w:val="24"/>
        </w:rPr>
      </w:pPr>
      <w:r>
        <w:rPr>
          <w:sz w:val="24"/>
        </w:rPr>
        <w:t>Agua</w:t>
      </w:r>
      <w:r>
        <w:rPr>
          <w:spacing w:val="-8"/>
          <w:sz w:val="24"/>
        </w:rPr>
        <w:t> </w:t>
      </w:r>
      <w:r>
        <w:rPr>
          <w:sz w:val="24"/>
        </w:rPr>
        <w:t>desionizada</w:t>
      </w:r>
    </w:p>
    <w:p>
      <w:pPr>
        <w:pStyle w:val="BodyText"/>
      </w:pPr>
    </w:p>
    <w:p>
      <w:pPr>
        <w:pStyle w:val="BodyText"/>
        <w:spacing w:before="9"/>
        <w:rPr>
          <w:sz w:val="23"/>
        </w:rPr>
      </w:pPr>
    </w:p>
    <w:p>
      <w:pPr>
        <w:pStyle w:val="BodyText"/>
        <w:spacing w:line="360" w:lineRule="auto"/>
        <w:ind w:left="102" w:right="122"/>
        <w:jc w:val="both"/>
      </w:pPr>
      <w:r>
        <w:rPr>
          <w:b/>
        </w:rPr>
        <w:t>Objetivo específico 2: </w:t>
      </w:r>
      <w:r>
        <w:rPr/>
        <w:t>revisar y documentar información toxicológica de las principales impurezas elementales a monitorear</w:t>
      </w:r>
    </w:p>
    <w:p>
      <w:pPr>
        <w:pStyle w:val="BodyText"/>
      </w:pPr>
    </w:p>
    <w:p>
      <w:pPr>
        <w:pStyle w:val="BodyText"/>
        <w:spacing w:line="360" w:lineRule="auto" w:before="142"/>
        <w:ind w:left="102" w:right="115" w:firstLine="67"/>
        <w:jc w:val="both"/>
      </w:pPr>
      <w:r>
        <w:rPr/>
        <w:t>Se llevó a cabo la revisión bibliográfica de las principales impurezas elementales  a monitorear (Arsénico, Cadmio, Mercurio, Plomo, Vanadio, Cobalto, Níquel y Paladio) utilizando principalmente lo descrito en la guía </w:t>
      </w:r>
      <w:r>
        <w:rPr>
          <w:spacing w:val="2"/>
        </w:rPr>
        <w:t>ICH </w:t>
      </w:r>
      <w:r>
        <w:rPr/>
        <w:t>Q3D vigente a partir del 16- diciembre-2014 y en diferentes bibliografías como la ATSDR que nos ayudará a comprender la importancia de su evaluación en los principios activos farmacéuticos y que son para el consumo</w:t>
      </w:r>
      <w:r>
        <w:rPr>
          <w:spacing w:val="-19"/>
        </w:rPr>
        <w:t> </w:t>
      </w:r>
      <w:r>
        <w:rPr/>
        <w:t>humano.</w:t>
      </w:r>
    </w:p>
    <w:p>
      <w:pPr>
        <w:pStyle w:val="BodyText"/>
      </w:pPr>
    </w:p>
    <w:p>
      <w:pPr>
        <w:pStyle w:val="BodyText"/>
        <w:spacing w:line="331" w:lineRule="auto" w:before="142"/>
        <w:ind w:left="102" w:right="121"/>
        <w:jc w:val="both"/>
        <w:rPr>
          <w:sz w:val="16"/>
        </w:rPr>
      </w:pPr>
      <w:r>
        <w:rPr>
          <w:b/>
        </w:rPr>
        <w:t>Objetivo específico 3</w:t>
      </w:r>
      <w:r>
        <w:rPr/>
        <w:t>: Elaborar los protocolos de validación para los métodos analíticos desarrollados, validación y reporte de resultados </w:t>
      </w:r>
      <w:r>
        <w:rPr>
          <w:position w:val="11"/>
          <w:sz w:val="16"/>
        </w:rPr>
        <w:t>10, 18</w:t>
      </w:r>
    </w:p>
    <w:p>
      <w:pPr>
        <w:pStyle w:val="BodyText"/>
        <w:spacing w:before="11"/>
        <w:rPr>
          <w:sz w:val="37"/>
        </w:rPr>
      </w:pPr>
    </w:p>
    <w:p>
      <w:pPr>
        <w:pStyle w:val="BodyText"/>
        <w:spacing w:line="360" w:lineRule="auto"/>
        <w:ind w:left="102" w:right="116"/>
        <w:jc w:val="both"/>
      </w:pPr>
      <w:r>
        <w:rPr/>
        <w:t>Con base en los requerimientos de la empresa farmoquímica y de la USP &lt;233&gt; se elaboraron los protocolos de validación que incluyeron las diferentes pruebas a evaluar y los criterios de aceptación tal como se muestran en las Tablas 5.2 y 5.3 para la determinación de impurezas elementales clase 1, clase 2A y</w:t>
      </w:r>
      <w:r>
        <w:rPr>
          <w:spacing w:val="-22"/>
        </w:rPr>
        <w:t> </w:t>
      </w:r>
      <w:r>
        <w:rPr/>
        <w:t>Paladio</w:t>
      </w:r>
    </w:p>
    <w:p>
      <w:pPr>
        <w:spacing w:after="0" w:line="360" w:lineRule="auto"/>
        <w:jc w:val="both"/>
        <w:sectPr>
          <w:pgSz w:w="12240" w:h="15840"/>
          <w:pgMar w:header="0" w:footer="919" w:top="1380" w:bottom="1100" w:left="1600" w:right="1580"/>
        </w:sectPr>
      </w:pPr>
    </w:p>
    <w:p>
      <w:pPr>
        <w:spacing w:line="360" w:lineRule="auto" w:before="56" w:after="7"/>
        <w:ind w:left="142" w:right="779" w:firstLine="0"/>
        <w:jc w:val="left"/>
        <w:rPr>
          <w:sz w:val="18"/>
        </w:rPr>
      </w:pPr>
      <w:r>
        <w:rPr>
          <w:sz w:val="24"/>
        </w:rPr>
        <w:t>Tabla 5.2 Criterios de aceptación para la validación de métodos analíticos utilizados en la empresa farmoquímica. </w:t>
      </w:r>
      <w:r>
        <w:rPr>
          <w:color w:val="212121"/>
          <w:sz w:val="18"/>
        </w:rPr>
        <w:t>(Fuente: Protocolos de validación)</w:t>
      </w:r>
    </w:p>
    <w:tbl>
      <w:tblPr>
        <w:tblW w:w="0" w:type="auto"/>
        <w:jc w:val="left"/>
        <w:tblInd w:w="113"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CellMar>
          <w:top w:w="0" w:type="dxa"/>
          <w:left w:w="0" w:type="dxa"/>
          <w:bottom w:w="0" w:type="dxa"/>
          <w:right w:w="0" w:type="dxa"/>
        </w:tblCellMar>
        <w:tblLook w:val="01E0"/>
      </w:tblPr>
      <w:tblGrid>
        <w:gridCol w:w="3560"/>
        <w:gridCol w:w="5841"/>
      </w:tblGrid>
      <w:tr>
        <w:trPr>
          <w:trHeight w:val="374" w:hRule="exact"/>
        </w:trPr>
        <w:tc>
          <w:tcPr>
            <w:tcW w:w="3560" w:type="dxa"/>
            <w:shd w:val="clear" w:color="auto" w:fill="D9D9D9"/>
          </w:tcPr>
          <w:p>
            <w:pPr>
              <w:pStyle w:val="TableParagraph"/>
              <w:spacing w:line="272" w:lineRule="exact"/>
              <w:ind w:left="55" w:right="120"/>
              <w:jc w:val="left"/>
              <w:rPr>
                <w:b/>
                <w:sz w:val="24"/>
              </w:rPr>
            </w:pPr>
            <w:r>
              <w:rPr>
                <w:b/>
                <w:sz w:val="24"/>
              </w:rPr>
              <w:t>Parámetro</w:t>
            </w:r>
          </w:p>
        </w:tc>
        <w:tc>
          <w:tcPr>
            <w:tcW w:w="5841" w:type="dxa"/>
            <w:shd w:val="clear" w:color="auto" w:fill="D9D9D9"/>
          </w:tcPr>
          <w:p>
            <w:pPr>
              <w:pStyle w:val="TableParagraph"/>
              <w:spacing w:line="272" w:lineRule="exact"/>
              <w:ind w:left="55"/>
              <w:jc w:val="left"/>
              <w:rPr>
                <w:b/>
                <w:sz w:val="24"/>
              </w:rPr>
            </w:pPr>
            <w:r>
              <w:rPr>
                <w:b/>
                <w:sz w:val="24"/>
              </w:rPr>
              <w:t>Criterio de aceptación</w:t>
            </w:r>
          </w:p>
        </w:tc>
      </w:tr>
      <w:tr>
        <w:trPr>
          <w:trHeight w:val="631" w:hRule="exact"/>
        </w:trPr>
        <w:tc>
          <w:tcPr>
            <w:tcW w:w="3560" w:type="dxa"/>
            <w:tcBorders>
              <w:bottom w:val="single" w:sz="8" w:space="0" w:color="000000"/>
            </w:tcBorders>
          </w:tcPr>
          <w:p>
            <w:pPr>
              <w:pStyle w:val="TableParagraph"/>
              <w:spacing w:before="24"/>
              <w:ind w:left="55" w:right="120"/>
              <w:jc w:val="left"/>
              <w:rPr>
                <w:sz w:val="24"/>
              </w:rPr>
            </w:pPr>
            <w:r>
              <w:rPr>
                <w:sz w:val="24"/>
              </w:rPr>
              <w:t>Estabilidad de la solución estándar stock</w:t>
            </w:r>
          </w:p>
        </w:tc>
        <w:tc>
          <w:tcPr>
            <w:tcW w:w="5841" w:type="dxa"/>
            <w:tcBorders>
              <w:bottom w:val="single" w:sz="8" w:space="0" w:color="000000"/>
            </w:tcBorders>
          </w:tcPr>
          <w:p>
            <w:pPr>
              <w:pStyle w:val="TableParagraph"/>
              <w:spacing w:before="163"/>
              <w:ind w:left="55"/>
              <w:jc w:val="left"/>
              <w:rPr>
                <w:sz w:val="24"/>
              </w:rPr>
            </w:pPr>
            <w:r>
              <w:rPr>
                <w:sz w:val="24"/>
              </w:rPr>
              <w:t>90 al 100 % de la concentración teórica</w:t>
            </w:r>
          </w:p>
        </w:tc>
      </w:tr>
      <w:tr>
        <w:trPr>
          <w:trHeight w:val="574" w:hRule="exact"/>
        </w:trPr>
        <w:tc>
          <w:tcPr>
            <w:tcW w:w="3560" w:type="dxa"/>
            <w:tcBorders>
              <w:top w:val="single" w:sz="8" w:space="0" w:color="000000"/>
              <w:bottom w:val="single" w:sz="4" w:space="0" w:color="000000"/>
            </w:tcBorders>
          </w:tcPr>
          <w:p>
            <w:pPr>
              <w:pStyle w:val="TableParagraph"/>
              <w:ind w:left="55" w:right="120"/>
              <w:jc w:val="left"/>
              <w:rPr>
                <w:sz w:val="24"/>
              </w:rPr>
            </w:pPr>
            <w:r>
              <w:rPr>
                <w:sz w:val="24"/>
              </w:rPr>
              <w:t>Estabilidad de la solución estándar de trabajo</w:t>
            </w:r>
          </w:p>
        </w:tc>
        <w:tc>
          <w:tcPr>
            <w:tcW w:w="5841" w:type="dxa"/>
            <w:tcBorders>
              <w:top w:val="single" w:sz="8" w:space="0" w:color="000000"/>
              <w:bottom w:val="single" w:sz="8" w:space="0" w:color="000000"/>
            </w:tcBorders>
          </w:tcPr>
          <w:p>
            <w:pPr>
              <w:pStyle w:val="TableParagraph"/>
              <w:spacing w:before="135"/>
              <w:ind w:left="55"/>
              <w:jc w:val="left"/>
              <w:rPr>
                <w:sz w:val="24"/>
              </w:rPr>
            </w:pPr>
            <w:r>
              <w:rPr>
                <w:sz w:val="24"/>
              </w:rPr>
              <w:t>90 al 110 % de la concentración teórica</w:t>
            </w:r>
          </w:p>
        </w:tc>
      </w:tr>
      <w:tr>
        <w:trPr>
          <w:trHeight w:val="571" w:hRule="exact"/>
        </w:trPr>
        <w:tc>
          <w:tcPr>
            <w:tcW w:w="3560" w:type="dxa"/>
            <w:tcBorders>
              <w:top w:val="single" w:sz="4" w:space="0" w:color="000000"/>
              <w:bottom w:val="single" w:sz="4" w:space="0" w:color="000000"/>
              <w:right w:val="single" w:sz="8" w:space="0" w:color="000000"/>
            </w:tcBorders>
          </w:tcPr>
          <w:p>
            <w:pPr>
              <w:pStyle w:val="TableParagraph"/>
              <w:ind w:left="55" w:right="752"/>
              <w:jc w:val="left"/>
              <w:rPr>
                <w:sz w:val="24"/>
              </w:rPr>
            </w:pPr>
            <w:r>
              <w:rPr>
                <w:sz w:val="24"/>
              </w:rPr>
              <w:t>Estabilidad de la solución muestra</w:t>
            </w:r>
          </w:p>
        </w:tc>
        <w:tc>
          <w:tcPr>
            <w:tcW w:w="5841" w:type="dxa"/>
            <w:tcBorders>
              <w:top w:val="single" w:sz="8" w:space="0" w:color="000000"/>
              <w:left w:val="single" w:sz="8" w:space="0" w:color="000000"/>
              <w:bottom w:val="single" w:sz="8" w:space="0" w:color="000000"/>
              <w:right w:val="single" w:sz="8" w:space="0" w:color="000000"/>
            </w:tcBorders>
          </w:tcPr>
          <w:p>
            <w:pPr>
              <w:pStyle w:val="TableParagraph"/>
              <w:ind w:left="60" w:right="44"/>
              <w:jc w:val="left"/>
              <w:rPr>
                <w:sz w:val="24"/>
              </w:rPr>
            </w:pPr>
            <w:r>
              <w:rPr>
                <w:sz w:val="24"/>
              </w:rPr>
              <w:t>La respuesta del analito no aumenta ni disminuye por arriba del límite de cuantificación</w:t>
            </w:r>
          </w:p>
        </w:tc>
      </w:tr>
      <w:tr>
        <w:trPr>
          <w:trHeight w:val="396" w:hRule="exact"/>
        </w:trPr>
        <w:tc>
          <w:tcPr>
            <w:tcW w:w="3560" w:type="dxa"/>
            <w:tcBorders>
              <w:top w:val="single" w:sz="4" w:space="0" w:color="000000"/>
              <w:bottom w:val="single" w:sz="8" w:space="0" w:color="000000"/>
            </w:tcBorders>
          </w:tcPr>
          <w:p>
            <w:pPr>
              <w:pStyle w:val="TableParagraph"/>
              <w:spacing w:line="276" w:lineRule="exact"/>
              <w:ind w:left="55" w:right="120"/>
              <w:jc w:val="left"/>
              <w:rPr>
                <w:sz w:val="24"/>
              </w:rPr>
            </w:pPr>
            <w:r>
              <w:rPr>
                <w:sz w:val="24"/>
              </w:rPr>
              <w:t>Linealidad (r</w:t>
            </w:r>
            <w:r>
              <w:rPr>
                <w:position w:val="11"/>
                <w:sz w:val="16"/>
              </w:rPr>
              <w:t>2</w:t>
            </w:r>
            <w:r>
              <w:rPr>
                <w:sz w:val="24"/>
              </w:rPr>
              <w:t>)</w:t>
            </w:r>
          </w:p>
        </w:tc>
        <w:tc>
          <w:tcPr>
            <w:tcW w:w="5841" w:type="dxa"/>
            <w:tcBorders>
              <w:top w:val="single" w:sz="8" w:space="0" w:color="000000"/>
              <w:bottom w:val="single" w:sz="8" w:space="0" w:color="000000"/>
            </w:tcBorders>
          </w:tcPr>
          <w:p>
            <w:pPr>
              <w:pStyle w:val="TableParagraph"/>
              <w:spacing w:before="96"/>
              <w:ind w:left="55"/>
              <w:jc w:val="left"/>
              <w:rPr>
                <w:sz w:val="24"/>
              </w:rPr>
            </w:pPr>
            <w:r>
              <w:rPr>
                <w:sz w:val="24"/>
              </w:rPr>
              <w:t>≥ 0.99</w:t>
            </w:r>
          </w:p>
        </w:tc>
      </w:tr>
      <w:tr>
        <w:trPr>
          <w:trHeight w:val="322" w:hRule="exact"/>
        </w:trPr>
        <w:tc>
          <w:tcPr>
            <w:tcW w:w="3560" w:type="dxa"/>
            <w:tcBorders>
              <w:top w:val="single" w:sz="8" w:space="0" w:color="000000"/>
              <w:bottom w:val="nil"/>
            </w:tcBorders>
          </w:tcPr>
          <w:p>
            <w:pPr>
              <w:pStyle w:val="TableParagraph"/>
              <w:spacing w:line="272" w:lineRule="exact"/>
              <w:ind w:left="55" w:right="120"/>
              <w:jc w:val="left"/>
              <w:rPr>
                <w:sz w:val="24"/>
              </w:rPr>
            </w:pPr>
            <w:r>
              <w:rPr>
                <w:sz w:val="24"/>
              </w:rPr>
              <w:t>Límite de Cuantificación</w:t>
            </w:r>
          </w:p>
        </w:tc>
        <w:tc>
          <w:tcPr>
            <w:tcW w:w="5841" w:type="dxa"/>
            <w:vMerge w:val="restart"/>
            <w:tcBorders>
              <w:top w:val="single" w:sz="8" w:space="0" w:color="000000"/>
            </w:tcBorders>
          </w:tcPr>
          <w:p>
            <w:pPr>
              <w:pStyle w:val="TableParagraph"/>
              <w:spacing w:before="5"/>
              <w:jc w:val="left"/>
              <w:rPr>
                <w:sz w:val="28"/>
              </w:rPr>
            </w:pPr>
          </w:p>
          <w:p>
            <w:pPr>
              <w:pStyle w:val="TableParagraph"/>
              <w:ind w:left="55"/>
              <w:jc w:val="left"/>
              <w:rPr>
                <w:sz w:val="24"/>
              </w:rPr>
            </w:pPr>
            <w:r>
              <w:rPr>
                <w:sz w:val="24"/>
              </w:rPr>
              <w:t>No más de 10%</w:t>
            </w:r>
          </w:p>
        </w:tc>
      </w:tr>
      <w:tr>
        <w:trPr>
          <w:trHeight w:val="305" w:hRule="exact"/>
        </w:trPr>
        <w:tc>
          <w:tcPr>
            <w:tcW w:w="3560" w:type="dxa"/>
            <w:tcBorders>
              <w:top w:val="nil"/>
              <w:bottom w:val="single" w:sz="8" w:space="0" w:color="000000"/>
            </w:tcBorders>
          </w:tcPr>
          <w:p>
            <w:pPr>
              <w:pStyle w:val="TableParagraph"/>
              <w:spacing w:before="15"/>
              <w:ind w:left="55" w:right="120"/>
              <w:jc w:val="left"/>
              <w:rPr>
                <w:sz w:val="24"/>
                <w:szCs w:val="24"/>
              </w:rPr>
            </w:pPr>
            <w:r>
              <w:rPr>
                <w:sz w:val="24"/>
                <w:szCs w:val="24"/>
              </w:rPr>
              <w:t>%DERᵃ de la respuesta</w:t>
            </w:r>
          </w:p>
        </w:tc>
        <w:tc>
          <w:tcPr>
            <w:tcW w:w="5841" w:type="dxa"/>
            <w:vMerge/>
            <w:tcBorders>
              <w:bottom w:val="single" w:sz="8" w:space="0" w:color="000000"/>
            </w:tcBorders>
          </w:tcPr>
          <w:p>
            <w:pPr/>
          </w:p>
        </w:tc>
      </w:tr>
      <w:tr>
        <w:trPr>
          <w:trHeight w:val="334" w:hRule="exact"/>
        </w:trPr>
        <w:tc>
          <w:tcPr>
            <w:tcW w:w="3560" w:type="dxa"/>
            <w:tcBorders>
              <w:top w:val="single" w:sz="8" w:space="0" w:color="000000"/>
              <w:bottom w:val="single" w:sz="8" w:space="0" w:color="000000"/>
            </w:tcBorders>
          </w:tcPr>
          <w:p>
            <w:pPr>
              <w:pStyle w:val="TableParagraph"/>
              <w:spacing w:line="272" w:lineRule="exact"/>
              <w:ind w:left="55" w:right="120"/>
              <w:jc w:val="left"/>
              <w:rPr>
                <w:sz w:val="24"/>
              </w:rPr>
            </w:pPr>
            <w:r>
              <w:rPr>
                <w:sz w:val="24"/>
              </w:rPr>
              <w:t>Límite de Detección</w:t>
            </w:r>
          </w:p>
        </w:tc>
        <w:tc>
          <w:tcPr>
            <w:tcW w:w="5841" w:type="dxa"/>
            <w:tcBorders>
              <w:top w:val="single" w:sz="8" w:space="0" w:color="000000"/>
              <w:bottom w:val="single" w:sz="8" w:space="0" w:color="000000"/>
            </w:tcBorders>
          </w:tcPr>
          <w:p>
            <w:pPr>
              <w:pStyle w:val="TableParagraph"/>
              <w:spacing w:before="34"/>
              <w:ind w:left="55"/>
              <w:jc w:val="left"/>
              <w:rPr>
                <w:sz w:val="24"/>
              </w:rPr>
            </w:pPr>
            <w:r>
              <w:rPr>
                <w:sz w:val="24"/>
              </w:rPr>
              <w:t>Se observa respuesta</w:t>
            </w:r>
          </w:p>
        </w:tc>
      </w:tr>
      <w:tr>
        <w:trPr>
          <w:trHeight w:val="566" w:hRule="exact"/>
        </w:trPr>
        <w:tc>
          <w:tcPr>
            <w:tcW w:w="3560" w:type="dxa"/>
            <w:tcBorders>
              <w:top w:val="single" w:sz="8" w:space="0" w:color="000000"/>
              <w:bottom w:val="single" w:sz="4" w:space="0" w:color="000000"/>
            </w:tcBorders>
          </w:tcPr>
          <w:p>
            <w:pPr>
              <w:pStyle w:val="TableParagraph"/>
              <w:ind w:left="55" w:right="120"/>
              <w:jc w:val="left"/>
              <w:rPr>
                <w:sz w:val="24"/>
              </w:rPr>
            </w:pPr>
            <w:r>
              <w:rPr>
                <w:sz w:val="24"/>
              </w:rPr>
              <w:t>Exactitud (% recobro al límite de cuantificación, 100 y 120 %)</w:t>
            </w:r>
          </w:p>
        </w:tc>
        <w:tc>
          <w:tcPr>
            <w:tcW w:w="5841" w:type="dxa"/>
            <w:tcBorders>
              <w:top w:val="single" w:sz="8" w:space="0" w:color="000000"/>
              <w:bottom w:val="single" w:sz="4" w:space="0" w:color="000000"/>
            </w:tcBorders>
          </w:tcPr>
          <w:p>
            <w:pPr>
              <w:pStyle w:val="TableParagraph"/>
              <w:spacing w:before="7"/>
              <w:jc w:val="left"/>
              <w:rPr>
                <w:sz w:val="23"/>
              </w:rPr>
            </w:pPr>
          </w:p>
          <w:p>
            <w:pPr>
              <w:pStyle w:val="TableParagraph"/>
              <w:ind w:left="55"/>
              <w:jc w:val="left"/>
              <w:rPr>
                <w:sz w:val="24"/>
              </w:rPr>
            </w:pPr>
            <w:r>
              <w:rPr>
                <w:sz w:val="24"/>
              </w:rPr>
              <w:t>70 – 150 % de la cantidad adicionada</w:t>
            </w:r>
          </w:p>
        </w:tc>
      </w:tr>
      <w:tr>
        <w:trPr>
          <w:trHeight w:val="320" w:hRule="exact"/>
        </w:trPr>
        <w:tc>
          <w:tcPr>
            <w:tcW w:w="3560" w:type="dxa"/>
            <w:tcBorders>
              <w:top w:val="single" w:sz="4" w:space="0" w:color="000000"/>
              <w:bottom w:val="nil"/>
            </w:tcBorders>
          </w:tcPr>
          <w:p>
            <w:pPr>
              <w:pStyle w:val="TableParagraph"/>
              <w:spacing w:line="274" w:lineRule="exact"/>
              <w:ind w:left="55" w:right="120"/>
              <w:jc w:val="left"/>
              <w:rPr>
                <w:sz w:val="24"/>
              </w:rPr>
            </w:pPr>
            <w:r>
              <w:rPr>
                <w:sz w:val="24"/>
              </w:rPr>
              <w:t>Precisión</w:t>
            </w:r>
          </w:p>
        </w:tc>
        <w:tc>
          <w:tcPr>
            <w:tcW w:w="5841" w:type="dxa"/>
            <w:vMerge w:val="restart"/>
            <w:tcBorders>
              <w:top w:val="single" w:sz="4" w:space="0" w:color="000000"/>
            </w:tcBorders>
          </w:tcPr>
          <w:p>
            <w:pPr>
              <w:pStyle w:val="TableParagraph"/>
              <w:spacing w:before="3"/>
              <w:jc w:val="left"/>
              <w:rPr>
                <w:sz w:val="26"/>
              </w:rPr>
            </w:pPr>
          </w:p>
          <w:p>
            <w:pPr>
              <w:pStyle w:val="TableParagraph"/>
              <w:spacing w:before="1"/>
              <w:ind w:left="55"/>
              <w:jc w:val="left"/>
              <w:rPr>
                <w:sz w:val="24"/>
              </w:rPr>
            </w:pPr>
            <w:r>
              <w:rPr>
                <w:sz w:val="24"/>
              </w:rPr>
              <w:t>No más de 15%</w:t>
            </w:r>
          </w:p>
        </w:tc>
      </w:tr>
      <w:tr>
        <w:trPr>
          <w:trHeight w:val="582" w:hRule="exact"/>
        </w:trPr>
        <w:tc>
          <w:tcPr>
            <w:tcW w:w="3560" w:type="dxa"/>
            <w:tcBorders>
              <w:top w:val="nil"/>
              <w:bottom w:val="single" w:sz="8" w:space="0" w:color="000000"/>
            </w:tcBorders>
          </w:tcPr>
          <w:p>
            <w:pPr>
              <w:pStyle w:val="TableParagraph"/>
              <w:spacing w:before="16"/>
              <w:ind w:left="55" w:right="1014"/>
              <w:jc w:val="left"/>
              <w:rPr>
                <w:sz w:val="24"/>
              </w:rPr>
            </w:pPr>
            <w:r>
              <w:rPr>
                <w:sz w:val="24"/>
              </w:rPr>
              <w:t>(% de diferencia de los promedios)</w:t>
            </w:r>
          </w:p>
        </w:tc>
        <w:tc>
          <w:tcPr>
            <w:tcW w:w="5841" w:type="dxa"/>
            <w:vMerge/>
            <w:tcBorders>
              <w:bottom w:val="single" w:sz="8" w:space="0" w:color="000000"/>
            </w:tcBorders>
          </w:tcPr>
          <w:p>
            <w:pPr/>
          </w:p>
        </w:tc>
      </w:tr>
      <w:tr>
        <w:trPr>
          <w:trHeight w:val="372" w:hRule="exact"/>
        </w:trPr>
        <w:tc>
          <w:tcPr>
            <w:tcW w:w="3560" w:type="dxa"/>
            <w:tcBorders>
              <w:top w:val="single" w:sz="8" w:space="0" w:color="000000"/>
              <w:bottom w:val="single" w:sz="8" w:space="0" w:color="000000"/>
            </w:tcBorders>
          </w:tcPr>
          <w:p>
            <w:pPr>
              <w:pStyle w:val="TableParagraph"/>
              <w:spacing w:before="72"/>
              <w:ind w:left="55" w:right="120"/>
              <w:jc w:val="left"/>
              <w:rPr>
                <w:sz w:val="24"/>
              </w:rPr>
            </w:pPr>
            <w:r>
              <w:rPr>
                <w:sz w:val="24"/>
              </w:rPr>
              <w:t>Rango</w:t>
            </w:r>
          </w:p>
        </w:tc>
        <w:tc>
          <w:tcPr>
            <w:tcW w:w="5841" w:type="dxa"/>
            <w:tcBorders>
              <w:top w:val="single" w:sz="8" w:space="0" w:color="000000"/>
              <w:bottom w:val="single" w:sz="8" w:space="0" w:color="000000"/>
            </w:tcBorders>
          </w:tcPr>
          <w:p>
            <w:pPr>
              <w:pStyle w:val="TableParagraph"/>
              <w:spacing w:before="72"/>
              <w:ind w:left="55"/>
              <w:jc w:val="left"/>
              <w:rPr>
                <w:sz w:val="24"/>
              </w:rPr>
            </w:pPr>
            <w:r>
              <w:rPr>
                <w:sz w:val="24"/>
              </w:rPr>
              <w:t>LC – 120% de la concentración objetivo</w:t>
            </w:r>
          </w:p>
        </w:tc>
      </w:tr>
      <w:tr>
        <w:trPr>
          <w:trHeight w:val="353" w:hRule="exact"/>
        </w:trPr>
        <w:tc>
          <w:tcPr>
            <w:tcW w:w="3560" w:type="dxa"/>
            <w:tcBorders>
              <w:top w:val="single" w:sz="8" w:space="0" w:color="000000"/>
            </w:tcBorders>
          </w:tcPr>
          <w:p>
            <w:pPr>
              <w:pStyle w:val="TableParagraph"/>
              <w:spacing w:before="51"/>
              <w:ind w:left="55" w:right="120"/>
              <w:jc w:val="left"/>
              <w:rPr>
                <w:sz w:val="24"/>
              </w:rPr>
            </w:pPr>
            <w:r>
              <w:rPr>
                <w:sz w:val="24"/>
              </w:rPr>
              <w:t>Robustez</w:t>
            </w:r>
          </w:p>
        </w:tc>
        <w:tc>
          <w:tcPr>
            <w:tcW w:w="5841" w:type="dxa"/>
            <w:tcBorders>
              <w:top w:val="single" w:sz="8" w:space="0" w:color="000000"/>
            </w:tcBorders>
          </w:tcPr>
          <w:p>
            <w:pPr>
              <w:pStyle w:val="TableParagraph"/>
              <w:spacing w:before="51"/>
              <w:ind w:left="55"/>
              <w:jc w:val="left"/>
              <w:rPr>
                <w:sz w:val="24"/>
              </w:rPr>
            </w:pPr>
            <w:r>
              <w:rPr>
                <w:sz w:val="24"/>
              </w:rPr>
              <w:t>Conforme</w:t>
            </w:r>
          </w:p>
        </w:tc>
      </w:tr>
    </w:tbl>
    <w:p>
      <w:pPr>
        <w:pStyle w:val="BodyText"/>
        <w:ind w:left="142" w:right="779"/>
      </w:pPr>
      <w:r>
        <w:rPr/>
        <w:t>ᵃDesviación Estándar Relativa</w:t>
      </w:r>
    </w:p>
    <w:p>
      <w:pPr>
        <w:pStyle w:val="BodyText"/>
      </w:pPr>
    </w:p>
    <w:p>
      <w:pPr>
        <w:pStyle w:val="BodyText"/>
      </w:pPr>
    </w:p>
    <w:p>
      <w:pPr>
        <w:pStyle w:val="BodyText"/>
        <w:spacing w:line="360" w:lineRule="auto" w:after="6"/>
        <w:ind w:left="142" w:right="779"/>
        <w:rPr>
          <w:sz w:val="18"/>
        </w:rPr>
      </w:pPr>
      <w:r>
        <w:rPr/>
        <w:t>Tabla 5.3 Criterios para la validación de métodos conforme a la USP &lt;232&gt; para procedimientos cuantitativos. </w:t>
      </w:r>
      <w:r>
        <w:rPr>
          <w:color w:val="212121"/>
          <w:sz w:val="18"/>
        </w:rPr>
        <w:t>(Fuente: USP vigente)</w:t>
      </w:r>
    </w:p>
    <w:tbl>
      <w:tblPr>
        <w:tblW w:w="0" w:type="auto"/>
        <w:jc w:val="left"/>
        <w:tblInd w:w="1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428"/>
        <w:gridCol w:w="6100"/>
      </w:tblGrid>
      <w:tr>
        <w:trPr>
          <w:trHeight w:val="362" w:hRule="exact"/>
        </w:trPr>
        <w:tc>
          <w:tcPr>
            <w:tcW w:w="3428" w:type="dxa"/>
            <w:shd w:val="clear" w:color="auto" w:fill="C5D9F0"/>
          </w:tcPr>
          <w:p>
            <w:pPr>
              <w:pStyle w:val="TableParagraph"/>
              <w:spacing w:before="21"/>
              <w:ind w:left="64" w:right="1106"/>
              <w:jc w:val="left"/>
              <w:rPr>
                <w:b/>
                <w:sz w:val="24"/>
              </w:rPr>
            </w:pPr>
            <w:r>
              <w:rPr>
                <w:b/>
                <w:sz w:val="24"/>
              </w:rPr>
              <w:t>Parámetro</w:t>
            </w:r>
          </w:p>
        </w:tc>
        <w:tc>
          <w:tcPr>
            <w:tcW w:w="6100" w:type="dxa"/>
            <w:shd w:val="clear" w:color="auto" w:fill="C5D9F0"/>
          </w:tcPr>
          <w:p>
            <w:pPr>
              <w:pStyle w:val="TableParagraph"/>
              <w:spacing w:before="21"/>
              <w:ind w:left="62" w:right="245"/>
              <w:jc w:val="left"/>
              <w:rPr>
                <w:b/>
                <w:sz w:val="24"/>
              </w:rPr>
            </w:pPr>
            <w:r>
              <w:rPr>
                <w:b/>
                <w:sz w:val="24"/>
              </w:rPr>
              <w:t>Criterio de aceptación</w:t>
            </w:r>
          </w:p>
        </w:tc>
      </w:tr>
      <w:tr>
        <w:trPr>
          <w:trHeight w:val="656" w:hRule="exact"/>
        </w:trPr>
        <w:tc>
          <w:tcPr>
            <w:tcW w:w="3428" w:type="dxa"/>
            <w:tcBorders>
              <w:top w:val="single" w:sz="12" w:space="0" w:color="C5D9F0"/>
            </w:tcBorders>
          </w:tcPr>
          <w:p>
            <w:pPr>
              <w:pStyle w:val="TableParagraph"/>
              <w:spacing w:before="159"/>
              <w:ind w:left="64" w:right="1106"/>
              <w:jc w:val="left"/>
              <w:rPr>
                <w:sz w:val="24"/>
              </w:rPr>
            </w:pPr>
            <w:r>
              <w:rPr>
                <w:sz w:val="24"/>
              </w:rPr>
              <w:t>Exactitud</w:t>
            </w:r>
          </w:p>
        </w:tc>
        <w:tc>
          <w:tcPr>
            <w:tcW w:w="6100" w:type="dxa"/>
            <w:tcBorders>
              <w:top w:val="single" w:sz="12" w:space="0" w:color="C5D9F0"/>
            </w:tcBorders>
          </w:tcPr>
          <w:p>
            <w:pPr>
              <w:pStyle w:val="TableParagraph"/>
              <w:spacing w:line="278" w:lineRule="auto"/>
              <w:ind w:left="62" w:right="245"/>
              <w:jc w:val="left"/>
              <w:rPr>
                <w:sz w:val="24"/>
              </w:rPr>
            </w:pPr>
            <w:r>
              <w:rPr>
                <w:sz w:val="24"/>
              </w:rPr>
              <w:t>Recobro del 70 al 150 % para la media de tres preparaciones repetidas a cada concentración</w:t>
            </w:r>
          </w:p>
        </w:tc>
      </w:tr>
      <w:tr>
        <w:trPr>
          <w:trHeight w:val="374" w:hRule="exact"/>
        </w:trPr>
        <w:tc>
          <w:tcPr>
            <w:tcW w:w="3428" w:type="dxa"/>
          </w:tcPr>
          <w:p>
            <w:pPr>
              <w:pStyle w:val="TableParagraph"/>
              <w:spacing w:before="22"/>
              <w:ind w:left="64" w:right="1106"/>
              <w:jc w:val="left"/>
              <w:rPr>
                <w:sz w:val="24"/>
              </w:rPr>
            </w:pPr>
            <w:r>
              <w:rPr>
                <w:sz w:val="24"/>
              </w:rPr>
              <w:t>Repetibilidad</w:t>
            </w:r>
          </w:p>
        </w:tc>
        <w:tc>
          <w:tcPr>
            <w:tcW w:w="6100" w:type="dxa"/>
          </w:tcPr>
          <w:p>
            <w:pPr>
              <w:pStyle w:val="TableParagraph"/>
              <w:spacing w:before="22"/>
              <w:ind w:left="62" w:right="245"/>
              <w:jc w:val="left"/>
              <w:rPr>
                <w:sz w:val="24"/>
              </w:rPr>
            </w:pPr>
            <w:r>
              <w:rPr>
                <w:sz w:val="24"/>
              </w:rPr>
              <w:t>Seis muestras independientes, DER No más de 20 %</w:t>
            </w:r>
          </w:p>
        </w:tc>
      </w:tr>
      <w:tr>
        <w:trPr>
          <w:trHeight w:val="643" w:hRule="exact"/>
        </w:trPr>
        <w:tc>
          <w:tcPr>
            <w:tcW w:w="3428" w:type="dxa"/>
          </w:tcPr>
          <w:p>
            <w:pPr>
              <w:pStyle w:val="TableParagraph"/>
              <w:spacing w:line="276" w:lineRule="auto"/>
              <w:ind w:left="64" w:right="1106"/>
              <w:jc w:val="left"/>
              <w:rPr>
                <w:sz w:val="24"/>
              </w:rPr>
            </w:pPr>
            <w:r>
              <w:rPr>
                <w:sz w:val="24"/>
              </w:rPr>
              <w:t>Tolerancia (precisión intermedia)</w:t>
            </w:r>
          </w:p>
        </w:tc>
        <w:tc>
          <w:tcPr>
            <w:tcW w:w="6100" w:type="dxa"/>
          </w:tcPr>
          <w:p>
            <w:pPr>
              <w:pStyle w:val="TableParagraph"/>
              <w:spacing w:line="276" w:lineRule="auto"/>
              <w:ind w:left="62" w:right="245"/>
              <w:jc w:val="left"/>
              <w:rPr>
                <w:sz w:val="24"/>
              </w:rPr>
            </w:pPr>
            <w:r>
              <w:rPr>
                <w:sz w:val="24"/>
              </w:rPr>
              <w:t>Días distintos, equipos distintos o analistas diferentes, DER No más de 25%.</w:t>
            </w:r>
          </w:p>
        </w:tc>
      </w:tr>
      <w:tr>
        <w:trPr>
          <w:trHeight w:val="375" w:hRule="exact"/>
        </w:trPr>
        <w:tc>
          <w:tcPr>
            <w:tcW w:w="3428" w:type="dxa"/>
          </w:tcPr>
          <w:p>
            <w:pPr>
              <w:pStyle w:val="TableParagraph"/>
              <w:spacing w:before="22"/>
              <w:ind w:left="64"/>
              <w:jc w:val="left"/>
              <w:rPr>
                <w:sz w:val="24"/>
              </w:rPr>
            </w:pPr>
            <w:r>
              <w:rPr>
                <w:sz w:val="24"/>
              </w:rPr>
              <w:t>LC, intervalo y linealidad</w:t>
            </w:r>
          </w:p>
        </w:tc>
        <w:tc>
          <w:tcPr>
            <w:tcW w:w="6100" w:type="dxa"/>
          </w:tcPr>
          <w:p>
            <w:pPr>
              <w:pStyle w:val="TableParagraph"/>
              <w:spacing w:before="22"/>
              <w:ind w:left="62"/>
              <w:jc w:val="left"/>
              <w:rPr>
                <w:sz w:val="24"/>
              </w:rPr>
            </w:pPr>
            <w:r>
              <w:rPr>
                <w:sz w:val="24"/>
              </w:rPr>
              <w:t>Se demuestra cumpliendo los parámetros de exactitud</w:t>
            </w:r>
          </w:p>
        </w:tc>
      </w:tr>
    </w:tbl>
    <w:p>
      <w:pPr>
        <w:pStyle w:val="BodyText"/>
        <w:rPr>
          <w:sz w:val="20"/>
        </w:rPr>
      </w:pPr>
    </w:p>
    <w:p>
      <w:pPr>
        <w:pStyle w:val="BodyText"/>
        <w:rPr>
          <w:sz w:val="20"/>
        </w:rPr>
      </w:pPr>
    </w:p>
    <w:p>
      <w:pPr>
        <w:pStyle w:val="BodyText"/>
        <w:spacing w:before="9"/>
        <w:rPr>
          <w:sz w:val="25"/>
        </w:rPr>
      </w:pPr>
    </w:p>
    <w:p>
      <w:pPr>
        <w:pStyle w:val="BodyText"/>
        <w:spacing w:line="360" w:lineRule="auto" w:before="69"/>
        <w:ind w:left="142" w:right="776"/>
        <w:jc w:val="both"/>
      </w:pPr>
      <w:r>
        <w:rPr>
          <w:b/>
        </w:rPr>
        <w:t>Objetivo específico 4</w:t>
      </w:r>
      <w:r>
        <w:rPr/>
        <w:t>: Identificar y documentar el origen de las posibles fuentes de impurezas elementales en el proceso de fabricación del API a estudiar para asegurar que el producto cumpla el requerimiento regulatorio</w:t>
      </w:r>
    </w:p>
    <w:p>
      <w:pPr>
        <w:spacing w:after="0" w:line="360" w:lineRule="auto"/>
        <w:jc w:val="both"/>
        <w:sectPr>
          <w:pgSz w:w="12240" w:h="15840"/>
          <w:pgMar w:header="0" w:footer="919" w:top="1360" w:bottom="1100" w:left="1560" w:right="920"/>
        </w:sectPr>
      </w:pPr>
    </w:p>
    <w:p>
      <w:pPr>
        <w:pStyle w:val="BodyText"/>
        <w:spacing w:line="360" w:lineRule="auto" w:before="56"/>
        <w:ind w:left="102" w:right="115"/>
        <w:jc w:val="both"/>
      </w:pPr>
      <w:r>
        <w:rPr/>
        <w:t>Se utilizó uno de los productos desarrollados en la empresa farmoquímica para desarrollar y validar los métodos analíticos desarrollados para la determinación de impurezas elementales clase 1, clase 2A y paladio. Resultados iniciales Tabla 5.4. Se llevó a cabo el monitoreo de una de las impurezas que se encontraban presentes en el producto (paladio), y se le dio seguimiento desde las materias primas hasta el producto final. El proceso del producto estudiado se muestra en la Figura 5.1</w:t>
      </w:r>
    </w:p>
    <w:p>
      <w:pPr>
        <w:pStyle w:val="BodyText"/>
      </w:pPr>
    </w:p>
    <w:p>
      <w:pPr>
        <w:pStyle w:val="BodyText"/>
        <w:spacing w:line="360" w:lineRule="auto" w:before="142" w:after="7"/>
        <w:ind w:left="102" w:right="115"/>
        <w:jc w:val="both"/>
      </w:pPr>
      <w:r>
        <w:rPr/>
        <w:t>Tabla 5.4 Resultados iniciales obtenidos del monitoreo de las diferentes impurezas elementales</w:t>
      </w:r>
    </w:p>
    <w:tbl>
      <w:tblPr>
        <w:tblW w:w="0" w:type="auto"/>
        <w:jc w:val="left"/>
        <w:tblInd w:w="920" w:type="dxa"/>
        <w:tblBorders>
          <w:top w:val="single" w:sz="4" w:space="0" w:color="A9D08E"/>
          <w:left w:val="single" w:sz="4" w:space="0" w:color="A9D08E"/>
          <w:bottom w:val="single" w:sz="4" w:space="0" w:color="A9D08E"/>
          <w:right w:val="single" w:sz="4" w:space="0" w:color="A9D08E"/>
          <w:insideH w:val="single" w:sz="4" w:space="0" w:color="A9D08E"/>
          <w:insideV w:val="single" w:sz="4" w:space="0" w:color="A9D08E"/>
        </w:tblBorders>
        <w:tblLayout w:type="fixed"/>
        <w:tblCellMar>
          <w:top w:w="0" w:type="dxa"/>
          <w:left w:w="0" w:type="dxa"/>
          <w:bottom w:w="0" w:type="dxa"/>
          <w:right w:w="0" w:type="dxa"/>
        </w:tblCellMar>
        <w:tblLook w:val="01E0"/>
      </w:tblPr>
      <w:tblGrid>
        <w:gridCol w:w="1505"/>
        <w:gridCol w:w="3406"/>
        <w:gridCol w:w="2281"/>
      </w:tblGrid>
      <w:tr>
        <w:trPr>
          <w:trHeight w:val="535" w:hRule="exact"/>
        </w:trPr>
        <w:tc>
          <w:tcPr>
            <w:tcW w:w="1505" w:type="dxa"/>
            <w:tcBorders>
              <w:right w:val="nil"/>
            </w:tcBorders>
            <w:shd w:val="clear" w:color="auto" w:fill="6FAC46"/>
          </w:tcPr>
          <w:p>
            <w:pPr>
              <w:pStyle w:val="TableParagraph"/>
              <w:spacing w:before="127"/>
              <w:ind w:left="203" w:right="175"/>
              <w:rPr>
                <w:b/>
                <w:sz w:val="24"/>
              </w:rPr>
            </w:pPr>
            <w:r>
              <w:rPr>
                <w:b/>
                <w:sz w:val="24"/>
              </w:rPr>
              <w:t>Elemento</w:t>
            </w:r>
          </w:p>
        </w:tc>
        <w:tc>
          <w:tcPr>
            <w:tcW w:w="3406" w:type="dxa"/>
            <w:tcBorders>
              <w:left w:val="nil"/>
              <w:right w:val="nil"/>
            </w:tcBorders>
            <w:shd w:val="clear" w:color="auto" w:fill="6FAC46"/>
          </w:tcPr>
          <w:p>
            <w:pPr>
              <w:pStyle w:val="TableParagraph"/>
              <w:spacing w:before="12"/>
              <w:ind w:left="672" w:right="160" w:hanging="478"/>
              <w:jc w:val="left"/>
              <w:rPr>
                <w:b/>
                <w:sz w:val="22"/>
              </w:rPr>
            </w:pPr>
            <w:r>
              <w:rPr>
                <w:b/>
                <w:sz w:val="22"/>
              </w:rPr>
              <w:t>Especificación conforme a la guía ICH Q3D (ppm)</w:t>
            </w:r>
          </w:p>
        </w:tc>
        <w:tc>
          <w:tcPr>
            <w:tcW w:w="2281" w:type="dxa"/>
            <w:tcBorders>
              <w:left w:val="nil"/>
            </w:tcBorders>
            <w:shd w:val="clear" w:color="auto" w:fill="6FAC46"/>
          </w:tcPr>
          <w:p>
            <w:pPr>
              <w:pStyle w:val="TableParagraph"/>
              <w:spacing w:before="127"/>
              <w:ind w:left="157" w:right="171"/>
              <w:rPr>
                <w:b/>
                <w:sz w:val="24"/>
              </w:rPr>
            </w:pPr>
            <w:r>
              <w:rPr>
                <w:b/>
                <w:sz w:val="24"/>
              </w:rPr>
              <w:t>Resultado Inicial</w:t>
            </w:r>
          </w:p>
        </w:tc>
      </w:tr>
      <w:tr>
        <w:trPr>
          <w:trHeight w:val="307" w:hRule="exact"/>
        </w:trPr>
        <w:tc>
          <w:tcPr>
            <w:tcW w:w="1505" w:type="dxa"/>
            <w:tcBorders>
              <w:right w:val="nil"/>
            </w:tcBorders>
            <w:shd w:val="clear" w:color="auto" w:fill="E1EEDA"/>
          </w:tcPr>
          <w:p>
            <w:pPr>
              <w:pStyle w:val="TableParagraph"/>
              <w:spacing w:before="15"/>
              <w:ind w:left="203" w:right="174"/>
              <w:rPr>
                <w:sz w:val="24"/>
              </w:rPr>
            </w:pPr>
            <w:r>
              <w:rPr>
                <w:sz w:val="24"/>
              </w:rPr>
              <w:t>As</w:t>
            </w:r>
          </w:p>
        </w:tc>
        <w:tc>
          <w:tcPr>
            <w:tcW w:w="3406" w:type="dxa"/>
            <w:tcBorders>
              <w:left w:val="nil"/>
              <w:right w:val="nil"/>
            </w:tcBorders>
            <w:shd w:val="clear" w:color="auto" w:fill="E1EEDA"/>
          </w:tcPr>
          <w:p>
            <w:pPr>
              <w:pStyle w:val="TableParagraph"/>
              <w:spacing w:before="15"/>
              <w:ind w:left="1523" w:right="1508"/>
              <w:rPr>
                <w:sz w:val="24"/>
              </w:rPr>
            </w:pPr>
            <w:r>
              <w:rPr>
                <w:sz w:val="24"/>
              </w:rPr>
              <w:t>1.5</w:t>
            </w:r>
          </w:p>
        </w:tc>
        <w:tc>
          <w:tcPr>
            <w:tcW w:w="2281" w:type="dxa"/>
            <w:tcBorders>
              <w:left w:val="nil"/>
            </w:tcBorders>
            <w:shd w:val="clear" w:color="auto" w:fill="E1EEDA"/>
          </w:tcPr>
          <w:p>
            <w:pPr>
              <w:pStyle w:val="TableParagraph"/>
              <w:spacing w:before="15"/>
              <w:ind w:left="155" w:right="171"/>
              <w:rPr>
                <w:sz w:val="24"/>
              </w:rPr>
            </w:pPr>
            <w:r>
              <w:rPr>
                <w:sz w:val="24"/>
              </w:rPr>
              <w:t>ND</w:t>
            </w:r>
          </w:p>
        </w:tc>
      </w:tr>
      <w:tr>
        <w:trPr>
          <w:trHeight w:val="307" w:hRule="exact"/>
        </w:trPr>
        <w:tc>
          <w:tcPr>
            <w:tcW w:w="1505" w:type="dxa"/>
            <w:tcBorders>
              <w:right w:val="nil"/>
            </w:tcBorders>
          </w:tcPr>
          <w:p>
            <w:pPr>
              <w:pStyle w:val="TableParagraph"/>
              <w:spacing w:before="15"/>
              <w:ind w:left="199" w:right="175"/>
              <w:rPr>
                <w:sz w:val="24"/>
              </w:rPr>
            </w:pPr>
            <w:r>
              <w:rPr>
                <w:sz w:val="24"/>
              </w:rPr>
              <w:t>Cd</w:t>
            </w:r>
          </w:p>
        </w:tc>
        <w:tc>
          <w:tcPr>
            <w:tcW w:w="3406" w:type="dxa"/>
            <w:tcBorders>
              <w:left w:val="nil"/>
              <w:right w:val="nil"/>
            </w:tcBorders>
          </w:tcPr>
          <w:p>
            <w:pPr>
              <w:pStyle w:val="TableParagraph"/>
              <w:spacing w:before="15"/>
              <w:ind w:left="1523" w:right="1508"/>
              <w:rPr>
                <w:sz w:val="24"/>
              </w:rPr>
            </w:pPr>
            <w:r>
              <w:rPr>
                <w:sz w:val="24"/>
              </w:rPr>
              <w:t>0.5</w:t>
            </w:r>
          </w:p>
        </w:tc>
        <w:tc>
          <w:tcPr>
            <w:tcW w:w="2281" w:type="dxa"/>
            <w:tcBorders>
              <w:left w:val="nil"/>
            </w:tcBorders>
          </w:tcPr>
          <w:p>
            <w:pPr>
              <w:pStyle w:val="TableParagraph"/>
              <w:spacing w:before="15"/>
              <w:ind w:left="155" w:right="171"/>
              <w:rPr>
                <w:sz w:val="24"/>
              </w:rPr>
            </w:pPr>
            <w:r>
              <w:rPr>
                <w:sz w:val="24"/>
              </w:rPr>
              <w:t>ND</w:t>
            </w:r>
          </w:p>
        </w:tc>
      </w:tr>
      <w:tr>
        <w:trPr>
          <w:trHeight w:val="307" w:hRule="exact"/>
        </w:trPr>
        <w:tc>
          <w:tcPr>
            <w:tcW w:w="1505" w:type="dxa"/>
            <w:tcBorders>
              <w:right w:val="nil"/>
            </w:tcBorders>
            <w:shd w:val="clear" w:color="auto" w:fill="E1EEDA"/>
          </w:tcPr>
          <w:p>
            <w:pPr>
              <w:pStyle w:val="TableParagraph"/>
              <w:spacing w:before="15"/>
              <w:ind w:left="199" w:right="175"/>
              <w:rPr>
                <w:sz w:val="24"/>
              </w:rPr>
            </w:pPr>
            <w:r>
              <w:rPr>
                <w:sz w:val="24"/>
              </w:rPr>
              <w:t>Hg</w:t>
            </w:r>
          </w:p>
        </w:tc>
        <w:tc>
          <w:tcPr>
            <w:tcW w:w="3406" w:type="dxa"/>
            <w:tcBorders>
              <w:left w:val="nil"/>
              <w:right w:val="nil"/>
            </w:tcBorders>
            <w:shd w:val="clear" w:color="auto" w:fill="E1EEDA"/>
          </w:tcPr>
          <w:p>
            <w:pPr>
              <w:pStyle w:val="TableParagraph"/>
              <w:spacing w:before="15"/>
              <w:ind w:left="16"/>
              <w:rPr>
                <w:sz w:val="24"/>
              </w:rPr>
            </w:pPr>
            <w:r>
              <w:rPr>
                <w:w w:val="99"/>
                <w:sz w:val="24"/>
              </w:rPr>
              <w:t>3</w:t>
            </w:r>
          </w:p>
        </w:tc>
        <w:tc>
          <w:tcPr>
            <w:tcW w:w="2281" w:type="dxa"/>
            <w:tcBorders>
              <w:left w:val="nil"/>
            </w:tcBorders>
            <w:shd w:val="clear" w:color="auto" w:fill="E1EEDA"/>
          </w:tcPr>
          <w:p>
            <w:pPr>
              <w:pStyle w:val="TableParagraph"/>
              <w:spacing w:before="15"/>
              <w:ind w:left="155" w:right="171"/>
              <w:rPr>
                <w:sz w:val="24"/>
              </w:rPr>
            </w:pPr>
            <w:r>
              <w:rPr>
                <w:sz w:val="24"/>
              </w:rPr>
              <w:t>ND</w:t>
            </w:r>
          </w:p>
        </w:tc>
      </w:tr>
      <w:tr>
        <w:trPr>
          <w:trHeight w:val="307" w:hRule="exact"/>
        </w:trPr>
        <w:tc>
          <w:tcPr>
            <w:tcW w:w="1505" w:type="dxa"/>
            <w:tcBorders>
              <w:right w:val="nil"/>
            </w:tcBorders>
          </w:tcPr>
          <w:p>
            <w:pPr>
              <w:pStyle w:val="TableParagraph"/>
              <w:spacing w:before="12"/>
              <w:ind w:left="203" w:right="175"/>
              <w:rPr>
                <w:sz w:val="24"/>
              </w:rPr>
            </w:pPr>
            <w:r>
              <w:rPr>
                <w:sz w:val="24"/>
              </w:rPr>
              <w:t>Pb</w:t>
            </w:r>
          </w:p>
        </w:tc>
        <w:tc>
          <w:tcPr>
            <w:tcW w:w="3406" w:type="dxa"/>
            <w:tcBorders>
              <w:left w:val="nil"/>
              <w:right w:val="nil"/>
            </w:tcBorders>
          </w:tcPr>
          <w:p>
            <w:pPr>
              <w:pStyle w:val="TableParagraph"/>
              <w:spacing w:before="12"/>
              <w:ind w:left="1523" w:right="1508"/>
              <w:rPr>
                <w:sz w:val="24"/>
              </w:rPr>
            </w:pPr>
            <w:r>
              <w:rPr>
                <w:sz w:val="24"/>
              </w:rPr>
              <w:t>0.5</w:t>
            </w:r>
          </w:p>
        </w:tc>
        <w:tc>
          <w:tcPr>
            <w:tcW w:w="2281" w:type="dxa"/>
            <w:tcBorders>
              <w:left w:val="nil"/>
            </w:tcBorders>
          </w:tcPr>
          <w:p>
            <w:pPr>
              <w:pStyle w:val="TableParagraph"/>
              <w:spacing w:before="12"/>
              <w:ind w:left="155" w:right="171"/>
              <w:rPr>
                <w:sz w:val="24"/>
              </w:rPr>
            </w:pPr>
            <w:r>
              <w:rPr>
                <w:sz w:val="24"/>
              </w:rPr>
              <w:t>ND</w:t>
            </w:r>
          </w:p>
        </w:tc>
      </w:tr>
      <w:tr>
        <w:trPr>
          <w:trHeight w:val="307" w:hRule="exact"/>
        </w:trPr>
        <w:tc>
          <w:tcPr>
            <w:tcW w:w="1505" w:type="dxa"/>
            <w:tcBorders>
              <w:right w:val="nil"/>
            </w:tcBorders>
            <w:shd w:val="clear" w:color="auto" w:fill="E1EEDA"/>
          </w:tcPr>
          <w:p>
            <w:pPr>
              <w:pStyle w:val="TableParagraph"/>
              <w:spacing w:before="12"/>
              <w:ind w:left="28"/>
              <w:rPr>
                <w:sz w:val="24"/>
              </w:rPr>
            </w:pPr>
            <w:r>
              <w:rPr>
                <w:w w:val="100"/>
                <w:sz w:val="24"/>
              </w:rPr>
              <w:t>V</w:t>
            </w:r>
          </w:p>
        </w:tc>
        <w:tc>
          <w:tcPr>
            <w:tcW w:w="3406" w:type="dxa"/>
            <w:tcBorders>
              <w:left w:val="nil"/>
              <w:right w:val="nil"/>
            </w:tcBorders>
            <w:shd w:val="clear" w:color="auto" w:fill="E1EEDA"/>
          </w:tcPr>
          <w:p>
            <w:pPr>
              <w:pStyle w:val="TableParagraph"/>
              <w:spacing w:before="12"/>
              <w:ind w:left="1523" w:right="1506"/>
              <w:rPr>
                <w:sz w:val="24"/>
              </w:rPr>
            </w:pPr>
            <w:r>
              <w:rPr>
                <w:sz w:val="24"/>
              </w:rPr>
              <w:t>10</w:t>
            </w:r>
          </w:p>
        </w:tc>
        <w:tc>
          <w:tcPr>
            <w:tcW w:w="2281" w:type="dxa"/>
            <w:tcBorders>
              <w:left w:val="nil"/>
            </w:tcBorders>
            <w:shd w:val="clear" w:color="auto" w:fill="E1EEDA"/>
          </w:tcPr>
          <w:p>
            <w:pPr>
              <w:pStyle w:val="TableParagraph"/>
              <w:spacing w:before="12"/>
              <w:ind w:left="155" w:right="171"/>
              <w:rPr>
                <w:sz w:val="24"/>
              </w:rPr>
            </w:pPr>
            <w:r>
              <w:rPr>
                <w:sz w:val="24"/>
              </w:rPr>
              <w:t>ND</w:t>
            </w:r>
          </w:p>
        </w:tc>
      </w:tr>
      <w:tr>
        <w:trPr>
          <w:trHeight w:val="320" w:hRule="exact"/>
        </w:trPr>
        <w:tc>
          <w:tcPr>
            <w:tcW w:w="1505" w:type="dxa"/>
            <w:tcBorders>
              <w:bottom w:val="single" w:sz="7" w:space="0" w:color="E1EEDA"/>
              <w:right w:val="nil"/>
            </w:tcBorders>
          </w:tcPr>
          <w:p>
            <w:pPr>
              <w:pStyle w:val="TableParagraph"/>
              <w:spacing w:before="12"/>
              <w:ind w:left="199" w:right="175"/>
              <w:rPr>
                <w:sz w:val="24"/>
              </w:rPr>
            </w:pPr>
            <w:r>
              <w:rPr>
                <w:sz w:val="24"/>
              </w:rPr>
              <w:t>Co</w:t>
            </w:r>
          </w:p>
        </w:tc>
        <w:tc>
          <w:tcPr>
            <w:tcW w:w="3406" w:type="dxa"/>
            <w:tcBorders>
              <w:left w:val="nil"/>
              <w:bottom w:val="single" w:sz="7" w:space="0" w:color="E1EEDA"/>
              <w:right w:val="nil"/>
            </w:tcBorders>
          </w:tcPr>
          <w:p>
            <w:pPr>
              <w:pStyle w:val="TableParagraph"/>
              <w:spacing w:before="12"/>
              <w:ind w:left="16"/>
              <w:rPr>
                <w:sz w:val="24"/>
              </w:rPr>
            </w:pPr>
            <w:r>
              <w:rPr>
                <w:w w:val="99"/>
                <w:sz w:val="24"/>
              </w:rPr>
              <w:t>5</w:t>
            </w:r>
          </w:p>
        </w:tc>
        <w:tc>
          <w:tcPr>
            <w:tcW w:w="2281" w:type="dxa"/>
            <w:tcBorders>
              <w:left w:val="nil"/>
              <w:bottom w:val="single" w:sz="7" w:space="0" w:color="E1EEDA"/>
            </w:tcBorders>
          </w:tcPr>
          <w:p>
            <w:pPr>
              <w:pStyle w:val="TableParagraph"/>
              <w:spacing w:before="12"/>
              <w:ind w:left="155" w:right="171"/>
              <w:rPr>
                <w:sz w:val="24"/>
              </w:rPr>
            </w:pPr>
            <w:r>
              <w:rPr>
                <w:sz w:val="24"/>
              </w:rPr>
              <w:t>ND</w:t>
            </w:r>
          </w:p>
        </w:tc>
      </w:tr>
      <w:tr>
        <w:trPr>
          <w:trHeight w:val="292" w:hRule="exact"/>
        </w:trPr>
        <w:tc>
          <w:tcPr>
            <w:tcW w:w="1505" w:type="dxa"/>
            <w:tcBorders>
              <w:right w:val="nil"/>
            </w:tcBorders>
            <w:shd w:val="clear" w:color="auto" w:fill="E1EEDA"/>
          </w:tcPr>
          <w:p>
            <w:pPr>
              <w:pStyle w:val="TableParagraph"/>
              <w:spacing w:line="275" w:lineRule="exact"/>
              <w:ind w:left="201" w:right="175"/>
              <w:rPr>
                <w:sz w:val="24"/>
              </w:rPr>
            </w:pPr>
            <w:r>
              <w:rPr>
                <w:sz w:val="24"/>
              </w:rPr>
              <w:t>Ni</w:t>
            </w:r>
          </w:p>
        </w:tc>
        <w:tc>
          <w:tcPr>
            <w:tcW w:w="3406" w:type="dxa"/>
            <w:tcBorders>
              <w:left w:val="nil"/>
              <w:right w:val="nil"/>
            </w:tcBorders>
            <w:shd w:val="clear" w:color="auto" w:fill="E1EEDA"/>
          </w:tcPr>
          <w:p>
            <w:pPr>
              <w:pStyle w:val="TableParagraph"/>
              <w:spacing w:line="275" w:lineRule="exact"/>
              <w:ind w:left="1523" w:right="1506"/>
              <w:rPr>
                <w:sz w:val="24"/>
              </w:rPr>
            </w:pPr>
            <w:r>
              <w:rPr>
                <w:sz w:val="24"/>
              </w:rPr>
              <w:t>20</w:t>
            </w:r>
          </w:p>
        </w:tc>
        <w:tc>
          <w:tcPr>
            <w:tcW w:w="2281" w:type="dxa"/>
            <w:tcBorders>
              <w:left w:val="nil"/>
            </w:tcBorders>
            <w:shd w:val="clear" w:color="auto" w:fill="E1EEDA"/>
          </w:tcPr>
          <w:p>
            <w:pPr>
              <w:pStyle w:val="TableParagraph"/>
              <w:spacing w:line="275" w:lineRule="exact"/>
              <w:ind w:left="155" w:right="171"/>
              <w:rPr>
                <w:sz w:val="24"/>
              </w:rPr>
            </w:pPr>
            <w:r>
              <w:rPr>
                <w:sz w:val="24"/>
              </w:rPr>
              <w:t>ND</w:t>
            </w:r>
          </w:p>
        </w:tc>
      </w:tr>
      <w:tr>
        <w:trPr>
          <w:trHeight w:val="310" w:hRule="exact"/>
        </w:trPr>
        <w:tc>
          <w:tcPr>
            <w:tcW w:w="1505" w:type="dxa"/>
            <w:tcBorders>
              <w:right w:val="nil"/>
            </w:tcBorders>
          </w:tcPr>
          <w:p>
            <w:pPr>
              <w:pStyle w:val="TableParagraph"/>
              <w:spacing w:before="15"/>
              <w:ind w:left="203" w:right="175"/>
              <w:rPr>
                <w:sz w:val="24"/>
              </w:rPr>
            </w:pPr>
            <w:r>
              <w:rPr>
                <w:sz w:val="24"/>
              </w:rPr>
              <w:t>Pd</w:t>
            </w:r>
          </w:p>
        </w:tc>
        <w:tc>
          <w:tcPr>
            <w:tcW w:w="3406" w:type="dxa"/>
            <w:tcBorders>
              <w:left w:val="nil"/>
              <w:right w:val="nil"/>
            </w:tcBorders>
          </w:tcPr>
          <w:p>
            <w:pPr>
              <w:pStyle w:val="TableParagraph"/>
              <w:spacing w:before="15"/>
              <w:ind w:left="1523" w:right="1506"/>
              <w:rPr>
                <w:sz w:val="24"/>
              </w:rPr>
            </w:pPr>
            <w:r>
              <w:rPr>
                <w:sz w:val="24"/>
              </w:rPr>
              <w:t>35</w:t>
            </w:r>
          </w:p>
        </w:tc>
        <w:tc>
          <w:tcPr>
            <w:tcW w:w="2281" w:type="dxa"/>
            <w:tcBorders>
              <w:left w:val="nil"/>
            </w:tcBorders>
          </w:tcPr>
          <w:p>
            <w:pPr>
              <w:pStyle w:val="TableParagraph"/>
              <w:spacing w:before="15"/>
              <w:ind w:left="157" w:right="168"/>
              <w:rPr>
                <w:sz w:val="24"/>
              </w:rPr>
            </w:pPr>
            <w:r>
              <w:rPr>
                <w:color w:val="FF0000"/>
                <w:sz w:val="24"/>
              </w:rPr>
              <w:t>100</w:t>
            </w:r>
          </w:p>
        </w:tc>
      </w:tr>
    </w:tbl>
    <w:p>
      <w:pPr>
        <w:pStyle w:val="BodyText"/>
        <w:rPr>
          <w:sz w:val="20"/>
        </w:rPr>
      </w:pPr>
    </w:p>
    <w:p>
      <w:pPr>
        <w:pStyle w:val="BodyText"/>
        <w:rPr>
          <w:sz w:val="20"/>
        </w:rPr>
      </w:pPr>
    </w:p>
    <w:p>
      <w:pPr>
        <w:pStyle w:val="BodyText"/>
        <w:spacing w:before="5"/>
        <w:rPr>
          <w:sz w:val="28"/>
        </w:rPr>
      </w:pPr>
      <w:r>
        <w:rPr/>
        <w:pict>
          <v:group style="position:absolute;margin-left:150.479996pt;margin-top:18.331953pt;width:304.95pt;height:210.6pt;mso-position-horizontal-relative:page;mso-position-vertical-relative:paragraph;z-index:1384;mso-wrap-distance-left:0;mso-wrap-distance-right:0" coordorigin="3010,367" coordsize="6099,4212">
            <v:shape style="position:absolute;left:3010;top:367;width:1778;height:1166" type="#_x0000_t75" stroked="false">
              <v:imagedata r:id="rId22" o:title=""/>
            </v:shape>
            <v:shape style="position:absolute;left:4766;top:691;width:403;height:446" type="#_x0000_t75" stroked="false">
              <v:imagedata r:id="rId23" o:title=""/>
            </v:shape>
            <v:shape style="position:absolute;left:5170;top:367;width:1778;height:1166" type="#_x0000_t75" stroked="false">
              <v:imagedata r:id="rId24" o:title=""/>
            </v:shape>
            <v:shape style="position:absolute;left:6926;top:691;width:389;height:446" type="#_x0000_t75" stroked="false">
              <v:imagedata r:id="rId25" o:title=""/>
            </v:shape>
            <v:shape style="position:absolute;left:7308;top:367;width:1800;height:1166" type="#_x0000_t75" stroked="false">
              <v:imagedata r:id="rId26" o:title=""/>
            </v:shape>
            <v:shape style="position:absolute;left:7978;top:1468;width:446;height:389" type="#_x0000_t75" stroked="false">
              <v:imagedata r:id="rId27" o:title=""/>
            </v:shape>
            <v:shape style="position:absolute;left:7308;top:1893;width:1778;height:1166" type="#_x0000_t75" stroked="false">
              <v:imagedata r:id="rId28" o:title=""/>
            </v:shape>
            <v:shape style="position:absolute;left:6941;top:2217;width:389;height:446" type="#_x0000_t75" stroked="false">
              <v:imagedata r:id="rId29" o:title=""/>
            </v:shape>
            <v:shape style="position:absolute;left:5170;top:1893;width:1778;height:1166" type="#_x0000_t75" stroked="false">
              <v:imagedata r:id="rId28" o:title=""/>
            </v:shape>
            <v:shape style="position:absolute;left:4802;top:2217;width:396;height:446" type="#_x0000_t75" stroked="false">
              <v:imagedata r:id="rId30" o:title=""/>
            </v:shape>
            <v:shape style="position:absolute;left:3031;top:1893;width:1778;height:1166" type="#_x0000_t75" stroked="false">
              <v:imagedata r:id="rId31" o:title=""/>
            </v:shape>
            <v:shape style="position:absolute;left:3701;top:3002;width:446;height:389" type="#_x0000_t75" stroked="false">
              <v:imagedata r:id="rId32" o:title=""/>
            </v:shape>
            <v:shape style="position:absolute;left:3031;top:3419;width:1778;height:1159" type="#_x0000_t75" stroked="false">
              <v:imagedata r:id="rId33" o:title=""/>
            </v:shape>
            <v:shape style="position:absolute;left:4788;top:3743;width:389;height:446" type="#_x0000_t75" stroked="false">
              <v:imagedata r:id="rId34" o:title=""/>
            </v:shape>
            <v:shape style="position:absolute;left:5170;top:3419;width:1778;height:1159" type="#_x0000_t75" stroked="false">
              <v:imagedata r:id="rId35" o:title=""/>
            </v:shape>
            <v:shape style="position:absolute;left:3394;top:692;width:1012;height:464" type="#_x0000_t202" filled="false" stroked="false">
              <v:textbox inset="0,0,0,0">
                <w:txbxContent>
                  <w:p>
                    <w:pPr>
                      <w:spacing w:line="212" w:lineRule="exact" w:before="0"/>
                      <w:ind w:left="0" w:right="0" w:firstLine="0"/>
                      <w:jc w:val="center"/>
                      <w:rPr>
                        <w:rFonts w:ascii="Calibri"/>
                        <w:b/>
                        <w:sz w:val="22"/>
                      </w:rPr>
                    </w:pPr>
                    <w:r>
                      <w:rPr>
                        <w:rFonts w:ascii="Calibri"/>
                        <w:b/>
                        <w:color w:val="6F2F9F"/>
                        <w:sz w:val="22"/>
                      </w:rPr>
                      <w:t>RXN MP1</w:t>
                    </w:r>
                    <w:r>
                      <w:rPr>
                        <w:rFonts w:ascii="Calibri"/>
                        <w:b/>
                        <w:color w:val="6F2F9F"/>
                        <w:spacing w:val="-6"/>
                        <w:sz w:val="22"/>
                      </w:rPr>
                      <w:t> </w:t>
                    </w:r>
                    <w:r>
                      <w:rPr>
                        <w:rFonts w:ascii="Calibri"/>
                        <w:b/>
                        <w:color w:val="6F2F9F"/>
                        <w:sz w:val="22"/>
                      </w:rPr>
                      <w:t>y</w:t>
                    </w:r>
                  </w:p>
                  <w:p>
                    <w:pPr>
                      <w:spacing w:line="252" w:lineRule="exact" w:before="0"/>
                      <w:ind w:left="1" w:right="0" w:firstLine="0"/>
                      <w:jc w:val="center"/>
                      <w:rPr>
                        <w:rFonts w:ascii="Calibri"/>
                        <w:b/>
                        <w:sz w:val="22"/>
                      </w:rPr>
                    </w:pPr>
                    <w:r>
                      <w:rPr>
                        <w:rFonts w:ascii="Calibri"/>
                        <w:b/>
                        <w:color w:val="6F2F9F"/>
                        <w:sz w:val="22"/>
                      </w:rPr>
                      <w:t>MP2</w:t>
                    </w:r>
                  </w:p>
                </w:txbxContent>
              </v:textbox>
              <w10:wrap type="none"/>
            </v:shape>
            <v:shape style="position:absolute;left:5473;top:813;width:1183;height:221" type="#_x0000_t202" filled="false" stroked="false">
              <v:textbox inset="0,0,0,0">
                <w:txbxContent>
                  <w:p>
                    <w:pPr>
                      <w:spacing w:line="221" w:lineRule="exact" w:before="0"/>
                      <w:ind w:left="0" w:right="-16" w:firstLine="0"/>
                      <w:jc w:val="left"/>
                      <w:rPr>
                        <w:rFonts w:ascii="Calibri"/>
                        <w:b/>
                        <w:sz w:val="22"/>
                      </w:rPr>
                    </w:pPr>
                    <w:r>
                      <w:rPr>
                        <w:rFonts w:ascii="Calibri"/>
                        <w:b/>
                        <w:color w:val="FF0066"/>
                        <w:sz w:val="22"/>
                      </w:rPr>
                      <w:t>Intermedio</w:t>
                    </w:r>
                    <w:r>
                      <w:rPr>
                        <w:rFonts w:ascii="Calibri"/>
                        <w:b/>
                        <w:color w:val="FF0066"/>
                        <w:spacing w:val="-5"/>
                        <w:sz w:val="22"/>
                      </w:rPr>
                      <w:t> </w:t>
                    </w:r>
                    <w:r>
                      <w:rPr>
                        <w:rFonts w:ascii="Calibri"/>
                        <w:b/>
                        <w:color w:val="FF0066"/>
                        <w:sz w:val="22"/>
                      </w:rPr>
                      <w:t>1</w:t>
                    </w:r>
                  </w:p>
                </w:txbxContent>
              </v:textbox>
              <w10:wrap type="none"/>
            </v:shape>
            <v:shape style="position:absolute;left:7559;top:692;width:1288;height:464" type="#_x0000_t202" filled="false" stroked="false">
              <v:textbox inset="0,0,0,0">
                <w:txbxContent>
                  <w:p>
                    <w:pPr>
                      <w:spacing w:line="212" w:lineRule="exact" w:before="0"/>
                      <w:ind w:left="3" w:right="0" w:firstLine="0"/>
                      <w:jc w:val="center"/>
                      <w:rPr>
                        <w:rFonts w:ascii="Calibri"/>
                        <w:sz w:val="22"/>
                      </w:rPr>
                    </w:pPr>
                    <w:r>
                      <w:rPr>
                        <w:rFonts w:ascii="Calibri"/>
                        <w:sz w:val="22"/>
                      </w:rPr>
                      <w:t>RXN</w:t>
                    </w:r>
                  </w:p>
                  <w:p>
                    <w:pPr>
                      <w:spacing w:line="252" w:lineRule="exact" w:before="0"/>
                      <w:ind w:left="0" w:right="0" w:firstLine="0"/>
                      <w:jc w:val="center"/>
                      <w:rPr>
                        <w:rFonts w:ascii="Calibri" w:hAnsi="Calibri"/>
                        <w:sz w:val="22"/>
                      </w:rPr>
                    </w:pPr>
                    <w:r>
                      <w:rPr>
                        <w:rFonts w:ascii="Calibri" w:hAnsi="Calibri"/>
                        <w:sz w:val="22"/>
                      </w:rPr>
                      <w:t>hidrogenación</w:t>
                    </w:r>
                  </w:p>
                </w:txbxContent>
              </v:textbox>
              <w10:wrap type="none"/>
            </v:shape>
            <v:shape style="position:absolute;left:3404;top:2219;width:1043;height:464" type="#_x0000_t202" filled="false" stroked="false">
              <v:textbox inset="0,0,0,0">
                <w:txbxContent>
                  <w:p>
                    <w:pPr>
                      <w:spacing w:line="212" w:lineRule="exact" w:before="0"/>
                      <w:ind w:left="0" w:right="0" w:firstLine="0"/>
                      <w:jc w:val="center"/>
                      <w:rPr>
                        <w:rFonts w:ascii="Calibri"/>
                        <w:sz w:val="22"/>
                      </w:rPr>
                    </w:pPr>
                    <w:r>
                      <w:rPr>
                        <w:rFonts w:ascii="Calibri"/>
                        <w:sz w:val="22"/>
                      </w:rPr>
                      <w:t>RXN/</w:t>
                    </w:r>
                  </w:p>
                  <w:p>
                    <w:pPr>
                      <w:spacing w:line="252" w:lineRule="exact" w:before="0"/>
                      <w:ind w:left="0" w:right="0" w:firstLine="0"/>
                      <w:jc w:val="center"/>
                      <w:rPr>
                        <w:rFonts w:ascii="Calibri"/>
                        <w:sz w:val="22"/>
                      </w:rPr>
                    </w:pPr>
                    <w:r>
                      <w:rPr>
                        <w:rFonts w:ascii="Calibri"/>
                        <w:sz w:val="22"/>
                      </w:rPr>
                      <w:t>aislamiento</w:t>
                    </w:r>
                  </w:p>
                </w:txbxContent>
              </v:textbox>
              <w10:wrap type="none"/>
            </v:shape>
            <v:shape style="position:absolute;left:5473;top:2172;width:1183;height:557" type="#_x0000_t202" filled="false" stroked="false">
              <v:textbox inset="0,0,0,0">
                <w:txbxContent>
                  <w:p>
                    <w:pPr>
                      <w:spacing w:line="225" w:lineRule="exact" w:before="0"/>
                      <w:ind w:left="0" w:right="0" w:firstLine="0"/>
                      <w:jc w:val="center"/>
                      <w:rPr>
                        <w:rFonts w:ascii="Calibri"/>
                        <w:b/>
                        <w:sz w:val="22"/>
                      </w:rPr>
                    </w:pPr>
                    <w:r>
                      <w:rPr>
                        <w:rFonts w:ascii="Calibri"/>
                        <w:b/>
                        <w:color w:val="001F5F"/>
                        <w:sz w:val="22"/>
                      </w:rPr>
                      <w:t>Intermedio</w:t>
                    </w:r>
                    <w:r>
                      <w:rPr>
                        <w:rFonts w:ascii="Calibri"/>
                        <w:b/>
                        <w:color w:val="001F5F"/>
                        <w:spacing w:val="-5"/>
                        <w:sz w:val="22"/>
                      </w:rPr>
                      <w:t> </w:t>
                    </w:r>
                    <w:r>
                      <w:rPr>
                        <w:rFonts w:ascii="Calibri"/>
                        <w:b/>
                        <w:color w:val="001F5F"/>
                        <w:sz w:val="22"/>
                      </w:rPr>
                      <w:t>2</w:t>
                    </w:r>
                  </w:p>
                  <w:p>
                    <w:pPr>
                      <w:spacing w:line="265" w:lineRule="exact" w:before="67"/>
                      <w:ind w:left="0" w:right="0" w:firstLine="0"/>
                      <w:jc w:val="center"/>
                      <w:rPr>
                        <w:rFonts w:ascii="Calibri"/>
                        <w:b/>
                        <w:sz w:val="22"/>
                      </w:rPr>
                    </w:pPr>
                    <w:r>
                      <w:rPr>
                        <w:rFonts w:ascii="Calibri"/>
                        <w:b/>
                        <w:color w:val="001F5F"/>
                        <w:sz w:val="22"/>
                      </w:rPr>
                      <w:t>Base libre</w:t>
                    </w:r>
                  </w:p>
                </w:txbxContent>
              </v:textbox>
              <w10:wrap type="none"/>
            </v:shape>
            <v:shape style="position:absolute;left:7633;top:2098;width:1141;height:707" type="#_x0000_t202" filled="false" stroked="false">
              <v:textbox inset="0,0,0,0">
                <w:txbxContent>
                  <w:p>
                    <w:pPr>
                      <w:spacing w:line="212" w:lineRule="exact" w:before="0"/>
                      <w:ind w:left="67" w:right="-15" w:hanging="68"/>
                      <w:jc w:val="left"/>
                      <w:rPr>
                        <w:rFonts w:ascii="Calibri"/>
                        <w:b/>
                        <w:sz w:val="22"/>
                      </w:rPr>
                    </w:pPr>
                    <w:r>
                      <w:rPr>
                        <w:rFonts w:ascii="Calibri"/>
                        <w:b/>
                        <w:color w:val="001F5F"/>
                        <w:sz w:val="22"/>
                      </w:rPr>
                      <w:t>Tratamiento</w:t>
                    </w:r>
                  </w:p>
                  <w:p>
                    <w:pPr>
                      <w:spacing w:line="242" w:lineRule="exact" w:before="3"/>
                      <w:ind w:left="163" w:right="47" w:hanging="96"/>
                      <w:jc w:val="left"/>
                      <w:rPr>
                        <w:rFonts w:ascii="Calibri"/>
                        <w:b/>
                        <w:sz w:val="22"/>
                      </w:rPr>
                    </w:pPr>
                    <w:r>
                      <w:rPr>
                        <w:rFonts w:ascii="Calibri"/>
                        <w:b/>
                        <w:color w:val="001F5F"/>
                        <w:sz w:val="22"/>
                      </w:rPr>
                      <w:t>con agente quelante</w:t>
                    </w:r>
                  </w:p>
                </w:txbxContent>
              </v:textbox>
              <w10:wrap type="none"/>
            </v:shape>
            <v:shape style="position:absolute;left:3334;top:3868;width:1183;height:221" type="#_x0000_t202" filled="false" stroked="false">
              <v:textbox inset="0,0,0,0">
                <w:txbxContent>
                  <w:p>
                    <w:pPr>
                      <w:spacing w:line="221" w:lineRule="exact" w:before="0"/>
                      <w:ind w:left="0" w:right="-16" w:firstLine="0"/>
                      <w:jc w:val="left"/>
                      <w:rPr>
                        <w:rFonts w:ascii="Calibri"/>
                        <w:b/>
                        <w:sz w:val="22"/>
                      </w:rPr>
                    </w:pPr>
                    <w:r>
                      <w:rPr>
                        <w:rFonts w:ascii="Calibri"/>
                        <w:b/>
                        <w:color w:val="00CC00"/>
                        <w:sz w:val="22"/>
                      </w:rPr>
                      <w:t>Intermedio</w:t>
                    </w:r>
                    <w:r>
                      <w:rPr>
                        <w:rFonts w:ascii="Calibri"/>
                        <w:b/>
                        <w:color w:val="00CC00"/>
                        <w:spacing w:val="-5"/>
                        <w:sz w:val="22"/>
                      </w:rPr>
                      <w:t> </w:t>
                    </w:r>
                    <w:r>
                      <w:rPr>
                        <w:rFonts w:ascii="Calibri"/>
                        <w:b/>
                        <w:color w:val="00CC00"/>
                        <w:sz w:val="22"/>
                      </w:rPr>
                      <w:t>3</w:t>
                    </w:r>
                  </w:p>
                </w:txbxContent>
              </v:textbox>
              <w10:wrap type="none"/>
            </v:shape>
            <v:shape style="position:absolute;left:5907;top:3868;width:311;height:221" type="#_x0000_t202" filled="false" stroked="false">
              <v:textbox inset="0,0,0,0">
                <w:txbxContent>
                  <w:p>
                    <w:pPr>
                      <w:spacing w:line="221" w:lineRule="exact" w:before="0"/>
                      <w:ind w:left="0" w:right="-19" w:firstLine="0"/>
                      <w:jc w:val="left"/>
                      <w:rPr>
                        <w:rFonts w:ascii="Calibri"/>
                        <w:b/>
                        <w:sz w:val="22"/>
                      </w:rPr>
                    </w:pPr>
                    <w:r>
                      <w:rPr>
                        <w:rFonts w:ascii="Calibri"/>
                        <w:b/>
                        <w:color w:val="FF0000"/>
                        <w:sz w:val="22"/>
                      </w:rPr>
                      <w:t>API</w:t>
                    </w:r>
                  </w:p>
                </w:txbxContent>
              </v:textbox>
              <w10:wrap type="none"/>
            </v:shape>
            <w10:wrap type="topAndBottom"/>
          </v:group>
        </w:pict>
      </w:r>
    </w:p>
    <w:p>
      <w:pPr>
        <w:pStyle w:val="BodyText"/>
        <w:spacing w:before="36"/>
        <w:ind w:left="810" w:right="1789"/>
      </w:pPr>
      <w:r>
        <w:rPr/>
        <w:t>Figura 5.1. Proceso general del API estudiado</w:t>
      </w:r>
    </w:p>
    <w:p>
      <w:pPr>
        <w:spacing w:after="0"/>
        <w:sectPr>
          <w:pgSz w:w="12240" w:h="15840"/>
          <w:pgMar w:header="0" w:footer="919" w:top="1360" w:bottom="1100" w:left="1600" w:right="1580"/>
        </w:sectPr>
      </w:pPr>
    </w:p>
    <w:p>
      <w:pPr>
        <w:pStyle w:val="Heading1"/>
        <w:numPr>
          <w:ilvl w:val="0"/>
          <w:numId w:val="5"/>
        </w:numPr>
        <w:tabs>
          <w:tab w:pos="411" w:val="left" w:leader="none"/>
        </w:tabs>
        <w:spacing w:line="240" w:lineRule="auto" w:before="56" w:after="0"/>
        <w:ind w:left="410" w:right="0" w:hanging="268"/>
        <w:jc w:val="both"/>
      </w:pPr>
      <w:bookmarkStart w:name="_bookmark20" w:id="37"/>
      <w:bookmarkEnd w:id="37"/>
      <w:r>
        <w:rPr>
          <w:b w:val="0"/>
        </w:rPr>
      </w:r>
      <w:bookmarkStart w:name="_bookmark20" w:id="38"/>
      <w:bookmarkEnd w:id="38"/>
      <w:r>
        <w:rPr/>
        <w:t>RESUL</w:t>
      </w:r>
      <w:r>
        <w:rPr/>
        <w:t>TADOS Y</w:t>
      </w:r>
      <w:r>
        <w:rPr>
          <w:spacing w:val="-6"/>
        </w:rPr>
        <w:t> </w:t>
      </w:r>
      <w:r>
        <w:rPr/>
        <w:t>DISCUSIÓN</w:t>
      </w:r>
    </w:p>
    <w:p>
      <w:pPr>
        <w:pStyle w:val="BodyText"/>
        <w:spacing w:before="5"/>
        <w:rPr>
          <w:b/>
        </w:rPr>
      </w:pPr>
    </w:p>
    <w:p>
      <w:pPr>
        <w:pStyle w:val="Heading2"/>
        <w:numPr>
          <w:ilvl w:val="1"/>
          <w:numId w:val="5"/>
        </w:numPr>
        <w:tabs>
          <w:tab w:pos="612" w:val="left" w:leader="none"/>
        </w:tabs>
        <w:spacing w:line="240" w:lineRule="auto" w:before="0" w:after="0"/>
        <w:ind w:left="611" w:right="0" w:hanging="469"/>
        <w:jc w:val="both"/>
        <w:rPr>
          <w:i/>
        </w:rPr>
      </w:pPr>
      <w:bookmarkStart w:name="_bookmark21" w:id="39"/>
      <w:bookmarkEnd w:id="39"/>
      <w:r>
        <w:rPr>
          <w:b w:val="0"/>
          <w:i w:val="0"/>
        </w:rPr>
      </w:r>
      <w:bookmarkStart w:name="_bookmark21" w:id="40"/>
      <w:bookmarkEnd w:id="40"/>
      <w:r>
        <w:rPr>
          <w:i/>
        </w:rPr>
        <w:t>D</w:t>
      </w:r>
      <w:r>
        <w:rPr>
          <w:i/>
        </w:rPr>
        <w:t>esarrollo de métodos</w:t>
      </w:r>
      <w:r>
        <w:rPr>
          <w:i/>
          <w:spacing w:val="-13"/>
        </w:rPr>
        <w:t> </w:t>
      </w:r>
      <w:r>
        <w:rPr>
          <w:i/>
        </w:rPr>
        <w:t>analíticos</w:t>
      </w:r>
    </w:p>
    <w:p>
      <w:pPr>
        <w:pStyle w:val="BodyText"/>
        <w:rPr>
          <w:b/>
          <w:i/>
        </w:rPr>
      </w:pPr>
    </w:p>
    <w:p>
      <w:pPr>
        <w:pStyle w:val="BodyText"/>
        <w:rPr>
          <w:b/>
          <w:i/>
        </w:rPr>
      </w:pPr>
    </w:p>
    <w:p>
      <w:pPr>
        <w:pStyle w:val="BodyText"/>
        <w:spacing w:line="360" w:lineRule="auto"/>
        <w:ind w:left="142" w:right="295"/>
        <w:jc w:val="both"/>
      </w:pPr>
      <w:r>
        <w:rPr/>
        <w:t>Se desarrollaron métodos analíticos generales en el Laboratorio de I&amp;D Analítico mediante la técnica de ICP-MS para la cuantificación de Impurezas Elementales Clase 1 (As, Cd, Pb y Hg), impurezas elementales clase 2A (V, Co y Ni) y Clase 2B (Pd) para los productos desarrollados y producidos en la empresa farmoquímica.</w:t>
      </w:r>
    </w:p>
    <w:p>
      <w:pPr>
        <w:pStyle w:val="BodyText"/>
      </w:pPr>
    </w:p>
    <w:p>
      <w:pPr>
        <w:pStyle w:val="BodyText"/>
        <w:spacing w:line="360" w:lineRule="auto" w:before="142"/>
        <w:ind w:left="142" w:right="294"/>
        <w:jc w:val="both"/>
      </w:pPr>
      <w:r>
        <w:rPr/>
        <w:t>Para el desarrollo de estos métodos analíticos se consideró la metodología indicada en el capítulo USP &lt;233&gt; referente a los procedimientos y se consideró  la dosis máxima de ingesta de 10 g/día del API, así para cada elemento se determinó la concentración máxima permisible, quedando los valores como se muestra en la Tabla 6.1, estos valores corresponden con lo especificado en el capítulo &lt;232&gt; de la USP 38 NF 33 segundo suplemento que entro en vigor el 1 de diciembre del 2015 donde se homologaron con los valores recomendados en la guía ICH Q3D versión 16 diciembre</w:t>
      </w:r>
      <w:r>
        <w:rPr>
          <w:spacing w:val="-10"/>
        </w:rPr>
        <w:t> </w:t>
      </w:r>
      <w:r>
        <w:rPr/>
        <w:t>2014.</w:t>
      </w:r>
    </w:p>
    <w:p>
      <w:pPr>
        <w:pStyle w:val="BodyText"/>
      </w:pPr>
    </w:p>
    <w:p>
      <w:pPr>
        <w:pStyle w:val="BodyText"/>
        <w:spacing w:before="142"/>
        <w:ind w:left="142"/>
        <w:jc w:val="both"/>
      </w:pPr>
      <w:r>
        <w:rPr/>
        <w:t>Tabla 6.1 Especificación de las impurezas elementales para el API estudiado</w:t>
      </w:r>
    </w:p>
    <w:p>
      <w:pPr>
        <w:pStyle w:val="BodyText"/>
        <w:spacing w:before="3"/>
        <w:rPr>
          <w:sz w:val="12"/>
        </w:rPr>
      </w:pPr>
    </w:p>
    <w:tbl>
      <w:tblPr>
        <w:tblW w:w="0" w:type="auto"/>
        <w:jc w:val="left"/>
        <w:tblInd w:w="113"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1875"/>
        <w:gridCol w:w="895"/>
        <w:gridCol w:w="895"/>
        <w:gridCol w:w="896"/>
        <w:gridCol w:w="895"/>
        <w:gridCol w:w="895"/>
        <w:gridCol w:w="896"/>
        <w:gridCol w:w="894"/>
        <w:gridCol w:w="896"/>
      </w:tblGrid>
      <w:tr>
        <w:trPr>
          <w:trHeight w:val="434" w:hRule="exact"/>
        </w:trPr>
        <w:tc>
          <w:tcPr>
            <w:tcW w:w="1875" w:type="dxa"/>
            <w:tcBorders>
              <w:bottom w:val="single" w:sz="4" w:space="0" w:color="000000"/>
              <w:right w:val="single" w:sz="4" w:space="0" w:color="000000"/>
            </w:tcBorders>
            <w:shd w:val="clear" w:color="auto" w:fill="EDEBE0"/>
          </w:tcPr>
          <w:p>
            <w:pPr>
              <w:pStyle w:val="TableParagraph"/>
              <w:spacing w:before="67"/>
              <w:ind w:left="400" w:right="405"/>
              <w:rPr>
                <w:sz w:val="24"/>
              </w:rPr>
            </w:pPr>
            <w:r>
              <w:rPr>
                <w:sz w:val="24"/>
              </w:rPr>
              <w:t>Elemento</w:t>
            </w:r>
          </w:p>
        </w:tc>
        <w:tc>
          <w:tcPr>
            <w:tcW w:w="895" w:type="dxa"/>
            <w:tcBorders>
              <w:left w:val="single" w:sz="4" w:space="0" w:color="000000"/>
              <w:bottom w:val="single" w:sz="4" w:space="0" w:color="000000"/>
              <w:right w:val="single" w:sz="4" w:space="0" w:color="000000"/>
            </w:tcBorders>
            <w:shd w:val="clear" w:color="auto" w:fill="CCCCFF"/>
          </w:tcPr>
          <w:p>
            <w:pPr>
              <w:pStyle w:val="TableParagraph"/>
              <w:spacing w:before="67"/>
              <w:ind w:left="245" w:right="256"/>
              <w:rPr>
                <w:b/>
                <w:sz w:val="24"/>
              </w:rPr>
            </w:pPr>
            <w:r>
              <w:rPr>
                <w:b/>
                <w:sz w:val="24"/>
              </w:rPr>
              <w:t>As</w:t>
            </w:r>
          </w:p>
        </w:tc>
        <w:tc>
          <w:tcPr>
            <w:tcW w:w="895" w:type="dxa"/>
            <w:tcBorders>
              <w:left w:val="single" w:sz="4" w:space="0" w:color="000000"/>
              <w:bottom w:val="single" w:sz="4" w:space="0" w:color="000000"/>
              <w:right w:val="single" w:sz="4" w:space="0" w:color="000000"/>
            </w:tcBorders>
            <w:shd w:val="clear" w:color="auto" w:fill="CCCCFF"/>
          </w:tcPr>
          <w:p>
            <w:pPr>
              <w:pStyle w:val="TableParagraph"/>
              <w:spacing w:before="67"/>
              <w:ind w:left="256" w:right="256"/>
              <w:rPr>
                <w:b/>
                <w:sz w:val="24"/>
              </w:rPr>
            </w:pPr>
            <w:r>
              <w:rPr>
                <w:b/>
                <w:sz w:val="24"/>
              </w:rPr>
              <w:t>Cd</w:t>
            </w:r>
          </w:p>
        </w:tc>
        <w:tc>
          <w:tcPr>
            <w:tcW w:w="896" w:type="dxa"/>
            <w:tcBorders>
              <w:left w:val="single" w:sz="4" w:space="0" w:color="000000"/>
              <w:bottom w:val="single" w:sz="4" w:space="0" w:color="000000"/>
              <w:right w:val="single" w:sz="4" w:space="0" w:color="000000"/>
            </w:tcBorders>
            <w:shd w:val="clear" w:color="auto" w:fill="CCCCFF"/>
          </w:tcPr>
          <w:p>
            <w:pPr>
              <w:pStyle w:val="TableParagraph"/>
              <w:spacing w:before="67"/>
              <w:ind w:left="263" w:right="263"/>
              <w:rPr>
                <w:b/>
                <w:sz w:val="24"/>
              </w:rPr>
            </w:pPr>
            <w:r>
              <w:rPr>
                <w:b/>
                <w:sz w:val="24"/>
              </w:rPr>
              <w:t>Hg</w:t>
            </w:r>
          </w:p>
        </w:tc>
        <w:tc>
          <w:tcPr>
            <w:tcW w:w="895" w:type="dxa"/>
            <w:tcBorders>
              <w:left w:val="single" w:sz="4" w:space="0" w:color="000000"/>
              <w:bottom w:val="single" w:sz="4" w:space="0" w:color="000000"/>
              <w:right w:val="single" w:sz="4" w:space="0" w:color="000000"/>
            </w:tcBorders>
            <w:shd w:val="clear" w:color="auto" w:fill="CCCCFF"/>
          </w:tcPr>
          <w:p>
            <w:pPr>
              <w:pStyle w:val="TableParagraph"/>
              <w:spacing w:before="67"/>
              <w:ind w:left="255" w:right="256"/>
              <w:rPr>
                <w:b/>
                <w:sz w:val="24"/>
              </w:rPr>
            </w:pPr>
            <w:r>
              <w:rPr>
                <w:b/>
                <w:sz w:val="24"/>
              </w:rPr>
              <w:t>Pb</w:t>
            </w:r>
          </w:p>
        </w:tc>
        <w:tc>
          <w:tcPr>
            <w:tcW w:w="895" w:type="dxa"/>
            <w:tcBorders>
              <w:left w:val="single" w:sz="4" w:space="0" w:color="000000"/>
              <w:bottom w:val="single" w:sz="4" w:space="0" w:color="000000"/>
              <w:right w:val="single" w:sz="4" w:space="0" w:color="000000"/>
            </w:tcBorders>
            <w:shd w:val="clear" w:color="auto" w:fill="E4DFEB"/>
          </w:tcPr>
          <w:p>
            <w:pPr>
              <w:pStyle w:val="TableParagraph"/>
              <w:spacing w:before="67"/>
              <w:ind w:left="362"/>
              <w:jc w:val="left"/>
              <w:rPr>
                <w:b/>
                <w:sz w:val="24"/>
              </w:rPr>
            </w:pPr>
            <w:r>
              <w:rPr>
                <w:b/>
                <w:sz w:val="24"/>
              </w:rPr>
              <w:t>V</w:t>
            </w:r>
          </w:p>
        </w:tc>
        <w:tc>
          <w:tcPr>
            <w:tcW w:w="896" w:type="dxa"/>
            <w:tcBorders>
              <w:left w:val="single" w:sz="4" w:space="0" w:color="000000"/>
              <w:bottom w:val="single" w:sz="4" w:space="0" w:color="000000"/>
              <w:right w:val="single" w:sz="4" w:space="0" w:color="000000"/>
            </w:tcBorders>
            <w:shd w:val="clear" w:color="auto" w:fill="E4DFEB"/>
          </w:tcPr>
          <w:p>
            <w:pPr>
              <w:pStyle w:val="TableParagraph"/>
              <w:spacing w:before="67"/>
              <w:ind w:left="263" w:right="263"/>
              <w:rPr>
                <w:b/>
                <w:sz w:val="24"/>
              </w:rPr>
            </w:pPr>
            <w:r>
              <w:rPr>
                <w:b/>
                <w:sz w:val="24"/>
              </w:rPr>
              <w:t>Co</w:t>
            </w:r>
          </w:p>
        </w:tc>
        <w:tc>
          <w:tcPr>
            <w:tcW w:w="894" w:type="dxa"/>
            <w:tcBorders>
              <w:left w:val="single" w:sz="4" w:space="0" w:color="000000"/>
              <w:bottom w:val="single" w:sz="4" w:space="0" w:color="000000"/>
              <w:right w:val="single" w:sz="4" w:space="0" w:color="000000"/>
            </w:tcBorders>
            <w:shd w:val="clear" w:color="auto" w:fill="E4DFEB"/>
          </w:tcPr>
          <w:p>
            <w:pPr>
              <w:pStyle w:val="TableParagraph"/>
              <w:spacing w:before="67"/>
              <w:ind w:left="321"/>
              <w:jc w:val="left"/>
              <w:rPr>
                <w:b/>
                <w:sz w:val="24"/>
              </w:rPr>
            </w:pPr>
            <w:r>
              <w:rPr>
                <w:b/>
                <w:sz w:val="24"/>
              </w:rPr>
              <w:t>Ni</w:t>
            </w:r>
          </w:p>
        </w:tc>
        <w:tc>
          <w:tcPr>
            <w:tcW w:w="896" w:type="dxa"/>
            <w:tcBorders>
              <w:left w:val="single" w:sz="4" w:space="0" w:color="000000"/>
              <w:bottom w:val="single" w:sz="4" w:space="0" w:color="000000"/>
            </w:tcBorders>
            <w:shd w:val="clear" w:color="auto" w:fill="DBEDF3"/>
          </w:tcPr>
          <w:p>
            <w:pPr>
              <w:pStyle w:val="TableParagraph"/>
              <w:spacing w:before="67"/>
              <w:ind w:left="289"/>
              <w:jc w:val="left"/>
              <w:rPr>
                <w:b/>
                <w:sz w:val="24"/>
              </w:rPr>
            </w:pPr>
            <w:r>
              <w:rPr>
                <w:b/>
                <w:sz w:val="24"/>
              </w:rPr>
              <w:t>Pd</w:t>
            </w:r>
          </w:p>
        </w:tc>
      </w:tr>
      <w:tr>
        <w:trPr>
          <w:trHeight w:val="428" w:hRule="exact"/>
        </w:trPr>
        <w:tc>
          <w:tcPr>
            <w:tcW w:w="1875" w:type="dxa"/>
            <w:tcBorders>
              <w:top w:val="single" w:sz="4" w:space="0" w:color="000000"/>
              <w:bottom w:val="single" w:sz="4" w:space="0" w:color="000000"/>
              <w:right w:val="single" w:sz="4" w:space="0" w:color="000000"/>
            </w:tcBorders>
            <w:shd w:val="clear" w:color="auto" w:fill="EDEBE0"/>
          </w:tcPr>
          <w:p>
            <w:pPr>
              <w:pStyle w:val="TableParagraph"/>
              <w:spacing w:before="67"/>
              <w:ind w:left="398" w:right="405"/>
              <w:rPr>
                <w:sz w:val="24"/>
              </w:rPr>
            </w:pPr>
            <w:r>
              <w:rPr>
                <w:sz w:val="24"/>
              </w:rPr>
              <w:t>Clase</w:t>
            </w:r>
          </w:p>
        </w:tc>
        <w:tc>
          <w:tcPr>
            <w:tcW w:w="895" w:type="dxa"/>
            <w:tcBorders>
              <w:top w:val="single" w:sz="4" w:space="0" w:color="000000"/>
              <w:left w:val="single" w:sz="4" w:space="0" w:color="000000"/>
              <w:bottom w:val="single" w:sz="4" w:space="0" w:color="000000"/>
              <w:right w:val="single" w:sz="4" w:space="0" w:color="000000"/>
            </w:tcBorders>
            <w:shd w:val="clear" w:color="auto" w:fill="CCCCFF"/>
          </w:tcPr>
          <w:p>
            <w:pPr>
              <w:pStyle w:val="TableParagraph"/>
              <w:spacing w:before="67"/>
              <w:ind w:right="1"/>
              <w:rPr>
                <w:sz w:val="24"/>
              </w:rPr>
            </w:pPr>
            <w:r>
              <w:rPr>
                <w:w w:val="99"/>
                <w:sz w:val="24"/>
              </w:rPr>
              <w:t>1</w:t>
            </w:r>
          </w:p>
        </w:tc>
        <w:tc>
          <w:tcPr>
            <w:tcW w:w="895" w:type="dxa"/>
            <w:tcBorders>
              <w:top w:val="single" w:sz="4" w:space="0" w:color="000000"/>
              <w:left w:val="single" w:sz="4" w:space="0" w:color="000000"/>
              <w:bottom w:val="single" w:sz="4" w:space="0" w:color="000000"/>
              <w:right w:val="single" w:sz="4" w:space="0" w:color="000000"/>
            </w:tcBorders>
            <w:shd w:val="clear" w:color="auto" w:fill="CCCCFF"/>
          </w:tcPr>
          <w:p>
            <w:pPr>
              <w:pStyle w:val="TableParagraph"/>
              <w:spacing w:before="67"/>
              <w:ind w:right="1"/>
              <w:rPr>
                <w:sz w:val="24"/>
              </w:rPr>
            </w:pPr>
            <w:r>
              <w:rPr>
                <w:w w:val="99"/>
                <w:sz w:val="24"/>
              </w:rPr>
              <w:t>1</w:t>
            </w:r>
          </w:p>
        </w:tc>
        <w:tc>
          <w:tcPr>
            <w:tcW w:w="896" w:type="dxa"/>
            <w:tcBorders>
              <w:top w:val="single" w:sz="4" w:space="0" w:color="000000"/>
              <w:left w:val="single" w:sz="4" w:space="0" w:color="000000"/>
              <w:bottom w:val="single" w:sz="4" w:space="0" w:color="000000"/>
              <w:right w:val="single" w:sz="4" w:space="0" w:color="000000"/>
            </w:tcBorders>
            <w:shd w:val="clear" w:color="auto" w:fill="CCCCFF"/>
          </w:tcPr>
          <w:p>
            <w:pPr>
              <w:pStyle w:val="TableParagraph"/>
              <w:spacing w:before="67"/>
              <w:ind w:right="1"/>
              <w:rPr>
                <w:sz w:val="24"/>
              </w:rPr>
            </w:pPr>
            <w:r>
              <w:rPr>
                <w:w w:val="99"/>
                <w:sz w:val="24"/>
              </w:rPr>
              <w:t>1</w:t>
            </w:r>
          </w:p>
        </w:tc>
        <w:tc>
          <w:tcPr>
            <w:tcW w:w="895" w:type="dxa"/>
            <w:tcBorders>
              <w:top w:val="single" w:sz="4" w:space="0" w:color="000000"/>
              <w:left w:val="single" w:sz="4" w:space="0" w:color="000000"/>
              <w:bottom w:val="single" w:sz="4" w:space="0" w:color="000000"/>
              <w:right w:val="single" w:sz="4" w:space="0" w:color="000000"/>
            </w:tcBorders>
            <w:shd w:val="clear" w:color="auto" w:fill="CCCCFF"/>
          </w:tcPr>
          <w:p>
            <w:pPr>
              <w:pStyle w:val="TableParagraph"/>
              <w:spacing w:before="67"/>
              <w:ind w:right="1"/>
              <w:rPr>
                <w:sz w:val="24"/>
              </w:rPr>
            </w:pPr>
            <w:r>
              <w:rPr>
                <w:w w:val="99"/>
                <w:sz w:val="24"/>
              </w:rPr>
              <w:t>1</w:t>
            </w:r>
          </w:p>
        </w:tc>
        <w:tc>
          <w:tcPr>
            <w:tcW w:w="895" w:type="dxa"/>
            <w:tcBorders>
              <w:top w:val="single" w:sz="4" w:space="0" w:color="000000"/>
              <w:left w:val="single" w:sz="4" w:space="0" w:color="000000"/>
              <w:bottom w:val="single" w:sz="4" w:space="0" w:color="000000"/>
              <w:right w:val="single" w:sz="4" w:space="0" w:color="000000"/>
            </w:tcBorders>
            <w:shd w:val="clear" w:color="auto" w:fill="E4DFEB"/>
          </w:tcPr>
          <w:p>
            <w:pPr>
              <w:pStyle w:val="TableParagraph"/>
              <w:spacing w:before="67"/>
              <w:ind w:left="295"/>
              <w:jc w:val="left"/>
              <w:rPr>
                <w:sz w:val="24"/>
              </w:rPr>
            </w:pPr>
            <w:r>
              <w:rPr>
                <w:sz w:val="24"/>
              </w:rPr>
              <w:t>2A</w:t>
            </w:r>
          </w:p>
        </w:tc>
        <w:tc>
          <w:tcPr>
            <w:tcW w:w="896" w:type="dxa"/>
            <w:tcBorders>
              <w:top w:val="single" w:sz="4" w:space="0" w:color="000000"/>
              <w:left w:val="single" w:sz="4" w:space="0" w:color="000000"/>
              <w:bottom w:val="single" w:sz="4" w:space="0" w:color="000000"/>
              <w:right w:val="single" w:sz="4" w:space="0" w:color="000000"/>
            </w:tcBorders>
            <w:shd w:val="clear" w:color="auto" w:fill="E4DFEB"/>
          </w:tcPr>
          <w:p>
            <w:pPr>
              <w:pStyle w:val="TableParagraph"/>
              <w:spacing w:before="67"/>
              <w:ind w:left="263" w:right="263"/>
              <w:rPr>
                <w:sz w:val="24"/>
              </w:rPr>
            </w:pPr>
            <w:r>
              <w:rPr>
                <w:sz w:val="24"/>
              </w:rPr>
              <w:t>2A</w:t>
            </w:r>
          </w:p>
        </w:tc>
        <w:tc>
          <w:tcPr>
            <w:tcW w:w="894" w:type="dxa"/>
            <w:tcBorders>
              <w:top w:val="single" w:sz="4" w:space="0" w:color="000000"/>
              <w:left w:val="single" w:sz="4" w:space="0" w:color="000000"/>
              <w:bottom w:val="single" w:sz="4" w:space="0" w:color="000000"/>
              <w:right w:val="single" w:sz="4" w:space="0" w:color="000000"/>
            </w:tcBorders>
            <w:shd w:val="clear" w:color="auto" w:fill="E4DFEB"/>
          </w:tcPr>
          <w:p>
            <w:pPr>
              <w:pStyle w:val="TableParagraph"/>
              <w:spacing w:before="67"/>
              <w:ind w:left="295"/>
              <w:jc w:val="left"/>
              <w:rPr>
                <w:sz w:val="24"/>
              </w:rPr>
            </w:pPr>
            <w:r>
              <w:rPr>
                <w:sz w:val="24"/>
              </w:rPr>
              <w:t>2A</w:t>
            </w:r>
          </w:p>
        </w:tc>
        <w:tc>
          <w:tcPr>
            <w:tcW w:w="896" w:type="dxa"/>
            <w:tcBorders>
              <w:top w:val="single" w:sz="4" w:space="0" w:color="000000"/>
              <w:left w:val="single" w:sz="4" w:space="0" w:color="000000"/>
              <w:bottom w:val="single" w:sz="4" w:space="0" w:color="000000"/>
            </w:tcBorders>
            <w:shd w:val="clear" w:color="auto" w:fill="DBEDF3"/>
          </w:tcPr>
          <w:p>
            <w:pPr>
              <w:pStyle w:val="TableParagraph"/>
              <w:spacing w:before="67"/>
              <w:ind w:left="296"/>
              <w:jc w:val="left"/>
              <w:rPr>
                <w:sz w:val="24"/>
              </w:rPr>
            </w:pPr>
            <w:r>
              <w:rPr>
                <w:sz w:val="24"/>
              </w:rPr>
              <w:t>2B</w:t>
            </w:r>
          </w:p>
        </w:tc>
      </w:tr>
      <w:tr>
        <w:trPr>
          <w:trHeight w:val="875" w:hRule="exact"/>
        </w:trPr>
        <w:tc>
          <w:tcPr>
            <w:tcW w:w="1875" w:type="dxa"/>
            <w:tcBorders>
              <w:top w:val="single" w:sz="4" w:space="0" w:color="000000"/>
              <w:right w:val="single" w:sz="4" w:space="0" w:color="000000"/>
            </w:tcBorders>
            <w:shd w:val="clear" w:color="auto" w:fill="EDEBE0"/>
          </w:tcPr>
          <w:p>
            <w:pPr>
              <w:pStyle w:val="TableParagraph"/>
              <w:spacing w:before="150"/>
              <w:ind w:left="172" w:right="149" w:hanging="15"/>
              <w:jc w:val="left"/>
              <w:rPr>
                <w:sz w:val="24"/>
              </w:rPr>
            </w:pPr>
            <w:r>
              <w:rPr>
                <w:sz w:val="24"/>
              </w:rPr>
              <w:t>Especificación Vigente (ppm)</w:t>
            </w:r>
          </w:p>
        </w:tc>
        <w:tc>
          <w:tcPr>
            <w:tcW w:w="895" w:type="dxa"/>
            <w:tcBorders>
              <w:top w:val="single" w:sz="4" w:space="0" w:color="000000"/>
              <w:left w:val="single" w:sz="4" w:space="0" w:color="000000"/>
              <w:right w:val="single" w:sz="4" w:space="0" w:color="000000"/>
            </w:tcBorders>
            <w:shd w:val="clear" w:color="auto" w:fill="CCCCFF"/>
          </w:tcPr>
          <w:p>
            <w:pPr>
              <w:pStyle w:val="TableParagraph"/>
              <w:spacing w:before="11"/>
              <w:jc w:val="left"/>
              <w:rPr>
                <w:sz w:val="24"/>
              </w:rPr>
            </w:pPr>
          </w:p>
          <w:p>
            <w:pPr>
              <w:pStyle w:val="TableParagraph"/>
              <w:ind w:left="256" w:right="256"/>
              <w:rPr>
                <w:sz w:val="24"/>
              </w:rPr>
            </w:pPr>
            <w:r>
              <w:rPr>
                <w:sz w:val="24"/>
              </w:rPr>
              <w:t>1.5</w:t>
            </w:r>
          </w:p>
        </w:tc>
        <w:tc>
          <w:tcPr>
            <w:tcW w:w="895" w:type="dxa"/>
            <w:tcBorders>
              <w:top w:val="single" w:sz="4" w:space="0" w:color="000000"/>
              <w:left w:val="single" w:sz="4" w:space="0" w:color="000000"/>
              <w:right w:val="single" w:sz="4" w:space="0" w:color="000000"/>
            </w:tcBorders>
            <w:shd w:val="clear" w:color="auto" w:fill="CCCCFF"/>
          </w:tcPr>
          <w:p>
            <w:pPr>
              <w:pStyle w:val="TableParagraph"/>
              <w:spacing w:before="11"/>
              <w:jc w:val="left"/>
              <w:rPr>
                <w:sz w:val="24"/>
              </w:rPr>
            </w:pPr>
          </w:p>
          <w:p>
            <w:pPr>
              <w:pStyle w:val="TableParagraph"/>
              <w:ind w:left="256" w:right="256"/>
              <w:rPr>
                <w:sz w:val="24"/>
              </w:rPr>
            </w:pPr>
            <w:r>
              <w:rPr>
                <w:sz w:val="24"/>
              </w:rPr>
              <w:t>0.5</w:t>
            </w:r>
          </w:p>
        </w:tc>
        <w:tc>
          <w:tcPr>
            <w:tcW w:w="896" w:type="dxa"/>
            <w:tcBorders>
              <w:top w:val="single" w:sz="4" w:space="0" w:color="000000"/>
              <w:left w:val="single" w:sz="4" w:space="0" w:color="000000"/>
              <w:right w:val="single" w:sz="4" w:space="0" w:color="000000"/>
            </w:tcBorders>
            <w:shd w:val="clear" w:color="auto" w:fill="CCCCFF"/>
          </w:tcPr>
          <w:p>
            <w:pPr>
              <w:pStyle w:val="TableParagraph"/>
              <w:spacing w:before="11"/>
              <w:jc w:val="left"/>
              <w:rPr>
                <w:sz w:val="24"/>
              </w:rPr>
            </w:pPr>
          </w:p>
          <w:p>
            <w:pPr>
              <w:pStyle w:val="TableParagraph"/>
              <w:ind w:right="1"/>
              <w:rPr>
                <w:sz w:val="24"/>
              </w:rPr>
            </w:pPr>
            <w:r>
              <w:rPr>
                <w:w w:val="99"/>
                <w:sz w:val="24"/>
              </w:rPr>
              <w:t>3</w:t>
            </w:r>
          </w:p>
        </w:tc>
        <w:tc>
          <w:tcPr>
            <w:tcW w:w="895" w:type="dxa"/>
            <w:tcBorders>
              <w:top w:val="single" w:sz="4" w:space="0" w:color="000000"/>
              <w:left w:val="single" w:sz="4" w:space="0" w:color="000000"/>
              <w:right w:val="single" w:sz="4" w:space="0" w:color="000000"/>
            </w:tcBorders>
            <w:shd w:val="clear" w:color="auto" w:fill="CCCCFF"/>
          </w:tcPr>
          <w:p>
            <w:pPr>
              <w:pStyle w:val="TableParagraph"/>
              <w:spacing w:before="11"/>
              <w:jc w:val="left"/>
              <w:rPr>
                <w:sz w:val="24"/>
              </w:rPr>
            </w:pPr>
          </w:p>
          <w:p>
            <w:pPr>
              <w:pStyle w:val="TableParagraph"/>
              <w:ind w:left="256" w:right="256"/>
              <w:rPr>
                <w:sz w:val="24"/>
              </w:rPr>
            </w:pPr>
            <w:r>
              <w:rPr>
                <w:sz w:val="24"/>
              </w:rPr>
              <w:t>0.5</w:t>
            </w:r>
          </w:p>
        </w:tc>
        <w:tc>
          <w:tcPr>
            <w:tcW w:w="895" w:type="dxa"/>
            <w:tcBorders>
              <w:top w:val="single" w:sz="4" w:space="0" w:color="000000"/>
              <w:left w:val="single" w:sz="4" w:space="0" w:color="000000"/>
              <w:right w:val="single" w:sz="4" w:space="0" w:color="000000"/>
            </w:tcBorders>
            <w:shd w:val="clear" w:color="auto" w:fill="E4DFEB"/>
          </w:tcPr>
          <w:p>
            <w:pPr>
              <w:pStyle w:val="TableParagraph"/>
              <w:spacing w:before="11"/>
              <w:jc w:val="left"/>
              <w:rPr>
                <w:sz w:val="24"/>
              </w:rPr>
            </w:pPr>
          </w:p>
          <w:p>
            <w:pPr>
              <w:pStyle w:val="TableParagraph"/>
              <w:ind w:left="309"/>
              <w:jc w:val="left"/>
              <w:rPr>
                <w:sz w:val="24"/>
              </w:rPr>
            </w:pPr>
            <w:r>
              <w:rPr>
                <w:sz w:val="24"/>
              </w:rPr>
              <w:t>10</w:t>
            </w:r>
          </w:p>
        </w:tc>
        <w:tc>
          <w:tcPr>
            <w:tcW w:w="896" w:type="dxa"/>
            <w:tcBorders>
              <w:top w:val="single" w:sz="4" w:space="0" w:color="000000"/>
              <w:left w:val="single" w:sz="4" w:space="0" w:color="000000"/>
              <w:right w:val="single" w:sz="4" w:space="0" w:color="000000"/>
            </w:tcBorders>
            <w:shd w:val="clear" w:color="auto" w:fill="E4DFEB"/>
          </w:tcPr>
          <w:p>
            <w:pPr>
              <w:pStyle w:val="TableParagraph"/>
              <w:spacing w:before="11"/>
              <w:jc w:val="left"/>
              <w:rPr>
                <w:sz w:val="24"/>
              </w:rPr>
            </w:pPr>
          </w:p>
          <w:p>
            <w:pPr>
              <w:pStyle w:val="TableParagraph"/>
              <w:rPr>
                <w:sz w:val="24"/>
              </w:rPr>
            </w:pPr>
            <w:r>
              <w:rPr>
                <w:w w:val="99"/>
                <w:sz w:val="24"/>
              </w:rPr>
              <w:t>5</w:t>
            </w:r>
          </w:p>
        </w:tc>
        <w:tc>
          <w:tcPr>
            <w:tcW w:w="894" w:type="dxa"/>
            <w:tcBorders>
              <w:top w:val="single" w:sz="4" w:space="0" w:color="000000"/>
              <w:left w:val="single" w:sz="4" w:space="0" w:color="000000"/>
              <w:right w:val="single" w:sz="4" w:space="0" w:color="000000"/>
            </w:tcBorders>
            <w:shd w:val="clear" w:color="auto" w:fill="E4DFEB"/>
          </w:tcPr>
          <w:p>
            <w:pPr>
              <w:pStyle w:val="TableParagraph"/>
              <w:spacing w:before="11"/>
              <w:jc w:val="left"/>
              <w:rPr>
                <w:sz w:val="24"/>
              </w:rPr>
            </w:pPr>
          </w:p>
          <w:p>
            <w:pPr>
              <w:pStyle w:val="TableParagraph"/>
              <w:ind w:left="309"/>
              <w:jc w:val="left"/>
              <w:rPr>
                <w:sz w:val="24"/>
              </w:rPr>
            </w:pPr>
            <w:r>
              <w:rPr>
                <w:sz w:val="24"/>
              </w:rPr>
              <w:t>20</w:t>
            </w:r>
          </w:p>
        </w:tc>
        <w:tc>
          <w:tcPr>
            <w:tcW w:w="896" w:type="dxa"/>
            <w:tcBorders>
              <w:top w:val="single" w:sz="4" w:space="0" w:color="000000"/>
              <w:left w:val="single" w:sz="4" w:space="0" w:color="000000"/>
            </w:tcBorders>
            <w:shd w:val="clear" w:color="auto" w:fill="DBEDF3"/>
          </w:tcPr>
          <w:p>
            <w:pPr>
              <w:pStyle w:val="TableParagraph"/>
              <w:spacing w:before="10"/>
              <w:jc w:val="left"/>
              <w:rPr>
                <w:sz w:val="21"/>
              </w:rPr>
            </w:pPr>
          </w:p>
          <w:p>
            <w:pPr>
              <w:pStyle w:val="TableParagraph"/>
              <w:spacing w:before="1"/>
              <w:ind w:left="265"/>
              <w:jc w:val="left"/>
              <w:rPr>
                <w:sz w:val="16"/>
              </w:rPr>
            </w:pPr>
            <w:r>
              <w:rPr>
                <w:sz w:val="24"/>
              </w:rPr>
              <w:t>10</w:t>
            </w:r>
            <w:r>
              <w:rPr>
                <w:position w:val="11"/>
                <w:sz w:val="16"/>
              </w:rPr>
              <w:t>a</w:t>
            </w:r>
          </w:p>
        </w:tc>
      </w:tr>
    </w:tbl>
    <w:p>
      <w:pPr>
        <w:spacing w:line="225" w:lineRule="exact" w:before="0"/>
        <w:ind w:left="142" w:right="0" w:firstLine="0"/>
        <w:jc w:val="left"/>
        <w:rPr>
          <w:sz w:val="18"/>
        </w:rPr>
      </w:pPr>
      <w:r>
        <w:rPr>
          <w:b/>
          <w:sz w:val="20"/>
        </w:rPr>
        <w:t>. </w:t>
      </w:r>
      <w:r>
        <w:rPr>
          <w:sz w:val="18"/>
        </w:rPr>
        <w:t>Fuente: Guía ICH Q3D, vigencia 2014-12-16</w:t>
      </w:r>
    </w:p>
    <w:p>
      <w:pPr>
        <w:spacing w:line="376" w:lineRule="auto" w:before="84"/>
        <w:ind w:left="142" w:right="0" w:firstLine="0"/>
        <w:jc w:val="left"/>
        <w:rPr>
          <w:b/>
          <w:sz w:val="20"/>
        </w:rPr>
      </w:pPr>
      <w:r>
        <w:rPr>
          <w:position w:val="11"/>
          <w:sz w:val="16"/>
        </w:rPr>
        <w:t>a </w:t>
      </w:r>
      <w:r>
        <w:rPr>
          <w:b/>
          <w:sz w:val="20"/>
        </w:rPr>
        <w:t>La especificación para paladio puede modificarse dependiendo de la exposición diaria permitida del producto, en particular para el caso de estudio el Pd se validó con una especificación de 20 ppm</w:t>
      </w:r>
    </w:p>
    <w:p>
      <w:pPr>
        <w:spacing w:after="0" w:line="376" w:lineRule="auto"/>
        <w:jc w:val="left"/>
        <w:rPr>
          <w:sz w:val="20"/>
        </w:rPr>
        <w:sectPr>
          <w:pgSz w:w="12240" w:h="15840"/>
          <w:pgMar w:header="0" w:footer="919" w:top="1360" w:bottom="1100" w:left="1560" w:right="1400"/>
        </w:sectPr>
      </w:pPr>
    </w:p>
    <w:p>
      <w:pPr>
        <w:pStyle w:val="BodyText"/>
        <w:spacing w:line="360" w:lineRule="auto" w:before="56"/>
        <w:ind w:left="102" w:right="116"/>
        <w:jc w:val="both"/>
      </w:pPr>
      <w:r>
        <w:rPr/>
        <w:t>Para cada uno de los elementos se preparó una curva de calibración que va desde el 12.5 % de la especificación hasta el 200 %, estos métodos fueron posteriormente validados para asegurar que los resultados obtenidos fueran confiables.</w:t>
      </w:r>
    </w:p>
    <w:p>
      <w:pPr>
        <w:pStyle w:val="BodyText"/>
      </w:pPr>
    </w:p>
    <w:p>
      <w:pPr>
        <w:pStyle w:val="BodyText"/>
        <w:spacing w:line="360" w:lineRule="auto" w:before="142"/>
        <w:ind w:left="102" w:right="117"/>
        <w:jc w:val="both"/>
      </w:pPr>
      <w:r>
        <w:rPr/>
        <w:t>El método desarrollado para la determinación de As, Cd, Hg y Pb fue probado y aplicado satisfactoriamente a más de 60 productos producidos dentro de la empresa. El método general para la determinación de V, Co y Ni, fue aplicado a 69 productos, en el caso del método para la determinación de Pd se utilizó en los productos en los que durante su proceso de manufactura fue utilizado este elemento como catalizador.</w:t>
      </w:r>
    </w:p>
    <w:p>
      <w:pPr>
        <w:pStyle w:val="BodyText"/>
      </w:pPr>
    </w:p>
    <w:p>
      <w:pPr>
        <w:pStyle w:val="BodyText"/>
        <w:spacing w:line="360" w:lineRule="auto" w:before="142"/>
        <w:ind w:left="102" w:right="115"/>
        <w:jc w:val="both"/>
      </w:pPr>
      <w:r>
        <w:rPr/>
        <w:t>El método general para la determinación de impurezas elementales clase 1 no se aplico a la misma cantidad de productos que el método general para la determinación de impurezas elementales clase 2A debido a la naturaleza de la molécula, por lo cual se tuvieron que desarrollar métodos adicionales para poder realizar la cuantificación.</w:t>
      </w:r>
    </w:p>
    <w:p>
      <w:pPr>
        <w:spacing w:after="0" w:line="360" w:lineRule="auto"/>
        <w:jc w:val="both"/>
        <w:sectPr>
          <w:pgSz w:w="12240" w:h="15840"/>
          <w:pgMar w:header="0" w:footer="919" w:top="1360" w:bottom="1100" w:left="1600" w:right="1580"/>
        </w:sectPr>
      </w:pPr>
    </w:p>
    <w:p>
      <w:pPr>
        <w:pStyle w:val="Heading2"/>
        <w:numPr>
          <w:ilvl w:val="1"/>
          <w:numId w:val="7"/>
        </w:numPr>
        <w:tabs>
          <w:tab w:pos="585" w:val="left" w:leader="none"/>
        </w:tabs>
        <w:spacing w:line="240" w:lineRule="auto" w:before="61" w:after="0"/>
        <w:ind w:left="102" w:right="0" w:firstLine="80"/>
        <w:jc w:val="both"/>
        <w:rPr>
          <w:b w:val="0"/>
          <w:i w:val="0"/>
        </w:rPr>
      </w:pPr>
      <w:bookmarkStart w:name="_bookmark22" w:id="41"/>
      <w:bookmarkEnd w:id="41"/>
      <w:r>
        <w:rPr>
          <w:b w:val="0"/>
          <w:i w:val="0"/>
        </w:rPr>
      </w:r>
      <w:bookmarkStart w:name="_bookmark22" w:id="42"/>
      <w:bookmarkEnd w:id="42"/>
      <w:r>
        <w:rPr>
          <w:i/>
        </w:rPr>
        <w:t>To</w:t>
      </w:r>
      <w:r>
        <w:rPr>
          <w:i/>
        </w:rPr>
        <w:t>xicidad de las impurezas elementales</w:t>
      </w:r>
      <w:r>
        <w:rPr>
          <w:i/>
          <w:spacing w:val="-11"/>
        </w:rPr>
        <w:t> </w:t>
      </w:r>
      <w:r>
        <w:rPr>
          <w:b w:val="0"/>
          <w:i w:val="0"/>
          <w:position w:val="11"/>
          <w:sz w:val="16"/>
        </w:rPr>
        <w:t>12</w:t>
      </w:r>
    </w:p>
    <w:p>
      <w:pPr>
        <w:pStyle w:val="BodyText"/>
        <w:rPr>
          <w:sz w:val="28"/>
        </w:rPr>
      </w:pPr>
    </w:p>
    <w:p>
      <w:pPr>
        <w:pStyle w:val="BodyText"/>
        <w:spacing w:line="360" w:lineRule="auto" w:before="194"/>
        <w:ind w:left="182" w:right="195"/>
        <w:jc w:val="both"/>
      </w:pPr>
      <w:r>
        <w:rPr/>
        <w:t>Se revisó y documentó la información toxicológica de cada una de las principales impurezas elementales a monitorear As, Cd, Hg, Pb, V, Co, Ni y Pd, la información se encuentra resumida en la Tabla 6.2.</w:t>
      </w:r>
    </w:p>
    <w:p>
      <w:pPr>
        <w:pStyle w:val="BodyText"/>
      </w:pPr>
    </w:p>
    <w:p>
      <w:pPr>
        <w:pStyle w:val="BodyText"/>
        <w:spacing w:before="139"/>
        <w:ind w:left="182"/>
        <w:jc w:val="both"/>
      </w:pPr>
      <w:r>
        <w:rPr/>
        <w:t>Tabla 6.2. Información toxicológica de las impurezas elementales analizadas</w:t>
      </w:r>
    </w:p>
    <w:p>
      <w:pPr>
        <w:pStyle w:val="BodyText"/>
        <w:spacing w:before="3"/>
        <w:rPr>
          <w:sz w:val="12"/>
        </w:rPr>
      </w:pPr>
    </w:p>
    <w:tbl>
      <w:tblPr>
        <w:tblW w:w="0" w:type="auto"/>
        <w:jc w:val="left"/>
        <w:tblInd w:w="112"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358"/>
        <w:gridCol w:w="1098"/>
        <w:gridCol w:w="1073"/>
        <w:gridCol w:w="1733"/>
        <w:gridCol w:w="3728"/>
      </w:tblGrid>
      <w:tr>
        <w:trPr>
          <w:trHeight w:val="953" w:hRule="exact"/>
        </w:trPr>
        <w:tc>
          <w:tcPr>
            <w:tcW w:w="1358" w:type="dxa"/>
            <w:shd w:val="clear" w:color="auto" w:fill="4F81BC"/>
          </w:tcPr>
          <w:p>
            <w:pPr>
              <w:pStyle w:val="TableParagraph"/>
              <w:spacing w:before="4"/>
              <w:jc w:val="left"/>
              <w:rPr>
                <w:sz w:val="27"/>
              </w:rPr>
            </w:pPr>
          </w:p>
          <w:p>
            <w:pPr>
              <w:pStyle w:val="TableParagraph"/>
              <w:ind w:left="98"/>
              <w:jc w:val="left"/>
              <w:rPr>
                <w:b/>
                <w:sz w:val="24"/>
              </w:rPr>
            </w:pPr>
            <w:r>
              <w:rPr>
                <w:b/>
                <w:color w:val="FFFFFF"/>
                <w:sz w:val="24"/>
              </w:rPr>
              <w:t>Elemento</w:t>
            </w:r>
          </w:p>
        </w:tc>
        <w:tc>
          <w:tcPr>
            <w:tcW w:w="1098" w:type="dxa"/>
            <w:shd w:val="clear" w:color="auto" w:fill="4F81BC"/>
          </w:tcPr>
          <w:p>
            <w:pPr>
              <w:pStyle w:val="TableParagraph"/>
              <w:spacing w:line="274" w:lineRule="exact"/>
              <w:ind w:left="218" w:right="242"/>
              <w:jc w:val="left"/>
              <w:rPr>
                <w:b/>
                <w:sz w:val="24"/>
              </w:rPr>
            </w:pPr>
            <w:r>
              <w:rPr>
                <w:b/>
                <w:color w:val="FFFFFF"/>
                <w:sz w:val="24"/>
              </w:rPr>
              <w:t>PDE-</w:t>
            </w:r>
          </w:p>
          <w:p>
            <w:pPr>
              <w:pStyle w:val="TableParagraph"/>
              <w:spacing w:line="276" w:lineRule="auto" w:before="41"/>
              <w:ind w:left="177" w:right="242" w:firstLine="86"/>
              <w:jc w:val="left"/>
              <w:rPr>
                <w:b/>
                <w:sz w:val="24"/>
              </w:rPr>
            </w:pPr>
            <w:r>
              <w:rPr>
                <w:b/>
                <w:color w:val="FFFFFF"/>
                <w:sz w:val="24"/>
              </w:rPr>
              <w:t>Oral (µg/g)</w:t>
            </w:r>
          </w:p>
        </w:tc>
        <w:tc>
          <w:tcPr>
            <w:tcW w:w="1073" w:type="dxa"/>
            <w:shd w:val="clear" w:color="auto" w:fill="4F81BC"/>
          </w:tcPr>
          <w:p>
            <w:pPr>
              <w:pStyle w:val="TableParagraph"/>
              <w:spacing w:before="4"/>
              <w:jc w:val="left"/>
              <w:rPr>
                <w:sz w:val="27"/>
              </w:rPr>
            </w:pPr>
          </w:p>
          <w:p>
            <w:pPr>
              <w:pStyle w:val="TableParagraph"/>
              <w:ind w:left="241" w:right="150"/>
              <w:rPr>
                <w:b/>
                <w:sz w:val="24"/>
              </w:rPr>
            </w:pPr>
            <w:r>
              <w:rPr>
                <w:b/>
                <w:color w:val="FFFFFF"/>
                <w:sz w:val="24"/>
              </w:rPr>
              <w:t>Clase</w:t>
            </w:r>
          </w:p>
        </w:tc>
        <w:tc>
          <w:tcPr>
            <w:tcW w:w="1733" w:type="dxa"/>
            <w:shd w:val="clear" w:color="auto" w:fill="4F81BC"/>
          </w:tcPr>
          <w:p>
            <w:pPr>
              <w:pStyle w:val="TableParagraph"/>
              <w:spacing w:before="4"/>
              <w:jc w:val="left"/>
              <w:rPr>
                <w:sz w:val="27"/>
              </w:rPr>
            </w:pPr>
          </w:p>
          <w:p>
            <w:pPr>
              <w:pStyle w:val="TableParagraph"/>
              <w:ind w:left="169" w:right="196"/>
              <w:jc w:val="left"/>
              <w:rPr>
                <w:b/>
                <w:sz w:val="24"/>
              </w:rPr>
            </w:pPr>
            <w:r>
              <w:rPr>
                <w:b/>
                <w:color w:val="FFFFFF"/>
                <w:sz w:val="24"/>
              </w:rPr>
              <w:t>Fuente</w:t>
            </w:r>
          </w:p>
        </w:tc>
        <w:tc>
          <w:tcPr>
            <w:tcW w:w="3728" w:type="dxa"/>
            <w:shd w:val="clear" w:color="auto" w:fill="4F81BC"/>
          </w:tcPr>
          <w:p>
            <w:pPr>
              <w:pStyle w:val="TableParagraph"/>
              <w:spacing w:before="4"/>
              <w:jc w:val="left"/>
              <w:rPr>
                <w:sz w:val="27"/>
              </w:rPr>
            </w:pPr>
          </w:p>
          <w:p>
            <w:pPr>
              <w:pStyle w:val="TableParagraph"/>
              <w:ind w:left="78" w:right="94"/>
              <w:jc w:val="left"/>
              <w:rPr>
                <w:b/>
                <w:sz w:val="24"/>
              </w:rPr>
            </w:pPr>
            <w:r>
              <w:rPr>
                <w:b/>
                <w:color w:val="FFFFFF"/>
                <w:sz w:val="24"/>
              </w:rPr>
              <w:t>Consecuencias</w:t>
            </w:r>
          </w:p>
        </w:tc>
      </w:tr>
      <w:tr>
        <w:trPr>
          <w:trHeight w:val="634" w:hRule="exact"/>
        </w:trPr>
        <w:tc>
          <w:tcPr>
            <w:tcW w:w="1358" w:type="dxa"/>
            <w:shd w:val="clear" w:color="auto" w:fill="DBE4F0"/>
          </w:tcPr>
          <w:p>
            <w:pPr>
              <w:pStyle w:val="TableParagraph"/>
              <w:spacing w:line="274" w:lineRule="exact"/>
              <w:ind w:left="69"/>
              <w:jc w:val="left"/>
              <w:rPr>
                <w:sz w:val="24"/>
              </w:rPr>
            </w:pPr>
            <w:r>
              <w:rPr>
                <w:sz w:val="24"/>
              </w:rPr>
              <w:t>Arsénico</w:t>
            </w:r>
          </w:p>
        </w:tc>
        <w:tc>
          <w:tcPr>
            <w:tcW w:w="1098" w:type="dxa"/>
            <w:shd w:val="clear" w:color="auto" w:fill="DBE4F0"/>
          </w:tcPr>
          <w:p>
            <w:pPr>
              <w:pStyle w:val="TableParagraph"/>
              <w:spacing w:line="274" w:lineRule="exact"/>
              <w:ind w:left="338" w:right="242"/>
              <w:jc w:val="left"/>
              <w:rPr>
                <w:sz w:val="24"/>
              </w:rPr>
            </w:pPr>
            <w:r>
              <w:rPr>
                <w:sz w:val="24"/>
              </w:rPr>
              <w:t>1.5</w:t>
            </w:r>
          </w:p>
        </w:tc>
        <w:tc>
          <w:tcPr>
            <w:tcW w:w="1073" w:type="dxa"/>
            <w:shd w:val="clear" w:color="auto" w:fill="DBE4F0"/>
          </w:tcPr>
          <w:p>
            <w:pPr>
              <w:pStyle w:val="TableParagraph"/>
              <w:spacing w:line="274" w:lineRule="exact"/>
              <w:ind w:left="86"/>
              <w:rPr>
                <w:sz w:val="24"/>
              </w:rPr>
            </w:pPr>
            <w:r>
              <w:rPr>
                <w:w w:val="99"/>
                <w:sz w:val="24"/>
              </w:rPr>
              <w:t>1</w:t>
            </w:r>
          </w:p>
        </w:tc>
        <w:tc>
          <w:tcPr>
            <w:tcW w:w="1733" w:type="dxa"/>
            <w:shd w:val="clear" w:color="auto" w:fill="DBE4F0"/>
          </w:tcPr>
          <w:p>
            <w:pPr>
              <w:pStyle w:val="TableParagraph"/>
              <w:spacing w:line="276" w:lineRule="auto"/>
              <w:ind w:left="169" w:right="196"/>
              <w:jc w:val="left"/>
              <w:rPr>
                <w:sz w:val="24"/>
              </w:rPr>
            </w:pPr>
            <w:r>
              <w:rPr>
                <w:sz w:val="24"/>
              </w:rPr>
              <w:t>Compuestos inorgánicos</w:t>
            </w:r>
          </w:p>
        </w:tc>
        <w:tc>
          <w:tcPr>
            <w:tcW w:w="3728" w:type="dxa"/>
            <w:shd w:val="clear" w:color="auto" w:fill="DBE4F0"/>
          </w:tcPr>
          <w:p>
            <w:pPr>
              <w:pStyle w:val="TableParagraph"/>
              <w:spacing w:line="276" w:lineRule="auto"/>
              <w:ind w:left="78" w:right="94"/>
              <w:jc w:val="left"/>
              <w:rPr>
                <w:sz w:val="24"/>
              </w:rPr>
            </w:pPr>
            <w:r>
              <w:rPr>
                <w:sz w:val="24"/>
              </w:rPr>
              <w:t>Genotóxico, carcinógeno, piel, hígado, pulmón, riñón y la vejiga</w:t>
            </w:r>
          </w:p>
        </w:tc>
      </w:tr>
      <w:tr>
        <w:trPr>
          <w:trHeight w:val="1270" w:hRule="exact"/>
        </w:trPr>
        <w:tc>
          <w:tcPr>
            <w:tcW w:w="1358" w:type="dxa"/>
          </w:tcPr>
          <w:p>
            <w:pPr>
              <w:pStyle w:val="TableParagraph"/>
              <w:spacing w:line="274" w:lineRule="exact"/>
              <w:ind w:left="69"/>
              <w:jc w:val="left"/>
              <w:rPr>
                <w:sz w:val="24"/>
              </w:rPr>
            </w:pPr>
            <w:r>
              <w:rPr>
                <w:sz w:val="24"/>
              </w:rPr>
              <w:t>Cadmio</w:t>
            </w:r>
          </w:p>
        </w:tc>
        <w:tc>
          <w:tcPr>
            <w:tcW w:w="1098" w:type="dxa"/>
          </w:tcPr>
          <w:p>
            <w:pPr>
              <w:pStyle w:val="TableParagraph"/>
              <w:spacing w:line="274" w:lineRule="exact"/>
              <w:ind w:left="338" w:right="242"/>
              <w:jc w:val="left"/>
              <w:rPr>
                <w:sz w:val="24"/>
              </w:rPr>
            </w:pPr>
            <w:r>
              <w:rPr>
                <w:sz w:val="24"/>
              </w:rPr>
              <w:t>0.5</w:t>
            </w:r>
          </w:p>
        </w:tc>
        <w:tc>
          <w:tcPr>
            <w:tcW w:w="1073" w:type="dxa"/>
          </w:tcPr>
          <w:p>
            <w:pPr>
              <w:pStyle w:val="TableParagraph"/>
              <w:spacing w:line="274" w:lineRule="exact"/>
              <w:ind w:left="86"/>
              <w:rPr>
                <w:sz w:val="24"/>
              </w:rPr>
            </w:pPr>
            <w:r>
              <w:rPr>
                <w:w w:val="99"/>
                <w:sz w:val="24"/>
              </w:rPr>
              <w:t>1</w:t>
            </w:r>
          </w:p>
        </w:tc>
        <w:tc>
          <w:tcPr>
            <w:tcW w:w="1733" w:type="dxa"/>
          </w:tcPr>
          <w:p>
            <w:pPr>
              <w:pStyle w:val="TableParagraph"/>
              <w:spacing w:line="276" w:lineRule="auto"/>
              <w:ind w:left="169" w:right="329"/>
              <w:jc w:val="left"/>
              <w:rPr>
                <w:sz w:val="24"/>
              </w:rPr>
            </w:pPr>
            <w:r>
              <w:rPr>
                <w:sz w:val="24"/>
              </w:rPr>
              <w:t>Sales de cadmio solubles en agua</w:t>
            </w:r>
          </w:p>
        </w:tc>
        <w:tc>
          <w:tcPr>
            <w:tcW w:w="3728" w:type="dxa"/>
          </w:tcPr>
          <w:p>
            <w:pPr>
              <w:pStyle w:val="TableParagraph"/>
              <w:spacing w:line="276" w:lineRule="auto"/>
              <w:ind w:left="78" w:right="908"/>
              <w:jc w:val="left"/>
              <w:rPr>
                <w:sz w:val="24"/>
              </w:rPr>
            </w:pPr>
            <w:r>
              <w:rPr>
                <w:sz w:val="24"/>
              </w:rPr>
              <w:t>Genotóxico, carcinógeno, pulmón, riñón y próstata</w:t>
            </w:r>
          </w:p>
        </w:tc>
      </w:tr>
      <w:tr>
        <w:trPr>
          <w:trHeight w:val="1270" w:hRule="exact"/>
        </w:trPr>
        <w:tc>
          <w:tcPr>
            <w:tcW w:w="1358" w:type="dxa"/>
            <w:shd w:val="clear" w:color="auto" w:fill="DBE4F0"/>
          </w:tcPr>
          <w:p>
            <w:pPr>
              <w:pStyle w:val="TableParagraph"/>
              <w:spacing w:line="274" w:lineRule="exact"/>
              <w:ind w:left="69"/>
              <w:jc w:val="left"/>
              <w:rPr>
                <w:sz w:val="24"/>
              </w:rPr>
            </w:pPr>
            <w:r>
              <w:rPr>
                <w:sz w:val="24"/>
              </w:rPr>
              <w:t>Mercurio</w:t>
            </w:r>
          </w:p>
        </w:tc>
        <w:tc>
          <w:tcPr>
            <w:tcW w:w="1098" w:type="dxa"/>
            <w:shd w:val="clear" w:color="auto" w:fill="DBE4F0"/>
          </w:tcPr>
          <w:p>
            <w:pPr>
              <w:pStyle w:val="TableParagraph"/>
              <w:spacing w:line="274" w:lineRule="exact"/>
              <w:ind w:left="439"/>
              <w:jc w:val="left"/>
              <w:rPr>
                <w:sz w:val="24"/>
              </w:rPr>
            </w:pPr>
            <w:r>
              <w:rPr>
                <w:w w:val="99"/>
                <w:sz w:val="24"/>
              </w:rPr>
              <w:t>3</w:t>
            </w:r>
          </w:p>
        </w:tc>
        <w:tc>
          <w:tcPr>
            <w:tcW w:w="1073" w:type="dxa"/>
            <w:shd w:val="clear" w:color="auto" w:fill="DBE4F0"/>
          </w:tcPr>
          <w:p>
            <w:pPr>
              <w:pStyle w:val="TableParagraph"/>
              <w:spacing w:line="274" w:lineRule="exact"/>
              <w:ind w:left="86"/>
              <w:rPr>
                <w:sz w:val="24"/>
              </w:rPr>
            </w:pPr>
            <w:r>
              <w:rPr>
                <w:w w:val="99"/>
                <w:sz w:val="24"/>
              </w:rPr>
              <w:t>1</w:t>
            </w:r>
          </w:p>
        </w:tc>
        <w:tc>
          <w:tcPr>
            <w:tcW w:w="1733" w:type="dxa"/>
            <w:shd w:val="clear" w:color="auto" w:fill="DBE4F0"/>
          </w:tcPr>
          <w:p>
            <w:pPr>
              <w:pStyle w:val="TableParagraph"/>
              <w:spacing w:line="276" w:lineRule="auto"/>
              <w:ind w:left="169" w:right="303"/>
              <w:jc w:val="left"/>
              <w:rPr>
                <w:sz w:val="24"/>
              </w:rPr>
            </w:pPr>
            <w:r>
              <w:rPr>
                <w:sz w:val="24"/>
              </w:rPr>
              <w:t>Mercurio elemental e inorgánico</w:t>
            </w:r>
          </w:p>
        </w:tc>
        <w:tc>
          <w:tcPr>
            <w:tcW w:w="3728" w:type="dxa"/>
            <w:shd w:val="clear" w:color="auto" w:fill="DBE4F0"/>
          </w:tcPr>
          <w:p>
            <w:pPr>
              <w:pStyle w:val="TableParagraph"/>
              <w:spacing w:line="276" w:lineRule="auto"/>
              <w:ind w:left="78" w:right="427"/>
              <w:jc w:val="left"/>
              <w:rPr>
                <w:sz w:val="24"/>
              </w:rPr>
            </w:pPr>
            <w:r>
              <w:rPr>
                <w:sz w:val="24"/>
              </w:rPr>
              <w:t>Efectos toxicológicos, neuronales, hematopoyéticos, corrosivo, efectos renales y enfermedades cutáneas</w:t>
            </w:r>
          </w:p>
        </w:tc>
      </w:tr>
      <w:tr>
        <w:trPr>
          <w:trHeight w:val="1270" w:hRule="exact"/>
        </w:trPr>
        <w:tc>
          <w:tcPr>
            <w:tcW w:w="1358" w:type="dxa"/>
          </w:tcPr>
          <w:p>
            <w:pPr>
              <w:pStyle w:val="TableParagraph"/>
              <w:spacing w:line="274" w:lineRule="exact"/>
              <w:ind w:left="69"/>
              <w:jc w:val="left"/>
              <w:rPr>
                <w:sz w:val="24"/>
              </w:rPr>
            </w:pPr>
            <w:r>
              <w:rPr>
                <w:sz w:val="24"/>
              </w:rPr>
              <w:t>Plomo</w:t>
            </w:r>
          </w:p>
        </w:tc>
        <w:tc>
          <w:tcPr>
            <w:tcW w:w="1098" w:type="dxa"/>
          </w:tcPr>
          <w:p>
            <w:pPr>
              <w:pStyle w:val="TableParagraph"/>
              <w:spacing w:line="274" w:lineRule="exact"/>
              <w:ind w:left="338" w:right="242"/>
              <w:jc w:val="left"/>
              <w:rPr>
                <w:sz w:val="24"/>
              </w:rPr>
            </w:pPr>
            <w:r>
              <w:rPr>
                <w:sz w:val="24"/>
              </w:rPr>
              <w:t>0.5</w:t>
            </w:r>
          </w:p>
        </w:tc>
        <w:tc>
          <w:tcPr>
            <w:tcW w:w="1073" w:type="dxa"/>
          </w:tcPr>
          <w:p>
            <w:pPr>
              <w:pStyle w:val="TableParagraph"/>
              <w:spacing w:line="274" w:lineRule="exact"/>
              <w:ind w:left="86"/>
              <w:rPr>
                <w:sz w:val="24"/>
              </w:rPr>
            </w:pPr>
            <w:r>
              <w:rPr>
                <w:w w:val="99"/>
                <w:sz w:val="24"/>
              </w:rPr>
              <w:t>1</w:t>
            </w:r>
          </w:p>
        </w:tc>
        <w:tc>
          <w:tcPr>
            <w:tcW w:w="1733" w:type="dxa"/>
          </w:tcPr>
          <w:p>
            <w:pPr>
              <w:pStyle w:val="TableParagraph"/>
              <w:spacing w:line="276" w:lineRule="auto"/>
              <w:ind w:left="169" w:right="196"/>
              <w:jc w:val="left"/>
              <w:rPr>
                <w:sz w:val="24"/>
              </w:rPr>
            </w:pPr>
            <w:r>
              <w:rPr>
                <w:sz w:val="24"/>
              </w:rPr>
              <w:t>Compuestos orgánicos e inorgánicos</w:t>
            </w:r>
          </w:p>
        </w:tc>
        <w:tc>
          <w:tcPr>
            <w:tcW w:w="3728" w:type="dxa"/>
          </w:tcPr>
          <w:p>
            <w:pPr>
              <w:pStyle w:val="TableParagraph"/>
              <w:spacing w:line="276" w:lineRule="auto"/>
              <w:ind w:left="78" w:right="94"/>
              <w:jc w:val="left"/>
              <w:rPr>
                <w:sz w:val="24"/>
              </w:rPr>
            </w:pPr>
            <w:r>
              <w:rPr>
                <w:sz w:val="24"/>
              </w:rPr>
              <w:t>Efectos neurológicos, reproductivos, de desarrollo, inmunológico, cardiovasculares y renales</w:t>
            </w:r>
          </w:p>
        </w:tc>
      </w:tr>
      <w:tr>
        <w:trPr>
          <w:trHeight w:val="636" w:hRule="exact"/>
        </w:trPr>
        <w:tc>
          <w:tcPr>
            <w:tcW w:w="1358" w:type="dxa"/>
            <w:shd w:val="clear" w:color="auto" w:fill="DBE4F0"/>
          </w:tcPr>
          <w:p>
            <w:pPr>
              <w:pStyle w:val="TableParagraph"/>
              <w:spacing w:line="274" w:lineRule="exact"/>
              <w:ind w:left="69"/>
              <w:jc w:val="left"/>
              <w:rPr>
                <w:sz w:val="24"/>
              </w:rPr>
            </w:pPr>
            <w:r>
              <w:rPr>
                <w:sz w:val="24"/>
              </w:rPr>
              <w:t>Vanadio</w:t>
            </w:r>
          </w:p>
        </w:tc>
        <w:tc>
          <w:tcPr>
            <w:tcW w:w="1098" w:type="dxa"/>
            <w:shd w:val="clear" w:color="auto" w:fill="DBE4F0"/>
          </w:tcPr>
          <w:p>
            <w:pPr>
              <w:pStyle w:val="TableParagraph"/>
              <w:spacing w:line="274" w:lineRule="exact"/>
              <w:ind w:left="372" w:right="242"/>
              <w:jc w:val="left"/>
              <w:rPr>
                <w:sz w:val="24"/>
              </w:rPr>
            </w:pPr>
            <w:r>
              <w:rPr>
                <w:sz w:val="24"/>
              </w:rPr>
              <w:t>10</w:t>
            </w:r>
          </w:p>
        </w:tc>
        <w:tc>
          <w:tcPr>
            <w:tcW w:w="1073" w:type="dxa"/>
            <w:shd w:val="clear" w:color="auto" w:fill="DBE4F0"/>
          </w:tcPr>
          <w:p>
            <w:pPr>
              <w:pStyle w:val="TableParagraph"/>
              <w:spacing w:line="274" w:lineRule="exact"/>
              <w:ind w:left="240" w:right="150"/>
              <w:rPr>
                <w:sz w:val="24"/>
              </w:rPr>
            </w:pPr>
            <w:r>
              <w:rPr>
                <w:sz w:val="24"/>
              </w:rPr>
              <w:t>2A</w:t>
            </w:r>
          </w:p>
        </w:tc>
        <w:tc>
          <w:tcPr>
            <w:tcW w:w="1733" w:type="dxa"/>
            <w:shd w:val="clear" w:color="auto" w:fill="DBE4F0"/>
          </w:tcPr>
          <w:p>
            <w:pPr>
              <w:pStyle w:val="TableParagraph"/>
              <w:spacing w:line="276" w:lineRule="auto"/>
              <w:ind w:left="169" w:right="142"/>
              <w:jc w:val="left"/>
              <w:rPr>
                <w:sz w:val="24"/>
              </w:rPr>
            </w:pPr>
            <w:r>
              <w:rPr>
                <w:sz w:val="24"/>
              </w:rPr>
              <w:t>Pentóxido de vanadio</w:t>
            </w:r>
          </w:p>
        </w:tc>
        <w:tc>
          <w:tcPr>
            <w:tcW w:w="3728" w:type="dxa"/>
            <w:shd w:val="clear" w:color="auto" w:fill="DBE4F0"/>
          </w:tcPr>
          <w:p>
            <w:pPr>
              <w:pStyle w:val="TableParagraph"/>
              <w:spacing w:line="276" w:lineRule="auto"/>
              <w:ind w:left="78" w:right="1521"/>
              <w:jc w:val="left"/>
              <w:rPr>
                <w:sz w:val="24"/>
              </w:rPr>
            </w:pPr>
            <w:r>
              <w:rPr>
                <w:sz w:val="24"/>
              </w:rPr>
              <w:t>Genotóxico, posible carcinogénico</w:t>
            </w:r>
          </w:p>
        </w:tc>
      </w:tr>
      <w:tr>
        <w:trPr>
          <w:trHeight w:val="634" w:hRule="exact"/>
        </w:trPr>
        <w:tc>
          <w:tcPr>
            <w:tcW w:w="1358" w:type="dxa"/>
          </w:tcPr>
          <w:p>
            <w:pPr>
              <w:pStyle w:val="TableParagraph"/>
              <w:spacing w:line="274" w:lineRule="exact"/>
              <w:ind w:left="69"/>
              <w:jc w:val="left"/>
              <w:rPr>
                <w:sz w:val="24"/>
              </w:rPr>
            </w:pPr>
            <w:r>
              <w:rPr>
                <w:sz w:val="24"/>
              </w:rPr>
              <w:t>Cobalto</w:t>
            </w:r>
          </w:p>
        </w:tc>
        <w:tc>
          <w:tcPr>
            <w:tcW w:w="1098" w:type="dxa"/>
          </w:tcPr>
          <w:p>
            <w:pPr>
              <w:pStyle w:val="TableParagraph"/>
              <w:spacing w:line="274" w:lineRule="exact"/>
              <w:ind w:left="439"/>
              <w:jc w:val="left"/>
              <w:rPr>
                <w:sz w:val="24"/>
              </w:rPr>
            </w:pPr>
            <w:r>
              <w:rPr>
                <w:w w:val="99"/>
                <w:sz w:val="24"/>
              </w:rPr>
              <w:t>5</w:t>
            </w:r>
          </w:p>
        </w:tc>
        <w:tc>
          <w:tcPr>
            <w:tcW w:w="1073" w:type="dxa"/>
          </w:tcPr>
          <w:p>
            <w:pPr>
              <w:pStyle w:val="TableParagraph"/>
              <w:spacing w:line="274" w:lineRule="exact"/>
              <w:ind w:left="240" w:right="150"/>
              <w:rPr>
                <w:sz w:val="24"/>
              </w:rPr>
            </w:pPr>
            <w:r>
              <w:rPr>
                <w:sz w:val="24"/>
              </w:rPr>
              <w:t>2A</w:t>
            </w:r>
          </w:p>
        </w:tc>
        <w:tc>
          <w:tcPr>
            <w:tcW w:w="1733" w:type="dxa"/>
          </w:tcPr>
          <w:p>
            <w:pPr>
              <w:pStyle w:val="TableParagraph"/>
              <w:spacing w:line="276" w:lineRule="auto"/>
              <w:ind w:left="169" w:right="476"/>
              <w:jc w:val="left"/>
              <w:rPr>
                <w:sz w:val="24"/>
              </w:rPr>
            </w:pPr>
            <w:r>
              <w:rPr>
                <w:sz w:val="24"/>
              </w:rPr>
              <w:t>cloruro de cobalto</w:t>
            </w:r>
          </w:p>
        </w:tc>
        <w:tc>
          <w:tcPr>
            <w:tcW w:w="3728" w:type="dxa"/>
          </w:tcPr>
          <w:p>
            <w:pPr>
              <w:pStyle w:val="TableParagraph"/>
              <w:spacing w:line="276" w:lineRule="auto"/>
              <w:ind w:left="78" w:right="788"/>
              <w:jc w:val="left"/>
              <w:rPr>
                <w:sz w:val="24"/>
              </w:rPr>
            </w:pPr>
            <w:r>
              <w:rPr>
                <w:sz w:val="24"/>
              </w:rPr>
              <w:t>Policitemia, por exposición repetida</w:t>
            </w:r>
          </w:p>
        </w:tc>
      </w:tr>
      <w:tr>
        <w:trPr>
          <w:trHeight w:val="1270" w:hRule="exact"/>
        </w:trPr>
        <w:tc>
          <w:tcPr>
            <w:tcW w:w="1358" w:type="dxa"/>
            <w:shd w:val="clear" w:color="auto" w:fill="DBE4F0"/>
          </w:tcPr>
          <w:p>
            <w:pPr>
              <w:pStyle w:val="TableParagraph"/>
              <w:spacing w:line="274" w:lineRule="exact"/>
              <w:ind w:left="69"/>
              <w:jc w:val="left"/>
              <w:rPr>
                <w:sz w:val="24"/>
              </w:rPr>
            </w:pPr>
            <w:r>
              <w:rPr>
                <w:sz w:val="24"/>
              </w:rPr>
              <w:t>Níquel</w:t>
            </w:r>
          </w:p>
        </w:tc>
        <w:tc>
          <w:tcPr>
            <w:tcW w:w="1098" w:type="dxa"/>
            <w:shd w:val="clear" w:color="auto" w:fill="DBE4F0"/>
          </w:tcPr>
          <w:p>
            <w:pPr>
              <w:pStyle w:val="TableParagraph"/>
              <w:spacing w:line="274" w:lineRule="exact"/>
              <w:ind w:left="372" w:right="242"/>
              <w:jc w:val="left"/>
              <w:rPr>
                <w:sz w:val="24"/>
              </w:rPr>
            </w:pPr>
            <w:r>
              <w:rPr>
                <w:sz w:val="24"/>
              </w:rPr>
              <w:t>20</w:t>
            </w:r>
          </w:p>
        </w:tc>
        <w:tc>
          <w:tcPr>
            <w:tcW w:w="1073" w:type="dxa"/>
            <w:shd w:val="clear" w:color="auto" w:fill="DBE4F0"/>
          </w:tcPr>
          <w:p>
            <w:pPr>
              <w:pStyle w:val="TableParagraph"/>
              <w:spacing w:line="274" w:lineRule="exact"/>
              <w:ind w:left="240" w:right="150"/>
              <w:rPr>
                <w:sz w:val="24"/>
              </w:rPr>
            </w:pPr>
            <w:r>
              <w:rPr>
                <w:sz w:val="24"/>
              </w:rPr>
              <w:t>2A</w:t>
            </w:r>
          </w:p>
        </w:tc>
        <w:tc>
          <w:tcPr>
            <w:tcW w:w="1733" w:type="dxa"/>
            <w:shd w:val="clear" w:color="auto" w:fill="DBE4F0"/>
          </w:tcPr>
          <w:p>
            <w:pPr>
              <w:pStyle w:val="TableParagraph"/>
              <w:spacing w:line="276" w:lineRule="auto"/>
              <w:ind w:left="169" w:right="610"/>
              <w:jc w:val="left"/>
              <w:rPr>
                <w:sz w:val="24"/>
              </w:rPr>
            </w:pPr>
            <w:r>
              <w:rPr>
                <w:sz w:val="24"/>
              </w:rPr>
              <w:t>Sales de níquel</w:t>
            </w:r>
          </w:p>
        </w:tc>
        <w:tc>
          <w:tcPr>
            <w:tcW w:w="3728" w:type="dxa"/>
            <w:shd w:val="clear" w:color="auto" w:fill="DBE4F0"/>
          </w:tcPr>
          <w:p>
            <w:pPr>
              <w:pStyle w:val="TableParagraph"/>
              <w:spacing w:line="276" w:lineRule="auto"/>
              <w:ind w:left="78" w:right="107"/>
              <w:jc w:val="left"/>
              <w:rPr>
                <w:sz w:val="24"/>
              </w:rPr>
            </w:pPr>
            <w:r>
              <w:rPr>
                <w:sz w:val="24"/>
              </w:rPr>
              <w:t>Genotóxico, dolor de estómago, depresión del peso corporal y los efectos adversos en la sangre y los riñones</w:t>
            </w:r>
          </w:p>
        </w:tc>
      </w:tr>
      <w:tr>
        <w:trPr>
          <w:trHeight w:val="586" w:hRule="exact"/>
        </w:trPr>
        <w:tc>
          <w:tcPr>
            <w:tcW w:w="1358" w:type="dxa"/>
          </w:tcPr>
          <w:p>
            <w:pPr>
              <w:pStyle w:val="TableParagraph"/>
              <w:spacing w:line="274" w:lineRule="exact"/>
              <w:ind w:left="69"/>
              <w:jc w:val="left"/>
              <w:rPr>
                <w:sz w:val="24"/>
              </w:rPr>
            </w:pPr>
            <w:r>
              <w:rPr>
                <w:sz w:val="24"/>
              </w:rPr>
              <w:t>Paladio</w:t>
            </w:r>
          </w:p>
        </w:tc>
        <w:tc>
          <w:tcPr>
            <w:tcW w:w="1098" w:type="dxa"/>
          </w:tcPr>
          <w:p>
            <w:pPr>
              <w:pStyle w:val="TableParagraph"/>
              <w:spacing w:line="274" w:lineRule="exact"/>
              <w:ind w:left="372" w:right="242"/>
              <w:jc w:val="left"/>
              <w:rPr>
                <w:sz w:val="24"/>
              </w:rPr>
            </w:pPr>
            <w:r>
              <w:rPr>
                <w:sz w:val="24"/>
              </w:rPr>
              <w:t>10</w:t>
            </w:r>
          </w:p>
        </w:tc>
        <w:tc>
          <w:tcPr>
            <w:tcW w:w="1073" w:type="dxa"/>
          </w:tcPr>
          <w:p>
            <w:pPr>
              <w:pStyle w:val="TableParagraph"/>
              <w:spacing w:line="274" w:lineRule="exact"/>
              <w:ind w:left="240" w:right="150"/>
              <w:rPr>
                <w:sz w:val="24"/>
              </w:rPr>
            </w:pPr>
            <w:r>
              <w:rPr>
                <w:sz w:val="24"/>
              </w:rPr>
              <w:t>2B</w:t>
            </w:r>
          </w:p>
        </w:tc>
        <w:tc>
          <w:tcPr>
            <w:tcW w:w="1733" w:type="dxa"/>
          </w:tcPr>
          <w:p>
            <w:pPr>
              <w:pStyle w:val="TableParagraph"/>
              <w:spacing w:line="244" w:lineRule="auto"/>
              <w:ind w:left="650" w:right="59" w:hanging="464"/>
              <w:jc w:val="left"/>
              <w:rPr>
                <w:sz w:val="16"/>
              </w:rPr>
            </w:pPr>
            <w:r>
              <w:rPr>
                <w:sz w:val="24"/>
              </w:rPr>
              <w:t>Catalizadores </w:t>
            </w:r>
            <w:r>
              <w:rPr>
                <w:position w:val="-10"/>
                <w:sz w:val="24"/>
              </w:rPr>
              <w:t>Pd </w:t>
            </w:r>
            <w:r>
              <w:rPr>
                <w:sz w:val="16"/>
              </w:rPr>
              <w:t>2+</w:t>
            </w:r>
          </w:p>
        </w:tc>
        <w:tc>
          <w:tcPr>
            <w:tcW w:w="3728" w:type="dxa"/>
          </w:tcPr>
          <w:p>
            <w:pPr>
              <w:pStyle w:val="TableParagraph"/>
              <w:spacing w:line="276" w:lineRule="auto"/>
              <w:ind w:left="78" w:right="401"/>
              <w:jc w:val="left"/>
              <w:rPr>
                <w:sz w:val="24"/>
              </w:rPr>
            </w:pPr>
            <w:r>
              <w:rPr>
                <w:sz w:val="24"/>
              </w:rPr>
              <w:t>Se acumula en el riñón y se elimina a través de la vía fecal</w:t>
            </w:r>
          </w:p>
        </w:tc>
      </w:tr>
    </w:tbl>
    <w:p>
      <w:pPr>
        <w:spacing w:before="47"/>
        <w:ind w:left="182" w:right="188" w:firstLine="0"/>
        <w:jc w:val="left"/>
        <w:rPr>
          <w:sz w:val="18"/>
        </w:rPr>
      </w:pPr>
      <w:r>
        <w:rPr>
          <w:sz w:val="18"/>
        </w:rPr>
        <w:t>Fuente: Elaboración propia con información de la guía ICH Q3D</w:t>
      </w:r>
    </w:p>
    <w:p>
      <w:pPr>
        <w:spacing w:after="0"/>
        <w:jc w:val="left"/>
        <w:rPr>
          <w:sz w:val="18"/>
        </w:rPr>
        <w:sectPr>
          <w:pgSz w:w="12240" w:h="15840"/>
          <w:pgMar w:header="0" w:footer="919" w:top="1320" w:bottom="1100" w:left="1520" w:right="1500"/>
        </w:sectPr>
      </w:pPr>
    </w:p>
    <w:p>
      <w:pPr>
        <w:pStyle w:val="BodyText"/>
        <w:spacing w:line="360" w:lineRule="auto" w:before="56"/>
        <w:ind w:left="102" w:right="118"/>
        <w:jc w:val="both"/>
      </w:pPr>
      <w:r>
        <w:rPr/>
        <w:t>En la Tabla 6.2 solo se consideraron los elementos que deben ser monitoreados de manera obligatoria debido a su toxicidad a concentraciones muy bajas. El valor de PDE (Exposición Diaria Permitida) oral se encuentra homologado tanto en las guías ICH como en la</w:t>
      </w:r>
      <w:r>
        <w:rPr>
          <w:spacing w:val="-10"/>
        </w:rPr>
        <w:t> </w:t>
      </w:r>
      <w:r>
        <w:rPr/>
        <w:t>USP</w:t>
      </w:r>
    </w:p>
    <w:p>
      <w:pPr>
        <w:pStyle w:val="BodyText"/>
      </w:pPr>
    </w:p>
    <w:p>
      <w:pPr>
        <w:pStyle w:val="BodyText"/>
        <w:spacing w:line="360" w:lineRule="auto" w:before="142"/>
        <w:ind w:left="102" w:right="117"/>
        <w:jc w:val="both"/>
      </w:pPr>
      <w:r>
        <w:rPr/>
        <w:t>Para información más detallada se puede consultar el </w:t>
      </w:r>
      <w:r>
        <w:rPr>
          <w:b/>
        </w:rPr>
        <w:t>Anexo E </w:t>
      </w:r>
      <w:r>
        <w:rPr/>
        <w:t>de información toxicológica</w:t>
      </w:r>
    </w:p>
    <w:p>
      <w:pPr>
        <w:spacing w:after="0" w:line="360" w:lineRule="auto"/>
        <w:jc w:val="both"/>
        <w:sectPr>
          <w:footerReference w:type="default" r:id="rId36"/>
          <w:pgSz w:w="12240" w:h="15840"/>
          <w:pgMar w:footer="919" w:header="0" w:top="1360" w:bottom="1100" w:left="1600" w:right="1580"/>
        </w:sectPr>
      </w:pPr>
    </w:p>
    <w:p>
      <w:pPr>
        <w:pStyle w:val="Heading2"/>
        <w:numPr>
          <w:ilvl w:val="1"/>
          <w:numId w:val="7"/>
        </w:numPr>
        <w:tabs>
          <w:tab w:pos="505" w:val="left" w:leader="none"/>
        </w:tabs>
        <w:spacing w:line="240" w:lineRule="auto" w:before="56" w:after="0"/>
        <w:ind w:left="504" w:right="0" w:hanging="402"/>
        <w:jc w:val="both"/>
        <w:rPr>
          <w:i/>
        </w:rPr>
      </w:pPr>
      <w:bookmarkStart w:name="_bookmark23" w:id="43"/>
      <w:bookmarkEnd w:id="43"/>
      <w:r>
        <w:rPr>
          <w:b w:val="0"/>
          <w:i w:val="0"/>
        </w:rPr>
      </w:r>
      <w:bookmarkStart w:name="_bookmark23" w:id="44"/>
      <w:bookmarkEnd w:id="44"/>
      <w:r>
        <w:rPr>
          <w:i/>
        </w:rPr>
        <w:t>R</w:t>
      </w:r>
      <w:r>
        <w:rPr>
          <w:i/>
        </w:rPr>
        <w:t>esultados de la validación de los métodos</w:t>
      </w:r>
      <w:r>
        <w:rPr>
          <w:i/>
          <w:spacing w:val="-19"/>
        </w:rPr>
        <w:t> </w:t>
      </w:r>
      <w:r>
        <w:rPr>
          <w:i/>
        </w:rPr>
        <w:t>analíticos</w:t>
      </w:r>
    </w:p>
    <w:p>
      <w:pPr>
        <w:pStyle w:val="BodyText"/>
        <w:rPr>
          <w:b/>
          <w:i/>
        </w:rPr>
      </w:pPr>
    </w:p>
    <w:p>
      <w:pPr>
        <w:pStyle w:val="BodyText"/>
        <w:spacing w:line="360" w:lineRule="auto" w:before="180"/>
        <w:ind w:left="102" w:right="114"/>
        <w:jc w:val="both"/>
      </w:pPr>
      <w:r>
        <w:rPr/>
        <w:t>Se elaboraron los protocolos de validación para los métodos analíticos generales para la determinación de impurezas elementales clase 1, clase 2A y Pd por ICP- MS, los cuales cuentan con un código interno asignado.</w:t>
      </w:r>
    </w:p>
    <w:p>
      <w:pPr>
        <w:pStyle w:val="BodyText"/>
      </w:pPr>
    </w:p>
    <w:p>
      <w:pPr>
        <w:pStyle w:val="BodyText"/>
        <w:spacing w:line="360" w:lineRule="auto" w:before="139"/>
        <w:ind w:left="102" w:right="116"/>
        <w:jc w:val="both"/>
      </w:pPr>
      <w:r>
        <w:rPr/>
        <w:t>Estos documentos cuentan el objetivo y diseño de la validación en la cual se describe el método analítico, los estándares a utilizar, la muestra, tipo de validación a realizar, descripción de los parámetros a evaluar y la descripción de cómo realizar las pruebas tales como, idoneidad del sistema, robustez, estabilidad de las soluciones (estándar y muestra), linealidad, límite de cuantificación, límite  de detección, exactitud, precisión y rango. Incluyen también los criterios de aceptación. Previamente descritos en el apartado de validación 2.2.4.1. ICH Q2 Validación</w:t>
      </w:r>
      <w:r>
        <w:rPr>
          <w:spacing w:val="-9"/>
        </w:rPr>
        <w:t> </w:t>
      </w:r>
      <w:r>
        <w:rPr/>
        <w:t>Analítica</w:t>
      </w:r>
    </w:p>
    <w:p>
      <w:pPr>
        <w:pStyle w:val="BodyText"/>
      </w:pPr>
    </w:p>
    <w:p>
      <w:pPr>
        <w:pStyle w:val="BodyText"/>
        <w:spacing w:line="360" w:lineRule="auto" w:before="142"/>
        <w:ind w:left="102" w:right="114"/>
        <w:jc w:val="both"/>
      </w:pPr>
      <w:r>
        <w:rPr/>
        <w:t>Se hizo la validación de los métodos analíticos conforme a lo establecido en los protocolos de validación, se ejecutaron las pruebas tal como se describen utilizando una muestra representativa de planta productiva, que se encuentra aprobada y cuenta con su certificado analítico. Se llevaron a cabo pruebas de idoneidad del sistema, estabilidad de las soluciones, linealidad, límite de cuantificación, límite de detección, exactitud, precisión, rango y robustez. Los resultados se encuentran agrupados por grupo de impurezas y se resumen en las Tablas 6.3, 6.4 y 6.5</w:t>
      </w:r>
    </w:p>
    <w:p>
      <w:pPr>
        <w:pStyle w:val="BodyText"/>
      </w:pPr>
    </w:p>
    <w:p>
      <w:pPr>
        <w:pStyle w:val="BodyText"/>
        <w:spacing w:line="360" w:lineRule="auto" w:before="142"/>
        <w:ind w:left="102" w:right="116"/>
        <w:jc w:val="both"/>
      </w:pPr>
      <w:r>
        <w:rPr/>
        <w:t>Los resultados fueron descritos en un reporte de validación asignado con un código interno. El detalle de los resultados obtenidos se puede encontrar en los </w:t>
      </w:r>
      <w:r>
        <w:rPr>
          <w:b/>
        </w:rPr>
        <w:t>Anexos B, C y D </w:t>
      </w:r>
      <w:r>
        <w:rPr/>
        <w:t>de este</w:t>
      </w:r>
      <w:r>
        <w:rPr>
          <w:spacing w:val="-10"/>
        </w:rPr>
        <w:t> </w:t>
      </w:r>
      <w:r>
        <w:rPr/>
        <w:t>documento</w:t>
      </w:r>
    </w:p>
    <w:p>
      <w:pPr>
        <w:pStyle w:val="BodyText"/>
      </w:pPr>
    </w:p>
    <w:p>
      <w:pPr>
        <w:pStyle w:val="BodyText"/>
        <w:spacing w:line="360" w:lineRule="auto" w:before="142"/>
        <w:ind w:left="102" w:right="118"/>
        <w:jc w:val="both"/>
      </w:pPr>
      <w:r>
        <w:rPr/>
        <w:t>Los resultados demuestran que los productos cumplen con el atributo de calidad establecido para el contenido de impurezas elementales a los niveles establecidos</w:t>
      </w:r>
    </w:p>
    <w:p>
      <w:pPr>
        <w:spacing w:after="0" w:line="360" w:lineRule="auto"/>
        <w:jc w:val="both"/>
        <w:sectPr>
          <w:footerReference w:type="default" r:id="rId37"/>
          <w:pgSz w:w="12240" w:h="15840"/>
          <w:pgMar w:footer="919" w:header="0" w:top="1360" w:bottom="1100" w:left="1600" w:right="1580"/>
          <w:pgNumType w:start="31"/>
        </w:sectPr>
      </w:pPr>
    </w:p>
    <w:p>
      <w:pPr>
        <w:pStyle w:val="BodyText"/>
        <w:spacing w:line="360" w:lineRule="auto" w:before="56"/>
        <w:ind w:left="142"/>
      </w:pPr>
      <w:r>
        <w:rPr/>
        <w:t>por las guías ICH para las diferentes impurezas monitoreadas como se puede observar en las Tablas 6.3, 6.4 y 6.5.</w:t>
      </w:r>
    </w:p>
    <w:p>
      <w:pPr>
        <w:pStyle w:val="BodyText"/>
      </w:pPr>
    </w:p>
    <w:p>
      <w:pPr>
        <w:pStyle w:val="BodyText"/>
        <w:spacing w:line="278" w:lineRule="auto" w:before="142"/>
        <w:ind w:left="142"/>
      </w:pPr>
      <w:r>
        <w:rPr/>
        <w:t>Tabla 6.3. Resultados obtenidos en la validación del método para la determinación de Impurezas Elementales clase 1</w:t>
      </w:r>
    </w:p>
    <w:p>
      <w:pPr>
        <w:pStyle w:val="BodyText"/>
        <w:spacing w:before="6"/>
        <w:rPr>
          <w:sz w:val="10"/>
        </w:rPr>
      </w:pPr>
    </w:p>
    <w:tbl>
      <w:tblPr>
        <w:tblW w:w="0" w:type="auto"/>
        <w:jc w:val="left"/>
        <w:tblInd w:w="101"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CellMar>
          <w:top w:w="0" w:type="dxa"/>
          <w:left w:w="0" w:type="dxa"/>
          <w:bottom w:w="0" w:type="dxa"/>
          <w:right w:w="0" w:type="dxa"/>
        </w:tblCellMar>
        <w:tblLook w:val="01E0"/>
      </w:tblPr>
      <w:tblGrid>
        <w:gridCol w:w="4040"/>
        <w:gridCol w:w="1212"/>
        <w:gridCol w:w="1213"/>
        <w:gridCol w:w="1214"/>
        <w:gridCol w:w="1212"/>
      </w:tblGrid>
      <w:tr>
        <w:trPr>
          <w:trHeight w:val="407" w:hRule="exact"/>
        </w:trPr>
        <w:tc>
          <w:tcPr>
            <w:tcW w:w="4040" w:type="dxa"/>
            <w:shd w:val="clear" w:color="auto" w:fill="D9D9D9"/>
          </w:tcPr>
          <w:p>
            <w:pPr>
              <w:pStyle w:val="TableParagraph"/>
              <w:spacing w:before="59"/>
              <w:ind w:left="1391" w:right="1391"/>
              <w:rPr>
                <w:b/>
                <w:sz w:val="24"/>
              </w:rPr>
            </w:pPr>
            <w:r>
              <w:rPr>
                <w:b/>
                <w:sz w:val="24"/>
              </w:rPr>
              <w:t>Parámetro</w:t>
            </w:r>
          </w:p>
        </w:tc>
        <w:tc>
          <w:tcPr>
            <w:tcW w:w="1212" w:type="dxa"/>
            <w:shd w:val="clear" w:color="auto" w:fill="D9D9D9"/>
          </w:tcPr>
          <w:p>
            <w:pPr>
              <w:pStyle w:val="TableParagraph"/>
              <w:spacing w:before="59"/>
              <w:ind w:left="193" w:right="204"/>
              <w:rPr>
                <w:b/>
                <w:sz w:val="24"/>
              </w:rPr>
            </w:pPr>
            <w:r>
              <w:rPr>
                <w:b/>
                <w:sz w:val="24"/>
              </w:rPr>
              <w:t>As</w:t>
            </w:r>
          </w:p>
        </w:tc>
        <w:tc>
          <w:tcPr>
            <w:tcW w:w="1213" w:type="dxa"/>
            <w:shd w:val="clear" w:color="auto" w:fill="D9D9D9"/>
          </w:tcPr>
          <w:p>
            <w:pPr>
              <w:pStyle w:val="TableParagraph"/>
              <w:spacing w:before="59"/>
              <w:ind w:left="204" w:right="204"/>
              <w:rPr>
                <w:b/>
                <w:sz w:val="24"/>
              </w:rPr>
            </w:pPr>
            <w:r>
              <w:rPr>
                <w:b/>
                <w:sz w:val="24"/>
              </w:rPr>
              <w:t>Cd</w:t>
            </w:r>
          </w:p>
        </w:tc>
        <w:tc>
          <w:tcPr>
            <w:tcW w:w="1214" w:type="dxa"/>
            <w:shd w:val="clear" w:color="auto" w:fill="D9D9D9"/>
          </w:tcPr>
          <w:p>
            <w:pPr>
              <w:pStyle w:val="TableParagraph"/>
              <w:spacing w:before="59"/>
              <w:ind w:left="204" w:right="204"/>
              <w:rPr>
                <w:b/>
                <w:sz w:val="24"/>
              </w:rPr>
            </w:pPr>
            <w:r>
              <w:rPr>
                <w:b/>
                <w:sz w:val="24"/>
              </w:rPr>
              <w:t>Hg</w:t>
            </w:r>
          </w:p>
        </w:tc>
        <w:tc>
          <w:tcPr>
            <w:tcW w:w="1212" w:type="dxa"/>
            <w:shd w:val="clear" w:color="auto" w:fill="D9D9D9"/>
          </w:tcPr>
          <w:p>
            <w:pPr>
              <w:pStyle w:val="TableParagraph"/>
              <w:spacing w:before="59"/>
              <w:ind w:left="203" w:right="204"/>
              <w:rPr>
                <w:b/>
                <w:sz w:val="24"/>
              </w:rPr>
            </w:pPr>
            <w:r>
              <w:rPr>
                <w:b/>
                <w:sz w:val="24"/>
              </w:rPr>
              <w:t>Pb</w:t>
            </w:r>
          </w:p>
        </w:tc>
      </w:tr>
      <w:tr>
        <w:trPr>
          <w:trHeight w:val="1097" w:hRule="exact"/>
        </w:trPr>
        <w:tc>
          <w:tcPr>
            <w:tcW w:w="4040" w:type="dxa"/>
            <w:tcBorders>
              <w:bottom w:val="single" w:sz="8" w:space="0" w:color="000000"/>
            </w:tcBorders>
          </w:tcPr>
          <w:p>
            <w:pPr>
              <w:pStyle w:val="TableParagraph"/>
              <w:spacing w:line="278" w:lineRule="auto" w:before="58"/>
              <w:ind w:left="55" w:right="-1"/>
              <w:jc w:val="left"/>
              <w:rPr>
                <w:sz w:val="24"/>
              </w:rPr>
            </w:pPr>
            <w:r>
              <w:rPr>
                <w:sz w:val="24"/>
              </w:rPr>
              <w:t>Estabilidad de la solución estándar de trabajo</w:t>
            </w:r>
          </w:p>
          <w:p>
            <w:pPr>
              <w:pStyle w:val="TableParagraph"/>
              <w:spacing w:before="59"/>
              <w:ind w:left="122" w:right="-1"/>
              <w:jc w:val="left"/>
              <w:rPr>
                <w:sz w:val="24"/>
              </w:rPr>
            </w:pPr>
            <w:r>
              <w:rPr>
                <w:position w:val="3"/>
                <w:sz w:val="24"/>
              </w:rPr>
              <w:t>(%Recobro </w:t>
            </w:r>
            <w:r>
              <w:rPr>
                <w:sz w:val="16"/>
              </w:rPr>
              <w:t>93 horas/ temperatura ambiente</w:t>
            </w:r>
            <w:r>
              <w:rPr>
                <w:position w:val="3"/>
                <w:sz w:val="24"/>
              </w:rPr>
              <w:t>)</w:t>
            </w:r>
          </w:p>
        </w:tc>
        <w:tc>
          <w:tcPr>
            <w:tcW w:w="1212" w:type="dxa"/>
            <w:tcBorders>
              <w:bottom w:val="single" w:sz="8" w:space="0" w:color="000000"/>
            </w:tcBorders>
          </w:tcPr>
          <w:p>
            <w:pPr>
              <w:pStyle w:val="TableParagraph"/>
              <w:spacing w:before="3"/>
              <w:jc w:val="left"/>
              <w:rPr>
                <w:sz w:val="35"/>
              </w:rPr>
            </w:pPr>
          </w:p>
          <w:p>
            <w:pPr>
              <w:pStyle w:val="TableParagraph"/>
              <w:ind w:left="204" w:right="202"/>
              <w:rPr>
                <w:sz w:val="24"/>
              </w:rPr>
            </w:pPr>
            <w:r>
              <w:rPr>
                <w:sz w:val="24"/>
              </w:rPr>
              <w:t>100</w:t>
            </w:r>
          </w:p>
        </w:tc>
        <w:tc>
          <w:tcPr>
            <w:tcW w:w="1213" w:type="dxa"/>
            <w:tcBorders>
              <w:bottom w:val="single" w:sz="8" w:space="0" w:color="000000"/>
            </w:tcBorders>
          </w:tcPr>
          <w:p>
            <w:pPr>
              <w:pStyle w:val="TableParagraph"/>
              <w:spacing w:before="3"/>
              <w:jc w:val="left"/>
              <w:rPr>
                <w:sz w:val="35"/>
              </w:rPr>
            </w:pPr>
          </w:p>
          <w:p>
            <w:pPr>
              <w:pStyle w:val="TableParagraph"/>
              <w:ind w:left="204" w:right="203"/>
              <w:rPr>
                <w:sz w:val="24"/>
              </w:rPr>
            </w:pPr>
            <w:r>
              <w:rPr>
                <w:sz w:val="24"/>
              </w:rPr>
              <w:t>99</w:t>
            </w:r>
          </w:p>
        </w:tc>
        <w:tc>
          <w:tcPr>
            <w:tcW w:w="1214" w:type="dxa"/>
            <w:tcBorders>
              <w:bottom w:val="single" w:sz="8" w:space="0" w:color="000000"/>
            </w:tcBorders>
          </w:tcPr>
          <w:p>
            <w:pPr>
              <w:pStyle w:val="TableParagraph"/>
              <w:spacing w:before="3"/>
              <w:jc w:val="left"/>
              <w:rPr>
                <w:sz w:val="35"/>
              </w:rPr>
            </w:pPr>
          </w:p>
          <w:p>
            <w:pPr>
              <w:pStyle w:val="TableParagraph"/>
              <w:ind w:left="204" w:right="204"/>
              <w:rPr>
                <w:sz w:val="24"/>
              </w:rPr>
            </w:pPr>
            <w:r>
              <w:rPr>
                <w:sz w:val="24"/>
              </w:rPr>
              <w:t>96</w:t>
            </w:r>
          </w:p>
        </w:tc>
        <w:tc>
          <w:tcPr>
            <w:tcW w:w="1212" w:type="dxa"/>
            <w:tcBorders>
              <w:bottom w:val="single" w:sz="8" w:space="0" w:color="000000"/>
            </w:tcBorders>
          </w:tcPr>
          <w:p>
            <w:pPr>
              <w:pStyle w:val="TableParagraph"/>
              <w:spacing w:before="3"/>
              <w:jc w:val="left"/>
              <w:rPr>
                <w:sz w:val="35"/>
              </w:rPr>
            </w:pPr>
          </w:p>
          <w:p>
            <w:pPr>
              <w:pStyle w:val="TableParagraph"/>
              <w:ind w:left="204" w:right="202"/>
              <w:rPr>
                <w:sz w:val="24"/>
              </w:rPr>
            </w:pPr>
            <w:r>
              <w:rPr>
                <w:sz w:val="24"/>
              </w:rPr>
              <w:t>97</w:t>
            </w:r>
          </w:p>
        </w:tc>
      </w:tr>
      <w:tr>
        <w:trPr>
          <w:trHeight w:val="1033" w:hRule="exact"/>
        </w:trPr>
        <w:tc>
          <w:tcPr>
            <w:tcW w:w="4040" w:type="dxa"/>
            <w:tcBorders>
              <w:top w:val="single" w:sz="8" w:space="0" w:color="000000"/>
              <w:bottom w:val="single" w:sz="8" w:space="0" w:color="000000"/>
            </w:tcBorders>
          </w:tcPr>
          <w:p>
            <w:pPr>
              <w:pStyle w:val="TableParagraph"/>
              <w:spacing w:line="331" w:lineRule="auto" w:before="58"/>
              <w:ind w:left="55" w:right="-1"/>
              <w:jc w:val="left"/>
              <w:rPr>
                <w:sz w:val="24"/>
              </w:rPr>
            </w:pPr>
            <w:r>
              <w:rPr>
                <w:sz w:val="24"/>
              </w:rPr>
              <w:t>Estabilidad de la solución muestra </w:t>
            </w:r>
            <w:r>
              <w:rPr>
                <w:position w:val="3"/>
                <w:sz w:val="24"/>
              </w:rPr>
              <w:t>(%Recobro </w:t>
            </w:r>
            <w:r>
              <w:rPr>
                <w:sz w:val="16"/>
              </w:rPr>
              <w:t>22 horas/ temperatura ambiente</w:t>
            </w:r>
            <w:r>
              <w:rPr>
                <w:position w:val="3"/>
                <w:sz w:val="24"/>
              </w:rPr>
              <w:t>)</w:t>
            </w:r>
          </w:p>
        </w:tc>
        <w:tc>
          <w:tcPr>
            <w:tcW w:w="4852" w:type="dxa"/>
            <w:gridSpan w:val="4"/>
            <w:tcBorders>
              <w:top w:val="single" w:sz="8" w:space="0" w:color="000000"/>
              <w:bottom w:val="single" w:sz="8" w:space="0" w:color="000000"/>
            </w:tcBorders>
          </w:tcPr>
          <w:p>
            <w:pPr>
              <w:pStyle w:val="TableParagraph"/>
              <w:spacing w:line="276" w:lineRule="auto" w:before="58"/>
              <w:ind w:left="55" w:right="55" w:hanging="3"/>
              <w:rPr>
                <w:sz w:val="24"/>
              </w:rPr>
            </w:pPr>
            <w:r>
              <w:rPr>
                <w:sz w:val="24"/>
              </w:rPr>
              <w:t>La respuesta de As, Cd, Hg y Pb no incrementa ni disminuye por arriba del límite de cuantificación</w:t>
            </w:r>
          </w:p>
        </w:tc>
      </w:tr>
      <w:tr>
        <w:trPr>
          <w:trHeight w:val="398" w:hRule="exact"/>
        </w:trPr>
        <w:tc>
          <w:tcPr>
            <w:tcW w:w="4040" w:type="dxa"/>
            <w:tcBorders>
              <w:top w:val="single" w:sz="8" w:space="0" w:color="000000"/>
              <w:bottom w:val="single" w:sz="8" w:space="0" w:color="000000"/>
            </w:tcBorders>
          </w:tcPr>
          <w:p>
            <w:pPr>
              <w:pStyle w:val="TableParagraph"/>
              <w:spacing w:before="25"/>
              <w:ind w:left="55" w:right="-1"/>
              <w:jc w:val="left"/>
              <w:rPr>
                <w:sz w:val="24"/>
              </w:rPr>
            </w:pPr>
            <w:r>
              <w:rPr>
                <w:sz w:val="24"/>
              </w:rPr>
              <w:t>Linealidad (r</w:t>
            </w:r>
            <w:r>
              <w:rPr>
                <w:position w:val="11"/>
                <w:sz w:val="16"/>
              </w:rPr>
              <w:t>2</w:t>
            </w:r>
            <w:r>
              <w:rPr>
                <w:sz w:val="24"/>
              </w:rPr>
              <w:t>)</w:t>
            </w:r>
          </w:p>
        </w:tc>
        <w:tc>
          <w:tcPr>
            <w:tcW w:w="1212" w:type="dxa"/>
            <w:tcBorders>
              <w:top w:val="single" w:sz="8" w:space="0" w:color="000000"/>
              <w:bottom w:val="single" w:sz="8" w:space="0" w:color="000000"/>
            </w:tcBorders>
          </w:tcPr>
          <w:p>
            <w:pPr>
              <w:pStyle w:val="TableParagraph"/>
              <w:spacing w:before="60"/>
              <w:ind w:left="204" w:right="203"/>
              <w:rPr>
                <w:sz w:val="24"/>
              </w:rPr>
            </w:pPr>
            <w:r>
              <w:rPr>
                <w:sz w:val="24"/>
              </w:rPr>
              <w:t>1.00</w:t>
            </w:r>
          </w:p>
        </w:tc>
        <w:tc>
          <w:tcPr>
            <w:tcW w:w="1213" w:type="dxa"/>
            <w:tcBorders>
              <w:top w:val="single" w:sz="8" w:space="0" w:color="000000"/>
              <w:bottom w:val="single" w:sz="8" w:space="0" w:color="000000"/>
            </w:tcBorders>
          </w:tcPr>
          <w:p>
            <w:pPr>
              <w:pStyle w:val="TableParagraph"/>
              <w:spacing w:before="60"/>
              <w:ind w:left="204" w:right="204"/>
              <w:rPr>
                <w:sz w:val="24"/>
              </w:rPr>
            </w:pPr>
            <w:r>
              <w:rPr>
                <w:sz w:val="24"/>
              </w:rPr>
              <w:t>1.00</w:t>
            </w:r>
          </w:p>
        </w:tc>
        <w:tc>
          <w:tcPr>
            <w:tcW w:w="1214" w:type="dxa"/>
            <w:tcBorders>
              <w:top w:val="single" w:sz="8" w:space="0" w:color="000000"/>
              <w:bottom w:val="single" w:sz="8" w:space="0" w:color="000000"/>
            </w:tcBorders>
          </w:tcPr>
          <w:p>
            <w:pPr>
              <w:pStyle w:val="TableParagraph"/>
              <w:spacing w:before="60"/>
              <w:ind w:left="204" w:right="205"/>
              <w:rPr>
                <w:sz w:val="24"/>
              </w:rPr>
            </w:pPr>
            <w:r>
              <w:rPr>
                <w:sz w:val="24"/>
              </w:rPr>
              <w:t>1.00</w:t>
            </w:r>
          </w:p>
        </w:tc>
        <w:tc>
          <w:tcPr>
            <w:tcW w:w="1212" w:type="dxa"/>
            <w:tcBorders>
              <w:top w:val="single" w:sz="8" w:space="0" w:color="000000"/>
              <w:bottom w:val="single" w:sz="8" w:space="0" w:color="000000"/>
            </w:tcBorders>
          </w:tcPr>
          <w:p>
            <w:pPr>
              <w:pStyle w:val="TableParagraph"/>
              <w:spacing w:before="60"/>
              <w:ind w:left="204" w:right="204"/>
              <w:rPr>
                <w:sz w:val="24"/>
              </w:rPr>
            </w:pPr>
            <w:r>
              <w:rPr>
                <w:sz w:val="24"/>
              </w:rPr>
              <w:t>1.00</w:t>
            </w:r>
          </w:p>
        </w:tc>
      </w:tr>
      <w:tr>
        <w:trPr>
          <w:trHeight w:val="1529" w:hRule="exact"/>
        </w:trPr>
        <w:tc>
          <w:tcPr>
            <w:tcW w:w="4040" w:type="dxa"/>
            <w:tcBorders>
              <w:top w:val="single" w:sz="8" w:space="0" w:color="000000"/>
              <w:bottom w:val="single" w:sz="8" w:space="0" w:color="000000"/>
            </w:tcBorders>
          </w:tcPr>
          <w:p>
            <w:pPr>
              <w:pStyle w:val="TableParagraph"/>
              <w:spacing w:before="58"/>
              <w:ind w:left="55" w:right="-1"/>
              <w:jc w:val="left"/>
              <w:rPr>
                <w:sz w:val="24"/>
              </w:rPr>
            </w:pPr>
            <w:r>
              <w:rPr>
                <w:sz w:val="24"/>
              </w:rPr>
              <w:t>Límite de Cuantificación</w:t>
            </w:r>
          </w:p>
          <w:p>
            <w:pPr>
              <w:pStyle w:val="TableParagraph"/>
              <w:spacing w:before="100"/>
              <w:ind w:left="55" w:right="-1"/>
              <w:jc w:val="left"/>
              <w:rPr>
                <w:sz w:val="22"/>
              </w:rPr>
            </w:pPr>
            <w:r>
              <w:rPr>
                <w:sz w:val="22"/>
              </w:rPr>
              <w:t>Concentración en µg/L</w:t>
            </w:r>
          </w:p>
          <w:p>
            <w:pPr>
              <w:pStyle w:val="TableParagraph"/>
              <w:spacing w:before="100"/>
              <w:ind w:left="55" w:right="-1"/>
              <w:jc w:val="left"/>
              <w:rPr>
                <w:sz w:val="22"/>
              </w:rPr>
            </w:pPr>
            <w:r>
              <w:rPr>
                <w:sz w:val="22"/>
              </w:rPr>
              <w:t>ppm de la concentración de la muestra</w:t>
            </w:r>
          </w:p>
          <w:p>
            <w:pPr>
              <w:pStyle w:val="TableParagraph"/>
              <w:spacing w:before="72"/>
              <w:ind w:left="55" w:right="-1"/>
              <w:jc w:val="left"/>
              <w:rPr>
                <w:sz w:val="14"/>
              </w:rPr>
            </w:pPr>
            <w:r>
              <w:rPr>
                <w:sz w:val="22"/>
              </w:rPr>
              <w:t>%DER de la respuesta </w:t>
            </w:r>
            <w:r>
              <w:rPr>
                <w:position w:val="10"/>
                <w:sz w:val="14"/>
              </w:rPr>
              <w:t>1</w:t>
            </w:r>
          </w:p>
        </w:tc>
        <w:tc>
          <w:tcPr>
            <w:tcW w:w="1212" w:type="dxa"/>
            <w:tcBorders>
              <w:top w:val="single" w:sz="8" w:space="0" w:color="000000"/>
              <w:bottom w:val="single" w:sz="8" w:space="0" w:color="000000"/>
            </w:tcBorders>
          </w:tcPr>
          <w:p>
            <w:pPr>
              <w:pStyle w:val="TableParagraph"/>
              <w:jc w:val="left"/>
              <w:rPr>
                <w:sz w:val="24"/>
              </w:rPr>
            </w:pPr>
          </w:p>
          <w:p>
            <w:pPr>
              <w:pStyle w:val="TableParagraph"/>
              <w:spacing w:before="159"/>
              <w:ind w:left="204" w:right="203"/>
              <w:rPr>
                <w:sz w:val="24"/>
              </w:rPr>
            </w:pPr>
            <w:r>
              <w:rPr>
                <w:sz w:val="24"/>
              </w:rPr>
              <w:t>1.5</w:t>
            </w:r>
          </w:p>
          <w:p>
            <w:pPr>
              <w:pStyle w:val="TableParagraph"/>
              <w:spacing w:before="103"/>
              <w:ind w:left="203" w:right="204"/>
              <w:rPr>
                <w:sz w:val="24"/>
              </w:rPr>
            </w:pPr>
            <w:r>
              <w:rPr>
                <w:sz w:val="24"/>
              </w:rPr>
              <w:t>0.375</w:t>
            </w:r>
          </w:p>
          <w:p>
            <w:pPr>
              <w:pStyle w:val="TableParagraph"/>
              <w:spacing w:before="101"/>
              <w:rPr>
                <w:sz w:val="24"/>
              </w:rPr>
            </w:pPr>
            <w:r>
              <w:rPr>
                <w:w w:val="99"/>
                <w:sz w:val="24"/>
              </w:rPr>
              <w:t>2</w:t>
            </w:r>
          </w:p>
        </w:tc>
        <w:tc>
          <w:tcPr>
            <w:tcW w:w="1213" w:type="dxa"/>
            <w:tcBorders>
              <w:top w:val="single" w:sz="8" w:space="0" w:color="000000"/>
              <w:bottom w:val="single" w:sz="8" w:space="0" w:color="000000"/>
            </w:tcBorders>
          </w:tcPr>
          <w:p>
            <w:pPr>
              <w:pStyle w:val="TableParagraph"/>
              <w:jc w:val="left"/>
              <w:rPr>
                <w:sz w:val="24"/>
              </w:rPr>
            </w:pPr>
          </w:p>
          <w:p>
            <w:pPr>
              <w:pStyle w:val="TableParagraph"/>
              <w:spacing w:before="159"/>
              <w:ind w:left="204" w:right="204"/>
              <w:rPr>
                <w:sz w:val="24"/>
              </w:rPr>
            </w:pPr>
            <w:r>
              <w:rPr>
                <w:sz w:val="24"/>
              </w:rPr>
              <w:t>0.5</w:t>
            </w:r>
          </w:p>
          <w:p>
            <w:pPr>
              <w:pStyle w:val="TableParagraph"/>
              <w:spacing w:before="103"/>
              <w:ind w:left="204" w:right="204"/>
              <w:rPr>
                <w:sz w:val="24"/>
              </w:rPr>
            </w:pPr>
            <w:r>
              <w:rPr>
                <w:sz w:val="24"/>
              </w:rPr>
              <w:t>0.125</w:t>
            </w:r>
          </w:p>
          <w:p>
            <w:pPr>
              <w:pStyle w:val="TableParagraph"/>
              <w:spacing w:before="101"/>
              <w:ind w:right="1"/>
              <w:rPr>
                <w:sz w:val="24"/>
              </w:rPr>
            </w:pPr>
            <w:r>
              <w:rPr>
                <w:w w:val="99"/>
                <w:sz w:val="24"/>
              </w:rPr>
              <w:t>3</w:t>
            </w:r>
          </w:p>
        </w:tc>
        <w:tc>
          <w:tcPr>
            <w:tcW w:w="1214" w:type="dxa"/>
            <w:tcBorders>
              <w:top w:val="single" w:sz="8" w:space="0" w:color="000000"/>
              <w:bottom w:val="single" w:sz="8" w:space="0" w:color="000000"/>
            </w:tcBorders>
          </w:tcPr>
          <w:p>
            <w:pPr>
              <w:pStyle w:val="TableParagraph"/>
              <w:jc w:val="left"/>
              <w:rPr>
                <w:sz w:val="24"/>
              </w:rPr>
            </w:pPr>
          </w:p>
          <w:p>
            <w:pPr>
              <w:pStyle w:val="TableParagraph"/>
              <w:spacing w:before="159"/>
              <w:ind w:left="204" w:right="205"/>
              <w:rPr>
                <w:sz w:val="24"/>
              </w:rPr>
            </w:pPr>
            <w:r>
              <w:rPr>
                <w:sz w:val="24"/>
              </w:rPr>
              <w:t>3.0</w:t>
            </w:r>
          </w:p>
          <w:p>
            <w:pPr>
              <w:pStyle w:val="TableParagraph"/>
              <w:spacing w:before="103"/>
              <w:ind w:left="204" w:right="205"/>
              <w:rPr>
                <w:sz w:val="24"/>
              </w:rPr>
            </w:pPr>
            <w:r>
              <w:rPr>
                <w:sz w:val="24"/>
              </w:rPr>
              <w:t>0.750</w:t>
            </w:r>
          </w:p>
          <w:p>
            <w:pPr>
              <w:pStyle w:val="TableParagraph"/>
              <w:spacing w:before="101"/>
              <w:ind w:right="3"/>
              <w:rPr>
                <w:sz w:val="24"/>
              </w:rPr>
            </w:pPr>
            <w:r>
              <w:rPr>
                <w:w w:val="99"/>
                <w:sz w:val="24"/>
              </w:rPr>
              <w:t>0</w:t>
            </w:r>
          </w:p>
        </w:tc>
        <w:tc>
          <w:tcPr>
            <w:tcW w:w="1212" w:type="dxa"/>
            <w:tcBorders>
              <w:top w:val="single" w:sz="8" w:space="0" w:color="000000"/>
              <w:bottom w:val="single" w:sz="8" w:space="0" w:color="000000"/>
            </w:tcBorders>
          </w:tcPr>
          <w:p>
            <w:pPr>
              <w:pStyle w:val="TableParagraph"/>
              <w:jc w:val="left"/>
              <w:rPr>
                <w:sz w:val="24"/>
              </w:rPr>
            </w:pPr>
          </w:p>
          <w:p>
            <w:pPr>
              <w:pStyle w:val="TableParagraph"/>
              <w:spacing w:before="159"/>
              <w:ind w:left="204" w:right="204"/>
              <w:rPr>
                <w:sz w:val="24"/>
              </w:rPr>
            </w:pPr>
            <w:r>
              <w:rPr>
                <w:sz w:val="24"/>
              </w:rPr>
              <w:t>1.0</w:t>
            </w:r>
          </w:p>
          <w:p>
            <w:pPr>
              <w:pStyle w:val="TableParagraph"/>
              <w:spacing w:before="103"/>
              <w:ind w:left="203" w:right="204"/>
              <w:rPr>
                <w:sz w:val="24"/>
              </w:rPr>
            </w:pPr>
            <w:r>
              <w:rPr>
                <w:sz w:val="24"/>
              </w:rPr>
              <w:t>0.250</w:t>
            </w:r>
          </w:p>
          <w:p>
            <w:pPr>
              <w:pStyle w:val="TableParagraph"/>
              <w:spacing w:before="101"/>
              <w:ind w:right="1"/>
              <w:rPr>
                <w:sz w:val="24"/>
              </w:rPr>
            </w:pPr>
            <w:r>
              <w:rPr>
                <w:w w:val="99"/>
                <w:sz w:val="24"/>
              </w:rPr>
              <w:t>1</w:t>
            </w:r>
          </w:p>
        </w:tc>
      </w:tr>
      <w:tr>
        <w:trPr>
          <w:trHeight w:val="1152" w:hRule="exact"/>
        </w:trPr>
        <w:tc>
          <w:tcPr>
            <w:tcW w:w="4040" w:type="dxa"/>
            <w:tcBorders>
              <w:top w:val="single" w:sz="8" w:space="0" w:color="000000"/>
              <w:bottom w:val="single" w:sz="8" w:space="0" w:color="000000"/>
            </w:tcBorders>
          </w:tcPr>
          <w:p>
            <w:pPr>
              <w:pStyle w:val="TableParagraph"/>
              <w:spacing w:before="58"/>
              <w:ind w:left="55" w:right="-1"/>
              <w:jc w:val="left"/>
              <w:rPr>
                <w:sz w:val="24"/>
              </w:rPr>
            </w:pPr>
            <w:r>
              <w:rPr>
                <w:sz w:val="24"/>
              </w:rPr>
              <w:t>Límite de Detección</w:t>
            </w:r>
          </w:p>
          <w:p>
            <w:pPr>
              <w:pStyle w:val="TableParagraph"/>
              <w:spacing w:before="103"/>
              <w:ind w:left="55" w:right="-1"/>
              <w:jc w:val="left"/>
              <w:rPr>
                <w:sz w:val="22"/>
              </w:rPr>
            </w:pPr>
            <w:r>
              <w:rPr>
                <w:sz w:val="22"/>
              </w:rPr>
              <w:t>Concentración en µg/L</w:t>
            </w:r>
          </w:p>
          <w:p>
            <w:pPr>
              <w:pStyle w:val="TableParagraph"/>
              <w:spacing w:before="97"/>
              <w:ind w:left="55" w:right="-1"/>
              <w:jc w:val="left"/>
              <w:rPr>
                <w:sz w:val="22"/>
              </w:rPr>
            </w:pPr>
            <w:r>
              <w:rPr>
                <w:sz w:val="22"/>
              </w:rPr>
              <w:t>ppm de la concentración de la muestra</w:t>
            </w:r>
          </w:p>
        </w:tc>
        <w:tc>
          <w:tcPr>
            <w:tcW w:w="1212" w:type="dxa"/>
            <w:tcBorders>
              <w:top w:val="single" w:sz="8" w:space="0" w:color="000000"/>
              <w:bottom w:val="single" w:sz="8" w:space="0" w:color="000000"/>
            </w:tcBorders>
          </w:tcPr>
          <w:p>
            <w:pPr>
              <w:pStyle w:val="TableParagraph"/>
              <w:jc w:val="left"/>
              <w:rPr>
                <w:sz w:val="24"/>
              </w:rPr>
            </w:pPr>
          </w:p>
          <w:p>
            <w:pPr>
              <w:pStyle w:val="TableParagraph"/>
              <w:spacing w:before="161"/>
              <w:ind w:left="204" w:right="203"/>
              <w:rPr>
                <w:sz w:val="24"/>
              </w:rPr>
            </w:pPr>
            <w:r>
              <w:rPr>
                <w:sz w:val="24"/>
              </w:rPr>
              <w:t>0.75</w:t>
            </w:r>
          </w:p>
          <w:p>
            <w:pPr>
              <w:pStyle w:val="TableParagraph"/>
              <w:spacing w:before="101"/>
              <w:ind w:left="203" w:right="204"/>
              <w:rPr>
                <w:sz w:val="24"/>
              </w:rPr>
            </w:pPr>
            <w:r>
              <w:rPr>
                <w:sz w:val="24"/>
              </w:rPr>
              <w:t>0.1875</w:t>
            </w:r>
          </w:p>
        </w:tc>
        <w:tc>
          <w:tcPr>
            <w:tcW w:w="1213" w:type="dxa"/>
            <w:tcBorders>
              <w:top w:val="single" w:sz="8" w:space="0" w:color="000000"/>
              <w:bottom w:val="single" w:sz="8" w:space="0" w:color="000000"/>
            </w:tcBorders>
          </w:tcPr>
          <w:p>
            <w:pPr>
              <w:pStyle w:val="TableParagraph"/>
              <w:jc w:val="left"/>
              <w:rPr>
                <w:sz w:val="24"/>
              </w:rPr>
            </w:pPr>
          </w:p>
          <w:p>
            <w:pPr>
              <w:pStyle w:val="TableParagraph"/>
              <w:spacing w:before="161"/>
              <w:ind w:left="204" w:right="204"/>
              <w:rPr>
                <w:sz w:val="24"/>
              </w:rPr>
            </w:pPr>
            <w:r>
              <w:rPr>
                <w:sz w:val="24"/>
              </w:rPr>
              <w:t>0.25</w:t>
            </w:r>
          </w:p>
          <w:p>
            <w:pPr>
              <w:pStyle w:val="TableParagraph"/>
              <w:spacing w:before="101"/>
              <w:ind w:left="204" w:right="204"/>
              <w:rPr>
                <w:sz w:val="24"/>
              </w:rPr>
            </w:pPr>
            <w:r>
              <w:rPr>
                <w:sz w:val="24"/>
              </w:rPr>
              <w:t>0.0625</w:t>
            </w:r>
          </w:p>
        </w:tc>
        <w:tc>
          <w:tcPr>
            <w:tcW w:w="1214" w:type="dxa"/>
            <w:tcBorders>
              <w:top w:val="single" w:sz="8" w:space="0" w:color="000000"/>
              <w:bottom w:val="single" w:sz="8" w:space="0" w:color="000000"/>
            </w:tcBorders>
          </w:tcPr>
          <w:p>
            <w:pPr>
              <w:pStyle w:val="TableParagraph"/>
              <w:jc w:val="left"/>
              <w:rPr>
                <w:sz w:val="24"/>
              </w:rPr>
            </w:pPr>
          </w:p>
          <w:p>
            <w:pPr>
              <w:pStyle w:val="TableParagraph"/>
              <w:spacing w:before="161"/>
              <w:ind w:left="204" w:right="205"/>
              <w:rPr>
                <w:sz w:val="24"/>
              </w:rPr>
            </w:pPr>
            <w:r>
              <w:rPr>
                <w:sz w:val="24"/>
              </w:rPr>
              <w:t>1.50</w:t>
            </w:r>
          </w:p>
          <w:p>
            <w:pPr>
              <w:pStyle w:val="TableParagraph"/>
              <w:spacing w:before="101"/>
              <w:ind w:left="204" w:right="206"/>
              <w:rPr>
                <w:sz w:val="24"/>
              </w:rPr>
            </w:pPr>
            <w:r>
              <w:rPr>
                <w:sz w:val="24"/>
              </w:rPr>
              <w:t>0.3750</w:t>
            </w:r>
          </w:p>
        </w:tc>
        <w:tc>
          <w:tcPr>
            <w:tcW w:w="1212" w:type="dxa"/>
            <w:tcBorders>
              <w:top w:val="single" w:sz="8" w:space="0" w:color="000000"/>
              <w:bottom w:val="single" w:sz="8" w:space="0" w:color="000000"/>
            </w:tcBorders>
          </w:tcPr>
          <w:p>
            <w:pPr>
              <w:pStyle w:val="TableParagraph"/>
              <w:jc w:val="left"/>
              <w:rPr>
                <w:sz w:val="24"/>
              </w:rPr>
            </w:pPr>
          </w:p>
          <w:p>
            <w:pPr>
              <w:pStyle w:val="TableParagraph"/>
              <w:spacing w:before="161"/>
              <w:ind w:left="204" w:right="204"/>
              <w:rPr>
                <w:sz w:val="24"/>
              </w:rPr>
            </w:pPr>
            <w:r>
              <w:rPr>
                <w:sz w:val="24"/>
              </w:rPr>
              <w:t>0.25</w:t>
            </w:r>
          </w:p>
          <w:p>
            <w:pPr>
              <w:pStyle w:val="TableParagraph"/>
              <w:spacing w:before="101"/>
              <w:ind w:left="204" w:right="204"/>
              <w:rPr>
                <w:sz w:val="24"/>
              </w:rPr>
            </w:pPr>
            <w:r>
              <w:rPr>
                <w:sz w:val="24"/>
              </w:rPr>
              <w:t>0.0625</w:t>
            </w:r>
          </w:p>
        </w:tc>
      </w:tr>
      <w:tr>
        <w:trPr>
          <w:trHeight w:val="1560" w:hRule="exact"/>
        </w:trPr>
        <w:tc>
          <w:tcPr>
            <w:tcW w:w="4040" w:type="dxa"/>
            <w:tcBorders>
              <w:top w:val="single" w:sz="8" w:space="0" w:color="000000"/>
              <w:bottom w:val="single" w:sz="8" w:space="0" w:color="000000"/>
            </w:tcBorders>
          </w:tcPr>
          <w:p>
            <w:pPr>
              <w:pStyle w:val="TableParagraph"/>
              <w:spacing w:before="58"/>
              <w:ind w:left="55"/>
              <w:jc w:val="both"/>
              <w:rPr>
                <w:sz w:val="24"/>
              </w:rPr>
            </w:pPr>
            <w:r>
              <w:rPr>
                <w:sz w:val="24"/>
              </w:rPr>
              <w:t>Exactitud (%recobro)</w:t>
            </w:r>
          </w:p>
          <w:p>
            <w:pPr>
              <w:pStyle w:val="TableParagraph"/>
              <w:spacing w:line="328" w:lineRule="auto" w:before="103"/>
              <w:ind w:left="55" w:right="1177"/>
              <w:jc w:val="both"/>
              <w:rPr>
                <w:sz w:val="24"/>
              </w:rPr>
            </w:pPr>
            <w:r>
              <w:rPr>
                <w:sz w:val="24"/>
              </w:rPr>
              <w:t>Al límite de cuantificación 100% de la especificación 120% de la especificación</w:t>
            </w:r>
          </w:p>
        </w:tc>
        <w:tc>
          <w:tcPr>
            <w:tcW w:w="1212" w:type="dxa"/>
            <w:tcBorders>
              <w:top w:val="single" w:sz="8" w:space="0" w:color="000000"/>
              <w:bottom w:val="single" w:sz="8" w:space="0" w:color="000000"/>
            </w:tcBorders>
          </w:tcPr>
          <w:p>
            <w:pPr>
              <w:pStyle w:val="TableParagraph"/>
              <w:jc w:val="left"/>
              <w:rPr>
                <w:sz w:val="24"/>
              </w:rPr>
            </w:pPr>
          </w:p>
          <w:p>
            <w:pPr>
              <w:pStyle w:val="TableParagraph"/>
              <w:spacing w:before="190"/>
              <w:ind w:left="391"/>
              <w:jc w:val="left"/>
              <w:rPr>
                <w:sz w:val="24"/>
              </w:rPr>
            </w:pPr>
            <w:r>
              <w:rPr>
                <w:sz w:val="24"/>
              </w:rPr>
              <w:t>114</w:t>
            </w:r>
          </w:p>
          <w:p>
            <w:pPr>
              <w:pStyle w:val="TableParagraph"/>
              <w:spacing w:before="101"/>
              <w:ind w:left="391"/>
              <w:jc w:val="left"/>
              <w:rPr>
                <w:sz w:val="24"/>
              </w:rPr>
            </w:pPr>
            <w:r>
              <w:rPr>
                <w:sz w:val="24"/>
              </w:rPr>
              <w:t>121</w:t>
            </w:r>
          </w:p>
          <w:p>
            <w:pPr>
              <w:pStyle w:val="TableParagraph"/>
              <w:spacing w:before="101"/>
              <w:ind w:left="391"/>
              <w:jc w:val="left"/>
              <w:rPr>
                <w:sz w:val="24"/>
              </w:rPr>
            </w:pPr>
            <w:r>
              <w:rPr>
                <w:sz w:val="24"/>
              </w:rPr>
              <w:t>120</w:t>
            </w:r>
          </w:p>
        </w:tc>
        <w:tc>
          <w:tcPr>
            <w:tcW w:w="1213" w:type="dxa"/>
            <w:tcBorders>
              <w:top w:val="single" w:sz="8" w:space="0" w:color="000000"/>
              <w:bottom w:val="single" w:sz="8" w:space="0" w:color="000000"/>
            </w:tcBorders>
          </w:tcPr>
          <w:p>
            <w:pPr>
              <w:pStyle w:val="TableParagraph"/>
              <w:jc w:val="left"/>
              <w:rPr>
                <w:sz w:val="24"/>
              </w:rPr>
            </w:pPr>
          </w:p>
          <w:p>
            <w:pPr>
              <w:pStyle w:val="TableParagraph"/>
              <w:spacing w:before="175"/>
              <w:ind w:left="204" w:right="203"/>
              <w:rPr>
                <w:sz w:val="24"/>
              </w:rPr>
            </w:pPr>
            <w:r>
              <w:rPr>
                <w:sz w:val="24"/>
              </w:rPr>
              <w:t>99</w:t>
            </w:r>
          </w:p>
          <w:p>
            <w:pPr>
              <w:pStyle w:val="TableParagraph"/>
              <w:spacing w:before="41"/>
              <w:ind w:left="204" w:right="203"/>
              <w:rPr>
                <w:sz w:val="24"/>
              </w:rPr>
            </w:pPr>
            <w:r>
              <w:rPr>
                <w:sz w:val="24"/>
              </w:rPr>
              <w:t>97</w:t>
            </w:r>
          </w:p>
          <w:p>
            <w:pPr>
              <w:pStyle w:val="TableParagraph"/>
              <w:spacing w:before="41"/>
              <w:ind w:left="204" w:right="203"/>
              <w:rPr>
                <w:sz w:val="24"/>
              </w:rPr>
            </w:pPr>
            <w:r>
              <w:rPr>
                <w:sz w:val="24"/>
              </w:rPr>
              <w:t>93</w:t>
            </w:r>
          </w:p>
        </w:tc>
        <w:tc>
          <w:tcPr>
            <w:tcW w:w="1214" w:type="dxa"/>
            <w:tcBorders>
              <w:top w:val="single" w:sz="8" w:space="0" w:color="000000"/>
              <w:bottom w:val="single" w:sz="8" w:space="0" w:color="000000"/>
            </w:tcBorders>
          </w:tcPr>
          <w:p>
            <w:pPr>
              <w:pStyle w:val="TableParagraph"/>
              <w:jc w:val="left"/>
              <w:rPr>
                <w:sz w:val="24"/>
              </w:rPr>
            </w:pPr>
          </w:p>
          <w:p>
            <w:pPr>
              <w:pStyle w:val="TableParagraph"/>
              <w:spacing w:before="175"/>
              <w:ind w:left="204" w:right="204"/>
              <w:rPr>
                <w:sz w:val="24"/>
              </w:rPr>
            </w:pPr>
            <w:r>
              <w:rPr>
                <w:sz w:val="24"/>
              </w:rPr>
              <w:t>95</w:t>
            </w:r>
          </w:p>
          <w:p>
            <w:pPr>
              <w:pStyle w:val="TableParagraph"/>
              <w:spacing w:before="101"/>
              <w:ind w:left="204" w:right="204"/>
              <w:rPr>
                <w:sz w:val="24"/>
              </w:rPr>
            </w:pPr>
            <w:r>
              <w:rPr>
                <w:sz w:val="24"/>
              </w:rPr>
              <w:t>97</w:t>
            </w:r>
          </w:p>
          <w:p>
            <w:pPr>
              <w:pStyle w:val="TableParagraph"/>
              <w:spacing w:before="101"/>
              <w:ind w:left="204" w:right="204"/>
              <w:rPr>
                <w:sz w:val="24"/>
              </w:rPr>
            </w:pPr>
            <w:r>
              <w:rPr>
                <w:sz w:val="24"/>
              </w:rPr>
              <w:t>89</w:t>
            </w:r>
          </w:p>
        </w:tc>
        <w:tc>
          <w:tcPr>
            <w:tcW w:w="1212" w:type="dxa"/>
            <w:tcBorders>
              <w:top w:val="single" w:sz="8" w:space="0" w:color="000000"/>
              <w:bottom w:val="single" w:sz="8" w:space="0" w:color="000000"/>
            </w:tcBorders>
          </w:tcPr>
          <w:p>
            <w:pPr>
              <w:pStyle w:val="TableParagraph"/>
              <w:jc w:val="left"/>
              <w:rPr>
                <w:sz w:val="24"/>
              </w:rPr>
            </w:pPr>
          </w:p>
          <w:p>
            <w:pPr>
              <w:pStyle w:val="TableParagraph"/>
              <w:spacing w:before="175"/>
              <w:ind w:left="204" w:right="202"/>
              <w:rPr>
                <w:sz w:val="24"/>
              </w:rPr>
            </w:pPr>
            <w:r>
              <w:rPr>
                <w:sz w:val="24"/>
              </w:rPr>
              <w:t>86</w:t>
            </w:r>
          </w:p>
          <w:p>
            <w:pPr>
              <w:pStyle w:val="TableParagraph"/>
              <w:spacing w:before="101"/>
              <w:ind w:left="204" w:right="202"/>
              <w:rPr>
                <w:sz w:val="24"/>
              </w:rPr>
            </w:pPr>
            <w:r>
              <w:rPr>
                <w:sz w:val="24"/>
              </w:rPr>
              <w:t>86</w:t>
            </w:r>
          </w:p>
          <w:p>
            <w:pPr>
              <w:pStyle w:val="TableParagraph"/>
              <w:spacing w:before="101"/>
              <w:ind w:left="204" w:right="202"/>
              <w:rPr>
                <w:sz w:val="24"/>
              </w:rPr>
            </w:pPr>
            <w:r>
              <w:rPr>
                <w:sz w:val="24"/>
              </w:rPr>
              <w:t>84</w:t>
            </w:r>
          </w:p>
        </w:tc>
      </w:tr>
      <w:tr>
        <w:trPr>
          <w:trHeight w:val="746" w:hRule="exact"/>
        </w:trPr>
        <w:tc>
          <w:tcPr>
            <w:tcW w:w="4040" w:type="dxa"/>
            <w:tcBorders>
              <w:top w:val="single" w:sz="8" w:space="0" w:color="000000"/>
              <w:bottom w:val="single" w:sz="8" w:space="0" w:color="000000"/>
            </w:tcBorders>
          </w:tcPr>
          <w:p>
            <w:pPr>
              <w:pStyle w:val="TableParagraph"/>
              <w:spacing w:before="58"/>
              <w:ind w:left="55" w:right="-1"/>
              <w:jc w:val="left"/>
              <w:rPr>
                <w:sz w:val="24"/>
              </w:rPr>
            </w:pPr>
            <w:r>
              <w:rPr>
                <w:sz w:val="24"/>
              </w:rPr>
              <w:t>Precisión</w:t>
            </w:r>
          </w:p>
          <w:p>
            <w:pPr>
              <w:pStyle w:val="TableParagraph"/>
              <w:spacing w:before="100"/>
              <w:ind w:left="55" w:right="-1"/>
              <w:jc w:val="left"/>
              <w:rPr>
                <w:sz w:val="22"/>
              </w:rPr>
            </w:pPr>
            <w:r>
              <w:rPr>
                <w:sz w:val="22"/>
              </w:rPr>
              <w:t>(% de diferencia de los promedios)</w:t>
            </w:r>
          </w:p>
        </w:tc>
        <w:tc>
          <w:tcPr>
            <w:tcW w:w="1212" w:type="dxa"/>
            <w:tcBorders>
              <w:top w:val="single" w:sz="8" w:space="0" w:color="000000"/>
              <w:bottom w:val="single" w:sz="8" w:space="0" w:color="000000"/>
            </w:tcBorders>
          </w:tcPr>
          <w:p>
            <w:pPr>
              <w:pStyle w:val="TableParagraph"/>
              <w:spacing w:before="3"/>
              <w:jc w:val="left"/>
              <w:rPr>
                <w:sz w:val="20"/>
              </w:rPr>
            </w:pPr>
          </w:p>
          <w:p>
            <w:pPr>
              <w:pStyle w:val="TableParagraph"/>
              <w:rPr>
                <w:sz w:val="24"/>
              </w:rPr>
            </w:pPr>
            <w:r>
              <w:rPr>
                <w:w w:val="99"/>
                <w:sz w:val="24"/>
              </w:rPr>
              <w:t>3</w:t>
            </w:r>
          </w:p>
        </w:tc>
        <w:tc>
          <w:tcPr>
            <w:tcW w:w="1213" w:type="dxa"/>
            <w:tcBorders>
              <w:top w:val="single" w:sz="8" w:space="0" w:color="000000"/>
              <w:bottom w:val="single" w:sz="8" w:space="0" w:color="000000"/>
            </w:tcBorders>
          </w:tcPr>
          <w:p>
            <w:pPr>
              <w:pStyle w:val="TableParagraph"/>
              <w:spacing w:before="3"/>
              <w:jc w:val="left"/>
              <w:rPr>
                <w:sz w:val="20"/>
              </w:rPr>
            </w:pPr>
          </w:p>
          <w:p>
            <w:pPr>
              <w:pStyle w:val="TableParagraph"/>
              <w:ind w:right="1"/>
              <w:rPr>
                <w:sz w:val="24"/>
              </w:rPr>
            </w:pPr>
            <w:r>
              <w:rPr>
                <w:w w:val="99"/>
                <w:sz w:val="24"/>
              </w:rPr>
              <w:t>2</w:t>
            </w:r>
          </w:p>
        </w:tc>
        <w:tc>
          <w:tcPr>
            <w:tcW w:w="1214" w:type="dxa"/>
            <w:tcBorders>
              <w:top w:val="single" w:sz="8" w:space="0" w:color="000000"/>
              <w:bottom w:val="single" w:sz="8" w:space="0" w:color="000000"/>
            </w:tcBorders>
          </w:tcPr>
          <w:p>
            <w:pPr>
              <w:pStyle w:val="TableParagraph"/>
              <w:spacing w:before="3"/>
              <w:jc w:val="left"/>
              <w:rPr>
                <w:sz w:val="20"/>
              </w:rPr>
            </w:pPr>
          </w:p>
          <w:p>
            <w:pPr>
              <w:pStyle w:val="TableParagraph"/>
              <w:ind w:right="3"/>
              <w:rPr>
                <w:sz w:val="24"/>
              </w:rPr>
            </w:pPr>
            <w:r>
              <w:rPr>
                <w:w w:val="99"/>
                <w:sz w:val="24"/>
              </w:rPr>
              <w:t>7</w:t>
            </w:r>
          </w:p>
        </w:tc>
        <w:tc>
          <w:tcPr>
            <w:tcW w:w="1212" w:type="dxa"/>
            <w:tcBorders>
              <w:top w:val="single" w:sz="8" w:space="0" w:color="000000"/>
              <w:bottom w:val="single" w:sz="8" w:space="0" w:color="000000"/>
            </w:tcBorders>
          </w:tcPr>
          <w:p>
            <w:pPr>
              <w:pStyle w:val="TableParagraph"/>
              <w:spacing w:before="3"/>
              <w:jc w:val="left"/>
              <w:rPr>
                <w:sz w:val="20"/>
              </w:rPr>
            </w:pPr>
          </w:p>
          <w:p>
            <w:pPr>
              <w:pStyle w:val="TableParagraph"/>
              <w:ind w:right="1"/>
              <w:rPr>
                <w:sz w:val="24"/>
              </w:rPr>
            </w:pPr>
            <w:r>
              <w:rPr>
                <w:w w:val="99"/>
                <w:sz w:val="24"/>
              </w:rPr>
              <w:t>6</w:t>
            </w:r>
          </w:p>
        </w:tc>
      </w:tr>
      <w:tr>
        <w:trPr>
          <w:trHeight w:val="398" w:hRule="exact"/>
        </w:trPr>
        <w:tc>
          <w:tcPr>
            <w:tcW w:w="4040" w:type="dxa"/>
            <w:tcBorders>
              <w:top w:val="single" w:sz="8" w:space="0" w:color="000000"/>
              <w:bottom w:val="single" w:sz="8" w:space="0" w:color="000000"/>
            </w:tcBorders>
          </w:tcPr>
          <w:p>
            <w:pPr>
              <w:pStyle w:val="TableParagraph"/>
              <w:spacing w:before="60"/>
              <w:ind w:left="55" w:right="-1"/>
              <w:jc w:val="left"/>
              <w:rPr>
                <w:sz w:val="24"/>
              </w:rPr>
            </w:pPr>
            <w:r>
              <w:rPr>
                <w:sz w:val="24"/>
              </w:rPr>
              <w:t>Rango</w:t>
            </w:r>
          </w:p>
        </w:tc>
        <w:tc>
          <w:tcPr>
            <w:tcW w:w="4852" w:type="dxa"/>
            <w:gridSpan w:val="4"/>
            <w:tcBorders>
              <w:top w:val="single" w:sz="8" w:space="0" w:color="000000"/>
              <w:bottom w:val="single" w:sz="8" w:space="0" w:color="000000"/>
            </w:tcBorders>
          </w:tcPr>
          <w:p>
            <w:pPr>
              <w:pStyle w:val="TableParagraph"/>
              <w:spacing w:before="60"/>
              <w:ind w:left="295"/>
              <w:jc w:val="left"/>
              <w:rPr>
                <w:sz w:val="24"/>
              </w:rPr>
            </w:pPr>
            <w:r>
              <w:rPr>
                <w:sz w:val="24"/>
              </w:rPr>
              <w:t>LC – 120% de la concentración objetivo</w:t>
            </w:r>
          </w:p>
        </w:tc>
      </w:tr>
      <w:tr>
        <w:trPr>
          <w:trHeight w:val="401" w:hRule="exact"/>
        </w:trPr>
        <w:tc>
          <w:tcPr>
            <w:tcW w:w="4040" w:type="dxa"/>
            <w:tcBorders>
              <w:top w:val="single" w:sz="8" w:space="0" w:color="000000"/>
            </w:tcBorders>
          </w:tcPr>
          <w:p>
            <w:pPr>
              <w:pStyle w:val="TableParagraph"/>
              <w:spacing w:before="58"/>
              <w:ind w:left="55" w:right="-1"/>
              <w:jc w:val="left"/>
              <w:rPr>
                <w:sz w:val="24"/>
              </w:rPr>
            </w:pPr>
            <w:r>
              <w:rPr>
                <w:sz w:val="24"/>
              </w:rPr>
              <w:t>Robustez</w:t>
            </w:r>
          </w:p>
        </w:tc>
        <w:tc>
          <w:tcPr>
            <w:tcW w:w="4852" w:type="dxa"/>
            <w:gridSpan w:val="4"/>
            <w:tcBorders>
              <w:top w:val="single" w:sz="8" w:space="0" w:color="000000"/>
            </w:tcBorders>
          </w:tcPr>
          <w:p>
            <w:pPr>
              <w:pStyle w:val="TableParagraph"/>
              <w:spacing w:before="58"/>
              <w:ind w:left="1864" w:right="1864"/>
              <w:rPr>
                <w:sz w:val="24"/>
              </w:rPr>
            </w:pPr>
            <w:r>
              <w:rPr>
                <w:sz w:val="24"/>
              </w:rPr>
              <w:t>Conforme</w:t>
            </w:r>
          </w:p>
        </w:tc>
      </w:tr>
    </w:tbl>
    <w:p>
      <w:pPr>
        <w:spacing w:before="1"/>
        <w:ind w:left="142" w:right="0" w:firstLine="0"/>
        <w:jc w:val="left"/>
        <w:rPr>
          <w:sz w:val="18"/>
        </w:rPr>
      </w:pPr>
      <w:r>
        <w:rPr>
          <w:sz w:val="18"/>
        </w:rPr>
        <w:t>Fuente: Elaboración propia</w:t>
      </w:r>
    </w:p>
    <w:p>
      <w:pPr>
        <w:pStyle w:val="BodyText"/>
        <w:rPr>
          <w:sz w:val="18"/>
        </w:rPr>
      </w:pPr>
    </w:p>
    <w:p>
      <w:pPr>
        <w:pStyle w:val="BodyText"/>
        <w:spacing w:before="10"/>
        <w:rPr>
          <w:sz w:val="23"/>
        </w:rPr>
      </w:pPr>
    </w:p>
    <w:p>
      <w:pPr>
        <w:spacing w:before="0"/>
        <w:ind w:left="142" w:right="0" w:firstLine="0"/>
        <w:jc w:val="left"/>
        <w:rPr>
          <w:sz w:val="16"/>
        </w:rPr>
      </w:pPr>
      <w:r>
        <w:rPr>
          <w:position w:val="11"/>
          <w:sz w:val="16"/>
        </w:rPr>
        <w:t>1 </w:t>
      </w:r>
      <w:r>
        <w:rPr>
          <w:sz w:val="24"/>
        </w:rPr>
        <w:t>Relación CPS</w:t>
      </w:r>
      <w:r>
        <w:rPr>
          <w:position w:val="-2"/>
          <w:sz w:val="16"/>
        </w:rPr>
        <w:t>Analito</w:t>
      </w:r>
      <w:r>
        <w:rPr>
          <w:sz w:val="24"/>
        </w:rPr>
        <w:t>/CPS</w:t>
      </w:r>
      <w:r>
        <w:rPr>
          <w:position w:val="-2"/>
          <w:sz w:val="16"/>
        </w:rPr>
        <w:t>In</w:t>
      </w:r>
    </w:p>
    <w:p>
      <w:pPr>
        <w:pStyle w:val="BodyText"/>
        <w:rPr>
          <w:sz w:val="30"/>
        </w:rPr>
      </w:pPr>
    </w:p>
    <w:p>
      <w:pPr>
        <w:pStyle w:val="BodyText"/>
        <w:tabs>
          <w:tab w:pos="1557" w:val="left" w:leader="none"/>
        </w:tabs>
        <w:spacing w:line="360" w:lineRule="auto" w:before="194"/>
        <w:ind w:left="1558" w:right="1116" w:hanging="1416"/>
      </w:pPr>
      <w:r>
        <w:rPr/>
        <w:t>Donde:</w:t>
        <w:tab/>
        <w:t>CPS </w:t>
      </w:r>
      <w:r>
        <w:rPr>
          <w:sz w:val="16"/>
        </w:rPr>
        <w:t>analito</w:t>
      </w:r>
      <w:r>
        <w:rPr/>
        <w:t>: Cuentas por segundo del Analito (As, Cd,</w:t>
      </w:r>
      <w:r>
        <w:rPr>
          <w:spacing w:val="-16"/>
        </w:rPr>
        <w:t> </w:t>
      </w:r>
      <w:r>
        <w:rPr/>
        <w:t>Hg,</w:t>
      </w:r>
      <w:r>
        <w:rPr>
          <w:spacing w:val="-2"/>
        </w:rPr>
        <w:t> </w:t>
      </w:r>
      <w:r>
        <w:rPr/>
        <w:t>Pb)</w:t>
      </w:r>
      <w:r>
        <w:rPr>
          <w:w w:val="99"/>
        </w:rPr>
        <w:t> </w:t>
      </w:r>
      <w:r>
        <w:rPr/>
        <w:t>CPS </w:t>
      </w:r>
      <w:r>
        <w:rPr>
          <w:sz w:val="16"/>
        </w:rPr>
        <w:t>In</w:t>
      </w:r>
      <w:r>
        <w:rPr/>
        <w:t>: Cuentas por segundo del estándar</w:t>
      </w:r>
      <w:r>
        <w:rPr>
          <w:spacing w:val="-13"/>
        </w:rPr>
        <w:t> </w:t>
      </w:r>
      <w:r>
        <w:rPr/>
        <w:t>interno</w:t>
      </w:r>
    </w:p>
    <w:p>
      <w:pPr>
        <w:spacing w:after="0" w:line="360" w:lineRule="auto"/>
        <w:sectPr>
          <w:pgSz w:w="12240" w:h="15840"/>
          <w:pgMar w:header="0" w:footer="919" w:top="1360" w:bottom="1100" w:left="1560" w:right="1540"/>
        </w:sectPr>
      </w:pPr>
    </w:p>
    <w:p>
      <w:pPr>
        <w:pStyle w:val="BodyText"/>
        <w:spacing w:line="360" w:lineRule="auto" w:before="56" w:after="7"/>
        <w:ind w:left="302" w:right="118"/>
      </w:pPr>
      <w:r>
        <w:rPr/>
        <w:t>Tabla 6.4. Resultados obtenidos en la validación del método para la determinación de Impurezas Elementales clase 2A</w:t>
      </w:r>
    </w:p>
    <w:tbl>
      <w:tblPr>
        <w:tblW w:w="0" w:type="auto"/>
        <w:jc w:val="left"/>
        <w:tblInd w:w="110"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CellMar>
          <w:top w:w="0" w:type="dxa"/>
          <w:left w:w="0" w:type="dxa"/>
          <w:bottom w:w="0" w:type="dxa"/>
          <w:right w:w="0" w:type="dxa"/>
        </w:tblCellMar>
        <w:tblLook w:val="01E0"/>
      </w:tblPr>
      <w:tblGrid>
        <w:gridCol w:w="4006"/>
        <w:gridCol w:w="1937"/>
        <w:gridCol w:w="1568"/>
        <w:gridCol w:w="1683"/>
      </w:tblGrid>
      <w:tr>
        <w:trPr>
          <w:trHeight w:val="401" w:hRule="exact"/>
        </w:trPr>
        <w:tc>
          <w:tcPr>
            <w:tcW w:w="4006" w:type="dxa"/>
            <w:shd w:val="clear" w:color="auto" w:fill="D9D9D9"/>
          </w:tcPr>
          <w:p>
            <w:pPr>
              <w:pStyle w:val="TableParagraph"/>
              <w:spacing w:before="55"/>
              <w:ind w:left="1408" w:right="1408"/>
              <w:rPr>
                <w:sz w:val="24"/>
              </w:rPr>
            </w:pPr>
            <w:r>
              <w:rPr>
                <w:sz w:val="24"/>
              </w:rPr>
              <w:t>Parámetro</w:t>
            </w:r>
          </w:p>
        </w:tc>
        <w:tc>
          <w:tcPr>
            <w:tcW w:w="1937" w:type="dxa"/>
            <w:shd w:val="clear" w:color="auto" w:fill="D9D9D9"/>
          </w:tcPr>
          <w:p>
            <w:pPr>
              <w:pStyle w:val="TableParagraph"/>
              <w:spacing w:before="55"/>
              <w:ind w:right="3"/>
              <w:rPr>
                <w:b/>
                <w:sz w:val="24"/>
              </w:rPr>
            </w:pPr>
            <w:r>
              <w:rPr>
                <w:b/>
                <w:sz w:val="24"/>
              </w:rPr>
              <w:t>V</w:t>
            </w:r>
          </w:p>
        </w:tc>
        <w:tc>
          <w:tcPr>
            <w:tcW w:w="1568" w:type="dxa"/>
            <w:shd w:val="clear" w:color="auto" w:fill="D9D9D9"/>
          </w:tcPr>
          <w:p>
            <w:pPr>
              <w:pStyle w:val="TableParagraph"/>
              <w:spacing w:before="55"/>
              <w:ind w:left="449" w:right="449"/>
              <w:rPr>
                <w:b/>
                <w:sz w:val="24"/>
              </w:rPr>
            </w:pPr>
            <w:r>
              <w:rPr>
                <w:b/>
                <w:sz w:val="24"/>
              </w:rPr>
              <w:t>Co</w:t>
            </w:r>
          </w:p>
        </w:tc>
        <w:tc>
          <w:tcPr>
            <w:tcW w:w="1683" w:type="dxa"/>
            <w:shd w:val="clear" w:color="auto" w:fill="D9D9D9"/>
          </w:tcPr>
          <w:p>
            <w:pPr>
              <w:pStyle w:val="TableParagraph"/>
              <w:spacing w:before="55"/>
              <w:ind w:left="506" w:right="507"/>
              <w:rPr>
                <w:b/>
                <w:sz w:val="24"/>
              </w:rPr>
            </w:pPr>
            <w:r>
              <w:rPr>
                <w:b/>
                <w:sz w:val="24"/>
              </w:rPr>
              <w:t>Ni</w:t>
            </w:r>
          </w:p>
        </w:tc>
      </w:tr>
      <w:tr>
        <w:trPr>
          <w:trHeight w:val="905" w:hRule="exact"/>
        </w:trPr>
        <w:tc>
          <w:tcPr>
            <w:tcW w:w="4006" w:type="dxa"/>
            <w:tcBorders>
              <w:bottom w:val="single" w:sz="8" w:space="0" w:color="000000"/>
            </w:tcBorders>
          </w:tcPr>
          <w:p>
            <w:pPr>
              <w:pStyle w:val="TableParagraph"/>
              <w:spacing w:before="58"/>
              <w:ind w:left="55"/>
              <w:jc w:val="left"/>
              <w:rPr>
                <w:sz w:val="24"/>
              </w:rPr>
            </w:pPr>
            <w:r>
              <w:rPr>
                <w:sz w:val="24"/>
              </w:rPr>
              <w:t>Estabilidad de la solución estándar stock</w:t>
            </w:r>
          </w:p>
          <w:p>
            <w:pPr>
              <w:pStyle w:val="TableParagraph"/>
              <w:spacing w:before="63"/>
              <w:ind w:left="55"/>
              <w:jc w:val="left"/>
              <w:rPr>
                <w:sz w:val="18"/>
              </w:rPr>
            </w:pPr>
            <w:r>
              <w:rPr>
                <w:sz w:val="18"/>
              </w:rPr>
              <w:t>(%Recobro 151 horas/ refrigeración)</w:t>
            </w:r>
          </w:p>
        </w:tc>
        <w:tc>
          <w:tcPr>
            <w:tcW w:w="1937" w:type="dxa"/>
            <w:tcBorders>
              <w:bottom w:val="single" w:sz="8" w:space="0" w:color="000000"/>
            </w:tcBorders>
          </w:tcPr>
          <w:p>
            <w:pPr>
              <w:pStyle w:val="TableParagraph"/>
              <w:spacing w:before="7"/>
              <w:jc w:val="left"/>
              <w:rPr>
                <w:sz w:val="28"/>
              </w:rPr>
            </w:pPr>
          </w:p>
          <w:p>
            <w:pPr>
              <w:pStyle w:val="TableParagraph"/>
              <w:ind w:left="463" w:right="464"/>
              <w:rPr>
                <w:sz w:val="24"/>
              </w:rPr>
            </w:pPr>
            <w:r>
              <w:rPr>
                <w:sz w:val="24"/>
              </w:rPr>
              <w:t>98</w:t>
            </w:r>
          </w:p>
        </w:tc>
        <w:tc>
          <w:tcPr>
            <w:tcW w:w="1568" w:type="dxa"/>
            <w:tcBorders>
              <w:bottom w:val="single" w:sz="8" w:space="0" w:color="000000"/>
            </w:tcBorders>
          </w:tcPr>
          <w:p>
            <w:pPr>
              <w:pStyle w:val="TableParagraph"/>
              <w:spacing w:before="7"/>
              <w:jc w:val="left"/>
              <w:rPr>
                <w:sz w:val="28"/>
              </w:rPr>
            </w:pPr>
          </w:p>
          <w:p>
            <w:pPr>
              <w:pStyle w:val="TableParagraph"/>
              <w:ind w:left="449" w:right="446"/>
              <w:rPr>
                <w:sz w:val="24"/>
              </w:rPr>
            </w:pPr>
            <w:r>
              <w:rPr>
                <w:sz w:val="24"/>
              </w:rPr>
              <w:t>102</w:t>
            </w:r>
          </w:p>
        </w:tc>
        <w:tc>
          <w:tcPr>
            <w:tcW w:w="1683" w:type="dxa"/>
            <w:tcBorders>
              <w:bottom w:val="single" w:sz="8" w:space="0" w:color="000000"/>
            </w:tcBorders>
          </w:tcPr>
          <w:p>
            <w:pPr>
              <w:pStyle w:val="TableParagraph"/>
              <w:spacing w:before="7"/>
              <w:jc w:val="left"/>
              <w:rPr>
                <w:sz w:val="28"/>
              </w:rPr>
            </w:pPr>
          </w:p>
          <w:p>
            <w:pPr>
              <w:pStyle w:val="TableParagraph"/>
              <w:ind w:left="506" w:right="504"/>
              <w:rPr>
                <w:sz w:val="24"/>
              </w:rPr>
            </w:pPr>
            <w:r>
              <w:rPr>
                <w:sz w:val="24"/>
              </w:rPr>
              <w:t>101</w:t>
            </w:r>
          </w:p>
        </w:tc>
      </w:tr>
      <w:tr>
        <w:trPr>
          <w:trHeight w:val="900" w:hRule="exact"/>
        </w:trPr>
        <w:tc>
          <w:tcPr>
            <w:tcW w:w="4006" w:type="dxa"/>
            <w:tcBorders>
              <w:top w:val="single" w:sz="8" w:space="0" w:color="000000"/>
              <w:bottom w:val="single" w:sz="8" w:space="0" w:color="000000"/>
            </w:tcBorders>
          </w:tcPr>
          <w:p>
            <w:pPr>
              <w:pStyle w:val="TableParagraph"/>
              <w:spacing w:before="55"/>
              <w:ind w:left="55"/>
              <w:jc w:val="left"/>
              <w:rPr>
                <w:sz w:val="24"/>
              </w:rPr>
            </w:pPr>
            <w:r>
              <w:rPr>
                <w:sz w:val="24"/>
              </w:rPr>
              <w:t>Estabilidad de la solución estándar de trabajo</w:t>
            </w:r>
          </w:p>
          <w:p>
            <w:pPr>
              <w:pStyle w:val="TableParagraph"/>
              <w:spacing w:before="63"/>
              <w:ind w:left="105"/>
              <w:jc w:val="left"/>
              <w:rPr>
                <w:sz w:val="18"/>
              </w:rPr>
            </w:pPr>
            <w:r>
              <w:rPr>
                <w:sz w:val="18"/>
              </w:rPr>
              <w:t>(%Recobro 17 horas/ temperatura ambiente)</w:t>
            </w:r>
          </w:p>
        </w:tc>
        <w:tc>
          <w:tcPr>
            <w:tcW w:w="1937" w:type="dxa"/>
            <w:tcBorders>
              <w:top w:val="single" w:sz="8" w:space="0" w:color="000000"/>
              <w:bottom w:val="single" w:sz="8" w:space="0" w:color="000000"/>
            </w:tcBorders>
          </w:tcPr>
          <w:p>
            <w:pPr>
              <w:pStyle w:val="TableParagraph"/>
              <w:spacing w:before="4"/>
              <w:jc w:val="left"/>
              <w:rPr>
                <w:sz w:val="28"/>
              </w:rPr>
            </w:pPr>
          </w:p>
          <w:p>
            <w:pPr>
              <w:pStyle w:val="TableParagraph"/>
              <w:spacing w:before="1"/>
              <w:ind w:left="463" w:right="464"/>
              <w:rPr>
                <w:sz w:val="24"/>
              </w:rPr>
            </w:pPr>
            <w:r>
              <w:rPr>
                <w:sz w:val="24"/>
              </w:rPr>
              <w:t>110</w:t>
            </w:r>
          </w:p>
        </w:tc>
        <w:tc>
          <w:tcPr>
            <w:tcW w:w="1568" w:type="dxa"/>
            <w:tcBorders>
              <w:top w:val="single" w:sz="8" w:space="0" w:color="000000"/>
              <w:bottom w:val="single" w:sz="8" w:space="0" w:color="000000"/>
            </w:tcBorders>
          </w:tcPr>
          <w:p>
            <w:pPr>
              <w:pStyle w:val="TableParagraph"/>
              <w:spacing w:before="4"/>
              <w:jc w:val="left"/>
              <w:rPr>
                <w:sz w:val="28"/>
              </w:rPr>
            </w:pPr>
          </w:p>
          <w:p>
            <w:pPr>
              <w:pStyle w:val="TableParagraph"/>
              <w:spacing w:before="1"/>
              <w:ind w:left="449" w:right="446"/>
              <w:rPr>
                <w:sz w:val="24"/>
              </w:rPr>
            </w:pPr>
            <w:r>
              <w:rPr>
                <w:sz w:val="24"/>
              </w:rPr>
              <w:t>106</w:t>
            </w:r>
          </w:p>
        </w:tc>
        <w:tc>
          <w:tcPr>
            <w:tcW w:w="1683" w:type="dxa"/>
            <w:tcBorders>
              <w:top w:val="single" w:sz="8" w:space="0" w:color="000000"/>
              <w:bottom w:val="single" w:sz="8" w:space="0" w:color="000000"/>
            </w:tcBorders>
          </w:tcPr>
          <w:p>
            <w:pPr>
              <w:pStyle w:val="TableParagraph"/>
              <w:spacing w:before="4"/>
              <w:jc w:val="left"/>
              <w:rPr>
                <w:sz w:val="28"/>
              </w:rPr>
            </w:pPr>
          </w:p>
          <w:p>
            <w:pPr>
              <w:pStyle w:val="TableParagraph"/>
              <w:spacing w:before="1"/>
              <w:ind w:left="506" w:right="504"/>
              <w:rPr>
                <w:sz w:val="24"/>
              </w:rPr>
            </w:pPr>
            <w:r>
              <w:rPr>
                <w:sz w:val="24"/>
              </w:rPr>
              <w:t>105</w:t>
            </w:r>
          </w:p>
        </w:tc>
      </w:tr>
      <w:tr>
        <w:trPr>
          <w:trHeight w:val="754" w:hRule="exact"/>
        </w:trPr>
        <w:tc>
          <w:tcPr>
            <w:tcW w:w="4006" w:type="dxa"/>
            <w:tcBorders>
              <w:top w:val="single" w:sz="8" w:space="0" w:color="000000"/>
              <w:bottom w:val="single" w:sz="8" w:space="0" w:color="000000"/>
            </w:tcBorders>
          </w:tcPr>
          <w:p>
            <w:pPr>
              <w:pStyle w:val="TableParagraph"/>
              <w:spacing w:before="55"/>
              <w:ind w:left="55"/>
              <w:jc w:val="left"/>
              <w:rPr>
                <w:sz w:val="24"/>
              </w:rPr>
            </w:pPr>
            <w:r>
              <w:rPr>
                <w:sz w:val="24"/>
              </w:rPr>
              <w:t>Estabilidad de la solución muestra</w:t>
            </w:r>
          </w:p>
          <w:p>
            <w:pPr>
              <w:pStyle w:val="TableParagraph"/>
              <w:spacing w:before="63"/>
              <w:ind w:left="55"/>
              <w:jc w:val="left"/>
              <w:rPr>
                <w:sz w:val="18"/>
              </w:rPr>
            </w:pPr>
            <w:r>
              <w:rPr>
                <w:sz w:val="18"/>
              </w:rPr>
              <w:t>(%Recobro 22 horas/ temperatura ambiente)</w:t>
            </w:r>
          </w:p>
        </w:tc>
        <w:tc>
          <w:tcPr>
            <w:tcW w:w="5188" w:type="dxa"/>
            <w:gridSpan w:val="3"/>
            <w:tcBorders>
              <w:top w:val="single" w:sz="8" w:space="0" w:color="000000"/>
              <w:bottom w:val="single" w:sz="8" w:space="0" w:color="000000"/>
            </w:tcBorders>
          </w:tcPr>
          <w:p>
            <w:pPr>
              <w:pStyle w:val="TableParagraph"/>
              <w:spacing w:before="130"/>
              <w:ind w:left="156" w:right="137" w:firstLine="166"/>
              <w:jc w:val="left"/>
              <w:rPr>
                <w:sz w:val="23"/>
              </w:rPr>
            </w:pPr>
            <w:r>
              <w:rPr>
                <w:sz w:val="23"/>
              </w:rPr>
              <w:t>La respuesta de V, Co y Ni no incrementa ni disminuye por arriba del límite de cuantificación</w:t>
            </w:r>
          </w:p>
        </w:tc>
      </w:tr>
      <w:tr>
        <w:trPr>
          <w:trHeight w:val="355" w:hRule="exact"/>
        </w:trPr>
        <w:tc>
          <w:tcPr>
            <w:tcW w:w="4006" w:type="dxa"/>
            <w:tcBorders>
              <w:top w:val="single" w:sz="8" w:space="0" w:color="000000"/>
              <w:bottom w:val="single" w:sz="8" w:space="0" w:color="000000"/>
            </w:tcBorders>
          </w:tcPr>
          <w:p>
            <w:pPr>
              <w:pStyle w:val="TableParagraph"/>
              <w:spacing w:before="20"/>
              <w:ind w:left="55"/>
              <w:jc w:val="left"/>
              <w:rPr>
                <w:sz w:val="24"/>
              </w:rPr>
            </w:pPr>
            <w:r>
              <w:rPr>
                <w:sz w:val="24"/>
              </w:rPr>
              <w:t>Linealidad (r</w:t>
            </w:r>
            <w:r>
              <w:rPr>
                <w:position w:val="11"/>
                <w:sz w:val="16"/>
              </w:rPr>
              <w:t>2</w:t>
            </w:r>
            <w:r>
              <w:rPr>
                <w:sz w:val="24"/>
              </w:rPr>
              <w:t>)</w:t>
            </w:r>
          </w:p>
        </w:tc>
        <w:tc>
          <w:tcPr>
            <w:tcW w:w="1937" w:type="dxa"/>
            <w:tcBorders>
              <w:top w:val="single" w:sz="8" w:space="0" w:color="000000"/>
              <w:bottom w:val="single" w:sz="8" w:space="0" w:color="000000"/>
            </w:tcBorders>
          </w:tcPr>
          <w:p>
            <w:pPr>
              <w:pStyle w:val="TableParagraph"/>
              <w:spacing w:before="55"/>
              <w:ind w:left="463" w:right="464"/>
              <w:rPr>
                <w:sz w:val="24"/>
              </w:rPr>
            </w:pPr>
            <w:r>
              <w:rPr>
                <w:sz w:val="24"/>
              </w:rPr>
              <w:t>1.00</w:t>
            </w:r>
          </w:p>
        </w:tc>
        <w:tc>
          <w:tcPr>
            <w:tcW w:w="1568" w:type="dxa"/>
            <w:tcBorders>
              <w:top w:val="single" w:sz="8" w:space="0" w:color="000000"/>
              <w:bottom w:val="single" w:sz="8" w:space="0" w:color="000000"/>
            </w:tcBorders>
          </w:tcPr>
          <w:p>
            <w:pPr>
              <w:pStyle w:val="TableParagraph"/>
              <w:spacing w:before="55"/>
              <w:ind w:left="449" w:right="449"/>
              <w:rPr>
                <w:sz w:val="24"/>
              </w:rPr>
            </w:pPr>
            <w:r>
              <w:rPr>
                <w:sz w:val="24"/>
              </w:rPr>
              <w:t>1.00</w:t>
            </w:r>
          </w:p>
        </w:tc>
        <w:tc>
          <w:tcPr>
            <w:tcW w:w="1683" w:type="dxa"/>
            <w:tcBorders>
              <w:top w:val="single" w:sz="8" w:space="0" w:color="000000"/>
              <w:bottom w:val="single" w:sz="8" w:space="0" w:color="000000"/>
            </w:tcBorders>
          </w:tcPr>
          <w:p>
            <w:pPr>
              <w:pStyle w:val="TableParagraph"/>
              <w:spacing w:before="55"/>
              <w:ind w:left="506" w:right="506"/>
              <w:rPr>
                <w:sz w:val="24"/>
              </w:rPr>
            </w:pPr>
            <w:r>
              <w:rPr>
                <w:sz w:val="24"/>
              </w:rPr>
              <w:t>1.00</w:t>
            </w:r>
          </w:p>
        </w:tc>
      </w:tr>
      <w:tr>
        <w:trPr>
          <w:trHeight w:val="1363" w:hRule="exact"/>
        </w:trPr>
        <w:tc>
          <w:tcPr>
            <w:tcW w:w="4006" w:type="dxa"/>
            <w:tcBorders>
              <w:top w:val="single" w:sz="8" w:space="0" w:color="000000"/>
              <w:bottom w:val="single" w:sz="8" w:space="0" w:color="000000"/>
            </w:tcBorders>
          </w:tcPr>
          <w:p>
            <w:pPr>
              <w:pStyle w:val="TableParagraph"/>
              <w:spacing w:before="55"/>
              <w:ind w:left="55"/>
              <w:jc w:val="left"/>
              <w:rPr>
                <w:sz w:val="24"/>
              </w:rPr>
            </w:pPr>
            <w:r>
              <w:rPr>
                <w:sz w:val="24"/>
              </w:rPr>
              <w:t>Límite de Cuantificación (LC)</w:t>
            </w:r>
          </w:p>
          <w:p>
            <w:pPr>
              <w:pStyle w:val="TableParagraph"/>
              <w:spacing w:before="62"/>
              <w:ind w:left="55"/>
              <w:jc w:val="left"/>
              <w:rPr>
                <w:sz w:val="22"/>
              </w:rPr>
            </w:pPr>
            <w:r>
              <w:rPr>
                <w:sz w:val="22"/>
              </w:rPr>
              <w:t>Concentración en µg/L</w:t>
            </w:r>
          </w:p>
          <w:p>
            <w:pPr>
              <w:pStyle w:val="TableParagraph"/>
              <w:spacing w:before="61"/>
              <w:ind w:left="55"/>
              <w:jc w:val="left"/>
              <w:rPr>
                <w:sz w:val="22"/>
              </w:rPr>
            </w:pPr>
            <w:r>
              <w:rPr>
                <w:sz w:val="22"/>
              </w:rPr>
              <w:t>ppm de la concentración de la muestra</w:t>
            </w:r>
          </w:p>
          <w:p>
            <w:pPr>
              <w:pStyle w:val="TableParagraph"/>
              <w:spacing w:before="22"/>
              <w:ind w:left="55"/>
              <w:jc w:val="left"/>
              <w:rPr>
                <w:sz w:val="16"/>
              </w:rPr>
            </w:pPr>
            <w:r>
              <w:rPr>
                <w:sz w:val="22"/>
              </w:rPr>
              <w:t>%DER de la respuesta </w:t>
            </w:r>
            <w:r>
              <w:rPr>
                <w:position w:val="11"/>
                <w:sz w:val="16"/>
              </w:rPr>
              <w:t>1</w:t>
            </w:r>
          </w:p>
        </w:tc>
        <w:tc>
          <w:tcPr>
            <w:tcW w:w="1937" w:type="dxa"/>
            <w:tcBorders>
              <w:top w:val="single" w:sz="8" w:space="0" w:color="000000"/>
              <w:bottom w:val="single" w:sz="8" w:space="0" w:color="000000"/>
            </w:tcBorders>
          </w:tcPr>
          <w:p>
            <w:pPr>
              <w:pStyle w:val="TableParagraph"/>
              <w:jc w:val="left"/>
              <w:rPr>
                <w:sz w:val="34"/>
              </w:rPr>
            </w:pPr>
          </w:p>
          <w:p>
            <w:pPr>
              <w:pStyle w:val="TableParagraph"/>
              <w:ind w:left="463" w:right="464"/>
              <w:rPr>
                <w:sz w:val="24"/>
              </w:rPr>
            </w:pPr>
            <w:r>
              <w:rPr>
                <w:sz w:val="24"/>
              </w:rPr>
              <w:t>2.500</w:t>
            </w:r>
          </w:p>
          <w:p>
            <w:pPr>
              <w:pStyle w:val="TableParagraph"/>
              <w:spacing w:before="60"/>
              <w:ind w:left="463" w:right="464"/>
              <w:rPr>
                <w:sz w:val="24"/>
              </w:rPr>
            </w:pPr>
            <w:r>
              <w:rPr>
                <w:sz w:val="24"/>
              </w:rPr>
              <w:t>2.50</w:t>
            </w:r>
          </w:p>
          <w:p>
            <w:pPr>
              <w:pStyle w:val="TableParagraph"/>
              <w:spacing w:before="60"/>
              <w:rPr>
                <w:sz w:val="24"/>
              </w:rPr>
            </w:pPr>
            <w:r>
              <w:rPr>
                <w:w w:val="99"/>
                <w:sz w:val="24"/>
              </w:rPr>
              <w:t>3</w:t>
            </w:r>
          </w:p>
        </w:tc>
        <w:tc>
          <w:tcPr>
            <w:tcW w:w="1568" w:type="dxa"/>
            <w:tcBorders>
              <w:top w:val="single" w:sz="8" w:space="0" w:color="000000"/>
              <w:bottom w:val="single" w:sz="8" w:space="0" w:color="000000"/>
            </w:tcBorders>
          </w:tcPr>
          <w:p>
            <w:pPr>
              <w:pStyle w:val="TableParagraph"/>
              <w:jc w:val="left"/>
              <w:rPr>
                <w:sz w:val="34"/>
              </w:rPr>
            </w:pPr>
          </w:p>
          <w:p>
            <w:pPr>
              <w:pStyle w:val="TableParagraph"/>
              <w:ind w:left="449" w:right="449"/>
              <w:rPr>
                <w:sz w:val="24"/>
              </w:rPr>
            </w:pPr>
            <w:r>
              <w:rPr>
                <w:sz w:val="24"/>
              </w:rPr>
              <w:t>1.250</w:t>
            </w:r>
          </w:p>
          <w:p>
            <w:pPr>
              <w:pStyle w:val="TableParagraph"/>
              <w:spacing w:before="60"/>
              <w:ind w:left="449" w:right="449"/>
              <w:rPr>
                <w:sz w:val="24"/>
              </w:rPr>
            </w:pPr>
            <w:r>
              <w:rPr>
                <w:sz w:val="24"/>
              </w:rPr>
              <w:t>1.25</w:t>
            </w:r>
          </w:p>
          <w:p>
            <w:pPr>
              <w:pStyle w:val="TableParagraph"/>
              <w:spacing w:before="60"/>
              <w:rPr>
                <w:sz w:val="24"/>
              </w:rPr>
            </w:pPr>
            <w:r>
              <w:rPr>
                <w:w w:val="99"/>
                <w:sz w:val="24"/>
              </w:rPr>
              <w:t>1</w:t>
            </w:r>
          </w:p>
        </w:tc>
        <w:tc>
          <w:tcPr>
            <w:tcW w:w="1683" w:type="dxa"/>
            <w:tcBorders>
              <w:top w:val="single" w:sz="8" w:space="0" w:color="000000"/>
              <w:bottom w:val="single" w:sz="8" w:space="0" w:color="000000"/>
            </w:tcBorders>
          </w:tcPr>
          <w:p>
            <w:pPr>
              <w:pStyle w:val="TableParagraph"/>
              <w:jc w:val="left"/>
              <w:rPr>
                <w:sz w:val="34"/>
              </w:rPr>
            </w:pPr>
          </w:p>
          <w:p>
            <w:pPr>
              <w:pStyle w:val="TableParagraph"/>
              <w:ind w:left="506" w:right="507"/>
              <w:rPr>
                <w:sz w:val="24"/>
              </w:rPr>
            </w:pPr>
            <w:r>
              <w:rPr>
                <w:sz w:val="24"/>
              </w:rPr>
              <w:t>5.000</w:t>
            </w:r>
          </w:p>
          <w:p>
            <w:pPr>
              <w:pStyle w:val="TableParagraph"/>
              <w:spacing w:before="60"/>
              <w:ind w:left="506" w:right="506"/>
              <w:rPr>
                <w:sz w:val="24"/>
              </w:rPr>
            </w:pPr>
            <w:r>
              <w:rPr>
                <w:sz w:val="24"/>
              </w:rPr>
              <w:t>5.00</w:t>
            </w:r>
          </w:p>
          <w:p>
            <w:pPr>
              <w:pStyle w:val="TableParagraph"/>
              <w:spacing w:before="60"/>
              <w:ind w:right="1"/>
              <w:rPr>
                <w:sz w:val="24"/>
              </w:rPr>
            </w:pPr>
            <w:r>
              <w:rPr>
                <w:w w:val="99"/>
                <w:sz w:val="24"/>
              </w:rPr>
              <w:t>1</w:t>
            </w:r>
          </w:p>
        </w:tc>
      </w:tr>
      <w:tr>
        <w:trPr>
          <w:trHeight w:val="1030" w:hRule="exact"/>
        </w:trPr>
        <w:tc>
          <w:tcPr>
            <w:tcW w:w="4006" w:type="dxa"/>
            <w:tcBorders>
              <w:top w:val="single" w:sz="8" w:space="0" w:color="000000"/>
              <w:bottom w:val="single" w:sz="8" w:space="0" w:color="000000"/>
            </w:tcBorders>
          </w:tcPr>
          <w:p>
            <w:pPr>
              <w:pStyle w:val="TableParagraph"/>
              <w:spacing w:before="58"/>
              <w:ind w:left="55"/>
              <w:jc w:val="left"/>
              <w:rPr>
                <w:sz w:val="24"/>
              </w:rPr>
            </w:pPr>
            <w:r>
              <w:rPr>
                <w:sz w:val="24"/>
              </w:rPr>
              <w:t>Límite de Detección</w:t>
            </w:r>
          </w:p>
          <w:p>
            <w:pPr>
              <w:pStyle w:val="TableParagraph"/>
              <w:spacing w:before="62"/>
              <w:ind w:left="55"/>
              <w:jc w:val="left"/>
              <w:rPr>
                <w:sz w:val="22"/>
              </w:rPr>
            </w:pPr>
            <w:r>
              <w:rPr>
                <w:sz w:val="22"/>
              </w:rPr>
              <w:t>Concentración en µg/L</w:t>
            </w:r>
          </w:p>
          <w:p>
            <w:pPr>
              <w:pStyle w:val="TableParagraph"/>
              <w:spacing w:before="59"/>
              <w:ind w:left="55"/>
              <w:jc w:val="left"/>
              <w:rPr>
                <w:sz w:val="22"/>
              </w:rPr>
            </w:pPr>
            <w:r>
              <w:rPr>
                <w:sz w:val="22"/>
              </w:rPr>
              <w:t>ppm de la concentración de la muestra</w:t>
            </w:r>
          </w:p>
        </w:tc>
        <w:tc>
          <w:tcPr>
            <w:tcW w:w="1937" w:type="dxa"/>
            <w:tcBorders>
              <w:top w:val="single" w:sz="8" w:space="0" w:color="000000"/>
              <w:bottom w:val="single" w:sz="8" w:space="0" w:color="000000"/>
            </w:tcBorders>
          </w:tcPr>
          <w:p>
            <w:pPr>
              <w:pStyle w:val="TableParagraph"/>
              <w:spacing w:before="3"/>
              <w:jc w:val="left"/>
              <w:rPr>
                <w:sz w:val="34"/>
              </w:rPr>
            </w:pPr>
          </w:p>
          <w:p>
            <w:pPr>
              <w:pStyle w:val="TableParagraph"/>
              <w:ind w:left="463" w:right="464"/>
              <w:rPr>
                <w:sz w:val="24"/>
              </w:rPr>
            </w:pPr>
            <w:r>
              <w:rPr>
                <w:sz w:val="24"/>
              </w:rPr>
              <w:t>1.2500</w:t>
            </w:r>
          </w:p>
          <w:p>
            <w:pPr>
              <w:pStyle w:val="TableParagraph"/>
              <w:spacing w:before="60"/>
              <w:ind w:left="463" w:right="464"/>
              <w:rPr>
                <w:sz w:val="24"/>
              </w:rPr>
            </w:pPr>
            <w:r>
              <w:rPr>
                <w:sz w:val="24"/>
              </w:rPr>
              <w:t>1.250</w:t>
            </w:r>
          </w:p>
        </w:tc>
        <w:tc>
          <w:tcPr>
            <w:tcW w:w="1568" w:type="dxa"/>
            <w:tcBorders>
              <w:top w:val="single" w:sz="8" w:space="0" w:color="000000"/>
              <w:bottom w:val="single" w:sz="8" w:space="0" w:color="000000"/>
            </w:tcBorders>
          </w:tcPr>
          <w:p>
            <w:pPr>
              <w:pStyle w:val="TableParagraph"/>
              <w:spacing w:before="3"/>
              <w:jc w:val="left"/>
              <w:rPr>
                <w:sz w:val="34"/>
              </w:rPr>
            </w:pPr>
          </w:p>
          <w:p>
            <w:pPr>
              <w:pStyle w:val="TableParagraph"/>
              <w:ind w:left="434"/>
              <w:jc w:val="left"/>
              <w:rPr>
                <w:sz w:val="24"/>
              </w:rPr>
            </w:pPr>
            <w:r>
              <w:rPr>
                <w:sz w:val="24"/>
              </w:rPr>
              <w:t>06250</w:t>
            </w:r>
          </w:p>
          <w:p>
            <w:pPr>
              <w:pStyle w:val="TableParagraph"/>
              <w:spacing w:before="60"/>
              <w:ind w:left="467"/>
              <w:jc w:val="left"/>
              <w:rPr>
                <w:sz w:val="24"/>
              </w:rPr>
            </w:pPr>
            <w:r>
              <w:rPr>
                <w:sz w:val="24"/>
              </w:rPr>
              <w:t>0.625</w:t>
            </w:r>
          </w:p>
        </w:tc>
        <w:tc>
          <w:tcPr>
            <w:tcW w:w="1683" w:type="dxa"/>
            <w:tcBorders>
              <w:top w:val="single" w:sz="8" w:space="0" w:color="000000"/>
              <w:bottom w:val="single" w:sz="8" w:space="0" w:color="000000"/>
            </w:tcBorders>
          </w:tcPr>
          <w:p>
            <w:pPr>
              <w:pStyle w:val="TableParagraph"/>
              <w:spacing w:before="3"/>
              <w:jc w:val="left"/>
              <w:rPr>
                <w:sz w:val="34"/>
              </w:rPr>
            </w:pPr>
          </w:p>
          <w:p>
            <w:pPr>
              <w:pStyle w:val="TableParagraph"/>
              <w:ind w:left="458"/>
              <w:jc w:val="left"/>
              <w:rPr>
                <w:sz w:val="24"/>
              </w:rPr>
            </w:pPr>
            <w:r>
              <w:rPr>
                <w:sz w:val="24"/>
              </w:rPr>
              <w:t>2.5000</w:t>
            </w:r>
          </w:p>
          <w:p>
            <w:pPr>
              <w:pStyle w:val="TableParagraph"/>
              <w:spacing w:before="60"/>
              <w:ind w:left="525"/>
              <w:jc w:val="left"/>
              <w:rPr>
                <w:sz w:val="24"/>
              </w:rPr>
            </w:pPr>
            <w:r>
              <w:rPr>
                <w:sz w:val="24"/>
              </w:rPr>
              <w:t>2.500</w:t>
            </w:r>
          </w:p>
        </w:tc>
      </w:tr>
      <w:tr>
        <w:trPr>
          <w:trHeight w:val="1582" w:hRule="exact"/>
        </w:trPr>
        <w:tc>
          <w:tcPr>
            <w:tcW w:w="4006" w:type="dxa"/>
            <w:tcBorders>
              <w:top w:val="single" w:sz="8" w:space="0" w:color="000000"/>
              <w:bottom w:val="single" w:sz="8" w:space="0" w:color="000000"/>
            </w:tcBorders>
          </w:tcPr>
          <w:p>
            <w:pPr>
              <w:pStyle w:val="TableParagraph"/>
              <w:spacing w:before="55"/>
              <w:ind w:left="55"/>
              <w:jc w:val="left"/>
              <w:rPr>
                <w:sz w:val="24"/>
              </w:rPr>
            </w:pPr>
            <w:r>
              <w:rPr>
                <w:sz w:val="24"/>
              </w:rPr>
              <w:t>Exactitud (% recobro)</w:t>
            </w:r>
          </w:p>
          <w:p>
            <w:pPr>
              <w:pStyle w:val="TableParagraph"/>
              <w:spacing w:before="60"/>
              <w:ind w:left="55"/>
              <w:jc w:val="left"/>
              <w:rPr>
                <w:sz w:val="24"/>
              </w:rPr>
            </w:pPr>
            <w:r>
              <w:rPr>
                <w:sz w:val="24"/>
              </w:rPr>
              <w:t>Al límite de cuantificación</w:t>
            </w:r>
          </w:p>
          <w:p>
            <w:pPr>
              <w:pStyle w:val="TableParagraph"/>
              <w:spacing w:line="292" w:lineRule="auto" w:before="60"/>
              <w:ind w:left="55" w:right="847"/>
              <w:jc w:val="left"/>
              <w:rPr>
                <w:sz w:val="24"/>
              </w:rPr>
            </w:pPr>
            <w:r>
              <w:rPr>
                <w:sz w:val="24"/>
              </w:rPr>
              <w:t>Al 100% de la especificación Al 120% de la especificación</w:t>
            </w:r>
          </w:p>
        </w:tc>
        <w:tc>
          <w:tcPr>
            <w:tcW w:w="1937" w:type="dxa"/>
            <w:tcBorders>
              <w:top w:val="single" w:sz="8" w:space="0" w:color="000000"/>
              <w:bottom w:val="single" w:sz="8" w:space="0" w:color="000000"/>
            </w:tcBorders>
          </w:tcPr>
          <w:p>
            <w:pPr>
              <w:pStyle w:val="TableParagraph"/>
              <w:jc w:val="left"/>
              <w:rPr>
                <w:sz w:val="24"/>
              </w:rPr>
            </w:pPr>
          </w:p>
          <w:p>
            <w:pPr>
              <w:pStyle w:val="TableParagraph"/>
              <w:spacing w:before="8"/>
              <w:jc w:val="left"/>
              <w:rPr>
                <w:sz w:val="19"/>
              </w:rPr>
            </w:pPr>
          </w:p>
          <w:p>
            <w:pPr>
              <w:pStyle w:val="TableParagraph"/>
              <w:ind w:left="463" w:right="464"/>
              <w:rPr>
                <w:sz w:val="24"/>
              </w:rPr>
            </w:pPr>
            <w:r>
              <w:rPr>
                <w:sz w:val="24"/>
              </w:rPr>
              <w:t>102</w:t>
            </w:r>
          </w:p>
          <w:p>
            <w:pPr>
              <w:pStyle w:val="TableParagraph"/>
              <w:spacing w:before="60"/>
              <w:ind w:left="463" w:right="464"/>
              <w:rPr>
                <w:sz w:val="24"/>
              </w:rPr>
            </w:pPr>
            <w:r>
              <w:rPr>
                <w:sz w:val="24"/>
              </w:rPr>
              <w:t>91</w:t>
            </w:r>
          </w:p>
          <w:p>
            <w:pPr>
              <w:pStyle w:val="TableParagraph"/>
              <w:spacing w:before="60"/>
              <w:ind w:left="463" w:right="464"/>
              <w:rPr>
                <w:sz w:val="24"/>
              </w:rPr>
            </w:pPr>
            <w:r>
              <w:rPr>
                <w:sz w:val="24"/>
              </w:rPr>
              <w:t>103</w:t>
            </w:r>
          </w:p>
        </w:tc>
        <w:tc>
          <w:tcPr>
            <w:tcW w:w="1568" w:type="dxa"/>
            <w:tcBorders>
              <w:top w:val="single" w:sz="8" w:space="0" w:color="000000"/>
              <w:bottom w:val="single" w:sz="8" w:space="0" w:color="000000"/>
            </w:tcBorders>
          </w:tcPr>
          <w:p>
            <w:pPr>
              <w:pStyle w:val="TableParagraph"/>
              <w:spacing w:before="1"/>
              <w:jc w:val="left"/>
              <w:rPr>
                <w:sz w:val="34"/>
              </w:rPr>
            </w:pPr>
          </w:p>
          <w:p>
            <w:pPr>
              <w:pStyle w:val="TableParagraph"/>
              <w:ind w:left="449" w:right="446"/>
              <w:rPr>
                <w:sz w:val="24"/>
              </w:rPr>
            </w:pPr>
            <w:r>
              <w:rPr>
                <w:sz w:val="24"/>
              </w:rPr>
              <w:t>104</w:t>
            </w:r>
          </w:p>
          <w:p>
            <w:pPr>
              <w:pStyle w:val="TableParagraph"/>
              <w:spacing w:before="60"/>
              <w:ind w:left="449" w:right="446"/>
              <w:rPr>
                <w:sz w:val="24"/>
              </w:rPr>
            </w:pPr>
            <w:r>
              <w:rPr>
                <w:sz w:val="24"/>
              </w:rPr>
              <w:t>91</w:t>
            </w:r>
          </w:p>
          <w:p>
            <w:pPr>
              <w:pStyle w:val="TableParagraph"/>
              <w:spacing w:before="60"/>
              <w:ind w:left="449" w:right="446"/>
              <w:rPr>
                <w:sz w:val="24"/>
              </w:rPr>
            </w:pPr>
            <w:r>
              <w:rPr>
                <w:sz w:val="24"/>
              </w:rPr>
              <w:t>101</w:t>
            </w:r>
          </w:p>
        </w:tc>
        <w:tc>
          <w:tcPr>
            <w:tcW w:w="1683" w:type="dxa"/>
            <w:tcBorders>
              <w:top w:val="single" w:sz="8" w:space="0" w:color="000000"/>
              <w:bottom w:val="single" w:sz="8" w:space="0" w:color="000000"/>
            </w:tcBorders>
          </w:tcPr>
          <w:p>
            <w:pPr>
              <w:pStyle w:val="TableParagraph"/>
              <w:spacing w:before="1"/>
              <w:jc w:val="left"/>
              <w:rPr>
                <w:sz w:val="34"/>
              </w:rPr>
            </w:pPr>
          </w:p>
          <w:p>
            <w:pPr>
              <w:pStyle w:val="TableParagraph"/>
              <w:ind w:left="506" w:right="504"/>
              <w:rPr>
                <w:sz w:val="24"/>
              </w:rPr>
            </w:pPr>
            <w:r>
              <w:rPr>
                <w:sz w:val="24"/>
              </w:rPr>
              <w:t>114</w:t>
            </w:r>
          </w:p>
          <w:p>
            <w:pPr>
              <w:pStyle w:val="TableParagraph"/>
              <w:spacing w:before="60"/>
              <w:ind w:left="506" w:right="504"/>
              <w:rPr>
                <w:sz w:val="24"/>
              </w:rPr>
            </w:pPr>
            <w:r>
              <w:rPr>
                <w:sz w:val="24"/>
              </w:rPr>
              <w:t>90</w:t>
            </w:r>
          </w:p>
          <w:p>
            <w:pPr>
              <w:pStyle w:val="TableParagraph"/>
              <w:spacing w:before="60"/>
              <w:ind w:left="506" w:right="504"/>
              <w:rPr>
                <w:sz w:val="24"/>
              </w:rPr>
            </w:pPr>
            <w:r>
              <w:rPr>
                <w:sz w:val="24"/>
              </w:rPr>
              <w:t>101</w:t>
            </w:r>
          </w:p>
        </w:tc>
      </w:tr>
      <w:tr>
        <w:trPr>
          <w:trHeight w:val="694" w:hRule="exact"/>
        </w:trPr>
        <w:tc>
          <w:tcPr>
            <w:tcW w:w="4006" w:type="dxa"/>
            <w:tcBorders>
              <w:top w:val="single" w:sz="8" w:space="0" w:color="000000"/>
              <w:bottom w:val="single" w:sz="8" w:space="0" w:color="000000"/>
            </w:tcBorders>
          </w:tcPr>
          <w:p>
            <w:pPr>
              <w:pStyle w:val="TableParagraph"/>
              <w:spacing w:before="58"/>
              <w:ind w:left="55"/>
              <w:jc w:val="left"/>
              <w:rPr>
                <w:sz w:val="24"/>
              </w:rPr>
            </w:pPr>
            <w:r>
              <w:rPr>
                <w:sz w:val="24"/>
              </w:rPr>
              <w:t>Precisión</w:t>
            </w:r>
          </w:p>
          <w:p>
            <w:pPr>
              <w:pStyle w:val="TableParagraph"/>
              <w:spacing w:before="62"/>
              <w:ind w:left="55"/>
              <w:jc w:val="left"/>
              <w:rPr>
                <w:sz w:val="22"/>
              </w:rPr>
            </w:pPr>
            <w:r>
              <w:rPr>
                <w:sz w:val="22"/>
              </w:rPr>
              <w:t>(% de diferencia de los promedios)</w:t>
            </w:r>
          </w:p>
        </w:tc>
        <w:tc>
          <w:tcPr>
            <w:tcW w:w="1937" w:type="dxa"/>
            <w:tcBorders>
              <w:top w:val="single" w:sz="8" w:space="0" w:color="000000"/>
              <w:bottom w:val="single" w:sz="8" w:space="0" w:color="000000"/>
            </w:tcBorders>
          </w:tcPr>
          <w:p>
            <w:pPr>
              <w:pStyle w:val="TableParagraph"/>
              <w:spacing w:before="3"/>
              <w:jc w:val="left"/>
              <w:rPr>
                <w:sz w:val="34"/>
              </w:rPr>
            </w:pPr>
          </w:p>
          <w:p>
            <w:pPr>
              <w:pStyle w:val="TableParagraph"/>
              <w:ind w:left="463" w:right="464"/>
              <w:rPr>
                <w:sz w:val="24"/>
              </w:rPr>
            </w:pPr>
            <w:r>
              <w:rPr>
                <w:sz w:val="24"/>
              </w:rPr>
              <w:t>12</w:t>
            </w:r>
          </w:p>
        </w:tc>
        <w:tc>
          <w:tcPr>
            <w:tcW w:w="1568" w:type="dxa"/>
            <w:tcBorders>
              <w:top w:val="single" w:sz="8" w:space="0" w:color="000000"/>
              <w:bottom w:val="single" w:sz="8" w:space="0" w:color="000000"/>
            </w:tcBorders>
          </w:tcPr>
          <w:p>
            <w:pPr>
              <w:pStyle w:val="TableParagraph"/>
              <w:spacing w:before="3"/>
              <w:jc w:val="left"/>
              <w:rPr>
                <w:sz w:val="34"/>
              </w:rPr>
            </w:pPr>
          </w:p>
          <w:p>
            <w:pPr>
              <w:pStyle w:val="TableParagraph"/>
              <w:ind w:left="449" w:right="446"/>
              <w:rPr>
                <w:sz w:val="24"/>
              </w:rPr>
            </w:pPr>
            <w:r>
              <w:rPr>
                <w:sz w:val="24"/>
              </w:rPr>
              <w:t>11</w:t>
            </w:r>
          </w:p>
        </w:tc>
        <w:tc>
          <w:tcPr>
            <w:tcW w:w="1683" w:type="dxa"/>
            <w:tcBorders>
              <w:top w:val="single" w:sz="8" w:space="0" w:color="000000"/>
              <w:bottom w:val="single" w:sz="8" w:space="0" w:color="000000"/>
            </w:tcBorders>
          </w:tcPr>
          <w:p>
            <w:pPr>
              <w:pStyle w:val="TableParagraph"/>
              <w:spacing w:before="3"/>
              <w:jc w:val="left"/>
              <w:rPr>
                <w:sz w:val="34"/>
              </w:rPr>
            </w:pPr>
          </w:p>
          <w:p>
            <w:pPr>
              <w:pStyle w:val="TableParagraph"/>
              <w:ind w:left="506" w:right="504"/>
              <w:rPr>
                <w:sz w:val="24"/>
              </w:rPr>
            </w:pPr>
            <w:r>
              <w:rPr>
                <w:sz w:val="24"/>
              </w:rPr>
              <w:t>10</w:t>
            </w:r>
          </w:p>
        </w:tc>
      </w:tr>
      <w:tr>
        <w:trPr>
          <w:trHeight w:val="355" w:hRule="exact"/>
        </w:trPr>
        <w:tc>
          <w:tcPr>
            <w:tcW w:w="4006" w:type="dxa"/>
            <w:tcBorders>
              <w:top w:val="single" w:sz="8" w:space="0" w:color="000000"/>
              <w:bottom w:val="single" w:sz="8" w:space="0" w:color="000000"/>
            </w:tcBorders>
          </w:tcPr>
          <w:p>
            <w:pPr>
              <w:pStyle w:val="TableParagraph"/>
              <w:spacing w:before="55"/>
              <w:ind w:left="55"/>
              <w:jc w:val="left"/>
              <w:rPr>
                <w:sz w:val="24"/>
              </w:rPr>
            </w:pPr>
            <w:r>
              <w:rPr>
                <w:sz w:val="24"/>
              </w:rPr>
              <w:t>Rango</w:t>
            </w:r>
          </w:p>
        </w:tc>
        <w:tc>
          <w:tcPr>
            <w:tcW w:w="5188" w:type="dxa"/>
            <w:gridSpan w:val="3"/>
            <w:tcBorders>
              <w:top w:val="single" w:sz="8" w:space="0" w:color="000000"/>
              <w:bottom w:val="single" w:sz="8" w:space="0" w:color="000000"/>
            </w:tcBorders>
          </w:tcPr>
          <w:p>
            <w:pPr>
              <w:pStyle w:val="TableParagraph"/>
              <w:spacing w:before="55"/>
              <w:ind w:left="463" w:right="137"/>
              <w:jc w:val="left"/>
              <w:rPr>
                <w:sz w:val="24"/>
              </w:rPr>
            </w:pPr>
            <w:r>
              <w:rPr>
                <w:sz w:val="24"/>
              </w:rPr>
              <w:t>LC – 120% de la concentración objetivo</w:t>
            </w:r>
          </w:p>
        </w:tc>
      </w:tr>
      <w:tr>
        <w:trPr>
          <w:trHeight w:val="360" w:hRule="exact"/>
        </w:trPr>
        <w:tc>
          <w:tcPr>
            <w:tcW w:w="4006" w:type="dxa"/>
            <w:tcBorders>
              <w:top w:val="single" w:sz="8" w:space="0" w:color="000000"/>
            </w:tcBorders>
          </w:tcPr>
          <w:p>
            <w:pPr>
              <w:pStyle w:val="TableParagraph"/>
              <w:spacing w:before="55"/>
              <w:ind w:left="55"/>
              <w:jc w:val="left"/>
              <w:rPr>
                <w:sz w:val="24"/>
              </w:rPr>
            </w:pPr>
            <w:r>
              <w:rPr>
                <w:sz w:val="24"/>
              </w:rPr>
              <w:t>Robustez</w:t>
            </w:r>
          </w:p>
        </w:tc>
        <w:tc>
          <w:tcPr>
            <w:tcW w:w="5188" w:type="dxa"/>
            <w:gridSpan w:val="3"/>
            <w:tcBorders>
              <w:top w:val="single" w:sz="8" w:space="0" w:color="000000"/>
            </w:tcBorders>
          </w:tcPr>
          <w:p>
            <w:pPr>
              <w:pStyle w:val="TableParagraph"/>
              <w:spacing w:before="55"/>
              <w:ind w:left="2033" w:right="2032"/>
              <w:rPr>
                <w:sz w:val="24"/>
              </w:rPr>
            </w:pPr>
            <w:r>
              <w:rPr>
                <w:sz w:val="24"/>
              </w:rPr>
              <w:t>Conforme</w:t>
            </w:r>
          </w:p>
        </w:tc>
      </w:tr>
    </w:tbl>
    <w:p>
      <w:pPr>
        <w:spacing w:before="1"/>
        <w:ind w:left="302" w:right="118" w:firstLine="0"/>
        <w:jc w:val="left"/>
        <w:rPr>
          <w:sz w:val="18"/>
        </w:rPr>
      </w:pPr>
      <w:r>
        <w:rPr>
          <w:sz w:val="18"/>
        </w:rPr>
        <w:t>Fuente: Elaboración propia</w:t>
      </w:r>
    </w:p>
    <w:p>
      <w:pPr>
        <w:pStyle w:val="BodyText"/>
        <w:rPr>
          <w:sz w:val="18"/>
        </w:rPr>
      </w:pPr>
    </w:p>
    <w:p>
      <w:pPr>
        <w:pStyle w:val="BodyText"/>
        <w:spacing w:before="10"/>
        <w:rPr>
          <w:sz w:val="23"/>
        </w:rPr>
      </w:pPr>
    </w:p>
    <w:p>
      <w:pPr>
        <w:spacing w:before="1"/>
        <w:ind w:left="302" w:right="118" w:firstLine="0"/>
        <w:jc w:val="left"/>
        <w:rPr>
          <w:sz w:val="16"/>
        </w:rPr>
      </w:pPr>
      <w:r>
        <w:rPr>
          <w:position w:val="11"/>
          <w:sz w:val="16"/>
        </w:rPr>
        <w:t>1 </w:t>
      </w:r>
      <w:r>
        <w:rPr>
          <w:sz w:val="24"/>
        </w:rPr>
        <w:t>Relación CPS</w:t>
      </w:r>
      <w:r>
        <w:rPr>
          <w:position w:val="-2"/>
          <w:sz w:val="16"/>
        </w:rPr>
        <w:t>Analito</w:t>
      </w:r>
      <w:r>
        <w:rPr>
          <w:sz w:val="24"/>
        </w:rPr>
        <w:t>/CPS</w:t>
      </w:r>
      <w:r>
        <w:rPr>
          <w:position w:val="-2"/>
          <w:sz w:val="16"/>
        </w:rPr>
        <w:t>In</w:t>
      </w:r>
    </w:p>
    <w:p>
      <w:pPr>
        <w:pStyle w:val="BodyText"/>
        <w:rPr>
          <w:sz w:val="30"/>
        </w:rPr>
      </w:pPr>
    </w:p>
    <w:p>
      <w:pPr>
        <w:pStyle w:val="BodyText"/>
        <w:tabs>
          <w:tab w:pos="1717" w:val="left" w:leader="none"/>
        </w:tabs>
        <w:spacing w:line="360" w:lineRule="auto" w:before="194"/>
        <w:ind w:left="1718" w:right="1783" w:hanging="1416"/>
      </w:pPr>
      <w:r>
        <w:rPr/>
        <w:t>Donde:</w:t>
        <w:tab/>
        <w:t>CPS </w:t>
      </w:r>
      <w:r>
        <w:rPr>
          <w:sz w:val="16"/>
        </w:rPr>
        <w:t>analito</w:t>
      </w:r>
      <w:r>
        <w:rPr/>
        <w:t>: Cuentas por segundo del Analito (V, Co</w:t>
      </w:r>
      <w:r>
        <w:rPr>
          <w:spacing w:val="-12"/>
        </w:rPr>
        <w:t> </w:t>
      </w:r>
      <w:r>
        <w:rPr/>
        <w:t>y</w:t>
      </w:r>
      <w:r>
        <w:rPr>
          <w:spacing w:val="-4"/>
        </w:rPr>
        <w:t> </w:t>
      </w:r>
      <w:r>
        <w:rPr/>
        <w:t>Ni)</w:t>
      </w:r>
      <w:r>
        <w:rPr>
          <w:w w:val="99"/>
        </w:rPr>
        <w:t> </w:t>
      </w:r>
      <w:r>
        <w:rPr/>
        <w:t>CPS </w:t>
      </w:r>
      <w:r>
        <w:rPr>
          <w:sz w:val="16"/>
        </w:rPr>
        <w:t>In</w:t>
      </w:r>
      <w:r>
        <w:rPr/>
        <w:t>: Cuentas por segundo del estándar</w:t>
      </w:r>
      <w:r>
        <w:rPr>
          <w:spacing w:val="-14"/>
        </w:rPr>
        <w:t> </w:t>
      </w:r>
      <w:r>
        <w:rPr/>
        <w:t>interno</w:t>
      </w:r>
    </w:p>
    <w:p>
      <w:pPr>
        <w:spacing w:after="0" w:line="360" w:lineRule="auto"/>
        <w:sectPr>
          <w:pgSz w:w="12240" w:h="15840"/>
          <w:pgMar w:header="0" w:footer="919" w:top="1360" w:bottom="1100" w:left="1400" w:right="1380"/>
        </w:sectPr>
      </w:pPr>
    </w:p>
    <w:p>
      <w:pPr>
        <w:pStyle w:val="BodyText"/>
        <w:spacing w:line="360" w:lineRule="auto" w:before="56" w:after="7"/>
        <w:ind w:left="142" w:right="478"/>
      </w:pPr>
      <w:r>
        <w:rPr/>
        <w:t>Tabla 6.5. Resultados obtenidos de la validación del método para la determinación de Paladio</w:t>
      </w:r>
    </w:p>
    <w:tbl>
      <w:tblPr>
        <w:tblW w:w="0" w:type="auto"/>
        <w:jc w:val="left"/>
        <w:tblInd w:w="113"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CellMar>
          <w:top w:w="0" w:type="dxa"/>
          <w:left w:w="0" w:type="dxa"/>
          <w:bottom w:w="0" w:type="dxa"/>
          <w:right w:w="0" w:type="dxa"/>
        </w:tblCellMar>
        <w:tblLook w:val="01E0"/>
      </w:tblPr>
      <w:tblGrid>
        <w:gridCol w:w="5199"/>
        <w:gridCol w:w="4201"/>
      </w:tblGrid>
      <w:tr>
        <w:trPr>
          <w:trHeight w:val="374" w:hRule="exact"/>
        </w:trPr>
        <w:tc>
          <w:tcPr>
            <w:tcW w:w="5199" w:type="dxa"/>
            <w:shd w:val="clear" w:color="auto" w:fill="D9D9D9"/>
          </w:tcPr>
          <w:p>
            <w:pPr>
              <w:pStyle w:val="TableParagraph"/>
              <w:spacing w:line="272" w:lineRule="exact"/>
              <w:ind w:left="1971" w:right="1971"/>
              <w:rPr>
                <w:b/>
                <w:sz w:val="24"/>
              </w:rPr>
            </w:pPr>
            <w:r>
              <w:rPr>
                <w:b/>
                <w:sz w:val="24"/>
              </w:rPr>
              <w:t>Parámetro</w:t>
            </w:r>
          </w:p>
        </w:tc>
        <w:tc>
          <w:tcPr>
            <w:tcW w:w="4201" w:type="dxa"/>
            <w:shd w:val="clear" w:color="auto" w:fill="D9D9D9"/>
          </w:tcPr>
          <w:p>
            <w:pPr>
              <w:pStyle w:val="TableParagraph"/>
              <w:spacing w:line="272" w:lineRule="exact"/>
              <w:ind w:left="1486" w:right="1485"/>
              <w:rPr>
                <w:b/>
                <w:sz w:val="24"/>
              </w:rPr>
            </w:pPr>
            <w:r>
              <w:rPr>
                <w:b/>
                <w:sz w:val="24"/>
              </w:rPr>
              <w:t>Pd</w:t>
            </w:r>
          </w:p>
        </w:tc>
      </w:tr>
      <w:tr>
        <w:trPr>
          <w:trHeight w:val="352" w:hRule="exact"/>
        </w:trPr>
        <w:tc>
          <w:tcPr>
            <w:tcW w:w="5199" w:type="dxa"/>
            <w:tcBorders>
              <w:bottom w:val="nil"/>
            </w:tcBorders>
          </w:tcPr>
          <w:p>
            <w:pPr>
              <w:pStyle w:val="TableParagraph"/>
              <w:spacing w:before="17"/>
              <w:ind w:left="55"/>
              <w:jc w:val="left"/>
              <w:rPr>
                <w:sz w:val="24"/>
              </w:rPr>
            </w:pPr>
            <w:r>
              <w:rPr>
                <w:sz w:val="24"/>
              </w:rPr>
              <w:t>Estabilidad de la solución  estándar stock</w:t>
            </w:r>
          </w:p>
        </w:tc>
        <w:tc>
          <w:tcPr>
            <w:tcW w:w="4201" w:type="dxa"/>
            <w:vMerge w:val="restart"/>
          </w:tcPr>
          <w:p>
            <w:pPr>
              <w:pStyle w:val="TableParagraph"/>
              <w:spacing w:before="159"/>
              <w:ind w:left="1486" w:right="1486"/>
              <w:rPr>
                <w:sz w:val="24"/>
              </w:rPr>
            </w:pPr>
            <w:r>
              <w:rPr>
                <w:sz w:val="24"/>
              </w:rPr>
              <w:t>101</w:t>
            </w:r>
          </w:p>
        </w:tc>
      </w:tr>
      <w:tr>
        <w:trPr>
          <w:trHeight w:val="275" w:hRule="exact"/>
        </w:trPr>
        <w:tc>
          <w:tcPr>
            <w:tcW w:w="5199" w:type="dxa"/>
            <w:tcBorders>
              <w:top w:val="nil"/>
              <w:bottom w:val="single" w:sz="8" w:space="0" w:color="000000"/>
            </w:tcBorders>
          </w:tcPr>
          <w:p>
            <w:pPr>
              <w:pStyle w:val="TableParagraph"/>
              <w:spacing w:before="26"/>
              <w:ind w:left="55"/>
              <w:jc w:val="left"/>
              <w:rPr>
                <w:sz w:val="18"/>
              </w:rPr>
            </w:pPr>
            <w:r>
              <w:rPr>
                <w:sz w:val="18"/>
              </w:rPr>
              <w:t>(%Recobro 93 horas/ refrigeración)</w:t>
            </w:r>
          </w:p>
        </w:tc>
        <w:tc>
          <w:tcPr>
            <w:tcW w:w="4201" w:type="dxa"/>
            <w:vMerge/>
            <w:tcBorders>
              <w:bottom w:val="single" w:sz="8" w:space="0" w:color="000000"/>
            </w:tcBorders>
          </w:tcPr>
          <w:p>
            <w:pPr/>
          </w:p>
        </w:tc>
      </w:tr>
      <w:tr>
        <w:trPr>
          <w:trHeight w:val="324" w:hRule="exact"/>
        </w:trPr>
        <w:tc>
          <w:tcPr>
            <w:tcW w:w="5199" w:type="dxa"/>
            <w:tcBorders>
              <w:top w:val="single" w:sz="8" w:space="0" w:color="000000"/>
              <w:bottom w:val="nil"/>
            </w:tcBorders>
          </w:tcPr>
          <w:p>
            <w:pPr>
              <w:pStyle w:val="TableParagraph"/>
              <w:spacing w:before="7"/>
              <w:ind w:left="55"/>
              <w:jc w:val="left"/>
              <w:rPr>
                <w:sz w:val="24"/>
              </w:rPr>
            </w:pPr>
            <w:r>
              <w:rPr>
                <w:sz w:val="24"/>
              </w:rPr>
              <w:t>Estabilidad de la solución  estándar de trabajo</w:t>
            </w:r>
          </w:p>
        </w:tc>
        <w:tc>
          <w:tcPr>
            <w:tcW w:w="4201" w:type="dxa"/>
            <w:vMerge w:val="restart"/>
            <w:tcBorders>
              <w:top w:val="single" w:sz="8" w:space="0" w:color="000000"/>
            </w:tcBorders>
          </w:tcPr>
          <w:p>
            <w:pPr>
              <w:pStyle w:val="TableParagraph"/>
              <w:spacing w:before="139"/>
              <w:ind w:left="1486" w:right="1486"/>
              <w:rPr>
                <w:sz w:val="24"/>
              </w:rPr>
            </w:pPr>
            <w:r>
              <w:rPr>
                <w:sz w:val="24"/>
              </w:rPr>
              <w:t>98</w:t>
            </w:r>
          </w:p>
        </w:tc>
      </w:tr>
      <w:tr>
        <w:trPr>
          <w:trHeight w:val="259" w:hRule="exact"/>
        </w:trPr>
        <w:tc>
          <w:tcPr>
            <w:tcW w:w="5199" w:type="dxa"/>
            <w:tcBorders>
              <w:top w:val="nil"/>
              <w:bottom w:val="single" w:sz="8" w:space="0" w:color="000000"/>
            </w:tcBorders>
          </w:tcPr>
          <w:p>
            <w:pPr>
              <w:pStyle w:val="TableParagraph"/>
              <w:spacing w:before="13"/>
              <w:ind w:left="55"/>
              <w:jc w:val="left"/>
              <w:rPr>
                <w:sz w:val="18"/>
              </w:rPr>
            </w:pPr>
            <w:r>
              <w:rPr>
                <w:sz w:val="18"/>
              </w:rPr>
              <w:t>(%Recobro 92 horas/ temperatura ambiente)</w:t>
            </w:r>
          </w:p>
        </w:tc>
        <w:tc>
          <w:tcPr>
            <w:tcW w:w="4201" w:type="dxa"/>
            <w:vMerge/>
            <w:tcBorders>
              <w:bottom w:val="single" w:sz="8" w:space="0" w:color="000000"/>
            </w:tcBorders>
          </w:tcPr>
          <w:p>
            <w:pPr/>
          </w:p>
        </w:tc>
      </w:tr>
      <w:tr>
        <w:trPr>
          <w:trHeight w:val="397" w:hRule="exact"/>
        </w:trPr>
        <w:tc>
          <w:tcPr>
            <w:tcW w:w="5199" w:type="dxa"/>
            <w:tcBorders>
              <w:top w:val="single" w:sz="8" w:space="0" w:color="000000"/>
              <w:bottom w:val="nil"/>
              <w:right w:val="single" w:sz="8" w:space="0" w:color="000000"/>
            </w:tcBorders>
          </w:tcPr>
          <w:p>
            <w:pPr>
              <w:pStyle w:val="TableParagraph"/>
              <w:spacing w:before="10"/>
              <w:ind w:left="55"/>
              <w:jc w:val="left"/>
              <w:rPr>
                <w:sz w:val="24"/>
              </w:rPr>
            </w:pPr>
            <w:r>
              <w:rPr>
                <w:sz w:val="24"/>
              </w:rPr>
              <w:t>Estabilidad de la solución muestra</w:t>
            </w:r>
          </w:p>
        </w:tc>
        <w:tc>
          <w:tcPr>
            <w:tcW w:w="4201" w:type="dxa"/>
            <w:vMerge w:val="restart"/>
            <w:tcBorders>
              <w:top w:val="single" w:sz="8" w:space="0" w:color="000000"/>
              <w:left w:val="single" w:sz="8" w:space="0" w:color="000000"/>
              <w:right w:val="single" w:sz="8" w:space="0" w:color="000000"/>
            </w:tcBorders>
          </w:tcPr>
          <w:p>
            <w:pPr>
              <w:pStyle w:val="TableParagraph"/>
              <w:ind w:left="127" w:right="128"/>
              <w:rPr>
                <w:sz w:val="24"/>
              </w:rPr>
            </w:pPr>
            <w:r>
              <w:rPr>
                <w:sz w:val="24"/>
              </w:rPr>
              <w:t>La respuesta de Pd no incrementa ni disminuye por arriba del límite de cuantificación</w:t>
            </w:r>
          </w:p>
        </w:tc>
      </w:tr>
      <w:tr>
        <w:trPr>
          <w:trHeight w:val="452" w:hRule="exact"/>
        </w:trPr>
        <w:tc>
          <w:tcPr>
            <w:tcW w:w="5199" w:type="dxa"/>
            <w:tcBorders>
              <w:top w:val="nil"/>
              <w:bottom w:val="single" w:sz="8" w:space="0" w:color="000000"/>
              <w:right w:val="single" w:sz="8" w:space="0" w:color="000000"/>
            </w:tcBorders>
          </w:tcPr>
          <w:p>
            <w:pPr>
              <w:pStyle w:val="TableParagraph"/>
              <w:spacing w:before="84"/>
              <w:ind w:left="55"/>
              <w:jc w:val="left"/>
              <w:rPr>
                <w:sz w:val="18"/>
              </w:rPr>
            </w:pPr>
            <w:r>
              <w:rPr>
                <w:sz w:val="18"/>
              </w:rPr>
              <w:t>(%Recobro 92 horas/ temperatura ambiente)</w:t>
            </w:r>
          </w:p>
        </w:tc>
        <w:tc>
          <w:tcPr>
            <w:tcW w:w="4201" w:type="dxa"/>
            <w:vMerge/>
            <w:tcBorders>
              <w:left w:val="single" w:sz="8" w:space="0" w:color="000000"/>
              <w:bottom w:val="single" w:sz="8" w:space="0" w:color="000000"/>
              <w:right w:val="single" w:sz="8" w:space="0" w:color="000000"/>
            </w:tcBorders>
          </w:tcPr>
          <w:p>
            <w:pPr/>
          </w:p>
        </w:tc>
      </w:tr>
      <w:tr>
        <w:trPr>
          <w:trHeight w:val="397" w:hRule="exact"/>
        </w:trPr>
        <w:tc>
          <w:tcPr>
            <w:tcW w:w="5199" w:type="dxa"/>
            <w:tcBorders>
              <w:top w:val="single" w:sz="8" w:space="0" w:color="000000"/>
              <w:bottom w:val="single" w:sz="8" w:space="0" w:color="000000"/>
            </w:tcBorders>
          </w:tcPr>
          <w:p>
            <w:pPr>
              <w:pStyle w:val="TableParagraph"/>
              <w:spacing w:before="11"/>
              <w:ind w:left="55"/>
              <w:jc w:val="left"/>
              <w:rPr>
                <w:sz w:val="24"/>
              </w:rPr>
            </w:pPr>
            <w:r>
              <w:rPr>
                <w:sz w:val="24"/>
              </w:rPr>
              <w:t>Linealidad (r</w:t>
            </w:r>
            <w:r>
              <w:rPr>
                <w:position w:val="11"/>
                <w:sz w:val="16"/>
              </w:rPr>
              <w:t>2</w:t>
            </w:r>
            <w:r>
              <w:rPr>
                <w:sz w:val="24"/>
              </w:rPr>
              <w:t>)</w:t>
            </w:r>
          </w:p>
        </w:tc>
        <w:tc>
          <w:tcPr>
            <w:tcW w:w="4201" w:type="dxa"/>
            <w:tcBorders>
              <w:top w:val="single" w:sz="8" w:space="0" w:color="000000"/>
              <w:bottom w:val="single" w:sz="8" w:space="0" w:color="000000"/>
            </w:tcBorders>
          </w:tcPr>
          <w:p>
            <w:pPr>
              <w:pStyle w:val="TableParagraph"/>
              <w:spacing w:before="96"/>
              <w:ind w:left="1485" w:right="1486"/>
              <w:rPr>
                <w:sz w:val="24"/>
              </w:rPr>
            </w:pPr>
            <w:r>
              <w:rPr>
                <w:sz w:val="24"/>
              </w:rPr>
              <w:t>1.00</w:t>
            </w:r>
          </w:p>
        </w:tc>
      </w:tr>
      <w:tr>
        <w:trPr>
          <w:trHeight w:val="349" w:hRule="exact"/>
        </w:trPr>
        <w:tc>
          <w:tcPr>
            <w:tcW w:w="5199" w:type="dxa"/>
            <w:tcBorders>
              <w:top w:val="single" w:sz="8" w:space="0" w:color="000000"/>
              <w:bottom w:val="nil"/>
            </w:tcBorders>
          </w:tcPr>
          <w:p>
            <w:pPr>
              <w:pStyle w:val="TableParagraph"/>
              <w:spacing w:before="22"/>
              <w:ind w:left="55"/>
              <w:jc w:val="left"/>
              <w:rPr>
                <w:sz w:val="24"/>
              </w:rPr>
            </w:pPr>
            <w:r>
              <w:rPr>
                <w:sz w:val="24"/>
              </w:rPr>
              <w:t>Límite de Cuantificación</w:t>
            </w:r>
          </w:p>
        </w:tc>
        <w:tc>
          <w:tcPr>
            <w:tcW w:w="4201" w:type="dxa"/>
            <w:tcBorders>
              <w:top w:val="single" w:sz="8" w:space="0" w:color="000000"/>
              <w:bottom w:val="nil"/>
            </w:tcBorders>
          </w:tcPr>
          <w:p>
            <w:pPr/>
          </w:p>
        </w:tc>
      </w:tr>
      <w:tr>
        <w:trPr>
          <w:trHeight w:val="300" w:hRule="exact"/>
        </w:trPr>
        <w:tc>
          <w:tcPr>
            <w:tcW w:w="5199" w:type="dxa"/>
            <w:tcBorders>
              <w:top w:val="nil"/>
              <w:bottom w:val="nil"/>
            </w:tcBorders>
          </w:tcPr>
          <w:p>
            <w:pPr>
              <w:pStyle w:val="TableParagraph"/>
              <w:spacing w:before="18"/>
              <w:ind w:left="55"/>
              <w:jc w:val="left"/>
              <w:rPr>
                <w:sz w:val="22"/>
              </w:rPr>
            </w:pPr>
            <w:r>
              <w:rPr>
                <w:sz w:val="22"/>
              </w:rPr>
              <w:t>Concentración en µg/L</w:t>
            </w:r>
          </w:p>
        </w:tc>
        <w:tc>
          <w:tcPr>
            <w:tcW w:w="4201" w:type="dxa"/>
            <w:tcBorders>
              <w:top w:val="nil"/>
              <w:bottom w:val="nil"/>
            </w:tcBorders>
          </w:tcPr>
          <w:p>
            <w:pPr>
              <w:pStyle w:val="TableParagraph"/>
              <w:spacing w:line="262" w:lineRule="exact"/>
              <w:ind w:left="1485" w:right="1486"/>
              <w:rPr>
                <w:sz w:val="24"/>
              </w:rPr>
            </w:pPr>
            <w:r>
              <w:rPr>
                <w:sz w:val="24"/>
              </w:rPr>
              <w:t>12.5</w:t>
            </w:r>
          </w:p>
        </w:tc>
      </w:tr>
      <w:tr>
        <w:trPr>
          <w:trHeight w:val="305" w:hRule="exact"/>
        </w:trPr>
        <w:tc>
          <w:tcPr>
            <w:tcW w:w="5199" w:type="dxa"/>
            <w:tcBorders>
              <w:top w:val="nil"/>
              <w:bottom w:val="nil"/>
            </w:tcBorders>
          </w:tcPr>
          <w:p>
            <w:pPr>
              <w:pStyle w:val="TableParagraph"/>
              <w:spacing w:before="28"/>
              <w:ind w:left="55"/>
              <w:jc w:val="left"/>
              <w:rPr>
                <w:sz w:val="22"/>
              </w:rPr>
            </w:pPr>
            <w:r>
              <w:rPr>
                <w:sz w:val="22"/>
              </w:rPr>
              <w:t>ppm de la concentración de la muestra</w:t>
            </w:r>
          </w:p>
        </w:tc>
        <w:tc>
          <w:tcPr>
            <w:tcW w:w="4201" w:type="dxa"/>
            <w:tcBorders>
              <w:top w:val="nil"/>
              <w:bottom w:val="nil"/>
            </w:tcBorders>
          </w:tcPr>
          <w:p>
            <w:pPr>
              <w:pStyle w:val="TableParagraph"/>
              <w:spacing w:before="2"/>
              <w:ind w:left="1485" w:right="1486"/>
              <w:rPr>
                <w:sz w:val="24"/>
              </w:rPr>
            </w:pPr>
            <w:r>
              <w:rPr>
                <w:sz w:val="24"/>
              </w:rPr>
              <w:t>2.5</w:t>
            </w:r>
          </w:p>
        </w:tc>
      </w:tr>
      <w:tr>
        <w:trPr>
          <w:trHeight w:val="287" w:hRule="exact"/>
        </w:trPr>
        <w:tc>
          <w:tcPr>
            <w:tcW w:w="5199" w:type="dxa"/>
            <w:tcBorders>
              <w:top w:val="nil"/>
              <w:bottom w:val="single" w:sz="8" w:space="0" w:color="000000"/>
            </w:tcBorders>
          </w:tcPr>
          <w:p>
            <w:pPr>
              <w:pStyle w:val="TableParagraph"/>
              <w:spacing w:before="11"/>
              <w:ind w:left="55"/>
              <w:jc w:val="left"/>
              <w:rPr>
                <w:sz w:val="16"/>
              </w:rPr>
            </w:pPr>
            <w:r>
              <w:rPr>
                <w:sz w:val="22"/>
              </w:rPr>
              <w:t>%DER de la respuesta CPS </w:t>
            </w:r>
            <w:r>
              <w:rPr>
                <w:sz w:val="16"/>
              </w:rPr>
              <w:t>Pd</w:t>
            </w:r>
          </w:p>
        </w:tc>
        <w:tc>
          <w:tcPr>
            <w:tcW w:w="4201" w:type="dxa"/>
            <w:tcBorders>
              <w:top w:val="nil"/>
              <w:bottom w:val="single" w:sz="8" w:space="0" w:color="000000"/>
            </w:tcBorders>
          </w:tcPr>
          <w:p>
            <w:pPr>
              <w:pStyle w:val="TableParagraph"/>
              <w:spacing w:line="274" w:lineRule="exact"/>
              <w:rPr>
                <w:sz w:val="24"/>
              </w:rPr>
            </w:pPr>
            <w:r>
              <w:rPr>
                <w:w w:val="99"/>
                <w:sz w:val="24"/>
              </w:rPr>
              <w:t>3</w:t>
            </w:r>
          </w:p>
        </w:tc>
      </w:tr>
      <w:tr>
        <w:trPr>
          <w:trHeight w:val="332" w:hRule="exact"/>
        </w:trPr>
        <w:tc>
          <w:tcPr>
            <w:tcW w:w="5199" w:type="dxa"/>
            <w:tcBorders>
              <w:top w:val="single" w:sz="8" w:space="0" w:color="000000"/>
              <w:bottom w:val="nil"/>
            </w:tcBorders>
          </w:tcPr>
          <w:p>
            <w:pPr>
              <w:pStyle w:val="TableParagraph"/>
              <w:spacing w:before="15"/>
              <w:ind w:left="55"/>
              <w:jc w:val="left"/>
              <w:rPr>
                <w:sz w:val="24"/>
              </w:rPr>
            </w:pPr>
            <w:r>
              <w:rPr>
                <w:sz w:val="24"/>
              </w:rPr>
              <w:t>Límite de Detección</w:t>
            </w:r>
          </w:p>
        </w:tc>
        <w:tc>
          <w:tcPr>
            <w:tcW w:w="4201" w:type="dxa"/>
            <w:tcBorders>
              <w:top w:val="single" w:sz="8" w:space="0" w:color="000000"/>
              <w:bottom w:val="nil"/>
            </w:tcBorders>
          </w:tcPr>
          <w:p>
            <w:pPr/>
          </w:p>
        </w:tc>
      </w:tr>
      <w:tr>
        <w:trPr>
          <w:trHeight w:val="330" w:hRule="exact"/>
        </w:trPr>
        <w:tc>
          <w:tcPr>
            <w:tcW w:w="5199" w:type="dxa"/>
            <w:tcBorders>
              <w:top w:val="nil"/>
              <w:bottom w:val="nil"/>
            </w:tcBorders>
          </w:tcPr>
          <w:p>
            <w:pPr>
              <w:pStyle w:val="TableParagraph"/>
              <w:spacing w:before="6"/>
              <w:ind w:left="55"/>
              <w:jc w:val="left"/>
              <w:rPr>
                <w:sz w:val="24"/>
              </w:rPr>
            </w:pPr>
            <w:r>
              <w:rPr>
                <w:sz w:val="24"/>
              </w:rPr>
              <w:t>Concentración in µg/L</w:t>
            </w:r>
          </w:p>
        </w:tc>
        <w:tc>
          <w:tcPr>
            <w:tcW w:w="4201" w:type="dxa"/>
            <w:tcBorders>
              <w:top w:val="nil"/>
              <w:bottom w:val="nil"/>
            </w:tcBorders>
          </w:tcPr>
          <w:p>
            <w:pPr>
              <w:pStyle w:val="TableParagraph"/>
              <w:spacing w:before="28"/>
              <w:ind w:left="1485" w:right="1486"/>
              <w:rPr>
                <w:sz w:val="24"/>
              </w:rPr>
            </w:pPr>
            <w:r>
              <w:rPr>
                <w:sz w:val="24"/>
              </w:rPr>
              <w:t>6.25</w:t>
            </w:r>
          </w:p>
        </w:tc>
      </w:tr>
      <w:tr>
        <w:trPr>
          <w:trHeight w:val="317" w:hRule="exact"/>
        </w:trPr>
        <w:tc>
          <w:tcPr>
            <w:tcW w:w="5199" w:type="dxa"/>
            <w:tcBorders>
              <w:top w:val="nil"/>
              <w:bottom w:val="single" w:sz="8" w:space="0" w:color="000000"/>
            </w:tcBorders>
          </w:tcPr>
          <w:p>
            <w:pPr>
              <w:pStyle w:val="TableParagraph"/>
              <w:ind w:left="55"/>
              <w:jc w:val="left"/>
              <w:rPr>
                <w:sz w:val="24"/>
              </w:rPr>
            </w:pPr>
            <w:r>
              <w:rPr>
                <w:sz w:val="24"/>
              </w:rPr>
              <w:t>ppm de la concentración de la muestra</w:t>
            </w:r>
          </w:p>
        </w:tc>
        <w:tc>
          <w:tcPr>
            <w:tcW w:w="4201" w:type="dxa"/>
            <w:tcBorders>
              <w:top w:val="nil"/>
              <w:bottom w:val="single" w:sz="8" w:space="0" w:color="000000"/>
            </w:tcBorders>
          </w:tcPr>
          <w:p>
            <w:pPr>
              <w:pStyle w:val="TableParagraph"/>
              <w:spacing w:before="27"/>
              <w:ind w:left="1485" w:right="1486"/>
              <w:rPr>
                <w:sz w:val="24"/>
              </w:rPr>
            </w:pPr>
            <w:r>
              <w:rPr>
                <w:sz w:val="24"/>
              </w:rPr>
              <w:t>1.25</w:t>
            </w:r>
          </w:p>
        </w:tc>
      </w:tr>
      <w:tr>
        <w:trPr>
          <w:trHeight w:val="408" w:hRule="exact"/>
        </w:trPr>
        <w:tc>
          <w:tcPr>
            <w:tcW w:w="5199" w:type="dxa"/>
            <w:tcBorders>
              <w:top w:val="single" w:sz="8" w:space="0" w:color="000000"/>
              <w:bottom w:val="nil"/>
            </w:tcBorders>
          </w:tcPr>
          <w:p>
            <w:pPr>
              <w:pStyle w:val="TableParagraph"/>
              <w:spacing w:before="58"/>
              <w:ind w:left="55"/>
              <w:jc w:val="left"/>
              <w:rPr>
                <w:sz w:val="24"/>
              </w:rPr>
            </w:pPr>
            <w:r>
              <w:rPr>
                <w:sz w:val="24"/>
              </w:rPr>
              <w:t>Exactitud (% recobro)</w:t>
            </w:r>
          </w:p>
        </w:tc>
        <w:tc>
          <w:tcPr>
            <w:tcW w:w="4201" w:type="dxa"/>
            <w:tcBorders>
              <w:top w:val="single" w:sz="8" w:space="0" w:color="000000"/>
              <w:bottom w:val="nil"/>
            </w:tcBorders>
          </w:tcPr>
          <w:p>
            <w:pPr/>
          </w:p>
        </w:tc>
      </w:tr>
      <w:tr>
        <w:trPr>
          <w:trHeight w:val="397" w:hRule="exact"/>
        </w:trPr>
        <w:tc>
          <w:tcPr>
            <w:tcW w:w="5199" w:type="dxa"/>
            <w:tcBorders>
              <w:top w:val="nil"/>
              <w:bottom w:val="nil"/>
            </w:tcBorders>
          </w:tcPr>
          <w:p>
            <w:pPr>
              <w:pStyle w:val="TableParagraph"/>
              <w:spacing w:before="39"/>
              <w:ind w:left="55"/>
              <w:jc w:val="left"/>
              <w:rPr>
                <w:sz w:val="24"/>
              </w:rPr>
            </w:pPr>
            <w:r>
              <w:rPr>
                <w:sz w:val="24"/>
              </w:rPr>
              <w:t>Al límite de cuantificación</w:t>
            </w:r>
          </w:p>
        </w:tc>
        <w:tc>
          <w:tcPr>
            <w:tcW w:w="4201" w:type="dxa"/>
            <w:tcBorders>
              <w:top w:val="nil"/>
              <w:bottom w:val="nil"/>
            </w:tcBorders>
          </w:tcPr>
          <w:p>
            <w:pPr>
              <w:pStyle w:val="TableParagraph"/>
              <w:spacing w:before="77"/>
              <w:ind w:left="1486" w:right="1486"/>
              <w:rPr>
                <w:sz w:val="24"/>
              </w:rPr>
            </w:pPr>
            <w:r>
              <w:rPr>
                <w:sz w:val="24"/>
              </w:rPr>
              <w:t>79</w:t>
            </w:r>
          </w:p>
        </w:tc>
      </w:tr>
      <w:tr>
        <w:trPr>
          <w:trHeight w:val="377" w:hRule="exact"/>
        </w:trPr>
        <w:tc>
          <w:tcPr>
            <w:tcW w:w="5199" w:type="dxa"/>
            <w:tcBorders>
              <w:top w:val="nil"/>
              <w:bottom w:val="nil"/>
            </w:tcBorders>
          </w:tcPr>
          <w:p>
            <w:pPr>
              <w:pStyle w:val="TableParagraph"/>
              <w:spacing w:before="18"/>
              <w:ind w:left="55"/>
              <w:jc w:val="left"/>
              <w:rPr>
                <w:sz w:val="24"/>
              </w:rPr>
            </w:pPr>
            <w:r>
              <w:rPr>
                <w:sz w:val="24"/>
              </w:rPr>
              <w:t>Al 100% de la especificación</w:t>
            </w:r>
          </w:p>
        </w:tc>
        <w:tc>
          <w:tcPr>
            <w:tcW w:w="4201" w:type="dxa"/>
            <w:tcBorders>
              <w:top w:val="nil"/>
              <w:bottom w:val="nil"/>
            </w:tcBorders>
          </w:tcPr>
          <w:p>
            <w:pPr>
              <w:pStyle w:val="TableParagraph"/>
              <w:spacing w:before="57"/>
              <w:ind w:left="1486" w:right="1486"/>
              <w:rPr>
                <w:sz w:val="24"/>
              </w:rPr>
            </w:pPr>
            <w:r>
              <w:rPr>
                <w:sz w:val="24"/>
              </w:rPr>
              <w:t>96</w:t>
            </w:r>
          </w:p>
        </w:tc>
      </w:tr>
      <w:tr>
        <w:trPr>
          <w:trHeight w:val="352" w:hRule="exact"/>
        </w:trPr>
        <w:tc>
          <w:tcPr>
            <w:tcW w:w="5199" w:type="dxa"/>
            <w:tcBorders>
              <w:top w:val="nil"/>
            </w:tcBorders>
          </w:tcPr>
          <w:p>
            <w:pPr>
              <w:pStyle w:val="TableParagraph"/>
              <w:spacing w:before="18"/>
              <w:ind w:left="55"/>
              <w:jc w:val="left"/>
              <w:rPr>
                <w:sz w:val="24"/>
              </w:rPr>
            </w:pPr>
            <w:r>
              <w:rPr>
                <w:sz w:val="24"/>
              </w:rPr>
              <w:t>Al 120% de la especificación</w:t>
            </w:r>
          </w:p>
        </w:tc>
        <w:tc>
          <w:tcPr>
            <w:tcW w:w="4201" w:type="dxa"/>
            <w:tcBorders>
              <w:top w:val="nil"/>
            </w:tcBorders>
          </w:tcPr>
          <w:p>
            <w:pPr>
              <w:pStyle w:val="TableParagraph"/>
              <w:spacing w:before="57"/>
              <w:ind w:left="1486" w:right="1486"/>
              <w:rPr>
                <w:sz w:val="24"/>
              </w:rPr>
            </w:pPr>
            <w:r>
              <w:rPr>
                <w:sz w:val="24"/>
              </w:rPr>
              <w:t>96</w:t>
            </w:r>
          </w:p>
        </w:tc>
      </w:tr>
      <w:tr>
        <w:trPr>
          <w:trHeight w:val="350" w:hRule="exact"/>
        </w:trPr>
        <w:tc>
          <w:tcPr>
            <w:tcW w:w="5199" w:type="dxa"/>
            <w:tcBorders>
              <w:bottom w:val="nil"/>
            </w:tcBorders>
          </w:tcPr>
          <w:p>
            <w:pPr>
              <w:pStyle w:val="TableParagraph"/>
              <w:spacing w:before="17"/>
              <w:ind w:left="55"/>
              <w:jc w:val="left"/>
              <w:rPr>
                <w:sz w:val="24"/>
              </w:rPr>
            </w:pPr>
            <w:r>
              <w:rPr>
                <w:sz w:val="24"/>
              </w:rPr>
              <w:t>Precisión</w:t>
            </w:r>
          </w:p>
        </w:tc>
        <w:tc>
          <w:tcPr>
            <w:tcW w:w="4201" w:type="dxa"/>
            <w:vMerge w:val="restart"/>
          </w:tcPr>
          <w:p>
            <w:pPr>
              <w:pStyle w:val="TableParagraph"/>
              <w:spacing w:before="185"/>
              <w:rPr>
                <w:sz w:val="24"/>
              </w:rPr>
            </w:pPr>
            <w:r>
              <w:rPr>
                <w:w w:val="99"/>
                <w:sz w:val="24"/>
              </w:rPr>
              <w:t>3</w:t>
            </w:r>
          </w:p>
        </w:tc>
      </w:tr>
      <w:tr>
        <w:trPr>
          <w:trHeight w:val="326" w:hRule="exact"/>
        </w:trPr>
        <w:tc>
          <w:tcPr>
            <w:tcW w:w="5199" w:type="dxa"/>
            <w:tcBorders>
              <w:top w:val="nil"/>
              <w:bottom w:val="single" w:sz="8" w:space="0" w:color="000000"/>
            </w:tcBorders>
          </w:tcPr>
          <w:p>
            <w:pPr>
              <w:pStyle w:val="TableParagraph"/>
              <w:spacing w:before="17"/>
              <w:ind w:left="55"/>
              <w:jc w:val="left"/>
              <w:rPr>
                <w:sz w:val="24"/>
              </w:rPr>
            </w:pPr>
            <w:r>
              <w:rPr>
                <w:sz w:val="24"/>
              </w:rPr>
              <w:t>(% de diferencia de los promedios)</w:t>
            </w:r>
          </w:p>
        </w:tc>
        <w:tc>
          <w:tcPr>
            <w:tcW w:w="4201" w:type="dxa"/>
            <w:vMerge/>
            <w:tcBorders>
              <w:bottom w:val="single" w:sz="8" w:space="0" w:color="000000"/>
            </w:tcBorders>
          </w:tcPr>
          <w:p>
            <w:pPr/>
          </w:p>
        </w:tc>
      </w:tr>
      <w:tr>
        <w:trPr>
          <w:trHeight w:val="619" w:hRule="exact"/>
        </w:trPr>
        <w:tc>
          <w:tcPr>
            <w:tcW w:w="5199" w:type="dxa"/>
            <w:tcBorders>
              <w:top w:val="single" w:sz="8" w:space="0" w:color="000000"/>
              <w:bottom w:val="single" w:sz="8" w:space="0" w:color="000000"/>
            </w:tcBorders>
          </w:tcPr>
          <w:p>
            <w:pPr>
              <w:pStyle w:val="TableParagraph"/>
              <w:spacing w:before="159"/>
              <w:ind w:left="55"/>
              <w:jc w:val="left"/>
              <w:rPr>
                <w:sz w:val="24"/>
              </w:rPr>
            </w:pPr>
            <w:r>
              <w:rPr>
                <w:sz w:val="24"/>
              </w:rPr>
              <w:t>Rango</w:t>
            </w:r>
          </w:p>
        </w:tc>
        <w:tc>
          <w:tcPr>
            <w:tcW w:w="4201" w:type="dxa"/>
            <w:tcBorders>
              <w:top w:val="single" w:sz="8" w:space="0" w:color="000000"/>
              <w:bottom w:val="single" w:sz="8" w:space="0" w:color="000000"/>
            </w:tcBorders>
          </w:tcPr>
          <w:p>
            <w:pPr>
              <w:pStyle w:val="TableParagraph"/>
              <w:spacing w:before="43"/>
              <w:ind w:left="1670" w:right="400" w:hanging="1254"/>
              <w:jc w:val="left"/>
              <w:rPr>
                <w:sz w:val="24"/>
              </w:rPr>
            </w:pPr>
            <w:r>
              <w:rPr>
                <w:sz w:val="24"/>
              </w:rPr>
              <w:t>LC – 120% de la concentración objetivo</w:t>
            </w:r>
          </w:p>
        </w:tc>
      </w:tr>
      <w:tr>
        <w:trPr>
          <w:trHeight w:val="353" w:hRule="exact"/>
        </w:trPr>
        <w:tc>
          <w:tcPr>
            <w:tcW w:w="5199" w:type="dxa"/>
            <w:tcBorders>
              <w:top w:val="single" w:sz="8" w:space="0" w:color="000000"/>
            </w:tcBorders>
          </w:tcPr>
          <w:p>
            <w:pPr>
              <w:pStyle w:val="TableParagraph"/>
              <w:spacing w:before="24"/>
              <w:ind w:left="55"/>
              <w:jc w:val="left"/>
              <w:rPr>
                <w:sz w:val="24"/>
              </w:rPr>
            </w:pPr>
            <w:r>
              <w:rPr>
                <w:sz w:val="24"/>
              </w:rPr>
              <w:t>Robustez</w:t>
            </w:r>
          </w:p>
        </w:tc>
        <w:tc>
          <w:tcPr>
            <w:tcW w:w="4201" w:type="dxa"/>
            <w:tcBorders>
              <w:top w:val="single" w:sz="8" w:space="0" w:color="000000"/>
            </w:tcBorders>
          </w:tcPr>
          <w:p>
            <w:pPr>
              <w:pStyle w:val="TableParagraph"/>
              <w:spacing w:before="51"/>
              <w:ind w:left="1485" w:right="1486"/>
              <w:rPr>
                <w:sz w:val="24"/>
              </w:rPr>
            </w:pPr>
            <w:r>
              <w:rPr>
                <w:sz w:val="24"/>
              </w:rPr>
              <w:t>Conforme</w:t>
            </w:r>
          </w:p>
        </w:tc>
      </w:tr>
    </w:tbl>
    <w:p>
      <w:pPr>
        <w:spacing w:before="1"/>
        <w:ind w:left="142" w:right="0" w:firstLine="0"/>
        <w:jc w:val="both"/>
        <w:rPr>
          <w:sz w:val="18"/>
        </w:rPr>
      </w:pPr>
      <w:r>
        <w:rPr>
          <w:sz w:val="18"/>
        </w:rPr>
        <w:t>Fuente: Elaboración propia</w:t>
      </w:r>
    </w:p>
    <w:p>
      <w:pPr>
        <w:pStyle w:val="BodyText"/>
        <w:spacing w:before="104"/>
        <w:ind w:left="142"/>
        <w:jc w:val="both"/>
      </w:pPr>
      <w:r>
        <w:rPr/>
        <w:t>CPS </w:t>
      </w:r>
      <w:r>
        <w:rPr>
          <w:sz w:val="16"/>
        </w:rPr>
        <w:t>Pd</w:t>
      </w:r>
      <w:r>
        <w:rPr/>
        <w:t>: Cuentas por segundo de Pd</w:t>
      </w:r>
    </w:p>
    <w:p>
      <w:pPr>
        <w:pStyle w:val="BodyText"/>
      </w:pPr>
    </w:p>
    <w:p>
      <w:pPr>
        <w:pStyle w:val="BodyText"/>
      </w:pPr>
    </w:p>
    <w:p>
      <w:pPr>
        <w:pStyle w:val="BodyText"/>
        <w:spacing w:line="360" w:lineRule="auto"/>
        <w:ind w:left="142" w:right="675"/>
        <w:jc w:val="both"/>
      </w:pPr>
      <w:r>
        <w:rPr/>
        <w:t>Los resultados de estas validaciones indican que los métodos analíticos son adecuados para el propósito que fueron diseñados ya que son capaces de cuantificar las IE de interés a los niveles más estrictos que solicitan las diferentes agencias reguladoras por ser precisos, exactos y robustos; y se consideran vigentes mientras no haya modificaciones en el proceso de manufactura del API que pudiera afectar a la preparación de la muestra, o algún cambio en los requerimientos regulatorios</w:t>
      </w:r>
    </w:p>
    <w:p>
      <w:pPr>
        <w:spacing w:after="0" w:line="360" w:lineRule="auto"/>
        <w:jc w:val="both"/>
        <w:sectPr>
          <w:pgSz w:w="12240" w:h="15840"/>
          <w:pgMar w:header="0" w:footer="919" w:top="1360" w:bottom="1100" w:left="1560" w:right="1020"/>
        </w:sectPr>
      </w:pPr>
    </w:p>
    <w:p>
      <w:pPr>
        <w:pStyle w:val="Heading1"/>
        <w:numPr>
          <w:ilvl w:val="1"/>
          <w:numId w:val="7"/>
        </w:numPr>
        <w:tabs>
          <w:tab w:pos="566" w:val="left" w:leader="none"/>
        </w:tabs>
        <w:spacing w:line="276" w:lineRule="auto" w:before="56" w:after="0"/>
        <w:ind w:left="102" w:right="301" w:firstLine="0"/>
        <w:jc w:val="both"/>
      </w:pPr>
      <w:bookmarkStart w:name="_bookmark24" w:id="45"/>
      <w:bookmarkEnd w:id="45"/>
      <w:r>
        <w:rPr>
          <w:b w:val="0"/>
        </w:rPr>
      </w:r>
      <w:bookmarkStart w:name="_bookmark24" w:id="46"/>
      <w:bookmarkEnd w:id="46"/>
      <w:r>
        <w:rPr/>
        <w:t>Re</w:t>
      </w:r>
      <w:r>
        <w:rPr/>
        <w:t>sultados de la identificación de las posibles fuentes de impurezas elementales en el proceso de fabricación de un </w:t>
      </w:r>
      <w:r>
        <w:rPr>
          <w:spacing w:val="-3"/>
        </w:rPr>
        <w:t>API </w:t>
      </w:r>
      <w:r>
        <w:rPr/>
        <w:t>para asegurar que el producto cumpla con el requerimiento</w:t>
      </w:r>
      <w:r>
        <w:rPr>
          <w:spacing w:val="-10"/>
        </w:rPr>
        <w:t> </w:t>
      </w:r>
      <w:r>
        <w:rPr/>
        <w:t>regulatorio</w:t>
      </w:r>
    </w:p>
    <w:p>
      <w:pPr>
        <w:pStyle w:val="BodyText"/>
        <w:rPr>
          <w:b/>
        </w:rPr>
      </w:pPr>
    </w:p>
    <w:p>
      <w:pPr>
        <w:pStyle w:val="BodyText"/>
        <w:spacing w:before="7"/>
        <w:rPr>
          <w:b/>
        </w:rPr>
      </w:pPr>
    </w:p>
    <w:p>
      <w:pPr>
        <w:pStyle w:val="BodyText"/>
        <w:spacing w:line="360" w:lineRule="auto" w:before="1"/>
        <w:ind w:left="102" w:right="297"/>
        <w:jc w:val="both"/>
      </w:pPr>
      <w:r>
        <w:rPr/>
        <w:t>Al inicio del desarrollo del API a estudiar, se probó la tecnología estándar reportada, sin embargo el contenido de paladio no se eliminaba de manera eficiente en ninguna de las etapas del proceso, obteniendo siempre niveles mayores a 100 ppm. En los análisis se encontró que la materia prima era la que contenía niveles de Pd &gt;500 ppm. Por lo que se realizaron pruebas para remover el paladio en las diferentes etapas. Ver Figura 6.1 del proceso del API</w:t>
      </w:r>
    </w:p>
    <w:p>
      <w:pPr>
        <w:pStyle w:val="BodyText"/>
        <w:rPr>
          <w:sz w:val="20"/>
        </w:rPr>
      </w:pPr>
    </w:p>
    <w:p>
      <w:pPr>
        <w:pStyle w:val="BodyText"/>
        <w:rPr>
          <w:sz w:val="20"/>
        </w:rPr>
      </w:pPr>
    </w:p>
    <w:p>
      <w:pPr>
        <w:pStyle w:val="BodyText"/>
        <w:spacing w:before="5"/>
        <w:rPr>
          <w:sz w:val="22"/>
        </w:rPr>
      </w:pPr>
      <w:r>
        <w:rPr/>
        <w:pict>
          <v:group style="position:absolute;margin-left:86.760002pt;margin-top:14.865871pt;width:234.4pt;height:60.15pt;mso-position-horizontal-relative:page;mso-position-vertical-relative:paragraph;z-index:1456;mso-wrap-distance-left:0;mso-wrap-distance-right:0" coordorigin="1735,297" coordsize="4688,1203">
            <v:shape style="position:absolute;left:1735;top:326;width:1858;height:1174" type="#_x0000_t75" stroked="false">
              <v:imagedata r:id="rId38" o:title=""/>
            </v:shape>
            <v:shape style="position:absolute;left:3622;top:621;width:396;height:490" type="#_x0000_t75" stroked="false">
              <v:imagedata r:id="rId39" o:title=""/>
            </v:shape>
            <v:shape style="position:absolute;left:4068;top:297;width:1858;height:1174" type="#_x0000_t75" stroked="false">
              <v:imagedata r:id="rId40" o:title=""/>
            </v:shape>
            <v:shape style="position:absolute;left:5969;top:621;width:454;height:490" type="#_x0000_t75" stroked="false">
              <v:imagedata r:id="rId41" o:title=""/>
            </v:shape>
            <v:shape style="position:absolute;left:2118;top:637;width:1105;height:504" type="#_x0000_t202" filled="false" stroked="false">
              <v:textbox inset="0,0,0,0">
                <w:txbxContent>
                  <w:p>
                    <w:pPr>
                      <w:spacing w:line="230" w:lineRule="exact" w:before="0"/>
                      <w:ind w:left="-1" w:right="0" w:firstLine="0"/>
                      <w:jc w:val="center"/>
                      <w:rPr>
                        <w:rFonts w:ascii="Calibri"/>
                        <w:b/>
                        <w:sz w:val="24"/>
                      </w:rPr>
                    </w:pPr>
                    <w:r>
                      <w:rPr>
                        <w:rFonts w:ascii="Calibri"/>
                        <w:b/>
                        <w:sz w:val="24"/>
                      </w:rPr>
                      <w:t>RXN MP1</w:t>
                    </w:r>
                    <w:r>
                      <w:rPr>
                        <w:rFonts w:ascii="Calibri"/>
                        <w:b/>
                        <w:spacing w:val="-4"/>
                        <w:sz w:val="24"/>
                      </w:rPr>
                      <w:t> </w:t>
                    </w:r>
                    <w:r>
                      <w:rPr>
                        <w:rFonts w:ascii="Calibri"/>
                        <w:b/>
                        <w:sz w:val="24"/>
                      </w:rPr>
                      <w:t>y</w:t>
                    </w:r>
                  </w:p>
                  <w:p>
                    <w:pPr>
                      <w:spacing w:line="274" w:lineRule="exact" w:before="0"/>
                      <w:ind w:left="1" w:right="0" w:firstLine="0"/>
                      <w:jc w:val="center"/>
                      <w:rPr>
                        <w:rFonts w:ascii="Calibri"/>
                        <w:b/>
                        <w:sz w:val="24"/>
                      </w:rPr>
                    </w:pPr>
                    <w:r>
                      <w:rPr>
                        <w:rFonts w:ascii="Calibri"/>
                        <w:b/>
                        <w:sz w:val="24"/>
                      </w:rPr>
                      <w:t>MP2</w:t>
                    </w:r>
                  </w:p>
                </w:txbxContent>
              </v:textbox>
              <w10:wrap type="none"/>
            </v:shape>
            <v:shape style="position:absolute;left:4371;top:743;width:1257;height:240" type="#_x0000_t202" filled="false" stroked="false">
              <v:textbox inset="0,0,0,0">
                <w:txbxContent>
                  <w:p>
                    <w:pPr>
                      <w:spacing w:line="240" w:lineRule="exact" w:before="0"/>
                      <w:ind w:left="0" w:right="-16" w:firstLine="0"/>
                      <w:jc w:val="left"/>
                      <w:rPr>
                        <w:rFonts w:ascii="Calibri"/>
                        <w:sz w:val="24"/>
                      </w:rPr>
                    </w:pPr>
                    <w:r>
                      <w:rPr>
                        <w:rFonts w:ascii="Calibri"/>
                        <w:sz w:val="24"/>
                      </w:rPr>
                      <w:t>Intermedio</w:t>
                    </w:r>
                    <w:r>
                      <w:rPr>
                        <w:rFonts w:ascii="Calibri"/>
                        <w:spacing w:val="-12"/>
                        <w:sz w:val="24"/>
                      </w:rPr>
                      <w:t> </w:t>
                    </w:r>
                    <w:r>
                      <w:rPr>
                        <w:rFonts w:ascii="Calibri"/>
                        <w:sz w:val="24"/>
                      </w:rPr>
                      <w:t>1</w:t>
                    </w:r>
                  </w:p>
                </w:txbxContent>
              </v:textbox>
              <w10:wrap type="none"/>
            </v:shape>
            <w10:wrap type="topAndBottom"/>
          </v:group>
        </w:pict>
      </w:r>
      <w:r>
        <w:rPr/>
        <w:pict>
          <v:group style="position:absolute;margin-left:324.720001pt;margin-top:16.305872pt;width:212.05pt;height:80.3pt;mso-position-horizontal-relative:page;mso-position-vertical-relative:paragraph;z-index:1528;mso-wrap-distance-left:0;mso-wrap-distance-right:0" coordorigin="6494,326" coordsize="4241,1606">
            <v:shape style="position:absolute;left:6494;top:326;width:1915;height:1174" type="#_x0000_t75" stroked="false">
              <v:imagedata r:id="rId42" o:title=""/>
            </v:shape>
            <v:shape style="position:absolute;left:8388;top:636;width:432;height:475" type="#_x0000_t75" stroked="false">
              <v:imagedata r:id="rId43" o:title=""/>
            </v:shape>
            <v:shape style="position:absolute;left:8870;top:326;width:1865;height:1174" type="#_x0000_t75" stroked="false">
              <v:imagedata r:id="rId44" o:title=""/>
            </v:shape>
            <v:shape style="position:absolute;left:9562;top:1500;width:482;height:432" type="#_x0000_t75" stroked="false">
              <v:imagedata r:id="rId45" o:title=""/>
            </v:shape>
            <v:shape style="position:absolute;left:6731;top:637;width:1397;height:504" type="#_x0000_t202" filled="false" stroked="false">
              <v:textbox inset="0,0,0,0">
                <w:txbxContent>
                  <w:p>
                    <w:pPr>
                      <w:spacing w:line="230" w:lineRule="exact" w:before="0"/>
                      <w:ind w:left="1" w:right="0" w:firstLine="0"/>
                      <w:jc w:val="center"/>
                      <w:rPr>
                        <w:rFonts w:ascii="Calibri"/>
                        <w:sz w:val="24"/>
                      </w:rPr>
                    </w:pPr>
                    <w:r>
                      <w:rPr>
                        <w:rFonts w:ascii="Calibri"/>
                        <w:sz w:val="24"/>
                      </w:rPr>
                      <w:t>RXN</w:t>
                    </w:r>
                  </w:p>
                  <w:p>
                    <w:pPr>
                      <w:spacing w:line="274" w:lineRule="exact" w:before="0"/>
                      <w:ind w:left="0" w:right="0" w:firstLine="0"/>
                      <w:jc w:val="center"/>
                      <w:rPr>
                        <w:rFonts w:ascii="Calibri" w:hAnsi="Calibri"/>
                        <w:sz w:val="24"/>
                      </w:rPr>
                    </w:pPr>
                    <w:r>
                      <w:rPr>
                        <w:rFonts w:ascii="Calibri" w:hAnsi="Calibri"/>
                        <w:spacing w:val="-1"/>
                        <w:sz w:val="24"/>
                      </w:rPr>
                      <w:t>hidrogenación</w:t>
                    </w:r>
                  </w:p>
                </w:txbxContent>
              </v:textbox>
              <w10:wrap type="none"/>
            </v:shape>
            <v:shape style="position:absolute;left:9215;top:505;width:1188;height:768" type="#_x0000_t202" filled="false" stroked="false">
              <v:textbox inset="0,0,0,0">
                <w:txbxContent>
                  <w:p>
                    <w:pPr>
                      <w:spacing w:line="230" w:lineRule="exact" w:before="0"/>
                      <w:ind w:left="57" w:right="-9" w:hanging="58"/>
                      <w:jc w:val="left"/>
                      <w:rPr>
                        <w:rFonts w:ascii="Calibri"/>
                        <w:sz w:val="24"/>
                      </w:rPr>
                    </w:pPr>
                    <w:r>
                      <w:rPr>
                        <w:rFonts w:ascii="Calibri"/>
                        <w:color w:val="FFFFFF"/>
                        <w:spacing w:val="-3"/>
                        <w:sz w:val="24"/>
                      </w:rPr>
                      <w:t>Tratamiento</w:t>
                    </w:r>
                  </w:p>
                  <w:p>
                    <w:pPr>
                      <w:spacing w:line="264" w:lineRule="exact" w:before="3"/>
                      <w:ind w:left="158" w:right="-9" w:hanging="101"/>
                      <w:jc w:val="left"/>
                      <w:rPr>
                        <w:rFonts w:ascii="Calibri"/>
                        <w:sz w:val="24"/>
                      </w:rPr>
                    </w:pPr>
                    <w:r>
                      <w:rPr>
                        <w:rFonts w:ascii="Calibri"/>
                        <w:color w:val="FFFFFF"/>
                        <w:sz w:val="24"/>
                      </w:rPr>
                      <w:t>con agente quelante</w:t>
                    </w:r>
                  </w:p>
                </w:txbxContent>
              </v:textbox>
              <w10:wrap type="none"/>
            </v:shape>
            <w10:wrap type="topAndBottom"/>
          </v:group>
        </w:pict>
      </w:r>
    </w:p>
    <w:p>
      <w:pPr>
        <w:pStyle w:val="BodyText"/>
        <w:spacing w:before="4"/>
        <w:rPr>
          <w:sz w:val="4"/>
        </w:rPr>
      </w:pPr>
    </w:p>
    <w:p>
      <w:pPr>
        <w:pStyle w:val="BodyText"/>
        <w:ind w:left="178"/>
        <w:rPr>
          <w:sz w:val="20"/>
        </w:rPr>
      </w:pPr>
      <w:r>
        <w:rPr>
          <w:sz w:val="20"/>
        </w:rPr>
        <w:pict>
          <v:group style="width:447.85pt;height:59.4pt;mso-position-horizontal-relative:char;mso-position-vertical-relative:line" coordorigin="0,0" coordsize="8957,1188">
            <v:shape style="position:absolute;left:7092;top:7;width:1865;height:1181" type="#_x0000_t75" stroked="false">
              <v:imagedata r:id="rId46" o:title=""/>
            </v:shape>
            <v:shape style="position:absolute;left:6631;top:324;width:418;height:482" type="#_x0000_t75" stroked="false">
              <v:imagedata r:id="rId47" o:title=""/>
            </v:shape>
            <v:shape style="position:absolute;left:4716;top:7;width:1858;height:1181" type="#_x0000_t75" stroked="false">
              <v:imagedata r:id="rId48" o:title=""/>
            </v:shape>
            <v:shape style="position:absolute;left:4284;top:317;width:396;height:475" type="#_x0000_t75" stroked="false">
              <v:imagedata r:id="rId49" o:title=""/>
            </v:shape>
            <v:shape style="position:absolute;left:2376;top:0;width:1858;height:1174" type="#_x0000_t75" stroked="false">
              <v:imagedata r:id="rId50" o:title=""/>
            </v:shape>
            <v:shape style="position:absolute;left:1915;top:310;width:425;height:482" type="#_x0000_t75" stroked="false">
              <v:imagedata r:id="rId51" o:title=""/>
            </v:shape>
            <v:shape style="position:absolute;left:0;top:0;width:1858;height:1174" type="#_x0000_t75" stroked="false">
              <v:imagedata r:id="rId52" o:title=""/>
            </v:shape>
            <v:shape style="position:absolute;left:774;top:444;width:325;height:240" type="#_x0000_t202" filled="false" stroked="false">
              <v:textbox inset="0,0,0,0">
                <w:txbxContent>
                  <w:p>
                    <w:pPr>
                      <w:spacing w:line="240" w:lineRule="exact" w:before="0"/>
                      <w:ind w:left="0" w:right="-19" w:firstLine="0"/>
                      <w:jc w:val="left"/>
                      <w:rPr>
                        <w:rFonts w:ascii="Calibri"/>
                        <w:sz w:val="24"/>
                      </w:rPr>
                    </w:pPr>
                    <w:r>
                      <w:rPr>
                        <w:rFonts w:ascii="Calibri"/>
                        <w:sz w:val="24"/>
                      </w:rPr>
                      <w:t>API</w:t>
                    </w:r>
                  </w:p>
                </w:txbxContent>
              </v:textbox>
              <w10:wrap type="none"/>
            </v:shape>
            <v:shape style="position:absolute;left:2684;top:444;width:1257;height:240" type="#_x0000_t202" filled="false" stroked="false">
              <v:textbox inset="0,0,0,0">
                <w:txbxContent>
                  <w:p>
                    <w:pPr>
                      <w:spacing w:line="240" w:lineRule="exact" w:before="0"/>
                      <w:ind w:left="0" w:right="-16" w:firstLine="0"/>
                      <w:jc w:val="left"/>
                      <w:rPr>
                        <w:rFonts w:ascii="Calibri"/>
                        <w:sz w:val="24"/>
                      </w:rPr>
                    </w:pPr>
                    <w:r>
                      <w:rPr>
                        <w:rFonts w:ascii="Calibri"/>
                        <w:sz w:val="24"/>
                      </w:rPr>
                      <w:t>Intermedio</w:t>
                    </w:r>
                    <w:r>
                      <w:rPr>
                        <w:rFonts w:ascii="Calibri"/>
                        <w:spacing w:val="-12"/>
                        <w:sz w:val="24"/>
                      </w:rPr>
                      <w:t> </w:t>
                    </w:r>
                    <w:r>
                      <w:rPr>
                        <w:rFonts w:ascii="Calibri"/>
                        <w:sz w:val="24"/>
                      </w:rPr>
                      <w:t>3</w:t>
                    </w:r>
                  </w:p>
                </w:txbxContent>
              </v:textbox>
              <w10:wrap type="none"/>
            </v:shape>
            <v:shape style="position:absolute;left:5361;top:456;width:583;height:240" type="#_x0000_t202" filled="false" stroked="false">
              <v:textbox inset="0,0,0,0">
                <w:txbxContent>
                  <w:p>
                    <w:pPr>
                      <w:spacing w:line="240" w:lineRule="exact" w:before="0"/>
                      <w:ind w:left="0" w:right="-19" w:firstLine="0"/>
                      <w:jc w:val="left"/>
                      <w:rPr>
                        <w:rFonts w:ascii="Calibri"/>
                        <w:sz w:val="24"/>
                      </w:rPr>
                    </w:pPr>
                    <w:r>
                      <w:rPr>
                        <w:rFonts w:ascii="Calibri"/>
                        <w:sz w:val="24"/>
                      </w:rPr>
                      <w:t>RXN</w:t>
                    </w:r>
                    <w:r>
                      <w:rPr>
                        <w:rFonts w:ascii="Calibri"/>
                        <w:spacing w:val="-4"/>
                        <w:sz w:val="24"/>
                      </w:rPr>
                      <w:t> </w:t>
                    </w:r>
                    <w:r>
                      <w:rPr>
                        <w:rFonts w:ascii="Calibri"/>
                        <w:sz w:val="24"/>
                      </w:rPr>
                      <w:t>2</w:t>
                    </w:r>
                  </w:p>
                </w:txbxContent>
              </v:textbox>
              <w10:wrap type="none"/>
            </v:shape>
            <v:shape style="position:absolute;left:7400;top:456;width:1257;height:240" type="#_x0000_t202" filled="false" stroked="false">
              <v:textbox inset="0,0,0,0">
                <w:txbxContent>
                  <w:p>
                    <w:pPr>
                      <w:spacing w:line="240" w:lineRule="exact" w:before="0"/>
                      <w:ind w:left="0" w:right="-16" w:firstLine="0"/>
                      <w:jc w:val="left"/>
                      <w:rPr>
                        <w:rFonts w:ascii="Calibri"/>
                        <w:sz w:val="24"/>
                      </w:rPr>
                    </w:pPr>
                    <w:r>
                      <w:rPr>
                        <w:rFonts w:ascii="Calibri"/>
                        <w:sz w:val="24"/>
                      </w:rPr>
                      <w:t>Intermedio</w:t>
                    </w:r>
                    <w:r>
                      <w:rPr>
                        <w:rFonts w:ascii="Calibri"/>
                        <w:spacing w:val="-12"/>
                        <w:sz w:val="24"/>
                      </w:rPr>
                      <w:t> </w:t>
                    </w:r>
                    <w:r>
                      <w:rPr>
                        <w:rFonts w:ascii="Calibri"/>
                        <w:sz w:val="24"/>
                      </w:rPr>
                      <w:t>2</w:t>
                    </w:r>
                  </w:p>
                </w:txbxContent>
              </v:textbox>
              <w10:wrap type="none"/>
            </v:shape>
          </v:group>
        </w:pict>
      </w:r>
      <w:r>
        <w:rPr>
          <w:sz w:val="20"/>
        </w:rPr>
      </w:r>
    </w:p>
    <w:p>
      <w:pPr>
        <w:pStyle w:val="BodyText"/>
        <w:spacing w:before="6"/>
        <w:rPr>
          <w:sz w:val="20"/>
        </w:rPr>
      </w:pPr>
    </w:p>
    <w:p>
      <w:pPr>
        <w:pStyle w:val="BodyText"/>
        <w:spacing w:before="1"/>
        <w:ind w:left="102"/>
        <w:jc w:val="both"/>
      </w:pPr>
      <w:r>
        <w:rPr/>
        <w:t>Figura 6.1 Proceso del API de estudio</w:t>
      </w:r>
    </w:p>
    <w:p>
      <w:pPr>
        <w:pStyle w:val="BodyText"/>
      </w:pPr>
    </w:p>
    <w:p>
      <w:pPr>
        <w:pStyle w:val="BodyText"/>
      </w:pPr>
    </w:p>
    <w:p>
      <w:pPr>
        <w:pStyle w:val="BodyText"/>
        <w:spacing w:line="360" w:lineRule="auto" w:before="206"/>
        <w:ind w:left="102" w:right="298"/>
        <w:jc w:val="both"/>
      </w:pPr>
      <w:r>
        <w:rPr/>
        <w:t>En la materia prima (MP) se realizaron tratamientos con carbón activado a diferentes concentraciones obteniendo resultados desde 26 – 82 ppm y con rendimientos del 73 al 85 % en peso. Ver Tabla 6.6</w:t>
      </w:r>
    </w:p>
    <w:p>
      <w:pPr>
        <w:pStyle w:val="BodyText"/>
        <w:spacing w:line="360" w:lineRule="auto" w:before="205"/>
        <w:ind w:left="102" w:right="307"/>
        <w:jc w:val="both"/>
      </w:pPr>
      <w:r>
        <w:rPr/>
        <w:t>En el intermedio 1, se realizó un tratamiento de carbón activado en donde la reducción del paladio fue de 500 ppm a 100 ppm. Ver Tabla 6.6</w:t>
      </w:r>
    </w:p>
    <w:p>
      <w:pPr>
        <w:pStyle w:val="BodyText"/>
        <w:spacing w:line="360" w:lineRule="auto" w:before="204"/>
        <w:ind w:left="102" w:right="298"/>
        <w:jc w:val="both"/>
      </w:pPr>
      <w:r>
        <w:rPr/>
        <w:t>En la etapa de la hidrogenación se realizaron 2 experimentos, uno de carbón activado donde se redujo de 500 ppm hasta 50 ppm y posteriormente se incorporo un tratamiento con agente quelante en donde se redujo la concentración de Pd a niveles menores a 20 ppm. Ver Tabla 6.6</w:t>
      </w:r>
    </w:p>
    <w:p>
      <w:pPr>
        <w:spacing w:after="0" w:line="360" w:lineRule="auto"/>
        <w:jc w:val="both"/>
        <w:sectPr>
          <w:pgSz w:w="12240" w:h="15840"/>
          <w:pgMar w:header="0" w:footer="919" w:top="1360" w:bottom="1100" w:left="1600" w:right="1400"/>
        </w:sectPr>
      </w:pPr>
    </w:p>
    <w:p>
      <w:pPr>
        <w:pStyle w:val="BodyText"/>
        <w:spacing w:line="360" w:lineRule="auto" w:before="56" w:after="7"/>
        <w:ind w:left="122" w:right="625"/>
      </w:pPr>
      <w:r>
        <w:rPr/>
        <w:t>Tabla 6.6. Evaluación del contenido de paladio en las diferentes etapas del proceso del</w:t>
      </w:r>
      <w:r>
        <w:rPr>
          <w:spacing w:val="-5"/>
        </w:rPr>
        <w:t> </w:t>
      </w:r>
      <w:r>
        <w:rPr/>
        <w:t>API</w:t>
      </w:r>
    </w:p>
    <w:tbl>
      <w:tblPr>
        <w:tblW w:w="0" w:type="auto"/>
        <w:jc w:val="left"/>
        <w:tblInd w:w="10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079"/>
        <w:gridCol w:w="3600"/>
        <w:gridCol w:w="1621"/>
        <w:gridCol w:w="2040"/>
      </w:tblGrid>
      <w:tr>
        <w:trPr>
          <w:trHeight w:val="845" w:hRule="exact"/>
        </w:trPr>
        <w:tc>
          <w:tcPr>
            <w:tcW w:w="5679" w:type="dxa"/>
            <w:gridSpan w:val="2"/>
            <w:shd w:val="clear" w:color="auto" w:fill="B4C5E7"/>
          </w:tcPr>
          <w:p>
            <w:pPr>
              <w:pStyle w:val="TableParagraph"/>
              <w:spacing w:before="144"/>
              <w:ind w:left="1846" w:right="396" w:hanging="1434"/>
              <w:jc w:val="left"/>
              <w:rPr>
                <w:b/>
                <w:sz w:val="24"/>
              </w:rPr>
            </w:pPr>
            <w:r>
              <w:rPr>
                <w:b/>
                <w:sz w:val="24"/>
              </w:rPr>
              <w:t>Evaluación de contenido de Paladio en las diferentes etapas</w:t>
            </w:r>
          </w:p>
        </w:tc>
        <w:tc>
          <w:tcPr>
            <w:tcW w:w="1621" w:type="dxa"/>
            <w:shd w:val="clear" w:color="auto" w:fill="B4C5E7"/>
          </w:tcPr>
          <w:p>
            <w:pPr>
              <w:pStyle w:val="TableParagraph"/>
              <w:spacing w:before="7"/>
              <w:jc w:val="left"/>
              <w:rPr>
                <w:sz w:val="24"/>
              </w:rPr>
            </w:pPr>
          </w:p>
          <w:p>
            <w:pPr>
              <w:pStyle w:val="TableParagraph"/>
              <w:ind w:left="157" w:right="158"/>
              <w:rPr>
                <w:b/>
                <w:sz w:val="24"/>
              </w:rPr>
            </w:pPr>
            <w:r>
              <w:rPr>
                <w:b/>
                <w:sz w:val="24"/>
              </w:rPr>
              <w:t>ppm</w:t>
            </w:r>
          </w:p>
        </w:tc>
        <w:tc>
          <w:tcPr>
            <w:tcW w:w="2040" w:type="dxa"/>
            <w:shd w:val="clear" w:color="auto" w:fill="B4C5E7"/>
          </w:tcPr>
          <w:p>
            <w:pPr>
              <w:pStyle w:val="TableParagraph"/>
              <w:spacing w:before="7"/>
              <w:jc w:val="left"/>
              <w:rPr>
                <w:sz w:val="24"/>
              </w:rPr>
            </w:pPr>
          </w:p>
          <w:p>
            <w:pPr>
              <w:pStyle w:val="TableParagraph"/>
              <w:ind w:left="288"/>
              <w:jc w:val="left"/>
              <w:rPr>
                <w:b/>
                <w:sz w:val="24"/>
              </w:rPr>
            </w:pPr>
            <w:r>
              <w:rPr>
                <w:b/>
                <w:sz w:val="24"/>
              </w:rPr>
              <w:t>Rendimiento</w:t>
            </w:r>
          </w:p>
        </w:tc>
      </w:tr>
      <w:tr>
        <w:trPr>
          <w:trHeight w:val="533" w:hRule="exact"/>
        </w:trPr>
        <w:tc>
          <w:tcPr>
            <w:tcW w:w="2079" w:type="dxa"/>
            <w:tcBorders>
              <w:bottom w:val="nil"/>
            </w:tcBorders>
          </w:tcPr>
          <w:p>
            <w:pPr>
              <w:pStyle w:val="TableParagraph"/>
              <w:spacing w:before="106"/>
              <w:ind w:left="300" w:right="300"/>
              <w:rPr>
                <w:sz w:val="24"/>
              </w:rPr>
            </w:pPr>
            <w:r>
              <w:rPr>
                <w:sz w:val="24"/>
              </w:rPr>
              <w:t>MP 1</w:t>
            </w:r>
          </w:p>
        </w:tc>
        <w:tc>
          <w:tcPr>
            <w:tcW w:w="3600" w:type="dxa"/>
            <w:tcBorders>
              <w:bottom w:val="nil"/>
            </w:tcBorders>
          </w:tcPr>
          <w:p>
            <w:pPr>
              <w:pStyle w:val="TableParagraph"/>
              <w:spacing w:before="106"/>
              <w:ind w:left="27" w:right="27"/>
              <w:rPr>
                <w:sz w:val="24"/>
              </w:rPr>
            </w:pPr>
            <w:r>
              <w:rPr>
                <w:sz w:val="24"/>
              </w:rPr>
              <w:t>Tratamiento con carbón activado</w:t>
            </w:r>
          </w:p>
        </w:tc>
        <w:tc>
          <w:tcPr>
            <w:tcW w:w="1621" w:type="dxa"/>
            <w:tcBorders>
              <w:bottom w:val="nil"/>
            </w:tcBorders>
          </w:tcPr>
          <w:p>
            <w:pPr>
              <w:pStyle w:val="TableParagraph"/>
              <w:spacing w:before="106"/>
              <w:ind w:left="158" w:right="158"/>
              <w:rPr>
                <w:sz w:val="24"/>
              </w:rPr>
            </w:pPr>
            <w:r>
              <w:rPr>
                <w:sz w:val="24"/>
              </w:rPr>
              <w:t>26 hasta 82</w:t>
            </w:r>
          </w:p>
        </w:tc>
        <w:tc>
          <w:tcPr>
            <w:tcW w:w="2040" w:type="dxa"/>
            <w:vMerge w:val="restart"/>
          </w:tcPr>
          <w:p>
            <w:pPr>
              <w:pStyle w:val="TableParagraph"/>
              <w:spacing w:before="106"/>
              <w:ind w:left="446"/>
              <w:jc w:val="left"/>
              <w:rPr>
                <w:sz w:val="24"/>
              </w:rPr>
            </w:pPr>
            <w:r>
              <w:rPr>
                <w:sz w:val="24"/>
              </w:rPr>
              <w:t>72 al 92 %</w:t>
            </w:r>
          </w:p>
        </w:tc>
      </w:tr>
      <w:tr>
        <w:trPr>
          <w:trHeight w:val="494" w:hRule="exact"/>
        </w:trPr>
        <w:tc>
          <w:tcPr>
            <w:tcW w:w="2079" w:type="dxa"/>
            <w:tcBorders>
              <w:top w:val="nil"/>
              <w:bottom w:val="nil"/>
            </w:tcBorders>
          </w:tcPr>
          <w:p>
            <w:pPr>
              <w:pStyle w:val="TableParagraph"/>
              <w:spacing w:before="120"/>
              <w:ind w:left="300" w:right="300"/>
              <w:rPr>
                <w:sz w:val="24"/>
              </w:rPr>
            </w:pPr>
            <w:r>
              <w:rPr>
                <w:sz w:val="24"/>
              </w:rPr>
              <w:t>Imina</w:t>
            </w:r>
          </w:p>
        </w:tc>
        <w:tc>
          <w:tcPr>
            <w:tcW w:w="3600" w:type="dxa"/>
            <w:tcBorders>
              <w:top w:val="nil"/>
              <w:bottom w:val="nil"/>
            </w:tcBorders>
          </w:tcPr>
          <w:p>
            <w:pPr>
              <w:pStyle w:val="TableParagraph"/>
              <w:spacing w:before="120"/>
              <w:ind w:left="26" w:right="27"/>
              <w:rPr>
                <w:sz w:val="24"/>
              </w:rPr>
            </w:pPr>
            <w:r>
              <w:rPr>
                <w:sz w:val="24"/>
              </w:rPr>
              <w:t>Tratamiento con carbón activado</w:t>
            </w:r>
          </w:p>
        </w:tc>
        <w:tc>
          <w:tcPr>
            <w:tcW w:w="1621" w:type="dxa"/>
            <w:tcBorders>
              <w:top w:val="nil"/>
              <w:bottom w:val="nil"/>
            </w:tcBorders>
          </w:tcPr>
          <w:p>
            <w:pPr>
              <w:pStyle w:val="TableParagraph"/>
              <w:spacing w:before="120"/>
              <w:ind w:left="158" w:right="157"/>
              <w:rPr>
                <w:sz w:val="24"/>
              </w:rPr>
            </w:pPr>
            <w:r>
              <w:rPr>
                <w:sz w:val="24"/>
              </w:rPr>
              <w:t>100</w:t>
            </w:r>
          </w:p>
        </w:tc>
        <w:tc>
          <w:tcPr>
            <w:tcW w:w="2040" w:type="dxa"/>
            <w:vMerge/>
          </w:tcPr>
          <w:p>
            <w:pPr/>
          </w:p>
        </w:tc>
      </w:tr>
      <w:tr>
        <w:trPr>
          <w:trHeight w:val="604" w:hRule="exact"/>
        </w:trPr>
        <w:tc>
          <w:tcPr>
            <w:tcW w:w="2079" w:type="dxa"/>
            <w:tcBorders>
              <w:top w:val="nil"/>
              <w:bottom w:val="nil"/>
            </w:tcBorders>
          </w:tcPr>
          <w:p>
            <w:pPr>
              <w:pStyle w:val="TableParagraph"/>
              <w:spacing w:before="209"/>
              <w:ind w:left="300" w:right="300"/>
              <w:rPr>
                <w:sz w:val="24"/>
              </w:rPr>
            </w:pPr>
            <w:r>
              <w:rPr>
                <w:sz w:val="24"/>
              </w:rPr>
              <w:t>Base libre</w:t>
            </w:r>
          </w:p>
        </w:tc>
        <w:tc>
          <w:tcPr>
            <w:tcW w:w="3600" w:type="dxa"/>
            <w:tcBorders>
              <w:top w:val="nil"/>
              <w:bottom w:val="nil"/>
            </w:tcBorders>
          </w:tcPr>
          <w:p>
            <w:pPr>
              <w:pStyle w:val="TableParagraph"/>
              <w:spacing w:before="72"/>
              <w:ind w:left="1233" w:right="244" w:hanging="975"/>
              <w:jc w:val="left"/>
              <w:rPr>
                <w:sz w:val="24"/>
              </w:rPr>
            </w:pPr>
            <w:r>
              <w:rPr>
                <w:sz w:val="24"/>
              </w:rPr>
              <w:t>Tratamiento agente quelante (triplicado)</w:t>
            </w:r>
          </w:p>
        </w:tc>
        <w:tc>
          <w:tcPr>
            <w:tcW w:w="1621" w:type="dxa"/>
            <w:tcBorders>
              <w:top w:val="nil"/>
              <w:bottom w:val="nil"/>
            </w:tcBorders>
          </w:tcPr>
          <w:p>
            <w:pPr>
              <w:pStyle w:val="TableParagraph"/>
              <w:spacing w:before="209"/>
              <w:ind w:left="158" w:right="158"/>
              <w:rPr>
                <w:sz w:val="24"/>
              </w:rPr>
            </w:pPr>
            <w:r>
              <w:rPr>
                <w:sz w:val="24"/>
              </w:rPr>
              <w:t>40 hasta 60</w:t>
            </w:r>
          </w:p>
        </w:tc>
        <w:tc>
          <w:tcPr>
            <w:tcW w:w="2040" w:type="dxa"/>
            <w:vMerge/>
          </w:tcPr>
          <w:p>
            <w:pPr/>
          </w:p>
        </w:tc>
      </w:tr>
      <w:tr>
        <w:trPr>
          <w:trHeight w:val="442" w:hRule="exact"/>
        </w:trPr>
        <w:tc>
          <w:tcPr>
            <w:tcW w:w="2079" w:type="dxa"/>
            <w:tcBorders>
              <w:top w:val="nil"/>
              <w:bottom w:val="nil"/>
            </w:tcBorders>
          </w:tcPr>
          <w:p>
            <w:pPr>
              <w:pStyle w:val="TableParagraph"/>
              <w:spacing w:before="93"/>
              <w:ind w:left="300" w:right="300"/>
              <w:rPr>
                <w:sz w:val="24"/>
              </w:rPr>
            </w:pPr>
            <w:r>
              <w:rPr>
                <w:sz w:val="24"/>
              </w:rPr>
              <w:t>monotosilado</w:t>
            </w:r>
          </w:p>
        </w:tc>
        <w:tc>
          <w:tcPr>
            <w:tcW w:w="3600" w:type="dxa"/>
            <w:tcBorders>
              <w:top w:val="nil"/>
              <w:bottom w:val="nil"/>
            </w:tcBorders>
          </w:tcPr>
          <w:p>
            <w:pPr/>
          </w:p>
        </w:tc>
        <w:tc>
          <w:tcPr>
            <w:tcW w:w="1621" w:type="dxa"/>
            <w:tcBorders>
              <w:top w:val="nil"/>
              <w:bottom w:val="nil"/>
            </w:tcBorders>
          </w:tcPr>
          <w:p>
            <w:pPr>
              <w:pStyle w:val="TableParagraph"/>
              <w:spacing w:before="93"/>
              <w:ind w:left="158" w:right="158"/>
              <w:rPr>
                <w:sz w:val="24"/>
              </w:rPr>
            </w:pPr>
            <w:r>
              <w:rPr>
                <w:sz w:val="24"/>
              </w:rPr>
              <w:t>21 hasta 37</w:t>
            </w:r>
          </w:p>
        </w:tc>
        <w:tc>
          <w:tcPr>
            <w:tcW w:w="2040" w:type="dxa"/>
            <w:vMerge/>
          </w:tcPr>
          <w:p>
            <w:pPr/>
          </w:p>
        </w:tc>
      </w:tr>
      <w:tr>
        <w:trPr>
          <w:trHeight w:val="380" w:hRule="exact"/>
        </w:trPr>
        <w:tc>
          <w:tcPr>
            <w:tcW w:w="2079" w:type="dxa"/>
            <w:tcBorders>
              <w:top w:val="nil"/>
            </w:tcBorders>
          </w:tcPr>
          <w:p>
            <w:pPr>
              <w:pStyle w:val="TableParagraph"/>
              <w:spacing w:before="47"/>
              <w:ind w:left="300" w:right="300"/>
              <w:rPr>
                <w:sz w:val="24"/>
              </w:rPr>
            </w:pPr>
            <w:r>
              <w:rPr>
                <w:sz w:val="24"/>
              </w:rPr>
              <w:t>Ditosilado</w:t>
            </w:r>
          </w:p>
        </w:tc>
        <w:tc>
          <w:tcPr>
            <w:tcW w:w="3600" w:type="dxa"/>
            <w:tcBorders>
              <w:top w:val="nil"/>
            </w:tcBorders>
          </w:tcPr>
          <w:p>
            <w:pPr/>
          </w:p>
        </w:tc>
        <w:tc>
          <w:tcPr>
            <w:tcW w:w="1621" w:type="dxa"/>
            <w:tcBorders>
              <w:top w:val="nil"/>
            </w:tcBorders>
          </w:tcPr>
          <w:p>
            <w:pPr>
              <w:pStyle w:val="TableParagraph"/>
              <w:spacing w:before="47"/>
              <w:ind w:left="158" w:right="157"/>
              <w:rPr>
                <w:sz w:val="24"/>
              </w:rPr>
            </w:pPr>
            <w:r>
              <w:rPr>
                <w:sz w:val="24"/>
              </w:rPr>
              <w:t>17</w:t>
            </w:r>
          </w:p>
        </w:tc>
        <w:tc>
          <w:tcPr>
            <w:tcW w:w="2040" w:type="dxa"/>
            <w:vMerge/>
          </w:tcPr>
          <w:p>
            <w:pPr/>
          </w:p>
        </w:tc>
      </w:tr>
    </w:tbl>
    <w:p>
      <w:pPr>
        <w:pStyle w:val="BodyText"/>
        <w:rPr>
          <w:sz w:val="20"/>
        </w:rPr>
      </w:pPr>
    </w:p>
    <w:p>
      <w:pPr>
        <w:pStyle w:val="BodyText"/>
        <w:spacing w:before="2"/>
        <w:rPr>
          <w:sz w:val="27"/>
        </w:rPr>
      </w:pPr>
    </w:p>
    <w:p>
      <w:pPr>
        <w:pStyle w:val="BodyText"/>
        <w:spacing w:line="360" w:lineRule="auto" w:before="70"/>
        <w:ind w:left="122" w:right="617"/>
        <w:jc w:val="both"/>
      </w:pPr>
      <w:r>
        <w:rPr/>
        <w:t>Posteriormente se realizó la optimización del proceso de eliminación del paladio utilizando el agente quelante mediante cinéticas de eliminación, en las cuales se tomaron muestras a diferentes tiempos y se fue evaluando el contenido de  paladio. Ver Tabla</w:t>
      </w:r>
      <w:r>
        <w:rPr>
          <w:spacing w:val="-6"/>
        </w:rPr>
        <w:t> </w:t>
      </w:r>
      <w:r>
        <w:rPr/>
        <w:t>6.7</w:t>
      </w:r>
    </w:p>
    <w:p>
      <w:pPr>
        <w:pStyle w:val="BodyText"/>
        <w:spacing w:line="360" w:lineRule="auto" w:before="204" w:after="23"/>
        <w:ind w:left="122" w:right="617"/>
        <w:jc w:val="both"/>
      </w:pPr>
      <w:r>
        <w:rPr/>
        <w:t>Tabla 6.7. Resultados del contenido de Pd (ppm) en las pruebas preliminares de tiempo extendido utilizando el agente quelante</w:t>
      </w:r>
    </w:p>
    <w:tbl>
      <w:tblPr>
        <w:tblW w:w="0" w:type="auto"/>
        <w:jc w:val="left"/>
        <w:tblInd w:w="10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579"/>
        <w:gridCol w:w="1054"/>
        <w:gridCol w:w="1054"/>
        <w:gridCol w:w="1056"/>
        <w:gridCol w:w="1054"/>
        <w:gridCol w:w="1935"/>
        <w:gridCol w:w="1620"/>
      </w:tblGrid>
      <w:tr>
        <w:trPr>
          <w:trHeight w:val="577" w:hRule="exact"/>
        </w:trPr>
        <w:tc>
          <w:tcPr>
            <w:tcW w:w="1579" w:type="dxa"/>
            <w:vMerge w:val="restart"/>
            <w:shd w:val="clear" w:color="auto" w:fill="B4C5E7"/>
          </w:tcPr>
          <w:p>
            <w:pPr>
              <w:pStyle w:val="TableParagraph"/>
              <w:spacing w:before="162"/>
              <w:ind w:left="69" w:right="53" w:firstLine="86"/>
              <w:jc w:val="left"/>
              <w:rPr>
                <w:b/>
                <w:sz w:val="24"/>
              </w:rPr>
            </w:pPr>
            <w:r>
              <w:rPr>
                <w:b/>
                <w:sz w:val="24"/>
              </w:rPr>
              <w:t>Número de experimento</w:t>
            </w:r>
          </w:p>
        </w:tc>
        <w:tc>
          <w:tcPr>
            <w:tcW w:w="4218" w:type="dxa"/>
            <w:gridSpan w:val="4"/>
            <w:shd w:val="clear" w:color="auto" w:fill="B4C5E7"/>
          </w:tcPr>
          <w:p>
            <w:pPr>
              <w:pStyle w:val="TableParagraph"/>
              <w:spacing w:before="11"/>
              <w:ind w:left="442" w:right="353" w:hanging="75"/>
              <w:jc w:val="left"/>
              <w:rPr>
                <w:b/>
                <w:sz w:val="24"/>
              </w:rPr>
            </w:pPr>
            <w:r>
              <w:rPr>
                <w:b/>
                <w:sz w:val="24"/>
              </w:rPr>
              <w:t>Primer tratamiento con agente quelante (Crudo de reacción)</w:t>
            </w:r>
          </w:p>
        </w:tc>
        <w:tc>
          <w:tcPr>
            <w:tcW w:w="3555" w:type="dxa"/>
            <w:gridSpan w:val="2"/>
            <w:shd w:val="clear" w:color="auto" w:fill="B4C5E7"/>
          </w:tcPr>
          <w:p>
            <w:pPr>
              <w:pStyle w:val="TableParagraph"/>
              <w:spacing w:before="148"/>
              <w:ind w:left="1319" w:right="1319"/>
              <w:rPr>
                <w:b/>
                <w:sz w:val="24"/>
              </w:rPr>
            </w:pPr>
            <w:r>
              <w:rPr>
                <w:b/>
                <w:sz w:val="24"/>
              </w:rPr>
              <w:t>Aislado</w:t>
            </w:r>
          </w:p>
        </w:tc>
      </w:tr>
      <w:tr>
        <w:trPr>
          <w:trHeight w:val="300" w:hRule="exact"/>
        </w:trPr>
        <w:tc>
          <w:tcPr>
            <w:tcW w:w="1579" w:type="dxa"/>
            <w:vMerge/>
            <w:shd w:val="clear" w:color="auto" w:fill="B4C5E7"/>
          </w:tcPr>
          <w:p>
            <w:pPr/>
          </w:p>
        </w:tc>
        <w:tc>
          <w:tcPr>
            <w:tcW w:w="1054" w:type="dxa"/>
            <w:shd w:val="clear" w:color="auto" w:fill="B4C5E7"/>
          </w:tcPr>
          <w:p>
            <w:pPr>
              <w:pStyle w:val="TableParagraph"/>
              <w:spacing w:before="10"/>
              <w:ind w:left="201" w:right="201"/>
              <w:rPr>
                <w:b/>
                <w:sz w:val="24"/>
              </w:rPr>
            </w:pPr>
            <w:r>
              <w:rPr>
                <w:b/>
                <w:sz w:val="24"/>
              </w:rPr>
              <w:t>2 h</w:t>
            </w:r>
          </w:p>
        </w:tc>
        <w:tc>
          <w:tcPr>
            <w:tcW w:w="1054" w:type="dxa"/>
            <w:shd w:val="clear" w:color="auto" w:fill="B4C5E7"/>
          </w:tcPr>
          <w:p>
            <w:pPr>
              <w:pStyle w:val="TableParagraph"/>
              <w:spacing w:before="10"/>
              <w:ind w:left="201" w:right="201"/>
              <w:rPr>
                <w:b/>
                <w:sz w:val="24"/>
              </w:rPr>
            </w:pPr>
            <w:r>
              <w:rPr>
                <w:b/>
                <w:sz w:val="24"/>
              </w:rPr>
              <w:t>4 h</w:t>
            </w:r>
          </w:p>
        </w:tc>
        <w:tc>
          <w:tcPr>
            <w:tcW w:w="1056" w:type="dxa"/>
            <w:shd w:val="clear" w:color="auto" w:fill="B4C5E7"/>
          </w:tcPr>
          <w:p>
            <w:pPr>
              <w:pStyle w:val="TableParagraph"/>
              <w:spacing w:before="10"/>
              <w:ind w:right="282"/>
              <w:jc w:val="right"/>
              <w:rPr>
                <w:b/>
                <w:sz w:val="24"/>
              </w:rPr>
            </w:pPr>
            <w:r>
              <w:rPr>
                <w:b/>
                <w:sz w:val="24"/>
              </w:rPr>
              <w:t>12 h</w:t>
            </w:r>
          </w:p>
        </w:tc>
        <w:tc>
          <w:tcPr>
            <w:tcW w:w="1054" w:type="dxa"/>
            <w:shd w:val="clear" w:color="auto" w:fill="B4C5E7"/>
          </w:tcPr>
          <w:p>
            <w:pPr>
              <w:pStyle w:val="TableParagraph"/>
              <w:spacing w:before="10"/>
              <w:ind w:left="201" w:right="201"/>
              <w:rPr>
                <w:b/>
                <w:sz w:val="24"/>
              </w:rPr>
            </w:pPr>
            <w:r>
              <w:rPr>
                <w:b/>
                <w:sz w:val="24"/>
              </w:rPr>
              <w:t>18 h</w:t>
            </w:r>
          </w:p>
        </w:tc>
        <w:tc>
          <w:tcPr>
            <w:tcW w:w="1935" w:type="dxa"/>
            <w:shd w:val="clear" w:color="auto" w:fill="B4C5E7"/>
          </w:tcPr>
          <w:p>
            <w:pPr>
              <w:pStyle w:val="TableParagraph"/>
              <w:spacing w:before="10"/>
              <w:ind w:left="229" w:right="229"/>
              <w:rPr>
                <w:b/>
                <w:sz w:val="24"/>
              </w:rPr>
            </w:pPr>
            <w:r>
              <w:rPr>
                <w:b/>
                <w:sz w:val="24"/>
              </w:rPr>
              <w:t>Intermedio 3</w:t>
            </w:r>
          </w:p>
        </w:tc>
        <w:tc>
          <w:tcPr>
            <w:tcW w:w="1620" w:type="dxa"/>
            <w:shd w:val="clear" w:color="auto" w:fill="B4C5E7"/>
          </w:tcPr>
          <w:p>
            <w:pPr>
              <w:pStyle w:val="TableParagraph"/>
              <w:spacing w:before="10"/>
              <w:ind w:left="604"/>
              <w:jc w:val="left"/>
              <w:rPr>
                <w:b/>
                <w:sz w:val="24"/>
              </w:rPr>
            </w:pPr>
            <w:r>
              <w:rPr>
                <w:b/>
                <w:sz w:val="24"/>
              </w:rPr>
              <w:t>API</w:t>
            </w:r>
          </w:p>
        </w:tc>
      </w:tr>
      <w:tr>
        <w:trPr>
          <w:trHeight w:val="403" w:hRule="exact"/>
        </w:trPr>
        <w:tc>
          <w:tcPr>
            <w:tcW w:w="1579" w:type="dxa"/>
            <w:tcBorders>
              <w:bottom w:val="nil"/>
            </w:tcBorders>
          </w:tcPr>
          <w:p>
            <w:pPr>
              <w:pStyle w:val="TableParagraph"/>
              <w:spacing w:before="65"/>
              <w:ind w:right="1"/>
              <w:rPr>
                <w:sz w:val="24"/>
              </w:rPr>
            </w:pPr>
            <w:r>
              <w:rPr>
                <w:w w:val="99"/>
                <w:sz w:val="24"/>
              </w:rPr>
              <w:t>1</w:t>
            </w:r>
          </w:p>
        </w:tc>
        <w:tc>
          <w:tcPr>
            <w:tcW w:w="1054" w:type="dxa"/>
          </w:tcPr>
          <w:p>
            <w:pPr>
              <w:pStyle w:val="TableParagraph"/>
              <w:spacing w:before="65"/>
              <w:ind w:left="201" w:right="202"/>
              <w:rPr>
                <w:sz w:val="24"/>
              </w:rPr>
            </w:pPr>
            <w:r>
              <w:rPr>
                <w:sz w:val="24"/>
              </w:rPr>
              <w:t>190.6</w:t>
            </w:r>
          </w:p>
        </w:tc>
        <w:tc>
          <w:tcPr>
            <w:tcW w:w="1054" w:type="dxa"/>
          </w:tcPr>
          <w:p>
            <w:pPr>
              <w:pStyle w:val="TableParagraph"/>
              <w:spacing w:before="65"/>
              <w:ind w:left="201" w:right="202"/>
              <w:rPr>
                <w:sz w:val="24"/>
              </w:rPr>
            </w:pPr>
            <w:r>
              <w:rPr>
                <w:sz w:val="24"/>
              </w:rPr>
              <w:t>127.6</w:t>
            </w:r>
          </w:p>
        </w:tc>
        <w:tc>
          <w:tcPr>
            <w:tcW w:w="1056" w:type="dxa"/>
          </w:tcPr>
          <w:p>
            <w:pPr>
              <w:pStyle w:val="TableParagraph"/>
              <w:spacing w:before="65"/>
              <w:ind w:right="288"/>
              <w:jc w:val="right"/>
              <w:rPr>
                <w:sz w:val="24"/>
              </w:rPr>
            </w:pPr>
            <w:r>
              <w:rPr>
                <w:sz w:val="24"/>
              </w:rPr>
              <w:t>73.1</w:t>
            </w:r>
          </w:p>
        </w:tc>
        <w:tc>
          <w:tcPr>
            <w:tcW w:w="1054" w:type="dxa"/>
            <w:tcBorders>
              <w:bottom w:val="nil"/>
            </w:tcBorders>
          </w:tcPr>
          <w:p>
            <w:pPr/>
          </w:p>
        </w:tc>
        <w:tc>
          <w:tcPr>
            <w:tcW w:w="1935" w:type="dxa"/>
          </w:tcPr>
          <w:p>
            <w:pPr/>
          </w:p>
        </w:tc>
        <w:tc>
          <w:tcPr>
            <w:tcW w:w="1620" w:type="dxa"/>
            <w:tcBorders>
              <w:bottom w:val="nil"/>
            </w:tcBorders>
          </w:tcPr>
          <w:p>
            <w:pPr/>
          </w:p>
        </w:tc>
      </w:tr>
      <w:tr>
        <w:trPr>
          <w:trHeight w:val="302" w:hRule="exact"/>
        </w:trPr>
        <w:tc>
          <w:tcPr>
            <w:tcW w:w="1579" w:type="dxa"/>
            <w:tcBorders>
              <w:top w:val="nil"/>
              <w:bottom w:val="nil"/>
            </w:tcBorders>
            <w:shd w:val="clear" w:color="auto" w:fill="DDEBF7"/>
          </w:tcPr>
          <w:p>
            <w:pPr>
              <w:pStyle w:val="TableParagraph"/>
              <w:spacing w:before="22"/>
              <w:ind w:right="1"/>
              <w:rPr>
                <w:sz w:val="24"/>
              </w:rPr>
            </w:pPr>
            <w:r>
              <w:rPr>
                <w:w w:val="99"/>
                <w:sz w:val="24"/>
              </w:rPr>
              <w:t>2</w:t>
            </w:r>
          </w:p>
        </w:tc>
        <w:tc>
          <w:tcPr>
            <w:tcW w:w="1054" w:type="dxa"/>
            <w:tcBorders>
              <w:bottom w:val="nil"/>
            </w:tcBorders>
            <w:shd w:val="clear" w:color="auto" w:fill="DDEBF7"/>
          </w:tcPr>
          <w:p>
            <w:pPr/>
          </w:p>
        </w:tc>
        <w:tc>
          <w:tcPr>
            <w:tcW w:w="1054" w:type="dxa"/>
            <w:shd w:val="clear" w:color="auto" w:fill="DDEBF7"/>
          </w:tcPr>
          <w:p>
            <w:pPr>
              <w:pStyle w:val="TableParagraph"/>
              <w:spacing w:before="17"/>
              <w:ind w:left="201" w:right="201"/>
              <w:rPr>
                <w:sz w:val="24"/>
              </w:rPr>
            </w:pPr>
            <w:r>
              <w:rPr>
                <w:sz w:val="24"/>
              </w:rPr>
              <w:t>79.3</w:t>
            </w:r>
          </w:p>
        </w:tc>
        <w:tc>
          <w:tcPr>
            <w:tcW w:w="2110" w:type="dxa"/>
            <w:gridSpan w:val="2"/>
            <w:tcBorders>
              <w:top w:val="nil"/>
              <w:bottom w:val="nil"/>
            </w:tcBorders>
            <w:shd w:val="clear" w:color="auto" w:fill="DDEBF7"/>
          </w:tcPr>
          <w:p>
            <w:pPr/>
          </w:p>
        </w:tc>
        <w:tc>
          <w:tcPr>
            <w:tcW w:w="1935" w:type="dxa"/>
            <w:shd w:val="clear" w:color="auto" w:fill="DDEBF7"/>
          </w:tcPr>
          <w:p>
            <w:pPr>
              <w:pStyle w:val="TableParagraph"/>
              <w:spacing w:before="17"/>
              <w:ind w:left="228" w:right="229"/>
              <w:rPr>
                <w:sz w:val="24"/>
              </w:rPr>
            </w:pPr>
            <w:r>
              <w:rPr>
                <w:sz w:val="24"/>
              </w:rPr>
              <w:t>25.6</w:t>
            </w:r>
          </w:p>
        </w:tc>
        <w:tc>
          <w:tcPr>
            <w:tcW w:w="1620" w:type="dxa"/>
            <w:tcBorders>
              <w:top w:val="nil"/>
              <w:bottom w:val="nil"/>
            </w:tcBorders>
            <w:shd w:val="clear" w:color="auto" w:fill="DDEBF7"/>
          </w:tcPr>
          <w:p>
            <w:pPr/>
          </w:p>
        </w:tc>
      </w:tr>
      <w:tr>
        <w:trPr>
          <w:trHeight w:val="305" w:hRule="exact"/>
        </w:trPr>
        <w:tc>
          <w:tcPr>
            <w:tcW w:w="1579" w:type="dxa"/>
            <w:tcBorders>
              <w:top w:val="nil"/>
              <w:bottom w:val="nil"/>
            </w:tcBorders>
          </w:tcPr>
          <w:p>
            <w:pPr>
              <w:pStyle w:val="TableParagraph"/>
              <w:spacing w:before="19"/>
              <w:ind w:right="1"/>
              <w:rPr>
                <w:sz w:val="24"/>
              </w:rPr>
            </w:pPr>
            <w:r>
              <w:rPr>
                <w:w w:val="99"/>
                <w:sz w:val="24"/>
              </w:rPr>
              <w:t>3</w:t>
            </w:r>
          </w:p>
        </w:tc>
        <w:tc>
          <w:tcPr>
            <w:tcW w:w="2108" w:type="dxa"/>
            <w:gridSpan w:val="2"/>
            <w:tcBorders>
              <w:top w:val="nil"/>
              <w:bottom w:val="nil"/>
            </w:tcBorders>
          </w:tcPr>
          <w:p>
            <w:pPr/>
          </w:p>
        </w:tc>
        <w:tc>
          <w:tcPr>
            <w:tcW w:w="1056" w:type="dxa"/>
          </w:tcPr>
          <w:p>
            <w:pPr>
              <w:pStyle w:val="TableParagraph"/>
              <w:spacing w:before="15"/>
              <w:ind w:right="288"/>
              <w:jc w:val="right"/>
              <w:rPr>
                <w:sz w:val="24"/>
              </w:rPr>
            </w:pPr>
            <w:r>
              <w:rPr>
                <w:sz w:val="24"/>
              </w:rPr>
              <w:t>39.8</w:t>
            </w:r>
          </w:p>
        </w:tc>
        <w:tc>
          <w:tcPr>
            <w:tcW w:w="1054" w:type="dxa"/>
            <w:tcBorders>
              <w:top w:val="nil"/>
            </w:tcBorders>
          </w:tcPr>
          <w:p>
            <w:pPr/>
          </w:p>
        </w:tc>
        <w:tc>
          <w:tcPr>
            <w:tcW w:w="1935" w:type="dxa"/>
          </w:tcPr>
          <w:p>
            <w:pPr>
              <w:pStyle w:val="TableParagraph"/>
              <w:spacing w:before="15"/>
              <w:ind w:left="228" w:right="229"/>
              <w:rPr>
                <w:sz w:val="24"/>
              </w:rPr>
            </w:pPr>
            <w:r>
              <w:rPr>
                <w:sz w:val="24"/>
              </w:rPr>
              <w:t>9.7</w:t>
            </w:r>
          </w:p>
        </w:tc>
        <w:tc>
          <w:tcPr>
            <w:tcW w:w="1620" w:type="dxa"/>
            <w:tcBorders>
              <w:top w:val="nil"/>
            </w:tcBorders>
          </w:tcPr>
          <w:p>
            <w:pPr/>
          </w:p>
        </w:tc>
      </w:tr>
      <w:tr>
        <w:trPr>
          <w:trHeight w:val="301" w:hRule="exact"/>
        </w:trPr>
        <w:tc>
          <w:tcPr>
            <w:tcW w:w="1579" w:type="dxa"/>
            <w:tcBorders>
              <w:top w:val="nil"/>
            </w:tcBorders>
            <w:shd w:val="clear" w:color="auto" w:fill="DDEBF7"/>
          </w:tcPr>
          <w:p>
            <w:pPr>
              <w:pStyle w:val="TableParagraph"/>
              <w:spacing w:before="15"/>
              <w:ind w:right="1"/>
              <w:rPr>
                <w:sz w:val="24"/>
              </w:rPr>
            </w:pPr>
            <w:r>
              <w:rPr>
                <w:w w:val="99"/>
                <w:sz w:val="24"/>
              </w:rPr>
              <w:t>4</w:t>
            </w:r>
          </w:p>
        </w:tc>
        <w:tc>
          <w:tcPr>
            <w:tcW w:w="3164" w:type="dxa"/>
            <w:gridSpan w:val="3"/>
            <w:tcBorders>
              <w:top w:val="nil"/>
            </w:tcBorders>
            <w:shd w:val="clear" w:color="auto" w:fill="DDEBF7"/>
          </w:tcPr>
          <w:p>
            <w:pPr/>
          </w:p>
        </w:tc>
        <w:tc>
          <w:tcPr>
            <w:tcW w:w="1054" w:type="dxa"/>
            <w:shd w:val="clear" w:color="auto" w:fill="DDEBF7"/>
          </w:tcPr>
          <w:p>
            <w:pPr>
              <w:pStyle w:val="TableParagraph"/>
              <w:spacing w:before="10"/>
              <w:ind w:left="201" w:right="201"/>
              <w:rPr>
                <w:sz w:val="24"/>
              </w:rPr>
            </w:pPr>
            <w:r>
              <w:rPr>
                <w:sz w:val="24"/>
              </w:rPr>
              <w:t>20.5</w:t>
            </w:r>
          </w:p>
        </w:tc>
        <w:tc>
          <w:tcPr>
            <w:tcW w:w="1935" w:type="dxa"/>
            <w:shd w:val="clear" w:color="auto" w:fill="DDEBF7"/>
          </w:tcPr>
          <w:p>
            <w:pPr>
              <w:pStyle w:val="TableParagraph"/>
              <w:spacing w:before="10"/>
              <w:ind w:left="229" w:right="229"/>
              <w:rPr>
                <w:sz w:val="24"/>
              </w:rPr>
            </w:pPr>
            <w:r>
              <w:rPr>
                <w:sz w:val="24"/>
              </w:rPr>
              <w:t>5.46</w:t>
            </w:r>
          </w:p>
        </w:tc>
        <w:tc>
          <w:tcPr>
            <w:tcW w:w="1620" w:type="dxa"/>
            <w:shd w:val="clear" w:color="auto" w:fill="DDEBF7"/>
          </w:tcPr>
          <w:p>
            <w:pPr>
              <w:pStyle w:val="TableParagraph"/>
              <w:spacing w:before="10"/>
              <w:ind w:left="571"/>
              <w:jc w:val="left"/>
              <w:rPr>
                <w:sz w:val="24"/>
              </w:rPr>
            </w:pPr>
            <w:r>
              <w:rPr>
                <w:sz w:val="24"/>
              </w:rPr>
              <w:t>4.52</w:t>
            </w:r>
          </w:p>
        </w:tc>
      </w:tr>
    </w:tbl>
    <w:p>
      <w:pPr>
        <w:pStyle w:val="BodyText"/>
      </w:pPr>
    </w:p>
    <w:p>
      <w:pPr>
        <w:pStyle w:val="BodyText"/>
        <w:spacing w:before="9"/>
        <w:rPr>
          <w:sz w:val="20"/>
        </w:rPr>
      </w:pPr>
    </w:p>
    <w:p>
      <w:pPr>
        <w:pStyle w:val="BodyText"/>
        <w:spacing w:line="360" w:lineRule="auto" w:before="1"/>
        <w:ind w:left="122" w:right="617"/>
        <w:jc w:val="both"/>
      </w:pPr>
      <w:r>
        <w:rPr/>
        <w:t>Con base a los resultados obtenidos se realizó un espacio de diseño tomando en cuenta la cantidad de agente quelante, la temperatura y tiempo del tratamiento. Los resultados se muestran en la Tabla</w:t>
      </w:r>
      <w:r>
        <w:rPr>
          <w:spacing w:val="-13"/>
        </w:rPr>
        <w:t> </w:t>
      </w:r>
      <w:r>
        <w:rPr/>
        <w:t>6.8</w:t>
      </w:r>
    </w:p>
    <w:p>
      <w:pPr>
        <w:spacing w:after="0" w:line="360" w:lineRule="auto"/>
        <w:jc w:val="both"/>
        <w:sectPr>
          <w:pgSz w:w="12240" w:h="15840"/>
          <w:pgMar w:header="0" w:footer="919" w:top="1360" w:bottom="1100" w:left="1580" w:right="1080"/>
        </w:sectPr>
      </w:pPr>
    </w:p>
    <w:p>
      <w:pPr>
        <w:pStyle w:val="BodyText"/>
        <w:spacing w:before="56"/>
        <w:ind w:left="102"/>
        <w:jc w:val="both"/>
      </w:pPr>
      <w:r>
        <w:rPr/>
        <w:t>Tabla 6.8 Eficiencia de eliminación del paladio</w:t>
      </w:r>
    </w:p>
    <w:p>
      <w:pPr>
        <w:pStyle w:val="BodyText"/>
        <w:spacing w:before="1"/>
        <w:rPr>
          <w:sz w:val="21"/>
        </w:rPr>
      </w:pPr>
    </w:p>
    <w:tbl>
      <w:tblPr>
        <w:tblW w:w="0" w:type="auto"/>
        <w:jc w:val="left"/>
        <w:tblInd w:w="131"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1392"/>
        <w:gridCol w:w="884"/>
        <w:gridCol w:w="934"/>
        <w:gridCol w:w="1441"/>
        <w:gridCol w:w="1441"/>
        <w:gridCol w:w="1392"/>
        <w:gridCol w:w="1425"/>
      </w:tblGrid>
      <w:tr>
        <w:trPr>
          <w:trHeight w:val="401" w:hRule="exact"/>
        </w:trPr>
        <w:tc>
          <w:tcPr>
            <w:tcW w:w="1392" w:type="dxa"/>
            <w:vMerge w:val="restart"/>
            <w:tcBorders>
              <w:left w:val="single" w:sz="7" w:space="0" w:color="000000"/>
              <w:right w:val="single" w:sz="7" w:space="0" w:color="000000"/>
            </w:tcBorders>
            <w:shd w:val="clear" w:color="auto" w:fill="FFC6CE"/>
          </w:tcPr>
          <w:p>
            <w:pPr>
              <w:pStyle w:val="TableParagraph"/>
              <w:spacing w:before="235"/>
              <w:ind w:left="32" w:right="-5"/>
              <w:jc w:val="left"/>
              <w:rPr>
                <w:rFonts w:ascii="Calibri"/>
                <w:sz w:val="30"/>
              </w:rPr>
            </w:pPr>
            <w:r>
              <w:rPr>
                <w:rFonts w:ascii="Calibri"/>
                <w:color w:val="9C0005"/>
                <w:w w:val="85"/>
                <w:sz w:val="30"/>
              </w:rPr>
              <w:t>Experimento</w:t>
            </w:r>
          </w:p>
        </w:tc>
        <w:tc>
          <w:tcPr>
            <w:tcW w:w="884" w:type="dxa"/>
            <w:vMerge w:val="restart"/>
            <w:tcBorders>
              <w:left w:val="single" w:sz="7" w:space="0" w:color="000000"/>
              <w:right w:val="single" w:sz="7" w:space="0" w:color="000000"/>
            </w:tcBorders>
            <w:shd w:val="clear" w:color="auto" w:fill="FFC6CE"/>
          </w:tcPr>
          <w:p>
            <w:pPr>
              <w:pStyle w:val="TableParagraph"/>
              <w:spacing w:line="261" w:lineRule="auto" w:before="35"/>
              <w:ind w:left="81" w:hanging="33"/>
              <w:jc w:val="left"/>
              <w:rPr>
                <w:rFonts w:ascii="Calibri"/>
                <w:sz w:val="30"/>
              </w:rPr>
            </w:pPr>
            <w:r>
              <w:rPr>
                <w:rFonts w:ascii="Calibri"/>
                <w:color w:val="9C0005"/>
                <w:w w:val="80"/>
                <w:sz w:val="30"/>
              </w:rPr>
              <w:t>Tiempo (horas)</w:t>
            </w:r>
          </w:p>
        </w:tc>
        <w:tc>
          <w:tcPr>
            <w:tcW w:w="934" w:type="dxa"/>
            <w:vMerge w:val="restart"/>
            <w:tcBorders>
              <w:left w:val="single" w:sz="7" w:space="0" w:color="000000"/>
              <w:right w:val="single" w:sz="7" w:space="0" w:color="000000"/>
            </w:tcBorders>
            <w:shd w:val="clear" w:color="auto" w:fill="FFC6CE"/>
          </w:tcPr>
          <w:p>
            <w:pPr>
              <w:pStyle w:val="TableParagraph"/>
              <w:spacing w:line="261" w:lineRule="auto" w:before="35"/>
              <w:ind w:left="115" w:hanging="66"/>
              <w:jc w:val="left"/>
              <w:rPr>
                <w:rFonts w:ascii="Calibri"/>
                <w:sz w:val="30"/>
              </w:rPr>
            </w:pPr>
            <w:r>
              <w:rPr>
                <w:rFonts w:ascii="Calibri"/>
                <w:color w:val="9C0005"/>
                <w:w w:val="80"/>
                <w:sz w:val="30"/>
              </w:rPr>
              <w:t>Smopex </w:t>
            </w:r>
            <w:r>
              <w:rPr>
                <w:rFonts w:ascii="Calibri"/>
                <w:color w:val="9C0005"/>
                <w:w w:val="85"/>
                <w:sz w:val="30"/>
              </w:rPr>
              <w:t>(%p/p)</w:t>
            </w:r>
          </w:p>
        </w:tc>
        <w:tc>
          <w:tcPr>
            <w:tcW w:w="1441" w:type="dxa"/>
            <w:vMerge w:val="restart"/>
            <w:tcBorders>
              <w:left w:val="single" w:sz="7" w:space="0" w:color="000000"/>
              <w:right w:val="single" w:sz="7" w:space="0" w:color="000000"/>
            </w:tcBorders>
            <w:shd w:val="clear" w:color="auto" w:fill="FFC6CE"/>
          </w:tcPr>
          <w:p>
            <w:pPr>
              <w:pStyle w:val="TableParagraph"/>
              <w:spacing w:line="261" w:lineRule="auto" w:before="35"/>
              <w:ind w:left="524" w:hanging="476"/>
              <w:jc w:val="left"/>
              <w:rPr>
                <w:rFonts w:ascii="Calibri" w:hAnsi="Calibri"/>
                <w:sz w:val="30"/>
              </w:rPr>
            </w:pPr>
            <w:r>
              <w:rPr>
                <w:rFonts w:ascii="Calibri" w:hAnsi="Calibri"/>
                <w:color w:val="9C0005"/>
                <w:w w:val="80"/>
                <w:sz w:val="30"/>
              </w:rPr>
              <w:t>Temperatura </w:t>
            </w:r>
            <w:r>
              <w:rPr>
                <w:rFonts w:ascii="Calibri" w:hAnsi="Calibri"/>
                <w:color w:val="9C0005"/>
                <w:w w:val="90"/>
                <w:sz w:val="30"/>
              </w:rPr>
              <w:t>(°C)</w:t>
            </w:r>
          </w:p>
        </w:tc>
        <w:tc>
          <w:tcPr>
            <w:tcW w:w="1441" w:type="dxa"/>
            <w:vMerge w:val="restart"/>
            <w:tcBorders>
              <w:left w:val="single" w:sz="7" w:space="0" w:color="000000"/>
              <w:right w:val="single" w:sz="7" w:space="0" w:color="000000"/>
            </w:tcBorders>
            <w:shd w:val="clear" w:color="auto" w:fill="FFC6CE"/>
          </w:tcPr>
          <w:p>
            <w:pPr>
              <w:pStyle w:val="TableParagraph"/>
              <w:spacing w:line="261" w:lineRule="auto" w:before="35"/>
              <w:ind w:left="540" w:hanging="492"/>
              <w:jc w:val="left"/>
              <w:rPr>
                <w:rFonts w:ascii="Calibri"/>
                <w:sz w:val="30"/>
              </w:rPr>
            </w:pPr>
            <w:r>
              <w:rPr>
                <w:rFonts w:ascii="Calibri"/>
                <w:color w:val="9C0005"/>
                <w:w w:val="80"/>
                <w:sz w:val="30"/>
              </w:rPr>
              <w:t>Rendimiento </w:t>
            </w:r>
            <w:r>
              <w:rPr>
                <w:rFonts w:ascii="Calibri"/>
                <w:color w:val="9C0005"/>
                <w:w w:val="90"/>
                <w:sz w:val="30"/>
              </w:rPr>
              <w:t>(%)</w:t>
            </w:r>
          </w:p>
        </w:tc>
        <w:tc>
          <w:tcPr>
            <w:tcW w:w="2817" w:type="dxa"/>
            <w:gridSpan w:val="2"/>
            <w:tcBorders>
              <w:left w:val="single" w:sz="7" w:space="0" w:color="000000"/>
              <w:right w:val="single" w:sz="7" w:space="0" w:color="000000"/>
            </w:tcBorders>
            <w:shd w:val="clear" w:color="auto" w:fill="FFC6CE"/>
          </w:tcPr>
          <w:p>
            <w:pPr>
              <w:pStyle w:val="TableParagraph"/>
              <w:spacing w:before="15"/>
              <w:ind w:left="557"/>
              <w:jc w:val="left"/>
              <w:rPr>
                <w:rFonts w:ascii="Calibri"/>
                <w:sz w:val="30"/>
              </w:rPr>
            </w:pPr>
            <w:r>
              <w:rPr>
                <w:rFonts w:ascii="Calibri"/>
                <w:color w:val="9C0005"/>
                <w:w w:val="85"/>
                <w:sz w:val="30"/>
              </w:rPr>
              <w:t>Contenido de Pd</w:t>
            </w:r>
          </w:p>
        </w:tc>
      </w:tr>
      <w:tr>
        <w:trPr>
          <w:trHeight w:val="481" w:hRule="exact"/>
        </w:trPr>
        <w:tc>
          <w:tcPr>
            <w:tcW w:w="1392" w:type="dxa"/>
            <w:vMerge/>
            <w:tcBorders>
              <w:left w:val="single" w:sz="7" w:space="0" w:color="000000"/>
              <w:right w:val="single" w:sz="7" w:space="0" w:color="000000"/>
            </w:tcBorders>
            <w:shd w:val="clear" w:color="auto" w:fill="FFC6CE"/>
          </w:tcPr>
          <w:p>
            <w:pPr/>
          </w:p>
        </w:tc>
        <w:tc>
          <w:tcPr>
            <w:tcW w:w="884" w:type="dxa"/>
            <w:vMerge/>
            <w:tcBorders>
              <w:left w:val="single" w:sz="7" w:space="0" w:color="000000"/>
              <w:right w:val="single" w:sz="7" w:space="0" w:color="000000"/>
            </w:tcBorders>
            <w:shd w:val="clear" w:color="auto" w:fill="FFC6CE"/>
          </w:tcPr>
          <w:p>
            <w:pPr/>
          </w:p>
        </w:tc>
        <w:tc>
          <w:tcPr>
            <w:tcW w:w="934" w:type="dxa"/>
            <w:vMerge/>
            <w:tcBorders>
              <w:left w:val="single" w:sz="7" w:space="0" w:color="000000"/>
              <w:right w:val="single" w:sz="7" w:space="0" w:color="000000"/>
            </w:tcBorders>
            <w:shd w:val="clear" w:color="auto" w:fill="FFC6CE"/>
          </w:tcPr>
          <w:p>
            <w:pPr/>
          </w:p>
        </w:tc>
        <w:tc>
          <w:tcPr>
            <w:tcW w:w="1441" w:type="dxa"/>
            <w:vMerge/>
            <w:tcBorders>
              <w:left w:val="single" w:sz="7" w:space="0" w:color="000000"/>
              <w:right w:val="single" w:sz="7" w:space="0" w:color="000000"/>
            </w:tcBorders>
            <w:shd w:val="clear" w:color="auto" w:fill="FFC6CE"/>
          </w:tcPr>
          <w:p>
            <w:pPr/>
          </w:p>
        </w:tc>
        <w:tc>
          <w:tcPr>
            <w:tcW w:w="1441" w:type="dxa"/>
            <w:vMerge/>
            <w:tcBorders>
              <w:left w:val="single" w:sz="7" w:space="0" w:color="000000"/>
              <w:right w:val="single" w:sz="7" w:space="0" w:color="000000"/>
            </w:tcBorders>
            <w:shd w:val="clear" w:color="auto" w:fill="FFC6CE"/>
          </w:tcPr>
          <w:p>
            <w:pPr/>
          </w:p>
        </w:tc>
        <w:tc>
          <w:tcPr>
            <w:tcW w:w="1392" w:type="dxa"/>
            <w:tcBorders>
              <w:left w:val="single" w:sz="7" w:space="0" w:color="000000"/>
              <w:right w:val="single" w:sz="7" w:space="0" w:color="000000"/>
            </w:tcBorders>
            <w:shd w:val="clear" w:color="auto" w:fill="FFC6CE"/>
          </w:tcPr>
          <w:p>
            <w:pPr>
              <w:pStyle w:val="TableParagraph"/>
              <w:spacing w:before="55"/>
              <w:ind w:left="38" w:right="32"/>
              <w:rPr>
                <w:rFonts w:ascii="Calibri"/>
                <w:sz w:val="30"/>
              </w:rPr>
            </w:pPr>
            <w:r>
              <w:rPr>
                <w:rFonts w:ascii="Calibri"/>
                <w:color w:val="9C0005"/>
                <w:w w:val="80"/>
                <w:sz w:val="30"/>
              </w:rPr>
              <w:t>Intermedio 2</w:t>
            </w:r>
          </w:p>
        </w:tc>
        <w:tc>
          <w:tcPr>
            <w:tcW w:w="1425" w:type="dxa"/>
            <w:tcBorders>
              <w:left w:val="single" w:sz="7" w:space="0" w:color="000000"/>
              <w:right w:val="single" w:sz="7" w:space="0" w:color="000000"/>
            </w:tcBorders>
            <w:shd w:val="clear" w:color="auto" w:fill="FFC6CE"/>
          </w:tcPr>
          <w:p>
            <w:pPr>
              <w:pStyle w:val="TableParagraph"/>
              <w:spacing w:before="55"/>
              <w:ind w:left="54" w:right="48"/>
              <w:rPr>
                <w:rFonts w:ascii="Calibri"/>
                <w:sz w:val="30"/>
              </w:rPr>
            </w:pPr>
            <w:r>
              <w:rPr>
                <w:rFonts w:ascii="Calibri"/>
                <w:color w:val="9C0005"/>
                <w:w w:val="80"/>
                <w:sz w:val="30"/>
              </w:rPr>
              <w:t>Intermedio 3</w:t>
            </w:r>
          </w:p>
        </w:tc>
      </w:tr>
      <w:tr>
        <w:trPr>
          <w:trHeight w:val="401" w:hRule="exact"/>
        </w:trPr>
        <w:tc>
          <w:tcPr>
            <w:tcW w:w="1392" w:type="dxa"/>
            <w:tcBorders>
              <w:left w:val="single" w:sz="7" w:space="0" w:color="000000"/>
              <w:right w:val="single" w:sz="7" w:space="0" w:color="000000"/>
            </w:tcBorders>
          </w:tcPr>
          <w:p>
            <w:pPr>
              <w:pStyle w:val="TableParagraph"/>
              <w:spacing w:before="15"/>
              <w:ind w:left="638"/>
              <w:jc w:val="left"/>
              <w:rPr>
                <w:rFonts w:ascii="Calibri"/>
                <w:sz w:val="30"/>
              </w:rPr>
            </w:pPr>
            <w:r>
              <w:rPr>
                <w:rFonts w:ascii="Calibri"/>
                <w:w w:val="82"/>
                <w:sz w:val="30"/>
              </w:rPr>
              <w:t>1</w:t>
            </w:r>
          </w:p>
        </w:tc>
        <w:tc>
          <w:tcPr>
            <w:tcW w:w="884" w:type="dxa"/>
            <w:tcBorders>
              <w:left w:val="single" w:sz="7" w:space="0" w:color="000000"/>
              <w:right w:val="single" w:sz="7" w:space="0" w:color="000000"/>
            </w:tcBorders>
          </w:tcPr>
          <w:p>
            <w:pPr>
              <w:pStyle w:val="TableParagraph"/>
              <w:spacing w:before="15"/>
              <w:ind w:left="10"/>
              <w:rPr>
                <w:rFonts w:ascii="Calibri"/>
                <w:sz w:val="30"/>
              </w:rPr>
            </w:pPr>
            <w:r>
              <w:rPr>
                <w:rFonts w:ascii="Calibri"/>
                <w:w w:val="82"/>
                <w:sz w:val="30"/>
              </w:rPr>
              <w:t>2</w:t>
            </w:r>
          </w:p>
        </w:tc>
        <w:tc>
          <w:tcPr>
            <w:tcW w:w="934" w:type="dxa"/>
            <w:tcBorders>
              <w:left w:val="single" w:sz="7" w:space="0" w:color="000000"/>
              <w:right w:val="single" w:sz="7" w:space="0" w:color="000000"/>
            </w:tcBorders>
          </w:tcPr>
          <w:p>
            <w:pPr>
              <w:pStyle w:val="TableParagraph"/>
              <w:spacing w:before="15"/>
              <w:ind w:left="27"/>
              <w:rPr>
                <w:rFonts w:ascii="Calibri"/>
                <w:sz w:val="30"/>
              </w:rPr>
            </w:pPr>
            <w:r>
              <w:rPr>
                <w:rFonts w:ascii="Calibri"/>
                <w:w w:val="82"/>
                <w:sz w:val="30"/>
              </w:rPr>
              <w:t>5</w:t>
            </w:r>
          </w:p>
        </w:tc>
        <w:tc>
          <w:tcPr>
            <w:tcW w:w="1441" w:type="dxa"/>
            <w:tcBorders>
              <w:left w:val="single" w:sz="7" w:space="0" w:color="000000"/>
              <w:right w:val="single" w:sz="7" w:space="0" w:color="000000"/>
            </w:tcBorders>
          </w:tcPr>
          <w:p>
            <w:pPr>
              <w:pStyle w:val="TableParagraph"/>
              <w:spacing w:before="15"/>
              <w:ind w:left="388" w:right="372"/>
              <w:rPr>
                <w:rFonts w:ascii="Calibri"/>
                <w:sz w:val="30"/>
              </w:rPr>
            </w:pPr>
            <w:r>
              <w:rPr>
                <w:rFonts w:ascii="Calibri"/>
                <w:w w:val="90"/>
                <w:sz w:val="30"/>
              </w:rPr>
              <w:t>20</w:t>
            </w:r>
          </w:p>
        </w:tc>
        <w:tc>
          <w:tcPr>
            <w:tcW w:w="1441" w:type="dxa"/>
            <w:tcBorders>
              <w:left w:val="single" w:sz="7" w:space="0" w:color="000000"/>
              <w:right w:val="single" w:sz="7" w:space="0" w:color="000000"/>
            </w:tcBorders>
          </w:tcPr>
          <w:p>
            <w:pPr>
              <w:pStyle w:val="TableParagraph"/>
              <w:spacing w:before="15"/>
              <w:ind w:left="397" w:right="372"/>
              <w:rPr>
                <w:rFonts w:ascii="Calibri"/>
                <w:sz w:val="30"/>
              </w:rPr>
            </w:pPr>
            <w:r>
              <w:rPr>
                <w:rFonts w:ascii="Calibri"/>
                <w:w w:val="90"/>
                <w:sz w:val="30"/>
              </w:rPr>
              <w:t>86.66</w:t>
            </w:r>
          </w:p>
        </w:tc>
        <w:tc>
          <w:tcPr>
            <w:tcW w:w="1392" w:type="dxa"/>
            <w:tcBorders>
              <w:left w:val="single" w:sz="7" w:space="0" w:color="000000"/>
              <w:right w:val="single" w:sz="7" w:space="0" w:color="000000"/>
            </w:tcBorders>
          </w:tcPr>
          <w:p>
            <w:pPr>
              <w:pStyle w:val="TableParagraph"/>
              <w:spacing w:before="15"/>
              <w:ind w:left="38" w:right="13"/>
              <w:rPr>
                <w:rFonts w:ascii="Calibri"/>
                <w:sz w:val="30"/>
              </w:rPr>
            </w:pPr>
            <w:r>
              <w:rPr>
                <w:rFonts w:ascii="Calibri"/>
                <w:w w:val="90"/>
                <w:sz w:val="30"/>
              </w:rPr>
              <w:t>226.40</w:t>
            </w:r>
          </w:p>
        </w:tc>
        <w:tc>
          <w:tcPr>
            <w:tcW w:w="1425" w:type="dxa"/>
            <w:tcBorders>
              <w:left w:val="single" w:sz="7" w:space="0" w:color="000000"/>
              <w:right w:val="single" w:sz="7" w:space="0" w:color="000000"/>
            </w:tcBorders>
          </w:tcPr>
          <w:p>
            <w:pPr>
              <w:pStyle w:val="TableParagraph"/>
              <w:spacing w:before="15"/>
              <w:ind w:left="54" w:right="29"/>
              <w:rPr>
                <w:rFonts w:ascii="Calibri"/>
                <w:sz w:val="30"/>
              </w:rPr>
            </w:pPr>
            <w:r>
              <w:rPr>
                <w:rFonts w:ascii="Calibri"/>
                <w:w w:val="90"/>
                <w:sz w:val="30"/>
              </w:rPr>
              <w:t>131.13</w:t>
            </w:r>
          </w:p>
        </w:tc>
      </w:tr>
      <w:tr>
        <w:trPr>
          <w:trHeight w:val="401" w:hRule="exact"/>
        </w:trPr>
        <w:tc>
          <w:tcPr>
            <w:tcW w:w="1392" w:type="dxa"/>
            <w:tcBorders>
              <w:left w:val="single" w:sz="7" w:space="0" w:color="000000"/>
              <w:bottom w:val="single" w:sz="8" w:space="0" w:color="000000"/>
              <w:right w:val="single" w:sz="7" w:space="0" w:color="000000"/>
            </w:tcBorders>
          </w:tcPr>
          <w:p>
            <w:pPr>
              <w:pStyle w:val="TableParagraph"/>
              <w:spacing w:before="15"/>
              <w:ind w:left="638"/>
              <w:jc w:val="left"/>
              <w:rPr>
                <w:rFonts w:ascii="Calibri"/>
                <w:sz w:val="30"/>
              </w:rPr>
            </w:pPr>
            <w:r>
              <w:rPr>
                <w:rFonts w:ascii="Calibri"/>
                <w:w w:val="82"/>
                <w:sz w:val="30"/>
              </w:rPr>
              <w:t>2</w:t>
            </w:r>
          </w:p>
        </w:tc>
        <w:tc>
          <w:tcPr>
            <w:tcW w:w="884" w:type="dxa"/>
            <w:tcBorders>
              <w:left w:val="single" w:sz="7" w:space="0" w:color="000000"/>
              <w:bottom w:val="single" w:sz="8" w:space="0" w:color="000000"/>
              <w:right w:val="single" w:sz="7" w:space="0" w:color="000000"/>
            </w:tcBorders>
          </w:tcPr>
          <w:p>
            <w:pPr>
              <w:pStyle w:val="TableParagraph"/>
              <w:spacing w:before="15"/>
              <w:ind w:left="284" w:right="268"/>
              <w:rPr>
                <w:rFonts w:ascii="Calibri"/>
                <w:sz w:val="30"/>
              </w:rPr>
            </w:pPr>
            <w:r>
              <w:rPr>
                <w:rFonts w:ascii="Calibri"/>
                <w:w w:val="90"/>
                <w:sz w:val="30"/>
              </w:rPr>
              <w:t>30</w:t>
            </w:r>
          </w:p>
        </w:tc>
        <w:tc>
          <w:tcPr>
            <w:tcW w:w="934" w:type="dxa"/>
            <w:tcBorders>
              <w:left w:val="single" w:sz="7" w:space="0" w:color="000000"/>
              <w:bottom w:val="single" w:sz="8" w:space="0" w:color="000000"/>
              <w:right w:val="single" w:sz="7" w:space="0" w:color="000000"/>
            </w:tcBorders>
          </w:tcPr>
          <w:p>
            <w:pPr>
              <w:pStyle w:val="TableParagraph"/>
              <w:spacing w:before="15"/>
              <w:ind w:left="27"/>
              <w:rPr>
                <w:rFonts w:ascii="Calibri"/>
                <w:sz w:val="30"/>
              </w:rPr>
            </w:pPr>
            <w:r>
              <w:rPr>
                <w:rFonts w:ascii="Calibri"/>
                <w:w w:val="82"/>
                <w:sz w:val="30"/>
              </w:rPr>
              <w:t>5</w:t>
            </w:r>
          </w:p>
        </w:tc>
        <w:tc>
          <w:tcPr>
            <w:tcW w:w="1441" w:type="dxa"/>
            <w:tcBorders>
              <w:left w:val="single" w:sz="7" w:space="0" w:color="000000"/>
              <w:bottom w:val="single" w:sz="8" w:space="0" w:color="000000"/>
              <w:right w:val="single" w:sz="7" w:space="0" w:color="000000"/>
            </w:tcBorders>
          </w:tcPr>
          <w:p>
            <w:pPr>
              <w:pStyle w:val="TableParagraph"/>
              <w:spacing w:before="15"/>
              <w:ind w:left="388" w:right="372"/>
              <w:rPr>
                <w:rFonts w:ascii="Calibri"/>
                <w:sz w:val="30"/>
              </w:rPr>
            </w:pPr>
            <w:r>
              <w:rPr>
                <w:rFonts w:ascii="Calibri"/>
                <w:w w:val="90"/>
                <w:sz w:val="30"/>
              </w:rPr>
              <w:t>20</w:t>
            </w:r>
          </w:p>
        </w:tc>
        <w:tc>
          <w:tcPr>
            <w:tcW w:w="1441" w:type="dxa"/>
            <w:tcBorders>
              <w:left w:val="single" w:sz="7" w:space="0" w:color="000000"/>
              <w:bottom w:val="single" w:sz="8" w:space="0" w:color="000000"/>
              <w:right w:val="single" w:sz="7" w:space="0" w:color="000000"/>
            </w:tcBorders>
          </w:tcPr>
          <w:p>
            <w:pPr>
              <w:pStyle w:val="TableParagraph"/>
              <w:spacing w:before="15"/>
              <w:ind w:left="397" w:right="372"/>
              <w:rPr>
                <w:rFonts w:ascii="Calibri"/>
                <w:sz w:val="30"/>
              </w:rPr>
            </w:pPr>
            <w:r>
              <w:rPr>
                <w:rFonts w:ascii="Calibri"/>
                <w:w w:val="90"/>
                <w:sz w:val="30"/>
              </w:rPr>
              <w:t>84.30</w:t>
            </w:r>
          </w:p>
        </w:tc>
        <w:tc>
          <w:tcPr>
            <w:tcW w:w="1392" w:type="dxa"/>
            <w:tcBorders>
              <w:left w:val="single" w:sz="7" w:space="0" w:color="000000"/>
              <w:bottom w:val="single" w:sz="8" w:space="0" w:color="000000"/>
              <w:right w:val="single" w:sz="7" w:space="0" w:color="000000"/>
            </w:tcBorders>
          </w:tcPr>
          <w:p>
            <w:pPr>
              <w:pStyle w:val="TableParagraph"/>
              <w:spacing w:before="15"/>
              <w:ind w:left="38" w:right="13"/>
              <w:rPr>
                <w:rFonts w:ascii="Calibri"/>
                <w:sz w:val="30"/>
              </w:rPr>
            </w:pPr>
            <w:r>
              <w:rPr>
                <w:rFonts w:ascii="Calibri"/>
                <w:w w:val="90"/>
                <w:sz w:val="30"/>
              </w:rPr>
              <w:t>113.18</w:t>
            </w:r>
          </w:p>
        </w:tc>
        <w:tc>
          <w:tcPr>
            <w:tcW w:w="1425" w:type="dxa"/>
            <w:tcBorders>
              <w:left w:val="single" w:sz="7" w:space="0" w:color="000000"/>
              <w:bottom w:val="single" w:sz="8" w:space="0" w:color="000000"/>
              <w:right w:val="single" w:sz="7" w:space="0" w:color="000000"/>
            </w:tcBorders>
          </w:tcPr>
          <w:p>
            <w:pPr>
              <w:pStyle w:val="TableParagraph"/>
              <w:spacing w:before="15"/>
              <w:ind w:left="54" w:right="45"/>
              <w:rPr>
                <w:rFonts w:ascii="Calibri"/>
                <w:sz w:val="30"/>
              </w:rPr>
            </w:pPr>
            <w:r>
              <w:rPr>
                <w:rFonts w:ascii="Calibri"/>
                <w:w w:val="90"/>
                <w:sz w:val="30"/>
              </w:rPr>
              <w:t>47.91</w:t>
            </w:r>
          </w:p>
        </w:tc>
      </w:tr>
      <w:tr>
        <w:trPr>
          <w:trHeight w:val="401" w:hRule="exact"/>
        </w:trPr>
        <w:tc>
          <w:tcPr>
            <w:tcW w:w="1392" w:type="dxa"/>
            <w:tcBorders>
              <w:top w:val="single" w:sz="8" w:space="0" w:color="000000"/>
              <w:left w:val="single" w:sz="7" w:space="0" w:color="000000"/>
              <w:right w:val="single" w:sz="7" w:space="0" w:color="000000"/>
            </w:tcBorders>
          </w:tcPr>
          <w:p>
            <w:pPr>
              <w:pStyle w:val="TableParagraph"/>
              <w:spacing w:before="14"/>
              <w:ind w:left="638"/>
              <w:jc w:val="left"/>
              <w:rPr>
                <w:rFonts w:ascii="Calibri"/>
                <w:sz w:val="30"/>
              </w:rPr>
            </w:pPr>
            <w:r>
              <w:rPr>
                <w:rFonts w:ascii="Calibri"/>
                <w:w w:val="82"/>
                <w:sz w:val="30"/>
              </w:rPr>
              <w:t>3</w:t>
            </w:r>
          </w:p>
        </w:tc>
        <w:tc>
          <w:tcPr>
            <w:tcW w:w="884" w:type="dxa"/>
            <w:tcBorders>
              <w:top w:val="single" w:sz="8" w:space="0" w:color="000000"/>
              <w:left w:val="single" w:sz="7" w:space="0" w:color="000000"/>
              <w:right w:val="single" w:sz="7" w:space="0" w:color="000000"/>
            </w:tcBorders>
          </w:tcPr>
          <w:p>
            <w:pPr>
              <w:pStyle w:val="TableParagraph"/>
              <w:spacing w:before="14"/>
              <w:ind w:left="10"/>
              <w:rPr>
                <w:rFonts w:ascii="Calibri"/>
                <w:sz w:val="30"/>
              </w:rPr>
            </w:pPr>
            <w:r>
              <w:rPr>
                <w:rFonts w:ascii="Calibri"/>
                <w:w w:val="82"/>
                <w:sz w:val="30"/>
              </w:rPr>
              <w:t>2</w:t>
            </w:r>
          </w:p>
        </w:tc>
        <w:tc>
          <w:tcPr>
            <w:tcW w:w="934" w:type="dxa"/>
            <w:tcBorders>
              <w:top w:val="single" w:sz="8" w:space="0" w:color="000000"/>
              <w:left w:val="single" w:sz="7" w:space="0" w:color="000000"/>
              <w:right w:val="single" w:sz="7" w:space="0" w:color="000000"/>
            </w:tcBorders>
          </w:tcPr>
          <w:p>
            <w:pPr>
              <w:pStyle w:val="TableParagraph"/>
              <w:spacing w:before="14"/>
              <w:ind w:left="186" w:right="186"/>
              <w:rPr>
                <w:rFonts w:ascii="Calibri"/>
                <w:sz w:val="30"/>
              </w:rPr>
            </w:pPr>
            <w:r>
              <w:rPr>
                <w:rFonts w:ascii="Calibri"/>
                <w:w w:val="90"/>
                <w:sz w:val="30"/>
              </w:rPr>
              <w:t>20</w:t>
            </w:r>
          </w:p>
        </w:tc>
        <w:tc>
          <w:tcPr>
            <w:tcW w:w="1441" w:type="dxa"/>
            <w:tcBorders>
              <w:top w:val="single" w:sz="8" w:space="0" w:color="000000"/>
              <w:left w:val="single" w:sz="7" w:space="0" w:color="000000"/>
              <w:right w:val="single" w:sz="7" w:space="0" w:color="000000"/>
            </w:tcBorders>
          </w:tcPr>
          <w:p>
            <w:pPr>
              <w:pStyle w:val="TableParagraph"/>
              <w:spacing w:before="14"/>
              <w:ind w:left="388" w:right="372"/>
              <w:rPr>
                <w:rFonts w:ascii="Calibri"/>
                <w:sz w:val="30"/>
              </w:rPr>
            </w:pPr>
            <w:r>
              <w:rPr>
                <w:rFonts w:ascii="Calibri"/>
                <w:w w:val="90"/>
                <w:sz w:val="30"/>
              </w:rPr>
              <w:t>20</w:t>
            </w:r>
          </w:p>
        </w:tc>
        <w:tc>
          <w:tcPr>
            <w:tcW w:w="1441" w:type="dxa"/>
            <w:tcBorders>
              <w:top w:val="single" w:sz="8" w:space="0" w:color="000000"/>
              <w:left w:val="single" w:sz="7" w:space="0" w:color="000000"/>
              <w:right w:val="single" w:sz="7" w:space="0" w:color="000000"/>
            </w:tcBorders>
          </w:tcPr>
          <w:p>
            <w:pPr>
              <w:pStyle w:val="TableParagraph"/>
              <w:spacing w:before="14"/>
              <w:ind w:left="397" w:right="372"/>
              <w:rPr>
                <w:rFonts w:ascii="Calibri"/>
                <w:sz w:val="30"/>
              </w:rPr>
            </w:pPr>
            <w:r>
              <w:rPr>
                <w:rFonts w:ascii="Calibri"/>
                <w:w w:val="90"/>
                <w:sz w:val="30"/>
              </w:rPr>
              <w:t>85.62</w:t>
            </w:r>
          </w:p>
        </w:tc>
        <w:tc>
          <w:tcPr>
            <w:tcW w:w="1392" w:type="dxa"/>
            <w:tcBorders>
              <w:top w:val="single" w:sz="8" w:space="0" w:color="000000"/>
              <w:left w:val="single" w:sz="7" w:space="0" w:color="000000"/>
              <w:right w:val="single" w:sz="7" w:space="0" w:color="000000"/>
            </w:tcBorders>
          </w:tcPr>
          <w:p>
            <w:pPr>
              <w:pStyle w:val="TableParagraph"/>
              <w:spacing w:before="14"/>
              <w:ind w:left="38" w:right="13"/>
              <w:rPr>
                <w:rFonts w:ascii="Calibri"/>
                <w:sz w:val="30"/>
              </w:rPr>
            </w:pPr>
            <w:r>
              <w:rPr>
                <w:rFonts w:ascii="Calibri"/>
                <w:w w:val="90"/>
                <w:sz w:val="30"/>
              </w:rPr>
              <w:t>204.93</w:t>
            </w:r>
          </w:p>
        </w:tc>
        <w:tc>
          <w:tcPr>
            <w:tcW w:w="1425" w:type="dxa"/>
            <w:tcBorders>
              <w:top w:val="single" w:sz="8" w:space="0" w:color="000000"/>
              <w:left w:val="single" w:sz="7" w:space="0" w:color="000000"/>
              <w:right w:val="single" w:sz="7" w:space="0" w:color="000000"/>
            </w:tcBorders>
          </w:tcPr>
          <w:p>
            <w:pPr>
              <w:pStyle w:val="TableParagraph"/>
              <w:spacing w:before="14"/>
              <w:ind w:left="54" w:right="29"/>
              <w:rPr>
                <w:rFonts w:ascii="Calibri"/>
                <w:sz w:val="30"/>
              </w:rPr>
            </w:pPr>
            <w:r>
              <w:rPr>
                <w:rFonts w:ascii="Calibri"/>
                <w:w w:val="90"/>
                <w:sz w:val="30"/>
              </w:rPr>
              <w:t>101.83</w:t>
            </w:r>
          </w:p>
        </w:tc>
      </w:tr>
      <w:tr>
        <w:trPr>
          <w:trHeight w:val="401" w:hRule="exact"/>
        </w:trPr>
        <w:tc>
          <w:tcPr>
            <w:tcW w:w="1392" w:type="dxa"/>
            <w:tcBorders>
              <w:left w:val="single" w:sz="7" w:space="0" w:color="000000"/>
              <w:right w:val="single" w:sz="7" w:space="0" w:color="000000"/>
            </w:tcBorders>
          </w:tcPr>
          <w:p>
            <w:pPr>
              <w:pStyle w:val="TableParagraph"/>
              <w:spacing w:before="14"/>
              <w:ind w:left="638"/>
              <w:jc w:val="left"/>
              <w:rPr>
                <w:rFonts w:ascii="Calibri"/>
                <w:sz w:val="30"/>
              </w:rPr>
            </w:pPr>
            <w:r>
              <w:rPr>
                <w:rFonts w:ascii="Calibri"/>
                <w:w w:val="82"/>
                <w:sz w:val="30"/>
              </w:rPr>
              <w:t>4</w:t>
            </w:r>
          </w:p>
        </w:tc>
        <w:tc>
          <w:tcPr>
            <w:tcW w:w="884" w:type="dxa"/>
            <w:tcBorders>
              <w:left w:val="single" w:sz="7" w:space="0" w:color="000000"/>
              <w:right w:val="single" w:sz="7" w:space="0" w:color="000000"/>
            </w:tcBorders>
          </w:tcPr>
          <w:p>
            <w:pPr>
              <w:pStyle w:val="TableParagraph"/>
              <w:spacing w:before="14"/>
              <w:ind w:left="284" w:right="268"/>
              <w:rPr>
                <w:rFonts w:ascii="Calibri"/>
                <w:sz w:val="30"/>
              </w:rPr>
            </w:pPr>
            <w:r>
              <w:rPr>
                <w:rFonts w:ascii="Calibri"/>
                <w:w w:val="90"/>
                <w:sz w:val="30"/>
              </w:rPr>
              <w:t>30</w:t>
            </w:r>
          </w:p>
        </w:tc>
        <w:tc>
          <w:tcPr>
            <w:tcW w:w="934" w:type="dxa"/>
            <w:tcBorders>
              <w:left w:val="single" w:sz="7" w:space="0" w:color="000000"/>
              <w:right w:val="single" w:sz="7" w:space="0" w:color="000000"/>
            </w:tcBorders>
          </w:tcPr>
          <w:p>
            <w:pPr>
              <w:pStyle w:val="TableParagraph"/>
              <w:spacing w:before="14"/>
              <w:ind w:left="186" w:right="186"/>
              <w:rPr>
                <w:rFonts w:ascii="Calibri"/>
                <w:sz w:val="30"/>
              </w:rPr>
            </w:pPr>
            <w:r>
              <w:rPr>
                <w:rFonts w:ascii="Calibri"/>
                <w:w w:val="90"/>
                <w:sz w:val="30"/>
              </w:rPr>
              <w:t>20</w:t>
            </w:r>
          </w:p>
        </w:tc>
        <w:tc>
          <w:tcPr>
            <w:tcW w:w="1441" w:type="dxa"/>
            <w:tcBorders>
              <w:left w:val="single" w:sz="7" w:space="0" w:color="000000"/>
              <w:right w:val="single" w:sz="7" w:space="0" w:color="000000"/>
            </w:tcBorders>
          </w:tcPr>
          <w:p>
            <w:pPr>
              <w:pStyle w:val="TableParagraph"/>
              <w:spacing w:before="14"/>
              <w:ind w:left="388" w:right="372"/>
              <w:rPr>
                <w:rFonts w:ascii="Calibri"/>
                <w:sz w:val="30"/>
              </w:rPr>
            </w:pPr>
            <w:r>
              <w:rPr>
                <w:rFonts w:ascii="Calibri"/>
                <w:w w:val="90"/>
                <w:sz w:val="30"/>
              </w:rPr>
              <w:t>20</w:t>
            </w:r>
          </w:p>
        </w:tc>
        <w:tc>
          <w:tcPr>
            <w:tcW w:w="1441" w:type="dxa"/>
            <w:tcBorders>
              <w:left w:val="single" w:sz="7" w:space="0" w:color="000000"/>
              <w:right w:val="single" w:sz="7" w:space="0" w:color="000000"/>
            </w:tcBorders>
          </w:tcPr>
          <w:p>
            <w:pPr>
              <w:pStyle w:val="TableParagraph"/>
              <w:spacing w:before="14"/>
              <w:ind w:left="397" w:right="372"/>
              <w:rPr>
                <w:rFonts w:ascii="Calibri"/>
                <w:sz w:val="30"/>
              </w:rPr>
            </w:pPr>
            <w:r>
              <w:rPr>
                <w:rFonts w:ascii="Calibri"/>
                <w:w w:val="90"/>
                <w:sz w:val="30"/>
              </w:rPr>
              <w:t>80.30</w:t>
            </w:r>
          </w:p>
        </w:tc>
        <w:tc>
          <w:tcPr>
            <w:tcW w:w="1392" w:type="dxa"/>
            <w:tcBorders>
              <w:left w:val="single" w:sz="7" w:space="0" w:color="000000"/>
              <w:right w:val="single" w:sz="7" w:space="0" w:color="000000"/>
            </w:tcBorders>
          </w:tcPr>
          <w:p>
            <w:pPr>
              <w:pStyle w:val="TableParagraph"/>
              <w:spacing w:before="14"/>
              <w:ind w:left="38" w:right="29"/>
              <w:rPr>
                <w:rFonts w:ascii="Calibri"/>
                <w:sz w:val="30"/>
              </w:rPr>
            </w:pPr>
            <w:r>
              <w:rPr>
                <w:rFonts w:ascii="Calibri"/>
                <w:w w:val="90"/>
                <w:sz w:val="30"/>
              </w:rPr>
              <w:t>32.78</w:t>
            </w:r>
          </w:p>
        </w:tc>
        <w:tc>
          <w:tcPr>
            <w:tcW w:w="1425" w:type="dxa"/>
            <w:tcBorders>
              <w:left w:val="single" w:sz="7" w:space="0" w:color="000000"/>
              <w:right w:val="single" w:sz="7" w:space="0" w:color="000000"/>
            </w:tcBorders>
          </w:tcPr>
          <w:p>
            <w:pPr>
              <w:pStyle w:val="TableParagraph"/>
              <w:spacing w:before="14"/>
              <w:ind w:left="54" w:right="45"/>
              <w:rPr>
                <w:rFonts w:ascii="Calibri"/>
                <w:sz w:val="30"/>
              </w:rPr>
            </w:pPr>
            <w:r>
              <w:rPr>
                <w:rFonts w:ascii="Calibri"/>
                <w:w w:val="90"/>
                <w:sz w:val="30"/>
              </w:rPr>
              <w:t>16.65</w:t>
            </w:r>
          </w:p>
        </w:tc>
      </w:tr>
      <w:tr>
        <w:trPr>
          <w:trHeight w:val="401" w:hRule="exact"/>
        </w:trPr>
        <w:tc>
          <w:tcPr>
            <w:tcW w:w="1392" w:type="dxa"/>
            <w:tcBorders>
              <w:left w:val="single" w:sz="7" w:space="0" w:color="000000"/>
              <w:right w:val="single" w:sz="7" w:space="0" w:color="000000"/>
            </w:tcBorders>
          </w:tcPr>
          <w:p>
            <w:pPr>
              <w:pStyle w:val="TableParagraph"/>
              <w:spacing w:before="15"/>
              <w:ind w:left="638"/>
              <w:jc w:val="left"/>
              <w:rPr>
                <w:rFonts w:ascii="Calibri"/>
                <w:sz w:val="30"/>
              </w:rPr>
            </w:pPr>
            <w:r>
              <w:rPr>
                <w:rFonts w:ascii="Calibri"/>
                <w:w w:val="82"/>
                <w:sz w:val="30"/>
              </w:rPr>
              <w:t>5</w:t>
            </w:r>
          </w:p>
        </w:tc>
        <w:tc>
          <w:tcPr>
            <w:tcW w:w="884" w:type="dxa"/>
            <w:tcBorders>
              <w:left w:val="single" w:sz="7" w:space="0" w:color="000000"/>
              <w:right w:val="single" w:sz="7" w:space="0" w:color="000000"/>
            </w:tcBorders>
          </w:tcPr>
          <w:p>
            <w:pPr>
              <w:pStyle w:val="TableParagraph"/>
              <w:spacing w:before="15"/>
              <w:ind w:left="10"/>
              <w:rPr>
                <w:rFonts w:ascii="Calibri"/>
                <w:sz w:val="30"/>
              </w:rPr>
            </w:pPr>
            <w:r>
              <w:rPr>
                <w:rFonts w:ascii="Calibri"/>
                <w:w w:val="82"/>
                <w:sz w:val="30"/>
              </w:rPr>
              <w:t>2</w:t>
            </w:r>
          </w:p>
        </w:tc>
        <w:tc>
          <w:tcPr>
            <w:tcW w:w="934" w:type="dxa"/>
            <w:tcBorders>
              <w:left w:val="single" w:sz="7" w:space="0" w:color="000000"/>
              <w:right w:val="single" w:sz="7" w:space="0" w:color="000000"/>
            </w:tcBorders>
          </w:tcPr>
          <w:p>
            <w:pPr>
              <w:pStyle w:val="TableParagraph"/>
              <w:spacing w:before="15"/>
              <w:ind w:left="27"/>
              <w:rPr>
                <w:rFonts w:ascii="Calibri"/>
                <w:sz w:val="30"/>
              </w:rPr>
            </w:pPr>
            <w:r>
              <w:rPr>
                <w:rFonts w:ascii="Calibri"/>
                <w:w w:val="82"/>
                <w:sz w:val="30"/>
              </w:rPr>
              <w:t>5</w:t>
            </w:r>
          </w:p>
        </w:tc>
        <w:tc>
          <w:tcPr>
            <w:tcW w:w="1441" w:type="dxa"/>
            <w:tcBorders>
              <w:left w:val="single" w:sz="7" w:space="0" w:color="000000"/>
              <w:right w:val="single" w:sz="7" w:space="0" w:color="000000"/>
            </w:tcBorders>
          </w:tcPr>
          <w:p>
            <w:pPr>
              <w:pStyle w:val="TableParagraph"/>
              <w:spacing w:before="15"/>
              <w:ind w:left="388" w:right="372"/>
              <w:rPr>
                <w:rFonts w:ascii="Calibri"/>
                <w:sz w:val="30"/>
              </w:rPr>
            </w:pPr>
            <w:r>
              <w:rPr>
                <w:rFonts w:ascii="Calibri"/>
                <w:w w:val="90"/>
                <w:sz w:val="30"/>
              </w:rPr>
              <w:t>35</w:t>
            </w:r>
          </w:p>
        </w:tc>
        <w:tc>
          <w:tcPr>
            <w:tcW w:w="1441" w:type="dxa"/>
            <w:tcBorders>
              <w:left w:val="single" w:sz="7" w:space="0" w:color="000000"/>
              <w:right w:val="single" w:sz="7" w:space="0" w:color="000000"/>
            </w:tcBorders>
          </w:tcPr>
          <w:p>
            <w:pPr>
              <w:pStyle w:val="TableParagraph"/>
              <w:spacing w:before="15"/>
              <w:ind w:left="397" w:right="372"/>
              <w:rPr>
                <w:rFonts w:ascii="Calibri"/>
                <w:sz w:val="30"/>
              </w:rPr>
            </w:pPr>
            <w:r>
              <w:rPr>
                <w:rFonts w:ascii="Calibri"/>
                <w:w w:val="90"/>
                <w:sz w:val="30"/>
              </w:rPr>
              <w:t>85.93</w:t>
            </w:r>
          </w:p>
        </w:tc>
        <w:tc>
          <w:tcPr>
            <w:tcW w:w="1392" w:type="dxa"/>
            <w:tcBorders>
              <w:left w:val="single" w:sz="7" w:space="0" w:color="000000"/>
              <w:right w:val="single" w:sz="7" w:space="0" w:color="000000"/>
            </w:tcBorders>
          </w:tcPr>
          <w:p>
            <w:pPr>
              <w:pStyle w:val="TableParagraph"/>
              <w:spacing w:before="15"/>
              <w:ind w:left="38" w:right="13"/>
              <w:rPr>
                <w:rFonts w:ascii="Calibri"/>
                <w:sz w:val="30"/>
              </w:rPr>
            </w:pPr>
            <w:r>
              <w:rPr>
                <w:rFonts w:ascii="Calibri"/>
                <w:w w:val="90"/>
                <w:sz w:val="30"/>
              </w:rPr>
              <w:t>191.40</w:t>
            </w:r>
          </w:p>
        </w:tc>
        <w:tc>
          <w:tcPr>
            <w:tcW w:w="1425" w:type="dxa"/>
            <w:tcBorders>
              <w:left w:val="single" w:sz="7" w:space="0" w:color="000000"/>
              <w:right w:val="single" w:sz="7" w:space="0" w:color="000000"/>
            </w:tcBorders>
          </w:tcPr>
          <w:p>
            <w:pPr>
              <w:pStyle w:val="TableParagraph"/>
              <w:spacing w:before="15"/>
              <w:ind w:left="54" w:right="29"/>
              <w:rPr>
                <w:rFonts w:ascii="Calibri"/>
                <w:sz w:val="30"/>
              </w:rPr>
            </w:pPr>
            <w:r>
              <w:rPr>
                <w:rFonts w:ascii="Calibri"/>
                <w:w w:val="90"/>
                <w:sz w:val="30"/>
              </w:rPr>
              <w:t>106.20</w:t>
            </w:r>
          </w:p>
        </w:tc>
      </w:tr>
      <w:tr>
        <w:trPr>
          <w:trHeight w:val="401" w:hRule="exact"/>
        </w:trPr>
        <w:tc>
          <w:tcPr>
            <w:tcW w:w="1392" w:type="dxa"/>
            <w:tcBorders>
              <w:left w:val="single" w:sz="7" w:space="0" w:color="000000"/>
              <w:right w:val="single" w:sz="7" w:space="0" w:color="000000"/>
            </w:tcBorders>
          </w:tcPr>
          <w:p>
            <w:pPr>
              <w:pStyle w:val="TableParagraph"/>
              <w:spacing w:before="15"/>
              <w:ind w:left="638"/>
              <w:jc w:val="left"/>
              <w:rPr>
                <w:rFonts w:ascii="Calibri"/>
                <w:sz w:val="30"/>
              </w:rPr>
            </w:pPr>
            <w:r>
              <w:rPr>
                <w:rFonts w:ascii="Calibri"/>
                <w:w w:val="82"/>
                <w:sz w:val="30"/>
              </w:rPr>
              <w:t>6</w:t>
            </w:r>
          </w:p>
        </w:tc>
        <w:tc>
          <w:tcPr>
            <w:tcW w:w="884" w:type="dxa"/>
            <w:tcBorders>
              <w:left w:val="single" w:sz="7" w:space="0" w:color="000000"/>
              <w:right w:val="single" w:sz="7" w:space="0" w:color="000000"/>
            </w:tcBorders>
          </w:tcPr>
          <w:p>
            <w:pPr>
              <w:pStyle w:val="TableParagraph"/>
              <w:spacing w:before="15"/>
              <w:ind w:left="284" w:right="268"/>
              <w:rPr>
                <w:rFonts w:ascii="Calibri"/>
                <w:sz w:val="30"/>
              </w:rPr>
            </w:pPr>
            <w:r>
              <w:rPr>
                <w:rFonts w:ascii="Calibri"/>
                <w:w w:val="90"/>
                <w:sz w:val="30"/>
              </w:rPr>
              <w:t>30</w:t>
            </w:r>
          </w:p>
        </w:tc>
        <w:tc>
          <w:tcPr>
            <w:tcW w:w="934" w:type="dxa"/>
            <w:tcBorders>
              <w:left w:val="single" w:sz="7" w:space="0" w:color="000000"/>
              <w:right w:val="single" w:sz="7" w:space="0" w:color="000000"/>
            </w:tcBorders>
          </w:tcPr>
          <w:p>
            <w:pPr>
              <w:pStyle w:val="TableParagraph"/>
              <w:spacing w:before="15"/>
              <w:ind w:left="27"/>
              <w:rPr>
                <w:rFonts w:ascii="Calibri"/>
                <w:sz w:val="30"/>
              </w:rPr>
            </w:pPr>
            <w:r>
              <w:rPr>
                <w:rFonts w:ascii="Calibri"/>
                <w:w w:val="82"/>
                <w:sz w:val="30"/>
              </w:rPr>
              <w:t>5</w:t>
            </w:r>
          </w:p>
        </w:tc>
        <w:tc>
          <w:tcPr>
            <w:tcW w:w="1441" w:type="dxa"/>
            <w:tcBorders>
              <w:left w:val="single" w:sz="7" w:space="0" w:color="000000"/>
              <w:right w:val="single" w:sz="7" w:space="0" w:color="000000"/>
            </w:tcBorders>
          </w:tcPr>
          <w:p>
            <w:pPr>
              <w:pStyle w:val="TableParagraph"/>
              <w:spacing w:before="15"/>
              <w:ind w:left="388" w:right="372"/>
              <w:rPr>
                <w:rFonts w:ascii="Calibri"/>
                <w:sz w:val="30"/>
              </w:rPr>
            </w:pPr>
            <w:r>
              <w:rPr>
                <w:rFonts w:ascii="Calibri"/>
                <w:w w:val="90"/>
                <w:sz w:val="30"/>
              </w:rPr>
              <w:t>35</w:t>
            </w:r>
          </w:p>
        </w:tc>
        <w:tc>
          <w:tcPr>
            <w:tcW w:w="1441" w:type="dxa"/>
            <w:tcBorders>
              <w:left w:val="single" w:sz="7" w:space="0" w:color="000000"/>
              <w:right w:val="single" w:sz="7" w:space="0" w:color="000000"/>
            </w:tcBorders>
          </w:tcPr>
          <w:p>
            <w:pPr>
              <w:pStyle w:val="TableParagraph"/>
              <w:spacing w:before="15"/>
              <w:ind w:left="397" w:right="372"/>
              <w:rPr>
                <w:rFonts w:ascii="Calibri"/>
                <w:sz w:val="30"/>
              </w:rPr>
            </w:pPr>
            <w:r>
              <w:rPr>
                <w:rFonts w:ascii="Calibri"/>
                <w:w w:val="90"/>
                <w:sz w:val="30"/>
              </w:rPr>
              <w:t>80.70</w:t>
            </w:r>
          </w:p>
        </w:tc>
        <w:tc>
          <w:tcPr>
            <w:tcW w:w="1392" w:type="dxa"/>
            <w:tcBorders>
              <w:left w:val="single" w:sz="7" w:space="0" w:color="000000"/>
              <w:right w:val="single" w:sz="7" w:space="0" w:color="000000"/>
            </w:tcBorders>
          </w:tcPr>
          <w:p>
            <w:pPr>
              <w:pStyle w:val="TableParagraph"/>
              <w:spacing w:before="15"/>
              <w:ind w:left="38" w:right="29"/>
              <w:rPr>
                <w:rFonts w:ascii="Calibri"/>
                <w:sz w:val="30"/>
              </w:rPr>
            </w:pPr>
            <w:r>
              <w:rPr>
                <w:rFonts w:ascii="Calibri"/>
                <w:w w:val="90"/>
                <w:sz w:val="30"/>
              </w:rPr>
              <w:t>50.81</w:t>
            </w:r>
          </w:p>
        </w:tc>
        <w:tc>
          <w:tcPr>
            <w:tcW w:w="1425" w:type="dxa"/>
            <w:tcBorders>
              <w:left w:val="single" w:sz="7" w:space="0" w:color="000000"/>
              <w:right w:val="single" w:sz="7" w:space="0" w:color="000000"/>
            </w:tcBorders>
          </w:tcPr>
          <w:p>
            <w:pPr>
              <w:pStyle w:val="TableParagraph"/>
              <w:spacing w:before="15"/>
              <w:ind w:left="54" w:right="45"/>
              <w:rPr>
                <w:rFonts w:ascii="Calibri"/>
                <w:sz w:val="30"/>
              </w:rPr>
            </w:pPr>
            <w:r>
              <w:rPr>
                <w:rFonts w:ascii="Calibri"/>
                <w:w w:val="90"/>
                <w:sz w:val="30"/>
              </w:rPr>
              <w:t>26.71</w:t>
            </w:r>
          </w:p>
        </w:tc>
      </w:tr>
      <w:tr>
        <w:trPr>
          <w:trHeight w:val="401" w:hRule="exact"/>
        </w:trPr>
        <w:tc>
          <w:tcPr>
            <w:tcW w:w="1392" w:type="dxa"/>
            <w:tcBorders>
              <w:left w:val="single" w:sz="7" w:space="0" w:color="000000"/>
              <w:right w:val="single" w:sz="7" w:space="0" w:color="000000"/>
            </w:tcBorders>
          </w:tcPr>
          <w:p>
            <w:pPr>
              <w:pStyle w:val="TableParagraph"/>
              <w:spacing w:before="15"/>
              <w:ind w:left="638"/>
              <w:jc w:val="left"/>
              <w:rPr>
                <w:rFonts w:ascii="Calibri"/>
                <w:sz w:val="30"/>
              </w:rPr>
            </w:pPr>
            <w:r>
              <w:rPr>
                <w:rFonts w:ascii="Calibri"/>
                <w:w w:val="82"/>
                <w:sz w:val="30"/>
              </w:rPr>
              <w:t>7</w:t>
            </w:r>
          </w:p>
        </w:tc>
        <w:tc>
          <w:tcPr>
            <w:tcW w:w="884" w:type="dxa"/>
            <w:tcBorders>
              <w:left w:val="single" w:sz="7" w:space="0" w:color="000000"/>
              <w:right w:val="single" w:sz="7" w:space="0" w:color="000000"/>
            </w:tcBorders>
          </w:tcPr>
          <w:p>
            <w:pPr>
              <w:pStyle w:val="TableParagraph"/>
              <w:spacing w:before="15"/>
              <w:ind w:left="10"/>
              <w:rPr>
                <w:rFonts w:ascii="Calibri"/>
                <w:sz w:val="30"/>
              </w:rPr>
            </w:pPr>
            <w:r>
              <w:rPr>
                <w:rFonts w:ascii="Calibri"/>
                <w:w w:val="82"/>
                <w:sz w:val="30"/>
              </w:rPr>
              <w:t>2</w:t>
            </w:r>
          </w:p>
        </w:tc>
        <w:tc>
          <w:tcPr>
            <w:tcW w:w="934" w:type="dxa"/>
            <w:tcBorders>
              <w:left w:val="single" w:sz="7" w:space="0" w:color="000000"/>
              <w:right w:val="single" w:sz="7" w:space="0" w:color="000000"/>
            </w:tcBorders>
          </w:tcPr>
          <w:p>
            <w:pPr>
              <w:pStyle w:val="TableParagraph"/>
              <w:spacing w:before="15"/>
              <w:ind w:left="186" w:right="186"/>
              <w:rPr>
                <w:rFonts w:ascii="Calibri"/>
                <w:sz w:val="30"/>
              </w:rPr>
            </w:pPr>
            <w:r>
              <w:rPr>
                <w:rFonts w:ascii="Calibri"/>
                <w:w w:val="90"/>
                <w:sz w:val="30"/>
              </w:rPr>
              <w:t>20</w:t>
            </w:r>
          </w:p>
        </w:tc>
        <w:tc>
          <w:tcPr>
            <w:tcW w:w="1441" w:type="dxa"/>
            <w:tcBorders>
              <w:left w:val="single" w:sz="7" w:space="0" w:color="000000"/>
              <w:right w:val="single" w:sz="7" w:space="0" w:color="000000"/>
            </w:tcBorders>
          </w:tcPr>
          <w:p>
            <w:pPr>
              <w:pStyle w:val="TableParagraph"/>
              <w:spacing w:before="15"/>
              <w:ind w:left="388" w:right="372"/>
              <w:rPr>
                <w:rFonts w:ascii="Calibri"/>
                <w:sz w:val="30"/>
              </w:rPr>
            </w:pPr>
            <w:r>
              <w:rPr>
                <w:rFonts w:ascii="Calibri"/>
                <w:w w:val="90"/>
                <w:sz w:val="30"/>
              </w:rPr>
              <w:t>35</w:t>
            </w:r>
          </w:p>
        </w:tc>
        <w:tc>
          <w:tcPr>
            <w:tcW w:w="1441" w:type="dxa"/>
            <w:tcBorders>
              <w:left w:val="single" w:sz="7" w:space="0" w:color="000000"/>
              <w:right w:val="single" w:sz="7" w:space="0" w:color="000000"/>
            </w:tcBorders>
          </w:tcPr>
          <w:p>
            <w:pPr>
              <w:pStyle w:val="TableParagraph"/>
              <w:spacing w:before="15"/>
              <w:ind w:left="397" w:right="372"/>
              <w:rPr>
                <w:rFonts w:ascii="Calibri"/>
                <w:sz w:val="30"/>
              </w:rPr>
            </w:pPr>
            <w:r>
              <w:rPr>
                <w:rFonts w:ascii="Calibri"/>
                <w:w w:val="90"/>
                <w:sz w:val="30"/>
              </w:rPr>
              <w:t>84.05</w:t>
            </w:r>
          </w:p>
        </w:tc>
        <w:tc>
          <w:tcPr>
            <w:tcW w:w="1392" w:type="dxa"/>
            <w:tcBorders>
              <w:left w:val="single" w:sz="7" w:space="0" w:color="000000"/>
              <w:right w:val="single" w:sz="7" w:space="0" w:color="000000"/>
            </w:tcBorders>
          </w:tcPr>
          <w:p>
            <w:pPr>
              <w:pStyle w:val="TableParagraph"/>
              <w:spacing w:before="15"/>
              <w:ind w:left="38" w:right="13"/>
              <w:rPr>
                <w:rFonts w:ascii="Calibri"/>
                <w:sz w:val="30"/>
              </w:rPr>
            </w:pPr>
            <w:r>
              <w:rPr>
                <w:rFonts w:ascii="Calibri"/>
                <w:w w:val="90"/>
                <w:sz w:val="30"/>
              </w:rPr>
              <w:t>135.79</w:t>
            </w:r>
          </w:p>
        </w:tc>
        <w:tc>
          <w:tcPr>
            <w:tcW w:w="1425" w:type="dxa"/>
            <w:tcBorders>
              <w:left w:val="single" w:sz="7" w:space="0" w:color="000000"/>
              <w:right w:val="single" w:sz="7" w:space="0" w:color="000000"/>
            </w:tcBorders>
          </w:tcPr>
          <w:p>
            <w:pPr>
              <w:pStyle w:val="TableParagraph"/>
              <w:spacing w:before="15"/>
              <w:ind w:left="54" w:right="45"/>
              <w:rPr>
                <w:rFonts w:ascii="Calibri"/>
                <w:sz w:val="30"/>
              </w:rPr>
            </w:pPr>
            <w:r>
              <w:rPr>
                <w:rFonts w:ascii="Calibri"/>
                <w:w w:val="90"/>
                <w:sz w:val="30"/>
              </w:rPr>
              <w:t>54.47</w:t>
            </w:r>
          </w:p>
        </w:tc>
      </w:tr>
      <w:tr>
        <w:trPr>
          <w:trHeight w:val="401" w:hRule="exact"/>
        </w:trPr>
        <w:tc>
          <w:tcPr>
            <w:tcW w:w="1392" w:type="dxa"/>
            <w:tcBorders>
              <w:left w:val="single" w:sz="7" w:space="0" w:color="000000"/>
              <w:right w:val="single" w:sz="7" w:space="0" w:color="000000"/>
            </w:tcBorders>
          </w:tcPr>
          <w:p>
            <w:pPr>
              <w:pStyle w:val="TableParagraph"/>
              <w:spacing w:before="14"/>
              <w:ind w:left="638"/>
              <w:jc w:val="left"/>
              <w:rPr>
                <w:rFonts w:ascii="Calibri"/>
                <w:sz w:val="30"/>
              </w:rPr>
            </w:pPr>
            <w:r>
              <w:rPr>
                <w:rFonts w:ascii="Calibri"/>
                <w:w w:val="82"/>
                <w:sz w:val="30"/>
              </w:rPr>
              <w:t>8</w:t>
            </w:r>
          </w:p>
        </w:tc>
        <w:tc>
          <w:tcPr>
            <w:tcW w:w="884" w:type="dxa"/>
            <w:tcBorders>
              <w:left w:val="single" w:sz="7" w:space="0" w:color="000000"/>
              <w:right w:val="single" w:sz="7" w:space="0" w:color="000000"/>
            </w:tcBorders>
          </w:tcPr>
          <w:p>
            <w:pPr>
              <w:pStyle w:val="TableParagraph"/>
              <w:spacing w:before="14"/>
              <w:ind w:left="284" w:right="268"/>
              <w:rPr>
                <w:rFonts w:ascii="Calibri"/>
                <w:sz w:val="30"/>
              </w:rPr>
            </w:pPr>
            <w:r>
              <w:rPr>
                <w:rFonts w:ascii="Calibri"/>
                <w:w w:val="90"/>
                <w:sz w:val="30"/>
              </w:rPr>
              <w:t>30</w:t>
            </w:r>
          </w:p>
        </w:tc>
        <w:tc>
          <w:tcPr>
            <w:tcW w:w="934" w:type="dxa"/>
            <w:tcBorders>
              <w:left w:val="single" w:sz="7" w:space="0" w:color="000000"/>
              <w:right w:val="single" w:sz="7" w:space="0" w:color="000000"/>
            </w:tcBorders>
          </w:tcPr>
          <w:p>
            <w:pPr>
              <w:pStyle w:val="TableParagraph"/>
              <w:spacing w:before="14"/>
              <w:ind w:left="186" w:right="186"/>
              <w:rPr>
                <w:rFonts w:ascii="Calibri"/>
                <w:sz w:val="30"/>
              </w:rPr>
            </w:pPr>
            <w:r>
              <w:rPr>
                <w:rFonts w:ascii="Calibri"/>
                <w:w w:val="90"/>
                <w:sz w:val="30"/>
              </w:rPr>
              <w:t>20</w:t>
            </w:r>
          </w:p>
        </w:tc>
        <w:tc>
          <w:tcPr>
            <w:tcW w:w="1441" w:type="dxa"/>
            <w:tcBorders>
              <w:left w:val="single" w:sz="7" w:space="0" w:color="000000"/>
              <w:right w:val="single" w:sz="7" w:space="0" w:color="000000"/>
            </w:tcBorders>
          </w:tcPr>
          <w:p>
            <w:pPr>
              <w:pStyle w:val="TableParagraph"/>
              <w:spacing w:before="14"/>
              <w:ind w:left="388" w:right="372"/>
              <w:rPr>
                <w:rFonts w:ascii="Calibri"/>
                <w:sz w:val="30"/>
              </w:rPr>
            </w:pPr>
            <w:r>
              <w:rPr>
                <w:rFonts w:ascii="Calibri"/>
                <w:w w:val="90"/>
                <w:sz w:val="30"/>
              </w:rPr>
              <w:t>35</w:t>
            </w:r>
          </w:p>
        </w:tc>
        <w:tc>
          <w:tcPr>
            <w:tcW w:w="1441" w:type="dxa"/>
            <w:tcBorders>
              <w:left w:val="single" w:sz="7" w:space="0" w:color="000000"/>
              <w:right w:val="single" w:sz="7" w:space="0" w:color="000000"/>
            </w:tcBorders>
          </w:tcPr>
          <w:p>
            <w:pPr>
              <w:pStyle w:val="TableParagraph"/>
              <w:spacing w:before="14"/>
              <w:ind w:left="397" w:right="372"/>
              <w:rPr>
                <w:rFonts w:ascii="Calibri"/>
                <w:sz w:val="30"/>
              </w:rPr>
            </w:pPr>
            <w:r>
              <w:rPr>
                <w:rFonts w:ascii="Calibri"/>
                <w:w w:val="90"/>
                <w:sz w:val="30"/>
              </w:rPr>
              <w:t>82.03</w:t>
            </w:r>
          </w:p>
        </w:tc>
        <w:tc>
          <w:tcPr>
            <w:tcW w:w="1392" w:type="dxa"/>
            <w:tcBorders>
              <w:left w:val="single" w:sz="7" w:space="0" w:color="000000"/>
              <w:right w:val="single" w:sz="7" w:space="0" w:color="000000"/>
            </w:tcBorders>
          </w:tcPr>
          <w:p>
            <w:pPr>
              <w:pStyle w:val="TableParagraph"/>
              <w:spacing w:before="14"/>
              <w:ind w:left="38" w:right="29"/>
              <w:rPr>
                <w:rFonts w:ascii="Calibri"/>
                <w:sz w:val="30"/>
              </w:rPr>
            </w:pPr>
            <w:r>
              <w:rPr>
                <w:rFonts w:ascii="Calibri"/>
                <w:w w:val="90"/>
                <w:sz w:val="30"/>
              </w:rPr>
              <w:t>26.16</w:t>
            </w:r>
          </w:p>
        </w:tc>
        <w:tc>
          <w:tcPr>
            <w:tcW w:w="1425" w:type="dxa"/>
            <w:tcBorders>
              <w:left w:val="single" w:sz="7" w:space="0" w:color="000000"/>
              <w:right w:val="single" w:sz="7" w:space="0" w:color="000000"/>
            </w:tcBorders>
          </w:tcPr>
          <w:p>
            <w:pPr>
              <w:pStyle w:val="TableParagraph"/>
              <w:spacing w:before="14"/>
              <w:ind w:left="54" w:right="29"/>
              <w:rPr>
                <w:rFonts w:ascii="Calibri"/>
                <w:sz w:val="30"/>
              </w:rPr>
            </w:pPr>
            <w:r>
              <w:rPr>
                <w:rFonts w:ascii="Calibri"/>
                <w:w w:val="90"/>
                <w:sz w:val="30"/>
              </w:rPr>
              <w:t>7.36</w:t>
            </w:r>
          </w:p>
        </w:tc>
      </w:tr>
      <w:tr>
        <w:trPr>
          <w:trHeight w:val="401" w:hRule="exact"/>
        </w:trPr>
        <w:tc>
          <w:tcPr>
            <w:tcW w:w="1392" w:type="dxa"/>
            <w:tcBorders>
              <w:left w:val="single" w:sz="7" w:space="0" w:color="000000"/>
              <w:right w:val="single" w:sz="7" w:space="0" w:color="000000"/>
            </w:tcBorders>
          </w:tcPr>
          <w:p>
            <w:pPr>
              <w:pStyle w:val="TableParagraph"/>
              <w:spacing w:before="15"/>
              <w:ind w:left="638"/>
              <w:jc w:val="left"/>
              <w:rPr>
                <w:rFonts w:ascii="Calibri"/>
                <w:sz w:val="30"/>
              </w:rPr>
            </w:pPr>
            <w:r>
              <w:rPr>
                <w:rFonts w:ascii="Calibri"/>
                <w:w w:val="82"/>
                <w:sz w:val="30"/>
              </w:rPr>
              <w:t>9</w:t>
            </w:r>
          </w:p>
        </w:tc>
        <w:tc>
          <w:tcPr>
            <w:tcW w:w="884" w:type="dxa"/>
            <w:tcBorders>
              <w:left w:val="single" w:sz="7" w:space="0" w:color="000000"/>
              <w:right w:val="single" w:sz="7" w:space="0" w:color="000000"/>
            </w:tcBorders>
          </w:tcPr>
          <w:p>
            <w:pPr>
              <w:pStyle w:val="TableParagraph"/>
              <w:spacing w:before="15"/>
              <w:ind w:left="284" w:right="268"/>
              <w:rPr>
                <w:rFonts w:ascii="Calibri"/>
                <w:sz w:val="30"/>
              </w:rPr>
            </w:pPr>
            <w:r>
              <w:rPr>
                <w:rFonts w:ascii="Calibri"/>
                <w:w w:val="90"/>
                <w:sz w:val="30"/>
              </w:rPr>
              <w:t>16</w:t>
            </w:r>
          </w:p>
        </w:tc>
        <w:tc>
          <w:tcPr>
            <w:tcW w:w="934" w:type="dxa"/>
            <w:tcBorders>
              <w:left w:val="single" w:sz="7" w:space="0" w:color="000000"/>
              <w:right w:val="single" w:sz="7" w:space="0" w:color="000000"/>
            </w:tcBorders>
          </w:tcPr>
          <w:p>
            <w:pPr>
              <w:pStyle w:val="TableParagraph"/>
              <w:spacing w:before="15"/>
              <w:ind w:left="212" w:right="186"/>
              <w:rPr>
                <w:rFonts w:ascii="Calibri"/>
                <w:sz w:val="30"/>
              </w:rPr>
            </w:pPr>
            <w:r>
              <w:rPr>
                <w:rFonts w:ascii="Calibri"/>
                <w:w w:val="90"/>
                <w:sz w:val="30"/>
              </w:rPr>
              <w:t>12.5</w:t>
            </w:r>
          </w:p>
        </w:tc>
        <w:tc>
          <w:tcPr>
            <w:tcW w:w="1441" w:type="dxa"/>
            <w:tcBorders>
              <w:left w:val="single" w:sz="7" w:space="0" w:color="000000"/>
              <w:right w:val="single" w:sz="7" w:space="0" w:color="000000"/>
            </w:tcBorders>
          </w:tcPr>
          <w:p>
            <w:pPr>
              <w:pStyle w:val="TableParagraph"/>
              <w:spacing w:before="15"/>
              <w:ind w:left="381" w:right="372"/>
              <w:rPr>
                <w:rFonts w:ascii="Calibri"/>
                <w:sz w:val="30"/>
              </w:rPr>
            </w:pPr>
            <w:r>
              <w:rPr>
                <w:rFonts w:ascii="Calibri"/>
                <w:w w:val="90"/>
                <w:sz w:val="30"/>
              </w:rPr>
              <w:t>27.5</w:t>
            </w:r>
          </w:p>
        </w:tc>
        <w:tc>
          <w:tcPr>
            <w:tcW w:w="1441" w:type="dxa"/>
            <w:tcBorders>
              <w:left w:val="single" w:sz="7" w:space="0" w:color="000000"/>
              <w:right w:val="single" w:sz="7" w:space="0" w:color="000000"/>
            </w:tcBorders>
          </w:tcPr>
          <w:p>
            <w:pPr>
              <w:pStyle w:val="TableParagraph"/>
              <w:spacing w:before="15"/>
              <w:ind w:left="397" w:right="372"/>
              <w:rPr>
                <w:rFonts w:ascii="Calibri"/>
                <w:sz w:val="30"/>
              </w:rPr>
            </w:pPr>
            <w:r>
              <w:rPr>
                <w:rFonts w:ascii="Calibri"/>
                <w:w w:val="90"/>
                <w:sz w:val="30"/>
              </w:rPr>
              <w:t>83.79</w:t>
            </w:r>
          </w:p>
        </w:tc>
        <w:tc>
          <w:tcPr>
            <w:tcW w:w="1392" w:type="dxa"/>
            <w:tcBorders>
              <w:left w:val="single" w:sz="7" w:space="0" w:color="000000"/>
              <w:right w:val="single" w:sz="7" w:space="0" w:color="000000"/>
            </w:tcBorders>
          </w:tcPr>
          <w:p>
            <w:pPr>
              <w:pStyle w:val="TableParagraph"/>
              <w:spacing w:before="15"/>
              <w:ind w:left="38" w:right="29"/>
              <w:rPr>
                <w:rFonts w:ascii="Calibri"/>
                <w:sz w:val="30"/>
              </w:rPr>
            </w:pPr>
            <w:r>
              <w:rPr>
                <w:rFonts w:ascii="Calibri"/>
                <w:w w:val="90"/>
                <w:sz w:val="30"/>
              </w:rPr>
              <w:t>50.06</w:t>
            </w:r>
          </w:p>
        </w:tc>
        <w:tc>
          <w:tcPr>
            <w:tcW w:w="1425" w:type="dxa"/>
            <w:tcBorders>
              <w:left w:val="single" w:sz="7" w:space="0" w:color="000000"/>
              <w:right w:val="single" w:sz="7" w:space="0" w:color="000000"/>
            </w:tcBorders>
          </w:tcPr>
          <w:p>
            <w:pPr>
              <w:pStyle w:val="TableParagraph"/>
              <w:spacing w:before="15"/>
              <w:ind w:left="54" w:right="45"/>
              <w:rPr>
                <w:rFonts w:ascii="Calibri"/>
                <w:sz w:val="30"/>
              </w:rPr>
            </w:pPr>
            <w:r>
              <w:rPr>
                <w:rFonts w:ascii="Calibri"/>
                <w:w w:val="90"/>
                <w:sz w:val="30"/>
              </w:rPr>
              <w:t>23.73</w:t>
            </w:r>
          </w:p>
        </w:tc>
      </w:tr>
      <w:tr>
        <w:trPr>
          <w:trHeight w:val="401" w:hRule="exact"/>
        </w:trPr>
        <w:tc>
          <w:tcPr>
            <w:tcW w:w="1392" w:type="dxa"/>
            <w:tcBorders>
              <w:left w:val="single" w:sz="7" w:space="0" w:color="000000"/>
              <w:right w:val="single" w:sz="7" w:space="0" w:color="000000"/>
            </w:tcBorders>
          </w:tcPr>
          <w:p>
            <w:pPr>
              <w:pStyle w:val="TableParagraph"/>
              <w:spacing w:before="15"/>
              <w:ind w:left="573" w:right="-5"/>
              <w:jc w:val="left"/>
              <w:rPr>
                <w:rFonts w:ascii="Calibri"/>
                <w:sz w:val="30"/>
              </w:rPr>
            </w:pPr>
            <w:r>
              <w:rPr>
                <w:rFonts w:ascii="Calibri"/>
                <w:w w:val="90"/>
                <w:sz w:val="30"/>
              </w:rPr>
              <w:t>10</w:t>
            </w:r>
          </w:p>
        </w:tc>
        <w:tc>
          <w:tcPr>
            <w:tcW w:w="884" w:type="dxa"/>
            <w:tcBorders>
              <w:left w:val="single" w:sz="7" w:space="0" w:color="000000"/>
              <w:right w:val="single" w:sz="7" w:space="0" w:color="000000"/>
            </w:tcBorders>
          </w:tcPr>
          <w:p>
            <w:pPr>
              <w:pStyle w:val="TableParagraph"/>
              <w:spacing w:before="15"/>
              <w:ind w:left="284" w:right="268"/>
              <w:rPr>
                <w:rFonts w:ascii="Calibri"/>
                <w:sz w:val="30"/>
              </w:rPr>
            </w:pPr>
            <w:r>
              <w:rPr>
                <w:rFonts w:ascii="Calibri"/>
                <w:w w:val="90"/>
                <w:sz w:val="30"/>
              </w:rPr>
              <w:t>16</w:t>
            </w:r>
          </w:p>
        </w:tc>
        <w:tc>
          <w:tcPr>
            <w:tcW w:w="934" w:type="dxa"/>
            <w:tcBorders>
              <w:left w:val="single" w:sz="7" w:space="0" w:color="000000"/>
              <w:right w:val="single" w:sz="7" w:space="0" w:color="000000"/>
            </w:tcBorders>
          </w:tcPr>
          <w:p>
            <w:pPr>
              <w:pStyle w:val="TableParagraph"/>
              <w:spacing w:before="15"/>
              <w:ind w:left="212" w:right="186"/>
              <w:rPr>
                <w:rFonts w:ascii="Calibri"/>
                <w:sz w:val="30"/>
              </w:rPr>
            </w:pPr>
            <w:r>
              <w:rPr>
                <w:rFonts w:ascii="Calibri"/>
                <w:w w:val="90"/>
                <w:sz w:val="30"/>
              </w:rPr>
              <w:t>12.5</w:t>
            </w:r>
          </w:p>
        </w:tc>
        <w:tc>
          <w:tcPr>
            <w:tcW w:w="1441" w:type="dxa"/>
            <w:tcBorders>
              <w:left w:val="single" w:sz="7" w:space="0" w:color="000000"/>
              <w:right w:val="single" w:sz="7" w:space="0" w:color="000000"/>
            </w:tcBorders>
          </w:tcPr>
          <w:p>
            <w:pPr>
              <w:pStyle w:val="TableParagraph"/>
              <w:spacing w:before="15"/>
              <w:ind w:left="381" w:right="372"/>
              <w:rPr>
                <w:rFonts w:ascii="Calibri"/>
                <w:sz w:val="30"/>
              </w:rPr>
            </w:pPr>
            <w:r>
              <w:rPr>
                <w:rFonts w:ascii="Calibri"/>
                <w:w w:val="90"/>
                <w:sz w:val="30"/>
              </w:rPr>
              <w:t>27.5</w:t>
            </w:r>
          </w:p>
        </w:tc>
        <w:tc>
          <w:tcPr>
            <w:tcW w:w="1441" w:type="dxa"/>
            <w:tcBorders>
              <w:left w:val="single" w:sz="7" w:space="0" w:color="000000"/>
              <w:right w:val="single" w:sz="7" w:space="0" w:color="000000"/>
            </w:tcBorders>
          </w:tcPr>
          <w:p>
            <w:pPr>
              <w:pStyle w:val="TableParagraph"/>
              <w:spacing w:before="15"/>
              <w:ind w:left="397" w:right="372"/>
              <w:rPr>
                <w:rFonts w:ascii="Calibri"/>
                <w:sz w:val="30"/>
              </w:rPr>
            </w:pPr>
            <w:r>
              <w:rPr>
                <w:rFonts w:ascii="Calibri"/>
                <w:w w:val="90"/>
                <w:sz w:val="30"/>
              </w:rPr>
              <w:t>81.53</w:t>
            </w:r>
          </w:p>
        </w:tc>
        <w:tc>
          <w:tcPr>
            <w:tcW w:w="1392" w:type="dxa"/>
            <w:tcBorders>
              <w:left w:val="single" w:sz="7" w:space="0" w:color="000000"/>
              <w:right w:val="single" w:sz="7" w:space="0" w:color="000000"/>
            </w:tcBorders>
          </w:tcPr>
          <w:p>
            <w:pPr>
              <w:pStyle w:val="TableParagraph"/>
              <w:spacing w:before="15"/>
              <w:ind w:left="38" w:right="29"/>
              <w:rPr>
                <w:rFonts w:ascii="Calibri"/>
                <w:sz w:val="30"/>
              </w:rPr>
            </w:pPr>
            <w:r>
              <w:rPr>
                <w:rFonts w:ascii="Calibri"/>
                <w:w w:val="90"/>
                <w:sz w:val="30"/>
              </w:rPr>
              <w:t>48.34</w:t>
            </w:r>
          </w:p>
        </w:tc>
        <w:tc>
          <w:tcPr>
            <w:tcW w:w="1425" w:type="dxa"/>
            <w:tcBorders>
              <w:left w:val="single" w:sz="7" w:space="0" w:color="000000"/>
              <w:right w:val="single" w:sz="7" w:space="0" w:color="000000"/>
            </w:tcBorders>
          </w:tcPr>
          <w:p>
            <w:pPr>
              <w:pStyle w:val="TableParagraph"/>
              <w:spacing w:before="15"/>
              <w:ind w:left="54" w:right="45"/>
              <w:rPr>
                <w:rFonts w:ascii="Calibri"/>
                <w:sz w:val="30"/>
              </w:rPr>
            </w:pPr>
            <w:r>
              <w:rPr>
                <w:rFonts w:ascii="Calibri"/>
                <w:w w:val="90"/>
                <w:sz w:val="30"/>
              </w:rPr>
              <w:t>22.32</w:t>
            </w:r>
          </w:p>
        </w:tc>
      </w:tr>
      <w:tr>
        <w:trPr>
          <w:trHeight w:val="401" w:hRule="exact"/>
        </w:trPr>
        <w:tc>
          <w:tcPr>
            <w:tcW w:w="1392" w:type="dxa"/>
            <w:tcBorders>
              <w:left w:val="single" w:sz="7" w:space="0" w:color="000000"/>
              <w:right w:val="single" w:sz="7" w:space="0" w:color="000000"/>
            </w:tcBorders>
          </w:tcPr>
          <w:p>
            <w:pPr>
              <w:pStyle w:val="TableParagraph"/>
              <w:spacing w:before="15"/>
              <w:ind w:left="573" w:right="-5"/>
              <w:jc w:val="left"/>
              <w:rPr>
                <w:rFonts w:ascii="Calibri"/>
                <w:sz w:val="30"/>
              </w:rPr>
            </w:pPr>
            <w:r>
              <w:rPr>
                <w:rFonts w:ascii="Calibri"/>
                <w:w w:val="90"/>
                <w:sz w:val="30"/>
              </w:rPr>
              <w:t>11</w:t>
            </w:r>
          </w:p>
        </w:tc>
        <w:tc>
          <w:tcPr>
            <w:tcW w:w="884" w:type="dxa"/>
            <w:tcBorders>
              <w:left w:val="single" w:sz="7" w:space="0" w:color="000000"/>
              <w:right w:val="single" w:sz="7" w:space="0" w:color="000000"/>
            </w:tcBorders>
          </w:tcPr>
          <w:p>
            <w:pPr>
              <w:pStyle w:val="TableParagraph"/>
              <w:spacing w:before="15"/>
              <w:ind w:left="284" w:right="268"/>
              <w:rPr>
                <w:rFonts w:ascii="Calibri"/>
                <w:sz w:val="30"/>
              </w:rPr>
            </w:pPr>
            <w:r>
              <w:rPr>
                <w:rFonts w:ascii="Calibri"/>
                <w:w w:val="90"/>
                <w:sz w:val="30"/>
              </w:rPr>
              <w:t>16</w:t>
            </w:r>
          </w:p>
        </w:tc>
        <w:tc>
          <w:tcPr>
            <w:tcW w:w="934" w:type="dxa"/>
            <w:tcBorders>
              <w:left w:val="single" w:sz="7" w:space="0" w:color="000000"/>
              <w:right w:val="single" w:sz="7" w:space="0" w:color="000000"/>
            </w:tcBorders>
          </w:tcPr>
          <w:p>
            <w:pPr>
              <w:pStyle w:val="TableParagraph"/>
              <w:spacing w:before="15"/>
              <w:ind w:left="212" w:right="186"/>
              <w:rPr>
                <w:rFonts w:ascii="Calibri"/>
                <w:sz w:val="30"/>
              </w:rPr>
            </w:pPr>
            <w:r>
              <w:rPr>
                <w:rFonts w:ascii="Calibri"/>
                <w:w w:val="90"/>
                <w:sz w:val="30"/>
              </w:rPr>
              <w:t>12.5</w:t>
            </w:r>
          </w:p>
        </w:tc>
        <w:tc>
          <w:tcPr>
            <w:tcW w:w="1441" w:type="dxa"/>
            <w:tcBorders>
              <w:left w:val="single" w:sz="7" w:space="0" w:color="000000"/>
              <w:right w:val="single" w:sz="7" w:space="0" w:color="000000"/>
            </w:tcBorders>
          </w:tcPr>
          <w:p>
            <w:pPr>
              <w:pStyle w:val="TableParagraph"/>
              <w:spacing w:before="15"/>
              <w:ind w:left="381" w:right="372"/>
              <w:rPr>
                <w:rFonts w:ascii="Calibri"/>
                <w:sz w:val="30"/>
              </w:rPr>
            </w:pPr>
            <w:r>
              <w:rPr>
                <w:rFonts w:ascii="Calibri"/>
                <w:w w:val="90"/>
                <w:sz w:val="30"/>
              </w:rPr>
              <w:t>27.5</w:t>
            </w:r>
          </w:p>
        </w:tc>
        <w:tc>
          <w:tcPr>
            <w:tcW w:w="1441" w:type="dxa"/>
            <w:tcBorders>
              <w:left w:val="single" w:sz="7" w:space="0" w:color="000000"/>
              <w:right w:val="single" w:sz="7" w:space="0" w:color="000000"/>
            </w:tcBorders>
          </w:tcPr>
          <w:p>
            <w:pPr>
              <w:pStyle w:val="TableParagraph"/>
              <w:spacing w:before="15"/>
              <w:ind w:left="397" w:right="372"/>
              <w:rPr>
                <w:rFonts w:ascii="Calibri"/>
                <w:sz w:val="30"/>
              </w:rPr>
            </w:pPr>
            <w:r>
              <w:rPr>
                <w:rFonts w:ascii="Calibri"/>
                <w:w w:val="90"/>
                <w:sz w:val="30"/>
              </w:rPr>
              <w:t>85.71</w:t>
            </w:r>
          </w:p>
        </w:tc>
        <w:tc>
          <w:tcPr>
            <w:tcW w:w="1392" w:type="dxa"/>
            <w:tcBorders>
              <w:left w:val="single" w:sz="7" w:space="0" w:color="000000"/>
              <w:right w:val="single" w:sz="7" w:space="0" w:color="000000"/>
            </w:tcBorders>
          </w:tcPr>
          <w:p>
            <w:pPr>
              <w:pStyle w:val="TableParagraph"/>
              <w:spacing w:before="15"/>
              <w:ind w:left="38" w:right="29"/>
              <w:rPr>
                <w:rFonts w:ascii="Calibri"/>
                <w:sz w:val="30"/>
              </w:rPr>
            </w:pPr>
            <w:r>
              <w:rPr>
                <w:rFonts w:ascii="Calibri"/>
                <w:w w:val="90"/>
                <w:sz w:val="30"/>
              </w:rPr>
              <w:t>47.64</w:t>
            </w:r>
          </w:p>
        </w:tc>
        <w:tc>
          <w:tcPr>
            <w:tcW w:w="1425" w:type="dxa"/>
            <w:tcBorders>
              <w:left w:val="single" w:sz="7" w:space="0" w:color="000000"/>
              <w:right w:val="single" w:sz="7" w:space="0" w:color="000000"/>
            </w:tcBorders>
          </w:tcPr>
          <w:p>
            <w:pPr>
              <w:pStyle w:val="TableParagraph"/>
              <w:spacing w:before="15"/>
              <w:ind w:left="54" w:right="45"/>
              <w:rPr>
                <w:rFonts w:ascii="Calibri"/>
                <w:sz w:val="30"/>
              </w:rPr>
            </w:pPr>
            <w:r>
              <w:rPr>
                <w:rFonts w:ascii="Calibri"/>
                <w:w w:val="90"/>
                <w:sz w:val="30"/>
              </w:rPr>
              <w:t>22.87</w:t>
            </w:r>
          </w:p>
        </w:tc>
      </w:tr>
    </w:tbl>
    <w:p>
      <w:pPr>
        <w:pStyle w:val="BodyText"/>
        <w:spacing w:before="7"/>
        <w:rPr>
          <w:sz w:val="20"/>
        </w:rPr>
      </w:pPr>
    </w:p>
    <w:p>
      <w:pPr>
        <w:pStyle w:val="BodyText"/>
        <w:spacing w:line="360" w:lineRule="auto"/>
        <w:ind w:left="102" w:right="236"/>
        <w:jc w:val="both"/>
      </w:pPr>
      <w:r>
        <w:rPr/>
        <w:t>Las condiciones para el tratamiento de acuerdo a estos resultados serían: 16 horas, 12.5 % p/p agente quelante, a 27.5 °C, para obtener un contenido menor a 25 ppm de Pd en el intermedio 3 con rendimiento adecuado. Posteriormente se monitoreo el producto final en donde se llegan a obtener resultados de hasta 17 ppm.</w:t>
      </w:r>
    </w:p>
    <w:p>
      <w:pPr>
        <w:pStyle w:val="BodyText"/>
        <w:spacing w:line="360" w:lineRule="auto" w:before="204"/>
        <w:ind w:left="102" w:right="246"/>
        <w:jc w:val="both"/>
      </w:pPr>
      <w:r>
        <w:rPr/>
        <w:t>En el caso de este producto en particular se fijo una especificación mayor a la más estricta debido a la dosis máxima que se ingiere del producto, fijándose en 20 ppm valor al cual se valido el método analítico para la determinación de contenido de paladio en muestras del API</w:t>
      </w:r>
    </w:p>
    <w:p>
      <w:pPr>
        <w:spacing w:after="0" w:line="360" w:lineRule="auto"/>
        <w:jc w:val="both"/>
        <w:sectPr>
          <w:pgSz w:w="12240" w:h="15840"/>
          <w:pgMar w:header="0" w:footer="919" w:top="1360" w:bottom="1100" w:left="1600" w:right="1460"/>
        </w:sectPr>
      </w:pPr>
    </w:p>
    <w:p>
      <w:pPr>
        <w:pStyle w:val="Heading1"/>
        <w:numPr>
          <w:ilvl w:val="0"/>
          <w:numId w:val="5"/>
        </w:numPr>
        <w:tabs>
          <w:tab w:pos="371" w:val="left" w:leader="none"/>
        </w:tabs>
        <w:spacing w:line="240" w:lineRule="auto" w:before="56" w:after="0"/>
        <w:ind w:left="370" w:right="0" w:hanging="268"/>
        <w:jc w:val="both"/>
      </w:pPr>
      <w:bookmarkStart w:name="_bookmark25" w:id="47"/>
      <w:bookmarkEnd w:id="47"/>
      <w:r>
        <w:rPr>
          <w:b w:val="0"/>
        </w:rPr>
      </w:r>
      <w:bookmarkStart w:name="_bookmark25" w:id="48"/>
      <w:bookmarkEnd w:id="48"/>
      <w:r>
        <w:rPr/>
        <w:t>CON</w:t>
      </w:r>
      <w:r>
        <w:rPr/>
        <w:t>CLUSIONES</w:t>
      </w:r>
    </w:p>
    <w:p>
      <w:pPr>
        <w:pStyle w:val="BodyText"/>
        <w:rPr>
          <w:b/>
        </w:rPr>
      </w:pPr>
    </w:p>
    <w:p>
      <w:pPr>
        <w:pStyle w:val="BodyText"/>
        <w:rPr>
          <w:b/>
          <w:sz w:val="29"/>
        </w:rPr>
      </w:pPr>
    </w:p>
    <w:p>
      <w:pPr>
        <w:pStyle w:val="BodyText"/>
        <w:spacing w:line="360" w:lineRule="auto"/>
        <w:ind w:left="102" w:right="117"/>
        <w:jc w:val="both"/>
      </w:pPr>
      <w:r>
        <w:rPr/>
        <w:t>El desarrollo de los métodos analíticos para la determinación de impurezas elementales mediante la técnica de ICP-MS se llevo a cabo satisfactoriamente  para todas las impurezas objetivo de este trabajo y los principios activos estudiados, utilizando las especificaciones vigentes de la guía </w:t>
      </w:r>
      <w:r>
        <w:rPr>
          <w:i/>
        </w:rPr>
        <w:t>ICH Q3D step 4 </w:t>
      </w:r>
      <w:r>
        <w:rPr/>
        <w:t>(2016-04-16)</w:t>
      </w:r>
    </w:p>
    <w:p>
      <w:pPr>
        <w:pStyle w:val="BodyText"/>
        <w:spacing w:line="360" w:lineRule="auto" w:before="204"/>
        <w:ind w:left="102" w:right="115"/>
        <w:jc w:val="both"/>
      </w:pPr>
      <w:r>
        <w:rPr/>
        <w:t>La revisión de información toxicológica sobre las principales impurezas elementales nos ayudó a comprender la importancia de su evaluación en los principios activos farmacéuticos y a establecer los niveles a los cuales se debían desarrollar las metodologías analíticas para asegurar que el contenido de las impurezas en los APIs fuera aceptable para el consumo humano.</w:t>
      </w:r>
    </w:p>
    <w:p>
      <w:pPr>
        <w:pStyle w:val="BodyText"/>
        <w:spacing w:line="360" w:lineRule="auto" w:before="204"/>
        <w:ind w:left="102" w:right="117"/>
        <w:jc w:val="both"/>
      </w:pPr>
      <w:r>
        <w:rPr/>
        <w:t>Los resultados de la validación de los métodos analíticos indican que los métodos desarrollados para la cuantificación de impurezas elementales clase 1 (As, Cd, Hg y Pb), clase 2A (V, Co y Ni) y Clase 2B (Pd), son adecuados para el propósito que fueron diseñados ya que son capaces de cuantificar estos elementos a los niveles más estrictos que solicitan las diferentes agencias reguladoras, además de ser precisos, exactos y robustos.</w:t>
      </w:r>
    </w:p>
    <w:p>
      <w:pPr>
        <w:pStyle w:val="BodyText"/>
        <w:spacing w:line="360" w:lineRule="auto" w:before="204"/>
        <w:ind w:left="102" w:right="118" w:firstLine="67"/>
        <w:jc w:val="both"/>
      </w:pPr>
      <w:r>
        <w:rPr/>
        <w:t>Los resultados demuestran que los productos cumplen con el atributo critico de calidad establecido por las guías ICH y la USP para las diferentes impurezas elementales monitoreadas.</w:t>
      </w:r>
    </w:p>
    <w:p>
      <w:pPr>
        <w:pStyle w:val="BodyText"/>
        <w:spacing w:line="360" w:lineRule="auto" w:before="204"/>
        <w:ind w:left="102" w:right="115"/>
        <w:jc w:val="both"/>
      </w:pPr>
      <w:r>
        <w:rPr/>
        <w:t>La aplicación del control del contenido de impurezas elementales durante el desarrollo de un producto en la empresa farmoquímica nos permitió poner en práctica el concepto de calidad por diseño, ya que a través de la cuantificación de las impurezas elementales en las diferentes etapas del proceso se pudieron determinar las etapas críticas y se realizaron espacios de diseño para un mejor control de la calidad del API desde las materias primas hasta el producto final.</w:t>
      </w:r>
    </w:p>
    <w:p>
      <w:pPr>
        <w:spacing w:after="0" w:line="360" w:lineRule="auto"/>
        <w:jc w:val="both"/>
        <w:sectPr>
          <w:pgSz w:w="12240" w:h="15840"/>
          <w:pgMar w:header="0" w:footer="919" w:top="1360" w:bottom="1100" w:left="1600" w:right="1580"/>
        </w:sectPr>
      </w:pPr>
    </w:p>
    <w:p>
      <w:pPr>
        <w:pStyle w:val="Heading1"/>
        <w:numPr>
          <w:ilvl w:val="0"/>
          <w:numId w:val="5"/>
        </w:numPr>
        <w:tabs>
          <w:tab w:pos="371" w:val="left" w:leader="none"/>
        </w:tabs>
        <w:spacing w:line="240" w:lineRule="auto" w:before="56" w:after="0"/>
        <w:ind w:left="370" w:right="0" w:hanging="268"/>
        <w:jc w:val="left"/>
      </w:pPr>
      <w:bookmarkStart w:name="_bookmark26" w:id="49"/>
      <w:bookmarkEnd w:id="49"/>
      <w:r>
        <w:rPr>
          <w:b w:val="0"/>
        </w:rPr>
      </w:r>
      <w:bookmarkStart w:name="_bookmark26" w:id="50"/>
      <w:bookmarkEnd w:id="50"/>
      <w:r>
        <w:rPr/>
        <w:t>REFE</w:t>
      </w:r>
      <w:r>
        <w:rPr/>
        <w:t>RENCIAS</w:t>
      </w:r>
    </w:p>
    <w:p>
      <w:pPr>
        <w:pStyle w:val="ListParagraph"/>
        <w:numPr>
          <w:ilvl w:val="2"/>
          <w:numId w:val="7"/>
        </w:numPr>
        <w:tabs>
          <w:tab w:pos="821" w:val="left" w:leader="none"/>
          <w:tab w:pos="822" w:val="left" w:leader="none"/>
        </w:tabs>
        <w:spacing w:line="240" w:lineRule="auto" w:before="83" w:after="0"/>
        <w:ind w:left="822" w:right="0" w:hanging="360"/>
        <w:jc w:val="left"/>
        <w:rPr>
          <w:sz w:val="24"/>
        </w:rPr>
      </w:pPr>
      <w:r>
        <w:rPr>
          <w:position w:val="11"/>
          <w:sz w:val="16"/>
        </w:rPr>
        <w:t>1 </w:t>
      </w:r>
      <w:r>
        <w:rPr>
          <w:sz w:val="24"/>
        </w:rPr>
        <w:t>Diccionario de la real academia</w:t>
      </w:r>
      <w:r>
        <w:rPr>
          <w:spacing w:val="9"/>
          <w:sz w:val="24"/>
        </w:rPr>
        <w:t> </w:t>
      </w:r>
      <w:r>
        <w:rPr>
          <w:sz w:val="24"/>
        </w:rPr>
        <w:t>española</w:t>
      </w:r>
    </w:p>
    <w:p>
      <w:pPr>
        <w:pStyle w:val="ListParagraph"/>
        <w:numPr>
          <w:ilvl w:val="2"/>
          <w:numId w:val="7"/>
        </w:numPr>
        <w:tabs>
          <w:tab w:pos="821" w:val="left" w:leader="none"/>
          <w:tab w:pos="822" w:val="left" w:leader="none"/>
        </w:tabs>
        <w:spacing w:line="240" w:lineRule="auto" w:before="116" w:after="0"/>
        <w:ind w:left="822" w:right="0" w:hanging="360"/>
        <w:jc w:val="left"/>
        <w:rPr>
          <w:sz w:val="24"/>
        </w:rPr>
      </w:pPr>
      <w:r>
        <w:rPr>
          <w:position w:val="11"/>
          <w:sz w:val="16"/>
        </w:rPr>
        <w:t>2 </w:t>
      </w:r>
      <w:r>
        <w:rPr>
          <w:sz w:val="24"/>
        </w:rPr>
        <w:t>ICH Q8, step 4, August 2009, “Pharmaceutical</w:t>
      </w:r>
      <w:r>
        <w:rPr>
          <w:spacing w:val="-6"/>
          <w:sz w:val="24"/>
        </w:rPr>
        <w:t> </w:t>
      </w:r>
      <w:r>
        <w:rPr>
          <w:sz w:val="24"/>
        </w:rPr>
        <w:t>development”</w:t>
      </w:r>
    </w:p>
    <w:p>
      <w:pPr>
        <w:pStyle w:val="ListParagraph"/>
        <w:numPr>
          <w:ilvl w:val="2"/>
          <w:numId w:val="7"/>
        </w:numPr>
        <w:tabs>
          <w:tab w:pos="821" w:val="left" w:leader="none"/>
          <w:tab w:pos="822" w:val="left" w:leader="none"/>
        </w:tabs>
        <w:spacing w:line="350" w:lineRule="auto" w:before="119" w:after="0"/>
        <w:ind w:left="822" w:right="118" w:hanging="360"/>
        <w:jc w:val="left"/>
        <w:rPr>
          <w:sz w:val="24"/>
        </w:rPr>
      </w:pPr>
      <w:r>
        <w:rPr>
          <w:position w:val="11"/>
          <w:sz w:val="16"/>
        </w:rPr>
        <w:t>3 </w:t>
      </w:r>
      <w:r>
        <w:rPr>
          <w:sz w:val="24"/>
        </w:rPr>
        <w:t>NOM-059-SSA1-2013, DOF 22Julio 2013, Norma Oficial Mexicana, Buenas prácticas de fabricación de</w:t>
      </w:r>
      <w:r>
        <w:rPr>
          <w:spacing w:val="-15"/>
          <w:sz w:val="24"/>
        </w:rPr>
        <w:t> </w:t>
      </w:r>
      <w:r>
        <w:rPr>
          <w:sz w:val="24"/>
        </w:rPr>
        <w:t>medicamentos</w:t>
      </w:r>
    </w:p>
    <w:p>
      <w:pPr>
        <w:pStyle w:val="ListParagraph"/>
        <w:numPr>
          <w:ilvl w:val="2"/>
          <w:numId w:val="7"/>
        </w:numPr>
        <w:tabs>
          <w:tab w:pos="821" w:val="left" w:leader="none"/>
          <w:tab w:pos="822" w:val="left" w:leader="none"/>
        </w:tabs>
        <w:spacing w:line="350" w:lineRule="auto" w:before="197" w:after="0"/>
        <w:ind w:left="822" w:right="125" w:hanging="360"/>
        <w:jc w:val="left"/>
        <w:rPr>
          <w:sz w:val="24"/>
        </w:rPr>
      </w:pPr>
      <w:r>
        <w:rPr>
          <w:position w:val="11"/>
          <w:sz w:val="16"/>
        </w:rPr>
        <w:t>4 </w:t>
      </w:r>
      <w:r>
        <w:rPr>
          <w:sz w:val="24"/>
        </w:rPr>
        <w:t>Medicamentos esenciales y productos de salud, seguimiento y garantía de la calidad de los medicamentos. Revisado Diciembre 2015. Recuperado</w:t>
      </w:r>
      <w:r>
        <w:rPr>
          <w:spacing w:val="-27"/>
          <w:sz w:val="24"/>
        </w:rPr>
        <w:t> </w:t>
      </w:r>
      <w:r>
        <w:rPr>
          <w:sz w:val="24"/>
        </w:rPr>
        <w:t>de:</w:t>
      </w:r>
    </w:p>
    <w:p>
      <w:pPr>
        <w:pStyle w:val="BodyText"/>
        <w:spacing w:before="215"/>
        <w:ind w:left="821" w:right="1789"/>
      </w:pPr>
      <w:hyperlink r:id="rId53">
        <w:r>
          <w:rPr/>
          <w:t>http://apps.who.int/medicinedocs/es/d/Js8121s/7.3.html</w:t>
        </w:r>
      </w:hyperlink>
    </w:p>
    <w:p>
      <w:pPr>
        <w:pStyle w:val="BodyText"/>
        <w:spacing w:before="8"/>
        <w:rPr>
          <w:sz w:val="27"/>
        </w:rPr>
      </w:pPr>
    </w:p>
    <w:p>
      <w:pPr>
        <w:pStyle w:val="ListParagraph"/>
        <w:numPr>
          <w:ilvl w:val="2"/>
          <w:numId w:val="7"/>
        </w:numPr>
        <w:tabs>
          <w:tab w:pos="821" w:val="left" w:leader="none"/>
          <w:tab w:pos="822" w:val="left" w:leader="none"/>
        </w:tabs>
        <w:spacing w:line="352" w:lineRule="auto" w:before="0" w:after="0"/>
        <w:ind w:left="822" w:right="124" w:hanging="360"/>
        <w:jc w:val="left"/>
        <w:rPr>
          <w:sz w:val="24"/>
        </w:rPr>
      </w:pPr>
      <w:r>
        <w:rPr>
          <w:position w:val="11"/>
          <w:sz w:val="16"/>
        </w:rPr>
        <w:t>5 </w:t>
      </w:r>
      <w:r>
        <w:rPr>
          <w:sz w:val="24"/>
        </w:rPr>
        <w:t>Cousiño, Jose Manuel, Marzo 2008, Calidad de los medicamentos e importancia para su</w:t>
      </w:r>
      <w:r>
        <w:rPr>
          <w:spacing w:val="-13"/>
          <w:sz w:val="24"/>
        </w:rPr>
        <w:t> </w:t>
      </w:r>
      <w:r>
        <w:rPr>
          <w:sz w:val="24"/>
        </w:rPr>
        <w:t>prescripción</w:t>
      </w:r>
    </w:p>
    <w:p>
      <w:pPr>
        <w:pStyle w:val="ListParagraph"/>
        <w:numPr>
          <w:ilvl w:val="2"/>
          <w:numId w:val="7"/>
        </w:numPr>
        <w:tabs>
          <w:tab w:pos="822" w:val="left" w:leader="none"/>
        </w:tabs>
        <w:spacing w:line="355" w:lineRule="auto" w:before="0" w:after="0"/>
        <w:ind w:left="822" w:right="119" w:hanging="360"/>
        <w:jc w:val="both"/>
        <w:rPr>
          <w:sz w:val="24"/>
        </w:rPr>
      </w:pPr>
      <w:r>
        <w:rPr>
          <w:position w:val="11"/>
          <w:sz w:val="16"/>
        </w:rPr>
        <w:t>6 </w:t>
      </w:r>
      <w:r>
        <w:rPr>
          <w:sz w:val="24"/>
        </w:rPr>
        <w:t>Tobalina, Fernando. Enero 2013, Nueva norma USP-232 y 233. Análisis  de impurezas metálicas en productos farmacéuticos. Recuperado de: </w:t>
      </w:r>
      <w:hyperlink r:id="rId54">
        <w:r>
          <w:rPr>
            <w:sz w:val="24"/>
          </w:rPr>
          <w:t>http://www.chem.agilent.com/Library/slidepresentation/Public/E%20seminar</w:t>
        </w:r>
      </w:hyperlink>
    </w:p>
    <w:p>
      <w:pPr>
        <w:pStyle w:val="BodyText"/>
        <w:spacing w:before="8"/>
        <w:ind w:left="821" w:right="1789"/>
      </w:pPr>
      <w:hyperlink r:id="rId54">
        <w:r>
          <w:rPr/>
          <w:t>%20USP%202013.pdf</w:t>
        </w:r>
      </w:hyperlink>
    </w:p>
    <w:p>
      <w:pPr>
        <w:pStyle w:val="ListParagraph"/>
        <w:numPr>
          <w:ilvl w:val="2"/>
          <w:numId w:val="7"/>
        </w:numPr>
        <w:tabs>
          <w:tab w:pos="821" w:val="left" w:leader="none"/>
          <w:tab w:pos="822" w:val="left" w:leader="none"/>
        </w:tabs>
        <w:spacing w:line="240" w:lineRule="auto" w:before="121" w:after="0"/>
        <w:ind w:left="822" w:right="0" w:hanging="360"/>
        <w:jc w:val="left"/>
        <w:rPr>
          <w:sz w:val="24"/>
        </w:rPr>
      </w:pPr>
      <w:r>
        <w:rPr>
          <w:position w:val="11"/>
          <w:sz w:val="16"/>
        </w:rPr>
        <w:t>7 </w:t>
      </w:r>
      <w:r>
        <w:rPr>
          <w:sz w:val="24"/>
        </w:rPr>
        <w:t>Velez, Elington, Mayo 2014. Control de</w:t>
      </w:r>
      <w:r>
        <w:rPr>
          <w:spacing w:val="-15"/>
          <w:sz w:val="24"/>
        </w:rPr>
        <w:t> </w:t>
      </w:r>
      <w:r>
        <w:rPr>
          <w:sz w:val="24"/>
        </w:rPr>
        <w:t>medicamentos</w:t>
      </w:r>
    </w:p>
    <w:p>
      <w:pPr>
        <w:pStyle w:val="ListParagraph"/>
        <w:numPr>
          <w:ilvl w:val="2"/>
          <w:numId w:val="7"/>
        </w:numPr>
        <w:tabs>
          <w:tab w:pos="821" w:val="left" w:leader="none"/>
          <w:tab w:pos="822" w:val="left" w:leader="none"/>
        </w:tabs>
        <w:spacing w:line="350" w:lineRule="auto" w:before="117" w:after="0"/>
        <w:ind w:left="822" w:right="1492" w:hanging="360"/>
        <w:jc w:val="left"/>
        <w:rPr>
          <w:sz w:val="24"/>
        </w:rPr>
      </w:pPr>
      <w:r>
        <w:rPr>
          <w:position w:val="11"/>
          <w:sz w:val="16"/>
        </w:rPr>
        <w:t>8 </w:t>
      </w:r>
      <w:r>
        <w:rPr>
          <w:sz w:val="24"/>
        </w:rPr>
        <w:t>ICH Página Oficial, revisado Diciembre 2015. Recuperado de: </w:t>
      </w:r>
      <w:hyperlink r:id="rId55">
        <w:r>
          <w:rPr>
            <w:sz w:val="24"/>
          </w:rPr>
          <w:t>http://www.ich.org/home.html</w:t>
        </w:r>
      </w:hyperlink>
    </w:p>
    <w:p>
      <w:pPr>
        <w:pStyle w:val="ListParagraph"/>
        <w:numPr>
          <w:ilvl w:val="2"/>
          <w:numId w:val="7"/>
        </w:numPr>
        <w:tabs>
          <w:tab w:pos="821" w:val="left" w:leader="none"/>
          <w:tab w:pos="822" w:val="left" w:leader="none"/>
        </w:tabs>
        <w:spacing w:line="350" w:lineRule="auto" w:before="0" w:after="0"/>
        <w:ind w:left="822" w:right="1401" w:hanging="360"/>
        <w:jc w:val="left"/>
        <w:rPr>
          <w:sz w:val="24"/>
        </w:rPr>
      </w:pPr>
      <w:r>
        <w:rPr>
          <w:position w:val="11"/>
          <w:sz w:val="16"/>
        </w:rPr>
        <w:t>9 </w:t>
      </w:r>
      <w:r>
        <w:rPr>
          <w:sz w:val="24"/>
        </w:rPr>
        <w:t>ICH, Página oficial, revisado Noviembre 2015. Recuperado de: </w:t>
      </w:r>
      <w:hyperlink r:id="rId56">
        <w:r>
          <w:rPr>
            <w:sz w:val="24"/>
          </w:rPr>
          <w:t>http://www.ich.org/products/guidelines.html</w:t>
        </w:r>
      </w:hyperlink>
    </w:p>
    <w:p>
      <w:pPr>
        <w:pStyle w:val="ListParagraph"/>
        <w:numPr>
          <w:ilvl w:val="2"/>
          <w:numId w:val="7"/>
        </w:numPr>
        <w:tabs>
          <w:tab w:pos="821" w:val="left" w:leader="none"/>
          <w:tab w:pos="822" w:val="left" w:leader="none"/>
        </w:tabs>
        <w:spacing w:line="352" w:lineRule="auto" w:before="0" w:after="0"/>
        <w:ind w:left="822" w:right="119" w:hanging="360"/>
        <w:jc w:val="left"/>
        <w:rPr>
          <w:sz w:val="24"/>
        </w:rPr>
      </w:pPr>
      <w:r>
        <w:rPr>
          <w:position w:val="11"/>
          <w:sz w:val="16"/>
        </w:rPr>
        <w:t>10 </w:t>
      </w:r>
      <w:r>
        <w:rPr>
          <w:sz w:val="24"/>
        </w:rPr>
        <w:t>ICH Q2 (R1), step 4, November 2005. Validation of analytical procedures: text and</w:t>
      </w:r>
      <w:r>
        <w:rPr>
          <w:spacing w:val="-7"/>
          <w:sz w:val="24"/>
        </w:rPr>
        <w:t> </w:t>
      </w:r>
      <w:r>
        <w:rPr>
          <w:sz w:val="24"/>
        </w:rPr>
        <w:t>methodology</w:t>
      </w:r>
    </w:p>
    <w:p>
      <w:pPr>
        <w:pStyle w:val="ListParagraph"/>
        <w:numPr>
          <w:ilvl w:val="2"/>
          <w:numId w:val="7"/>
        </w:numPr>
        <w:tabs>
          <w:tab w:pos="821" w:val="left" w:leader="none"/>
          <w:tab w:pos="822" w:val="left" w:leader="none"/>
        </w:tabs>
        <w:spacing w:line="350" w:lineRule="auto" w:before="0" w:after="0"/>
        <w:ind w:left="822" w:right="120" w:hanging="360"/>
        <w:jc w:val="left"/>
        <w:rPr>
          <w:sz w:val="24"/>
        </w:rPr>
      </w:pPr>
      <w:r>
        <w:rPr>
          <w:position w:val="11"/>
          <w:sz w:val="16"/>
        </w:rPr>
        <w:t>11 </w:t>
      </w:r>
      <w:r>
        <w:rPr>
          <w:sz w:val="24"/>
        </w:rPr>
        <w:t>ICH Q9, step 4, 9 November 2005, Quality Risk Management, Dated and endorsed on 11 November</w:t>
      </w:r>
      <w:r>
        <w:rPr>
          <w:spacing w:val="-15"/>
          <w:sz w:val="24"/>
        </w:rPr>
        <w:t> </w:t>
      </w:r>
      <w:r>
        <w:rPr>
          <w:sz w:val="24"/>
        </w:rPr>
        <w:t>2003</w:t>
      </w:r>
    </w:p>
    <w:p>
      <w:pPr>
        <w:pStyle w:val="ListParagraph"/>
        <w:numPr>
          <w:ilvl w:val="2"/>
          <w:numId w:val="7"/>
        </w:numPr>
        <w:tabs>
          <w:tab w:pos="822" w:val="left" w:leader="none"/>
        </w:tabs>
        <w:spacing w:line="355" w:lineRule="auto" w:before="0" w:after="0"/>
        <w:ind w:left="822" w:right="120" w:hanging="360"/>
        <w:jc w:val="both"/>
        <w:rPr>
          <w:sz w:val="24"/>
        </w:rPr>
      </w:pPr>
      <w:r>
        <w:rPr>
          <w:position w:val="11"/>
          <w:sz w:val="16"/>
        </w:rPr>
        <w:t>12 </w:t>
      </w:r>
      <w:r>
        <w:rPr>
          <w:sz w:val="24"/>
        </w:rPr>
        <w:t>ICH Q3D, step 4, 16 December 2014, Guideline for elemental impurities, International Conference on Harmonisation of technical requirements for registration of pharmaceuticals for human</w:t>
      </w:r>
      <w:r>
        <w:rPr>
          <w:spacing w:val="-15"/>
          <w:sz w:val="24"/>
        </w:rPr>
        <w:t> </w:t>
      </w:r>
      <w:r>
        <w:rPr>
          <w:sz w:val="24"/>
        </w:rPr>
        <w:t>use</w:t>
      </w:r>
    </w:p>
    <w:p>
      <w:pPr>
        <w:pStyle w:val="ListParagraph"/>
        <w:numPr>
          <w:ilvl w:val="2"/>
          <w:numId w:val="7"/>
        </w:numPr>
        <w:tabs>
          <w:tab w:pos="821" w:val="left" w:leader="none"/>
          <w:tab w:pos="822" w:val="left" w:leader="none"/>
        </w:tabs>
        <w:spacing w:line="350" w:lineRule="auto" w:before="0" w:after="0"/>
        <w:ind w:left="822" w:right="116" w:hanging="360"/>
        <w:jc w:val="left"/>
        <w:rPr>
          <w:sz w:val="24"/>
        </w:rPr>
      </w:pPr>
      <w:r>
        <w:rPr>
          <w:position w:val="11"/>
          <w:sz w:val="16"/>
        </w:rPr>
        <w:t>13 </w:t>
      </w:r>
      <w:r>
        <w:rPr>
          <w:sz w:val="24"/>
        </w:rPr>
        <w:t>USP U.S. Pharmacopeial Convention, Revisado </w:t>
      </w:r>
      <w:r>
        <w:rPr>
          <w:spacing w:val="3"/>
          <w:sz w:val="24"/>
        </w:rPr>
        <w:t>en </w:t>
      </w:r>
      <w:r>
        <w:rPr>
          <w:sz w:val="24"/>
        </w:rPr>
        <w:t>Octubre 2015, Recuperado</w:t>
      </w:r>
      <w:r>
        <w:rPr>
          <w:spacing w:val="-5"/>
          <w:sz w:val="24"/>
        </w:rPr>
        <w:t> </w:t>
      </w:r>
      <w:r>
        <w:rPr>
          <w:sz w:val="24"/>
        </w:rPr>
        <w:t>de:</w:t>
      </w:r>
    </w:p>
    <w:p>
      <w:pPr>
        <w:pStyle w:val="BodyText"/>
        <w:spacing w:before="16"/>
        <w:ind w:left="821" w:right="1789"/>
      </w:pPr>
      <w:hyperlink r:id="rId57">
        <w:r>
          <w:rPr/>
          <w:t>http://www.usp.org/es/usp</w:t>
        </w:r>
      </w:hyperlink>
    </w:p>
    <w:p>
      <w:pPr>
        <w:spacing w:after="0"/>
        <w:sectPr>
          <w:pgSz w:w="12240" w:h="15840"/>
          <w:pgMar w:header="0" w:footer="919" w:top="1360" w:bottom="1100" w:left="1600" w:right="1580"/>
        </w:sectPr>
      </w:pPr>
    </w:p>
    <w:p>
      <w:pPr>
        <w:pStyle w:val="ListParagraph"/>
        <w:numPr>
          <w:ilvl w:val="0"/>
          <w:numId w:val="8"/>
        </w:numPr>
        <w:tabs>
          <w:tab w:pos="702" w:val="left" w:leader="none"/>
        </w:tabs>
        <w:spacing w:line="355" w:lineRule="auto" w:before="58" w:after="0"/>
        <w:ind w:left="702" w:right="121" w:hanging="360"/>
        <w:jc w:val="both"/>
        <w:rPr>
          <w:sz w:val="24"/>
        </w:rPr>
      </w:pPr>
      <w:r>
        <w:rPr>
          <w:position w:val="11"/>
          <w:sz w:val="16"/>
        </w:rPr>
        <w:t>14 </w:t>
      </w:r>
      <w:r>
        <w:rPr>
          <w:sz w:val="24"/>
        </w:rPr>
        <w:t>Agilent technologies, A replacement for USP&lt;231&gt; Heavy metals,  improve accuracy and productivity using ICP-MS for the measurement of heavy metals in pharmaceutical</w:t>
      </w:r>
      <w:r>
        <w:rPr>
          <w:spacing w:val="-16"/>
          <w:sz w:val="24"/>
        </w:rPr>
        <w:t> </w:t>
      </w:r>
      <w:r>
        <w:rPr>
          <w:sz w:val="24"/>
        </w:rPr>
        <w:t>materials</w:t>
      </w:r>
    </w:p>
    <w:p>
      <w:pPr>
        <w:pStyle w:val="ListParagraph"/>
        <w:numPr>
          <w:ilvl w:val="0"/>
          <w:numId w:val="8"/>
        </w:numPr>
        <w:tabs>
          <w:tab w:pos="701" w:val="left" w:leader="none"/>
          <w:tab w:pos="702" w:val="left" w:leader="none"/>
        </w:tabs>
        <w:spacing w:line="355" w:lineRule="auto" w:before="0" w:after="0"/>
        <w:ind w:left="702" w:right="118" w:hanging="360"/>
        <w:jc w:val="left"/>
        <w:rPr>
          <w:sz w:val="24"/>
        </w:rPr>
      </w:pPr>
      <w:r>
        <w:rPr>
          <w:position w:val="11"/>
          <w:sz w:val="16"/>
        </w:rPr>
        <w:t>15 </w:t>
      </w:r>
      <w:r>
        <w:rPr>
          <w:sz w:val="24"/>
        </w:rPr>
        <w:t>News medical, 24 Mayo 2012, USP anuncia dos nuevos patrones relacionados con las impurezas elementales. Recuperado de: </w:t>
      </w:r>
      <w:hyperlink r:id="rId59">
        <w:r>
          <w:rPr>
            <w:sz w:val="24"/>
          </w:rPr>
          <w:t>http://www.news-medical.net/news/20120524/12138/Spanish.aspx</w:t>
        </w:r>
      </w:hyperlink>
    </w:p>
    <w:p>
      <w:pPr>
        <w:pStyle w:val="ListParagraph"/>
        <w:numPr>
          <w:ilvl w:val="0"/>
          <w:numId w:val="8"/>
        </w:numPr>
        <w:tabs>
          <w:tab w:pos="701" w:val="left" w:leader="none"/>
          <w:tab w:pos="702" w:val="left" w:leader="none"/>
          <w:tab w:pos="7194" w:val="left" w:leader="none"/>
        </w:tabs>
        <w:spacing w:line="350" w:lineRule="auto" w:before="0" w:after="0"/>
        <w:ind w:left="702" w:right="118" w:hanging="360"/>
        <w:jc w:val="left"/>
        <w:rPr>
          <w:sz w:val="24"/>
        </w:rPr>
      </w:pPr>
      <w:r>
        <w:rPr>
          <w:position w:val="11"/>
          <w:sz w:val="16"/>
        </w:rPr>
        <w:t>16   </w:t>
      </w:r>
      <w:r>
        <w:rPr>
          <w:sz w:val="24"/>
        </w:rPr>
        <w:t>Columbia  Analytical  Services,</w:t>
      </w:r>
      <w:r>
        <w:rPr>
          <w:spacing w:val="-7"/>
          <w:sz w:val="24"/>
        </w:rPr>
        <w:t> </w:t>
      </w:r>
      <w:r>
        <w:rPr>
          <w:sz w:val="24"/>
        </w:rPr>
        <w:t>USP&lt;231&gt;</w:t>
      </w:r>
      <w:r>
        <w:rPr>
          <w:spacing w:val="44"/>
          <w:sz w:val="24"/>
        </w:rPr>
        <w:t> </w:t>
      </w:r>
      <w:r>
        <w:rPr>
          <w:sz w:val="24"/>
        </w:rPr>
        <w:t>Comparison</w:t>
        <w:tab/>
        <w:t>to</w:t>
      </w:r>
      <w:r>
        <w:rPr>
          <w:spacing w:val="48"/>
          <w:sz w:val="24"/>
        </w:rPr>
        <w:t> </w:t>
      </w:r>
      <w:r>
        <w:rPr>
          <w:sz w:val="24"/>
        </w:rPr>
        <w:t>instrumental</w:t>
      </w:r>
      <w:r>
        <w:rPr>
          <w:w w:val="99"/>
          <w:sz w:val="24"/>
        </w:rPr>
        <w:t> </w:t>
      </w:r>
      <w:r>
        <w:rPr>
          <w:sz w:val="24"/>
        </w:rPr>
        <w:t>methods &lt;2232&gt; and</w:t>
      </w:r>
      <w:r>
        <w:rPr>
          <w:spacing w:val="-11"/>
          <w:sz w:val="24"/>
        </w:rPr>
        <w:t> </w:t>
      </w:r>
      <w:r>
        <w:rPr>
          <w:sz w:val="24"/>
        </w:rPr>
        <w:t>&lt;233&gt;</w:t>
      </w:r>
    </w:p>
    <w:p>
      <w:pPr>
        <w:pStyle w:val="ListParagraph"/>
        <w:numPr>
          <w:ilvl w:val="0"/>
          <w:numId w:val="8"/>
        </w:numPr>
        <w:tabs>
          <w:tab w:pos="701" w:val="left" w:leader="none"/>
          <w:tab w:pos="702" w:val="left" w:leader="none"/>
        </w:tabs>
        <w:spacing w:line="311" w:lineRule="exact" w:before="0" w:after="0"/>
        <w:ind w:left="702" w:right="0" w:hanging="360"/>
        <w:jc w:val="left"/>
        <w:rPr>
          <w:sz w:val="24"/>
        </w:rPr>
      </w:pPr>
      <w:r>
        <w:rPr>
          <w:position w:val="11"/>
          <w:sz w:val="16"/>
        </w:rPr>
        <w:t>17   </w:t>
      </w:r>
      <w:r>
        <w:rPr>
          <w:sz w:val="24"/>
        </w:rPr>
        <w:t>PerkinElmer,  Inc.  Implementation  of  USP  New  Chapters  &lt;232&gt;  </w:t>
      </w:r>
      <w:r>
        <w:rPr>
          <w:spacing w:val="17"/>
          <w:sz w:val="24"/>
        </w:rPr>
        <w:t> </w:t>
      </w:r>
      <w:r>
        <w:rPr>
          <w:sz w:val="24"/>
        </w:rPr>
        <w:t>and</w:t>
      </w:r>
    </w:p>
    <w:p>
      <w:pPr>
        <w:pStyle w:val="BodyText"/>
        <w:spacing w:line="360" w:lineRule="auto" w:before="135"/>
        <w:ind w:left="701" w:right="117"/>
      </w:pPr>
      <w:r>
        <w:rPr/>
        <w:t>&lt;233&gt; on elemental impurities in pharmaceutical Products. Recuperado de: </w:t>
      </w:r>
      <w:hyperlink r:id="rId60">
        <w:r>
          <w:rPr/>
          <w:t>http://www.perkinelmer.com/PDFs/downloads/WHT_Implementation-of-</w:t>
        </w:r>
      </w:hyperlink>
      <w:r>
        <w:rPr/>
        <w:t> USP-232-233.pdf</w:t>
      </w:r>
    </w:p>
    <w:p>
      <w:pPr>
        <w:pStyle w:val="ListParagraph"/>
        <w:numPr>
          <w:ilvl w:val="0"/>
          <w:numId w:val="8"/>
        </w:numPr>
        <w:tabs>
          <w:tab w:pos="701" w:val="left" w:leader="none"/>
          <w:tab w:pos="702" w:val="left" w:leader="none"/>
          <w:tab w:pos="1081" w:val="left" w:leader="none"/>
          <w:tab w:pos="1798" w:val="left" w:leader="none"/>
          <w:tab w:pos="2781" w:val="left" w:leader="none"/>
          <w:tab w:pos="3899" w:val="left" w:leader="none"/>
          <w:tab w:pos="4924" w:val="left" w:leader="none"/>
          <w:tab w:pos="5824" w:val="left" w:leader="none"/>
          <w:tab w:pos="7169" w:val="left" w:leader="none"/>
          <w:tab w:pos="8688" w:val="left" w:leader="none"/>
        </w:tabs>
        <w:spacing w:line="357" w:lineRule="auto" w:before="0" w:after="0"/>
        <w:ind w:left="702" w:right="115" w:hanging="360"/>
        <w:jc w:val="left"/>
        <w:rPr>
          <w:sz w:val="24"/>
        </w:rPr>
      </w:pPr>
      <w:r>
        <w:rPr>
          <w:position w:val="11"/>
          <w:sz w:val="16"/>
        </w:rPr>
        <w:t>18</w:t>
        <w:tab/>
      </w:r>
      <w:r>
        <w:rPr>
          <w:sz w:val="24"/>
        </w:rPr>
        <w:t>USP</w:t>
        <w:tab/>
        <w:t>(2012),</w:t>
        <w:tab/>
        <w:t>Capítulo</w:t>
        <w:tab/>
        <w:t>general</w:t>
        <w:tab/>
        <w:t>&lt;233&gt;</w:t>
        <w:tab/>
        <w:t>Impurezas</w:t>
        <w:tab/>
        <w:t>elementales</w:t>
        <w:tab/>
        <w:t>– procedimientos / pruebas químicas, segundo suplemento. Recuperado de: </w:t>
      </w:r>
      <w:hyperlink r:id="rId61">
        <w:r>
          <w:rPr>
            <w:sz w:val="24"/>
          </w:rPr>
          <w:t>http://www.usp.org/sites/default/files/usp_pdf/EN/USPNF/key-issues/233----</w:t>
        </w:r>
      </w:hyperlink>
      <w:r>
        <w:rPr>
          <w:sz w:val="24"/>
        </w:rPr>
        <w:t> </w:t>
      </w:r>
      <w:hyperlink r:id="rId61">
        <w:r>
          <w:rPr>
            <w:sz w:val="24"/>
          </w:rPr>
          <w:t>2s_usp_35---final.pdf</w:t>
        </w:r>
      </w:hyperlink>
    </w:p>
    <w:p>
      <w:pPr>
        <w:pStyle w:val="ListParagraph"/>
        <w:numPr>
          <w:ilvl w:val="0"/>
          <w:numId w:val="8"/>
        </w:numPr>
        <w:tabs>
          <w:tab w:pos="701" w:val="left" w:leader="none"/>
          <w:tab w:pos="702" w:val="left" w:leader="none"/>
        </w:tabs>
        <w:spacing w:line="300" w:lineRule="exact" w:before="0" w:after="0"/>
        <w:ind w:left="702" w:right="0" w:hanging="360"/>
        <w:jc w:val="left"/>
        <w:rPr>
          <w:sz w:val="24"/>
        </w:rPr>
      </w:pPr>
      <w:r>
        <w:rPr>
          <w:position w:val="11"/>
          <w:sz w:val="16"/>
        </w:rPr>
        <w:t>18  </w:t>
      </w:r>
      <w:r>
        <w:rPr>
          <w:sz w:val="24"/>
        </w:rPr>
        <w:t>USP, Boletín de revisión, Capítulo general &lt;232&gt; Impurezas</w:t>
      </w:r>
      <w:r>
        <w:rPr>
          <w:spacing w:val="37"/>
          <w:sz w:val="24"/>
        </w:rPr>
        <w:t> </w:t>
      </w:r>
      <w:r>
        <w:rPr>
          <w:sz w:val="24"/>
        </w:rPr>
        <w:t>elementales</w:t>
      </w:r>
    </w:p>
    <w:p>
      <w:pPr>
        <w:pStyle w:val="BodyText"/>
        <w:spacing w:line="360" w:lineRule="auto" w:before="137"/>
        <w:ind w:left="701" w:right="1669"/>
      </w:pPr>
      <w:r>
        <w:rPr/>
        <w:t>– límites. Recuperado de: </w:t>
      </w:r>
      <w:hyperlink r:id="rId62">
        <w:r>
          <w:rPr/>
          <w:t>http://www.usp.org/sites/default/files/usp_pdf/EN/USPNF/key-</w:t>
        </w:r>
      </w:hyperlink>
      <w:r>
        <w:rPr/>
        <w:t> </w:t>
      </w:r>
      <w:hyperlink r:id="rId62">
        <w:r>
          <w:rPr/>
          <w:t>issues/c232_final.pdf</w:t>
        </w:r>
      </w:hyperlink>
    </w:p>
    <w:p>
      <w:pPr>
        <w:pStyle w:val="ListParagraph"/>
        <w:numPr>
          <w:ilvl w:val="0"/>
          <w:numId w:val="8"/>
        </w:numPr>
        <w:tabs>
          <w:tab w:pos="702" w:val="left" w:leader="none"/>
          <w:tab w:pos="3114" w:val="left" w:leader="none"/>
          <w:tab w:pos="4527" w:val="left" w:leader="none"/>
          <w:tab w:pos="6151" w:val="left" w:leader="none"/>
          <w:tab w:pos="8550" w:val="left" w:leader="none"/>
        </w:tabs>
        <w:spacing w:line="357" w:lineRule="auto" w:before="0" w:after="0"/>
        <w:ind w:left="702" w:right="121" w:hanging="360"/>
        <w:jc w:val="both"/>
        <w:rPr>
          <w:sz w:val="24"/>
        </w:rPr>
      </w:pPr>
      <w:r>
        <w:rPr>
          <w:position w:val="11"/>
          <w:sz w:val="16"/>
        </w:rPr>
        <w:t>18 </w:t>
      </w:r>
      <w:r>
        <w:rPr>
          <w:sz w:val="24"/>
        </w:rPr>
        <w:t>ICH, Noviembre 2005, Validación de procedimientos analíticos, texto y metodología</w:t>
        <w:tab/>
        <w:t>Q2</w:t>
        <w:tab/>
        <w:t>(R1).</w:t>
        <w:tab/>
        <w:t>Recuperado</w:t>
        <w:tab/>
        <w:t>de </w:t>
      </w:r>
      <w:hyperlink r:id="rId63">
        <w:r>
          <w:rPr>
            <w:spacing w:val="-1"/>
            <w:sz w:val="24"/>
          </w:rPr>
          <w:t>http://www.ich.org/fileadmin/Public_Web_Site/ICH_Products/Guidelines/Qua</w:t>
        </w:r>
      </w:hyperlink>
      <w:r>
        <w:rPr>
          <w:spacing w:val="-1"/>
          <w:sz w:val="24"/>
        </w:rPr>
        <w:t> </w:t>
      </w:r>
      <w:hyperlink r:id="rId63">
        <w:r>
          <w:rPr>
            <w:sz w:val="24"/>
          </w:rPr>
          <w:t>lity/Q2_R1/Step4/Q2_R1  </w:t>
        </w:r>
        <w:r>
          <w:rPr>
            <w:spacing w:val="55"/>
            <w:sz w:val="24"/>
          </w:rPr>
          <w:t> </w:t>
        </w:r>
        <w:r>
          <w:rPr>
            <w:sz w:val="24"/>
          </w:rPr>
          <w:t>Guideline.pdf</w:t>
        </w:r>
      </w:hyperlink>
    </w:p>
    <w:p>
      <w:pPr>
        <w:pStyle w:val="ListParagraph"/>
        <w:numPr>
          <w:ilvl w:val="0"/>
          <w:numId w:val="8"/>
        </w:numPr>
        <w:tabs>
          <w:tab w:pos="701" w:val="left" w:leader="none"/>
          <w:tab w:pos="702" w:val="left" w:leader="none"/>
        </w:tabs>
        <w:spacing w:line="355" w:lineRule="auto" w:before="0" w:after="0"/>
        <w:ind w:left="702" w:right="129" w:hanging="360"/>
        <w:jc w:val="left"/>
        <w:rPr>
          <w:sz w:val="24"/>
        </w:rPr>
      </w:pPr>
      <w:r>
        <w:rPr>
          <w:position w:val="11"/>
          <w:sz w:val="16"/>
        </w:rPr>
        <w:t>19 </w:t>
      </w:r>
      <w:r>
        <w:rPr>
          <w:sz w:val="24"/>
        </w:rPr>
        <w:t>Fernandez, Joaquin. 14 Febrero 2011, ¿Qué és la FDA?. Recuperado de: </w:t>
      </w:r>
      <w:hyperlink r:id="rId64">
        <w:r>
          <w:rPr>
            <w:sz w:val="24"/>
          </w:rPr>
          <w:t>http://www.qvision.es/blogs/joaquin-fernandez/2011/02/%C2%BFque-es-la-</w:t>
        </w:r>
      </w:hyperlink>
      <w:r>
        <w:rPr>
          <w:sz w:val="24"/>
        </w:rPr>
        <w:t> </w:t>
      </w:r>
      <w:hyperlink r:id="rId64">
        <w:r>
          <w:rPr>
            <w:sz w:val="24"/>
          </w:rPr>
          <w:t>fda/</w:t>
        </w:r>
      </w:hyperlink>
    </w:p>
    <w:p>
      <w:pPr>
        <w:pStyle w:val="ListParagraph"/>
        <w:numPr>
          <w:ilvl w:val="0"/>
          <w:numId w:val="8"/>
        </w:numPr>
        <w:tabs>
          <w:tab w:pos="702" w:val="left" w:leader="none"/>
        </w:tabs>
        <w:spacing w:line="355" w:lineRule="auto" w:before="0" w:after="0"/>
        <w:ind w:left="702" w:right="126" w:hanging="360"/>
        <w:jc w:val="both"/>
        <w:rPr>
          <w:sz w:val="24"/>
        </w:rPr>
      </w:pPr>
      <w:r>
        <w:rPr>
          <w:position w:val="11"/>
          <w:sz w:val="16"/>
        </w:rPr>
        <w:t>20 </w:t>
      </w:r>
      <w:r>
        <w:rPr>
          <w:sz w:val="24"/>
        </w:rPr>
        <w:t>Michelle Cree, Kimberly Davis and Sam Jones, evaluation of digestion approaches for determination of elemental impurities in support of USP&lt;232&gt; and</w:t>
      </w:r>
      <w:r>
        <w:rPr>
          <w:spacing w:val="-6"/>
          <w:sz w:val="24"/>
        </w:rPr>
        <w:t> </w:t>
      </w:r>
      <w:r>
        <w:rPr>
          <w:sz w:val="24"/>
        </w:rPr>
        <w:t>&lt;233&gt;</w:t>
      </w:r>
    </w:p>
    <w:p>
      <w:pPr>
        <w:spacing w:after="0" w:line="355" w:lineRule="auto"/>
        <w:jc w:val="both"/>
        <w:rPr>
          <w:sz w:val="24"/>
        </w:rPr>
        <w:sectPr>
          <w:footerReference w:type="default" r:id="rId58"/>
          <w:pgSz w:w="12240" w:h="15840"/>
          <w:pgMar w:footer="919" w:header="0" w:top="1340" w:bottom="1100" w:left="1720" w:right="1580"/>
        </w:sectPr>
      </w:pPr>
    </w:p>
    <w:p>
      <w:pPr>
        <w:pStyle w:val="ListParagraph"/>
        <w:numPr>
          <w:ilvl w:val="0"/>
          <w:numId w:val="8"/>
        </w:numPr>
        <w:tabs>
          <w:tab w:pos="702" w:val="left" w:leader="none"/>
        </w:tabs>
        <w:spacing w:line="350" w:lineRule="auto" w:before="37" w:after="0"/>
        <w:ind w:left="702" w:right="116" w:hanging="360"/>
        <w:jc w:val="both"/>
        <w:rPr>
          <w:sz w:val="24"/>
        </w:rPr>
      </w:pPr>
      <w:r>
        <w:rPr>
          <w:position w:val="-2"/>
          <w:sz w:val="16"/>
        </w:rPr>
        <w:t>21 </w:t>
      </w:r>
      <w:r>
        <w:rPr>
          <w:sz w:val="24"/>
        </w:rPr>
        <w:t>Ruth E. Wolf, Ph.D., Research Chemist, USGS/Central Region/Crustal Imaging &amp; Characterization Team, March 2005]. Recuperado de: </w:t>
      </w:r>
      <w:hyperlink r:id="rId66">
        <w:r>
          <w:rPr>
            <w:sz w:val="24"/>
          </w:rPr>
          <w:t>http://crustal.usgs.gov/laboratories/icpms/intro.html</w:t>
        </w:r>
      </w:hyperlink>
    </w:p>
    <w:p>
      <w:pPr>
        <w:pStyle w:val="ListParagraph"/>
        <w:numPr>
          <w:ilvl w:val="0"/>
          <w:numId w:val="8"/>
        </w:numPr>
        <w:tabs>
          <w:tab w:pos="702" w:val="left" w:leader="none"/>
          <w:tab w:pos="2501" w:val="left" w:leader="none"/>
          <w:tab w:pos="3913" w:val="left" w:leader="none"/>
          <w:tab w:pos="6033" w:val="left" w:leader="none"/>
          <w:tab w:pos="8552" w:val="left" w:leader="none"/>
        </w:tabs>
        <w:spacing w:line="357" w:lineRule="auto" w:before="194" w:after="0"/>
        <w:ind w:left="702" w:right="116" w:hanging="360"/>
        <w:jc w:val="both"/>
        <w:rPr>
          <w:sz w:val="24"/>
        </w:rPr>
      </w:pPr>
      <w:r>
        <w:rPr>
          <w:position w:val="11"/>
          <w:sz w:val="16"/>
        </w:rPr>
        <w:t>22 </w:t>
      </w:r>
      <w:r>
        <w:rPr>
          <w:sz w:val="24"/>
        </w:rPr>
        <w:t>Perkin Elmer, Technical note ICP-Mass Spectrometry, The 30-minute guide</w:t>
        <w:tab/>
        <w:t>to</w:t>
        <w:tab/>
        <w:t>ICP-MS.</w:t>
        <w:tab/>
        <w:t>Recuperado</w:t>
        <w:tab/>
        <w:t>de </w:t>
      </w:r>
      <w:hyperlink r:id="rId67">
        <w:r>
          <w:rPr>
            <w:sz w:val="24"/>
          </w:rPr>
          <w:t>http://www.perkinelmer.com/PDFs/Downloads/tch_icpmsthirtyminuteguide.p</w:t>
        </w:r>
      </w:hyperlink>
      <w:r>
        <w:rPr>
          <w:sz w:val="24"/>
        </w:rPr>
        <w:t> </w:t>
      </w:r>
      <w:hyperlink r:id="rId67">
        <w:r>
          <w:rPr>
            <w:sz w:val="24"/>
          </w:rPr>
          <w:t>df</w:t>
        </w:r>
      </w:hyperlink>
    </w:p>
    <w:p>
      <w:pPr>
        <w:pStyle w:val="ListParagraph"/>
        <w:numPr>
          <w:ilvl w:val="0"/>
          <w:numId w:val="8"/>
        </w:numPr>
        <w:tabs>
          <w:tab w:pos="702" w:val="left" w:leader="none"/>
        </w:tabs>
        <w:spacing w:line="350" w:lineRule="auto" w:before="0" w:after="0"/>
        <w:ind w:left="702" w:right="124" w:hanging="360"/>
        <w:jc w:val="both"/>
        <w:rPr>
          <w:sz w:val="24"/>
        </w:rPr>
      </w:pPr>
      <w:r>
        <w:rPr>
          <w:position w:val="11"/>
          <w:sz w:val="16"/>
        </w:rPr>
        <w:t>23 </w:t>
      </w:r>
      <w:r>
        <w:rPr>
          <w:sz w:val="24"/>
        </w:rPr>
        <w:t>European Pharmacopoeia 8.0, 2. Methods of analysis, chapter 2.2.58. Inductively coupled plasma – mass</w:t>
      </w:r>
      <w:r>
        <w:rPr>
          <w:spacing w:val="-14"/>
          <w:sz w:val="24"/>
        </w:rPr>
        <w:t> </w:t>
      </w:r>
      <w:r>
        <w:rPr>
          <w:sz w:val="24"/>
        </w:rPr>
        <w:t>spectrometry.</w:t>
      </w:r>
    </w:p>
    <w:p>
      <w:pPr>
        <w:pStyle w:val="ListParagraph"/>
        <w:numPr>
          <w:ilvl w:val="0"/>
          <w:numId w:val="8"/>
        </w:numPr>
        <w:tabs>
          <w:tab w:pos="701" w:val="left" w:leader="none"/>
          <w:tab w:pos="702" w:val="left" w:leader="none"/>
        </w:tabs>
        <w:spacing w:line="355" w:lineRule="auto" w:before="16" w:after="0"/>
        <w:ind w:left="702" w:right="237" w:hanging="360"/>
        <w:jc w:val="left"/>
        <w:rPr>
          <w:sz w:val="24"/>
        </w:rPr>
      </w:pPr>
      <w:r>
        <w:rPr>
          <w:sz w:val="24"/>
        </w:rPr>
        <w:t>FDA, Food and Drug Administration, recuperado de: </w:t>
      </w:r>
      <w:hyperlink r:id="rId68">
        <w:r>
          <w:rPr>
            <w:spacing w:val="-1"/>
            <w:sz w:val="24"/>
          </w:rPr>
          <w:t>http://www.fda.gov/downloads/Regulatoryinformation/Guidances/ucm12798</w:t>
        </w:r>
      </w:hyperlink>
      <w:r>
        <w:rPr>
          <w:spacing w:val="-1"/>
          <w:sz w:val="24"/>
        </w:rPr>
        <w:t> </w:t>
      </w:r>
      <w:hyperlink r:id="rId68">
        <w:r>
          <w:rPr>
            <w:sz w:val="24"/>
          </w:rPr>
          <w:t>4.pdf</w:t>
        </w:r>
      </w:hyperlink>
    </w:p>
    <w:p>
      <w:pPr>
        <w:pStyle w:val="ListParagraph"/>
        <w:numPr>
          <w:ilvl w:val="0"/>
          <w:numId w:val="8"/>
        </w:numPr>
        <w:tabs>
          <w:tab w:pos="701" w:val="left" w:leader="none"/>
          <w:tab w:pos="702" w:val="left" w:leader="none"/>
        </w:tabs>
        <w:spacing w:line="240" w:lineRule="auto" w:before="11" w:after="0"/>
        <w:ind w:left="702" w:right="0" w:hanging="360"/>
        <w:jc w:val="left"/>
        <w:rPr>
          <w:sz w:val="24"/>
        </w:rPr>
      </w:pPr>
      <w:r>
        <w:rPr>
          <w:sz w:val="24"/>
        </w:rPr>
        <w:t>USP(2012), capitulo  general &lt;231&gt; Metales</w:t>
      </w:r>
      <w:r>
        <w:rPr>
          <w:spacing w:val="-21"/>
          <w:sz w:val="24"/>
        </w:rPr>
        <w:t> </w:t>
      </w:r>
      <w:r>
        <w:rPr>
          <w:sz w:val="24"/>
        </w:rPr>
        <w:t>pesados</w:t>
      </w:r>
    </w:p>
    <w:p>
      <w:pPr>
        <w:pStyle w:val="ListParagraph"/>
        <w:numPr>
          <w:ilvl w:val="0"/>
          <w:numId w:val="8"/>
        </w:numPr>
        <w:tabs>
          <w:tab w:pos="701" w:val="left" w:leader="none"/>
          <w:tab w:pos="702" w:val="left" w:leader="none"/>
        </w:tabs>
        <w:spacing w:line="240" w:lineRule="auto" w:before="135" w:after="0"/>
        <w:ind w:left="702" w:right="0" w:hanging="360"/>
        <w:jc w:val="left"/>
        <w:rPr>
          <w:sz w:val="24"/>
        </w:rPr>
      </w:pPr>
      <w:r>
        <w:rPr>
          <w:sz w:val="24"/>
        </w:rPr>
        <w:t>USP(2012), capitulo  general &lt;232&gt; Impurezas elementales -</w:t>
      </w:r>
      <w:r>
        <w:rPr>
          <w:spacing w:val="-23"/>
          <w:sz w:val="24"/>
        </w:rPr>
        <w:t> </w:t>
      </w:r>
      <w:r>
        <w:rPr>
          <w:sz w:val="24"/>
        </w:rPr>
        <w:t>límites</w:t>
      </w:r>
    </w:p>
    <w:p>
      <w:pPr>
        <w:pStyle w:val="ListParagraph"/>
        <w:numPr>
          <w:ilvl w:val="0"/>
          <w:numId w:val="8"/>
        </w:numPr>
        <w:tabs>
          <w:tab w:pos="702" w:val="left" w:leader="none"/>
        </w:tabs>
        <w:spacing w:line="355" w:lineRule="auto" w:before="135" w:after="0"/>
        <w:ind w:left="702" w:right="119" w:hanging="360"/>
        <w:jc w:val="both"/>
        <w:rPr>
          <w:sz w:val="24"/>
        </w:rPr>
      </w:pPr>
      <w:r>
        <w:rPr>
          <w:sz w:val="24"/>
        </w:rPr>
        <w:t>NOM-001-SSA1-2010, DOF 26 Enero 2011, Que instituye el procedimiento por el cual se revisará, actualizará y editará la farmacopea de los estados unidos</w:t>
      </w:r>
      <w:r>
        <w:rPr>
          <w:spacing w:val="-4"/>
          <w:sz w:val="24"/>
        </w:rPr>
        <w:t> </w:t>
      </w:r>
      <w:r>
        <w:rPr>
          <w:sz w:val="24"/>
        </w:rPr>
        <w:t>mexicanos</w:t>
      </w:r>
    </w:p>
    <w:p>
      <w:pPr>
        <w:pStyle w:val="ListParagraph"/>
        <w:numPr>
          <w:ilvl w:val="0"/>
          <w:numId w:val="8"/>
        </w:numPr>
        <w:tabs>
          <w:tab w:pos="702" w:val="left" w:leader="none"/>
        </w:tabs>
        <w:spacing w:line="350" w:lineRule="auto" w:before="210" w:after="0"/>
        <w:ind w:left="702" w:right="119" w:hanging="360"/>
        <w:jc w:val="both"/>
        <w:rPr>
          <w:sz w:val="24"/>
        </w:rPr>
      </w:pPr>
      <w:r>
        <w:rPr>
          <w:sz w:val="24"/>
        </w:rPr>
        <w:t>NOM-164-SSA1-2013, DOF 25 Junio 2013, Buenas prácticas de fabricación de los</w:t>
      </w:r>
      <w:r>
        <w:rPr>
          <w:spacing w:val="-4"/>
          <w:sz w:val="24"/>
        </w:rPr>
        <w:t> </w:t>
      </w:r>
      <w:r>
        <w:rPr>
          <w:sz w:val="24"/>
        </w:rPr>
        <w:t>fármacos</w:t>
      </w:r>
    </w:p>
    <w:p>
      <w:pPr>
        <w:pStyle w:val="ListParagraph"/>
        <w:numPr>
          <w:ilvl w:val="0"/>
          <w:numId w:val="8"/>
        </w:numPr>
        <w:tabs>
          <w:tab w:pos="702" w:val="left" w:leader="none"/>
        </w:tabs>
        <w:spacing w:line="355" w:lineRule="auto" w:before="215" w:after="0"/>
        <w:ind w:left="702" w:right="118" w:hanging="360"/>
        <w:jc w:val="both"/>
        <w:rPr>
          <w:sz w:val="24"/>
        </w:rPr>
      </w:pPr>
      <w:r>
        <w:rPr>
          <w:sz w:val="24"/>
        </w:rPr>
        <w:t>NOM-052-SEMARNAT-2005, DOF 23 Junio 2006 Norma Oficial Mexicana que establece las características, el procedimiento de identificación, clasificación y los listados de los residuos</w:t>
      </w:r>
      <w:r>
        <w:rPr>
          <w:spacing w:val="-16"/>
          <w:sz w:val="24"/>
        </w:rPr>
        <w:t> </w:t>
      </w:r>
      <w:r>
        <w:rPr>
          <w:sz w:val="24"/>
        </w:rPr>
        <w:t>peligrosos.</w:t>
      </w:r>
    </w:p>
    <w:p>
      <w:pPr>
        <w:pStyle w:val="ListParagraph"/>
        <w:numPr>
          <w:ilvl w:val="0"/>
          <w:numId w:val="8"/>
        </w:numPr>
        <w:tabs>
          <w:tab w:pos="702" w:val="left" w:leader="none"/>
        </w:tabs>
        <w:spacing w:line="352" w:lineRule="auto" w:before="208" w:after="0"/>
        <w:ind w:left="702" w:right="122" w:hanging="360"/>
        <w:jc w:val="both"/>
        <w:rPr>
          <w:sz w:val="24"/>
        </w:rPr>
      </w:pPr>
      <w:r>
        <w:rPr>
          <w:sz w:val="24"/>
        </w:rPr>
        <w:t>NMX-EC-17025-IMNC-2006, Requisitos generales para la competencia de los laboratorios de prueba y</w:t>
      </w:r>
      <w:r>
        <w:rPr>
          <w:spacing w:val="-10"/>
          <w:sz w:val="24"/>
        </w:rPr>
        <w:t> </w:t>
      </w:r>
      <w:r>
        <w:rPr>
          <w:sz w:val="24"/>
        </w:rPr>
        <w:t>ensayo.</w:t>
      </w:r>
    </w:p>
    <w:p>
      <w:pPr>
        <w:pStyle w:val="ListParagraph"/>
        <w:numPr>
          <w:ilvl w:val="0"/>
          <w:numId w:val="8"/>
        </w:numPr>
        <w:tabs>
          <w:tab w:pos="702" w:val="left" w:leader="none"/>
        </w:tabs>
        <w:spacing w:line="350" w:lineRule="auto" w:before="213" w:after="0"/>
        <w:ind w:left="702" w:right="119" w:hanging="360"/>
        <w:jc w:val="both"/>
        <w:rPr>
          <w:sz w:val="24"/>
        </w:rPr>
      </w:pPr>
      <w:r>
        <w:rPr>
          <w:sz w:val="24"/>
        </w:rPr>
        <w:t>ICH Q1, step 4, 6 Febrero 2003, Stability testing of new drug substances and</w:t>
      </w:r>
      <w:r>
        <w:rPr>
          <w:spacing w:val="-5"/>
          <w:sz w:val="24"/>
        </w:rPr>
        <w:t> </w:t>
      </w:r>
      <w:r>
        <w:rPr>
          <w:sz w:val="24"/>
        </w:rPr>
        <w:t>products</w:t>
      </w:r>
    </w:p>
    <w:p>
      <w:pPr>
        <w:spacing w:after="0" w:line="350" w:lineRule="auto"/>
        <w:jc w:val="both"/>
        <w:rPr>
          <w:sz w:val="24"/>
        </w:rPr>
        <w:sectPr>
          <w:footerReference w:type="default" r:id="rId65"/>
          <w:pgSz w:w="12240" w:h="15840"/>
          <w:pgMar w:footer="859" w:header="0" w:top="1380" w:bottom="1040" w:left="1720" w:right="1580"/>
          <w:pgNumType w:start="41"/>
        </w:sectPr>
      </w:pPr>
    </w:p>
    <w:p>
      <w:pPr>
        <w:pStyle w:val="ListParagraph"/>
        <w:numPr>
          <w:ilvl w:val="0"/>
          <w:numId w:val="8"/>
        </w:numPr>
        <w:tabs>
          <w:tab w:pos="702" w:val="left" w:leader="none"/>
        </w:tabs>
        <w:spacing w:line="355" w:lineRule="auto" w:before="37" w:after="0"/>
        <w:ind w:left="702" w:right="119" w:hanging="360"/>
        <w:jc w:val="both"/>
        <w:rPr>
          <w:sz w:val="24"/>
        </w:rPr>
      </w:pPr>
      <w:r>
        <w:rPr>
          <w:sz w:val="24"/>
        </w:rPr>
        <w:t>ICH Q3D, step 2, 26 July 2013, Guideline for elemental impurities, International Conference on Harmonisation of technical requirements for registration of pharmaceuticals for human</w:t>
      </w:r>
      <w:r>
        <w:rPr>
          <w:spacing w:val="-11"/>
          <w:sz w:val="24"/>
        </w:rPr>
        <w:t> </w:t>
      </w:r>
      <w:r>
        <w:rPr>
          <w:sz w:val="24"/>
        </w:rPr>
        <w:t>use</w:t>
      </w:r>
    </w:p>
    <w:p>
      <w:pPr>
        <w:pStyle w:val="ListParagraph"/>
        <w:numPr>
          <w:ilvl w:val="0"/>
          <w:numId w:val="8"/>
        </w:numPr>
        <w:tabs>
          <w:tab w:pos="702" w:val="left" w:leader="none"/>
        </w:tabs>
        <w:spacing w:line="355" w:lineRule="auto" w:before="8" w:after="0"/>
        <w:ind w:left="702" w:right="119" w:hanging="360"/>
        <w:jc w:val="both"/>
        <w:rPr>
          <w:sz w:val="24"/>
        </w:rPr>
      </w:pPr>
      <w:r>
        <w:rPr>
          <w:sz w:val="24"/>
        </w:rPr>
        <w:t>ICH Q6A, step 4, 16 October 1999, Specifications: test procedures and acceptance criteria for new drug substances and new drug products: chemical</w:t>
      </w:r>
      <w:r>
        <w:rPr>
          <w:spacing w:val="-8"/>
          <w:sz w:val="24"/>
        </w:rPr>
        <w:t> </w:t>
      </w:r>
      <w:r>
        <w:rPr>
          <w:sz w:val="24"/>
        </w:rPr>
        <w:t>substances</w:t>
      </w:r>
    </w:p>
    <w:p>
      <w:pPr>
        <w:pStyle w:val="ListParagraph"/>
        <w:numPr>
          <w:ilvl w:val="0"/>
          <w:numId w:val="8"/>
        </w:numPr>
        <w:tabs>
          <w:tab w:pos="702" w:val="left" w:leader="none"/>
        </w:tabs>
        <w:spacing w:line="350" w:lineRule="auto" w:before="8" w:after="0"/>
        <w:ind w:left="702" w:right="119" w:hanging="360"/>
        <w:jc w:val="both"/>
        <w:rPr>
          <w:sz w:val="24"/>
        </w:rPr>
      </w:pPr>
      <w:r>
        <w:rPr>
          <w:sz w:val="24"/>
        </w:rPr>
        <w:t>ICH Q7, step 4, 10 November 2000, “Good Manufacturing Practice Guidance for Active Pharmaceutical</w:t>
      </w:r>
      <w:r>
        <w:rPr>
          <w:spacing w:val="-15"/>
          <w:sz w:val="24"/>
        </w:rPr>
        <w:t> </w:t>
      </w:r>
      <w:r>
        <w:rPr>
          <w:sz w:val="24"/>
        </w:rPr>
        <w:t>Ingredients”</w:t>
      </w:r>
    </w:p>
    <w:p>
      <w:pPr>
        <w:pStyle w:val="ListParagraph"/>
        <w:numPr>
          <w:ilvl w:val="0"/>
          <w:numId w:val="8"/>
        </w:numPr>
        <w:tabs>
          <w:tab w:pos="701" w:val="left" w:leader="none"/>
          <w:tab w:pos="702" w:val="left" w:leader="none"/>
        </w:tabs>
        <w:spacing w:line="240" w:lineRule="auto" w:before="16" w:after="0"/>
        <w:ind w:left="702" w:right="0" w:hanging="360"/>
        <w:jc w:val="left"/>
        <w:rPr>
          <w:sz w:val="24"/>
        </w:rPr>
      </w:pPr>
      <w:r>
        <w:rPr>
          <w:sz w:val="24"/>
        </w:rPr>
        <w:t>ICH Q10, step 4,  4 June 2008, Pharmaceutical Quality System</w:t>
      </w:r>
      <w:r>
        <w:rPr>
          <w:spacing w:val="-21"/>
          <w:sz w:val="24"/>
        </w:rPr>
        <w:t> </w:t>
      </w:r>
      <w:r>
        <w:rPr>
          <w:sz w:val="24"/>
        </w:rPr>
        <w:t>(PQS)</w:t>
      </w:r>
    </w:p>
    <w:p>
      <w:pPr>
        <w:pStyle w:val="ListParagraph"/>
        <w:numPr>
          <w:ilvl w:val="0"/>
          <w:numId w:val="8"/>
        </w:numPr>
        <w:tabs>
          <w:tab w:pos="702" w:val="left" w:leader="none"/>
        </w:tabs>
        <w:spacing w:line="350" w:lineRule="auto" w:before="136" w:after="0"/>
        <w:ind w:left="702" w:right="118" w:hanging="360"/>
        <w:jc w:val="both"/>
        <w:rPr>
          <w:sz w:val="24"/>
        </w:rPr>
      </w:pPr>
      <w:r>
        <w:rPr>
          <w:sz w:val="24"/>
        </w:rPr>
        <w:t>ICH Q11, step 4, 01 May 2012, Development and manufacture of drug substances (chemical entities and biotechnological/biological</w:t>
      </w:r>
      <w:r>
        <w:rPr>
          <w:spacing w:val="-19"/>
          <w:sz w:val="24"/>
        </w:rPr>
        <w:t> </w:t>
      </w:r>
      <w:r>
        <w:rPr>
          <w:sz w:val="24"/>
        </w:rPr>
        <w:t>entities)</w:t>
      </w:r>
    </w:p>
    <w:p>
      <w:pPr>
        <w:pStyle w:val="ListParagraph"/>
        <w:numPr>
          <w:ilvl w:val="0"/>
          <w:numId w:val="8"/>
        </w:numPr>
        <w:tabs>
          <w:tab w:pos="701" w:val="left" w:leader="none"/>
          <w:tab w:pos="702" w:val="left" w:leader="none"/>
        </w:tabs>
        <w:spacing w:line="350" w:lineRule="auto" w:before="16" w:after="0"/>
        <w:ind w:left="702" w:right="368" w:hanging="360"/>
        <w:jc w:val="left"/>
        <w:rPr>
          <w:sz w:val="24"/>
        </w:rPr>
      </w:pPr>
      <w:r>
        <w:rPr>
          <w:sz w:val="24"/>
        </w:rPr>
        <w:t>USP-NF, United State Pharmacopeia, National Formulary, recuperado</w:t>
      </w:r>
      <w:r>
        <w:rPr>
          <w:spacing w:val="-24"/>
          <w:sz w:val="24"/>
        </w:rPr>
        <w:t> </w:t>
      </w:r>
      <w:r>
        <w:rPr>
          <w:sz w:val="24"/>
        </w:rPr>
        <w:t>de: </w:t>
      </w:r>
      <w:hyperlink r:id="rId57">
        <w:r>
          <w:rPr>
            <w:sz w:val="24"/>
          </w:rPr>
          <w:t>http://www.usp.org/es/usp</w:t>
        </w:r>
      </w:hyperlink>
    </w:p>
    <w:p>
      <w:pPr>
        <w:spacing w:after="0" w:line="350" w:lineRule="auto"/>
        <w:jc w:val="left"/>
        <w:rPr>
          <w:sz w:val="24"/>
        </w:rPr>
        <w:sectPr>
          <w:pgSz w:w="12240" w:h="15840"/>
          <w:pgMar w:header="0" w:footer="859" w:top="1380" w:bottom="1100" w:left="1720" w:right="1580"/>
        </w:sectPr>
      </w:pPr>
    </w:p>
    <w:p>
      <w:pPr>
        <w:pStyle w:val="Heading1"/>
        <w:spacing w:before="56"/>
      </w:pPr>
      <w:bookmarkStart w:name="_bookmark27" w:id="51"/>
      <w:bookmarkEnd w:id="51"/>
      <w:r>
        <w:rPr>
          <w:b w:val="0"/>
        </w:rPr>
      </w:r>
      <w:r>
        <w:rPr/>
        <w:t>ANEXO A.- MARCO JURÍDICO</w:t>
      </w:r>
    </w:p>
    <w:p>
      <w:pPr>
        <w:pStyle w:val="BodyText"/>
        <w:rPr>
          <w:b/>
        </w:rPr>
      </w:pPr>
    </w:p>
    <w:p>
      <w:pPr>
        <w:pStyle w:val="BodyText"/>
        <w:spacing w:before="10"/>
        <w:rPr>
          <w:b/>
          <w:sz w:val="20"/>
        </w:rPr>
      </w:pPr>
    </w:p>
    <w:p>
      <w:pPr>
        <w:pStyle w:val="BodyText"/>
        <w:spacing w:line="360" w:lineRule="auto" w:after="5"/>
        <w:ind w:left="102" w:right="115"/>
        <w:jc w:val="both"/>
      </w:pPr>
      <w:r>
        <w:rPr/>
        <w:t>El presente trabajo se basa en los lineamientos establecidos por los diferentes organismos nacionales e internacionales. La Conferencia Internacional sobre Armonización ICH, es el único organismo capaz de reunir a las autoridades reguladoras y a la industria farmacéutica de Europa, Japón y los EE.UU. para discutir aspectos científicos y técnicos de registro de medicamentos (Tratados internacionales). En la Figura A.1 se muestra la pirámide legislativa dentro de la cual se encuentra comprendido el presente trabajo. Así mismo, en la Tabla A.1 se muestran las diferentes leyes, normas y reglamentos aplicables al proyecto.</w:t>
      </w:r>
    </w:p>
    <w:p>
      <w:pPr>
        <w:pStyle w:val="BodyText"/>
        <w:ind w:left="131"/>
        <w:rPr>
          <w:sz w:val="20"/>
        </w:rPr>
      </w:pPr>
      <w:r>
        <w:rPr>
          <w:sz w:val="20"/>
        </w:rPr>
        <w:pict>
          <v:group style="width:357.35pt;height:371.75pt;mso-position-horizontal-relative:char;mso-position-vertical-relative:line" coordorigin="0,0" coordsize="7147,7435">
            <v:shape style="position:absolute;left:0;top:0;width:6672;height:7435" coordorigin="0,0" coordsize="6672,7435" path="m3336,0l0,7434,6672,7434,3336,0xe" filled="true" fillcolor="#5b9bd4" stroked="false">
              <v:path arrowok="t"/>
              <v:fill opacity="59110f" type="solid"/>
            </v:shape>
            <v:shape style="position:absolute;left:2800;top:337;width:4337;height:661" coordorigin="2800,337" coordsize="4337,661" path="m7027,337l2910,337,2868,346,2833,370,2809,405,2800,448,2800,888,2809,931,2833,966,2868,990,2910,998,7027,998,7070,990,7105,966,7128,931,7137,888,7137,448,7128,405,7105,370,7070,346,7027,337xe" filled="true" fillcolor="#ffffff" stroked="false">
              <v:path arrowok="t"/>
              <v:fill opacity="59110f" type="solid"/>
            </v:shape>
            <v:shape style="position:absolute;left:2800;top:337;width:4337;height:661" coordorigin="2800,337" coordsize="4337,661" path="m2800,448l2809,405,2833,370,2868,346,2910,337,7027,337,7070,346,7105,370,7128,405,7137,448,7137,888,7128,931,7105,966,7070,990,7027,998,2910,998,2868,990,2833,966,2809,931,2800,888,2800,448xe" filled="false" stroked="true" strokeweight="1pt" strokecolor="#5b9bd4">
              <v:path arrowok="t"/>
            </v:shape>
            <v:shape style="position:absolute;left:2800;top:1207;width:4337;height:661" coordorigin="2800,1207" coordsize="4337,661" path="m7027,1207l2910,1207,2868,1216,2833,1239,2809,1274,2800,1317,2800,1758,2809,1800,2833,1835,2868,1859,2910,1868,7027,1868,7070,1859,7105,1835,7128,1800,7137,1758,7137,1317,7128,1274,7105,1239,7070,1216,7027,1207xe" filled="true" fillcolor="#ffffff" stroked="false">
              <v:path arrowok="t"/>
              <v:fill opacity="59110f" type="solid"/>
            </v:shape>
            <v:shape style="position:absolute;left:2800;top:1207;width:4337;height:661" coordorigin="2800,1207" coordsize="4337,661" path="m2800,1317l2809,1274,2833,1239,2868,1216,2910,1207,7027,1207,7070,1216,7105,1239,7128,1274,7137,1317,7137,1758,7128,1800,7105,1835,7070,1859,7027,1868,2910,1868,2868,1859,2833,1835,2809,1800,2800,1758,2800,1317xe" filled="false" stroked="true" strokeweight="1pt" strokecolor="#5b9bd4">
              <v:path arrowok="t"/>
            </v:shape>
            <v:shape style="position:absolute;left:2800;top:2062;width:4337;height:661" coordorigin="2800,2062" coordsize="4337,661" path="m7027,2062l2910,2062,2868,2071,2833,2095,2809,2130,2800,2173,2800,2613,2809,2656,2833,2691,2868,2714,2910,2723,7027,2723,7070,2714,7105,2691,7128,2656,7137,2613,7137,2173,7128,2130,7105,2095,7070,2071,7027,2062xe" filled="true" fillcolor="#ffffff" stroked="false">
              <v:path arrowok="t"/>
              <v:fill opacity="59110f" type="solid"/>
            </v:shape>
            <v:shape style="position:absolute;left:2800;top:2062;width:4337;height:661" coordorigin="2800,2062" coordsize="4337,661" path="m2800,2173l2809,2130,2833,2095,2868,2071,2910,2062,7027,2062,7070,2071,7105,2095,7128,2130,7137,2173,7137,2613,7128,2656,7105,2691,7070,2714,7027,2723,2910,2723,2868,2714,2833,2691,2809,2656,2800,2613,2800,2173xe" filled="false" stroked="true" strokeweight="1pt" strokecolor="#5b9bd4">
              <v:path arrowok="t"/>
            </v:shape>
            <v:shape style="position:absolute;left:2800;top:2960;width:4337;height:661" coordorigin="2800,2960" coordsize="4337,661" path="m7027,2960l2910,2960,2868,2969,2833,2992,2809,3027,2800,3070,2800,3511,2809,3553,2833,3588,2868,3612,2910,3621,7027,3621,7070,3612,7105,3588,7128,3553,7137,3511,7137,3070,7128,3027,7105,2992,7070,2969,7027,2960xe" filled="true" fillcolor="#ffffff" stroked="false">
              <v:path arrowok="t"/>
              <v:fill opacity="59110f" type="solid"/>
            </v:shape>
            <v:shape style="position:absolute;left:2800;top:2960;width:4337;height:661" coordorigin="2800,2960" coordsize="4337,661" path="m2800,3070l2809,3027,2833,2992,2868,2969,2910,2960,7027,2960,7070,2969,7105,2992,7128,3027,7137,3070,7137,3511,7128,3553,7105,3588,7070,3612,7027,3621,2910,3621,2868,3612,2833,3588,2809,3553,2800,3511,2800,3070xe" filled="false" stroked="true" strokeweight="1pt" strokecolor="#5b9bd4">
              <v:path arrowok="t"/>
            </v:shape>
            <v:shape style="position:absolute;left:2800;top:3844;width:4337;height:661" coordorigin="2800,3844" coordsize="4337,661" path="m7027,3844l2910,3844,2868,3852,2833,3876,2809,3911,2800,3954,2800,4394,2809,4437,2833,4472,2868,4496,2910,4504,7027,4504,7070,4496,7105,4472,7128,4437,7137,4394,7137,3954,7128,3911,7105,3876,7070,3852,7027,3844xe" filled="true" fillcolor="#ffffff" stroked="false">
              <v:path arrowok="t"/>
              <v:fill opacity="59110f" type="solid"/>
            </v:shape>
            <v:shape style="position:absolute;left:2800;top:3844;width:4337;height:661" coordorigin="2800,3844" coordsize="4337,661" path="m2800,3954l2809,3911,2833,3876,2868,3852,2910,3844,7027,3844,7070,3852,7105,3876,7128,3911,7137,3954,7137,4394,7128,4437,7105,4472,7070,4496,7027,4504,2910,4504,2868,4496,2833,4472,2809,4437,2800,4394,2800,3954xe" filled="false" stroked="true" strokeweight="1pt" strokecolor="#5b9bd4">
              <v:path arrowok="t"/>
            </v:shape>
            <v:shape style="position:absolute;left:2800;top:4741;width:4337;height:661" coordorigin="2800,4741" coordsize="4337,661" path="m7027,4741l2910,4741,2868,4750,2833,4773,2809,4808,2800,4851,2800,5292,2809,5334,2833,5370,2868,5393,2910,5402,7027,5402,7070,5393,7105,5370,7128,5334,7137,5292,7137,4851,7128,4808,7105,4773,7070,4750,7027,4741xe" filled="true" fillcolor="#ffffff" stroked="false">
              <v:path arrowok="t"/>
              <v:fill opacity="59110f" type="solid"/>
            </v:shape>
            <v:shape style="position:absolute;left:2800;top:4741;width:4337;height:661" coordorigin="2800,4741" coordsize="4337,661" path="m2800,4851l2809,4808,2833,4773,2868,4750,2910,4741,7027,4741,7070,4750,7105,4773,7128,4808,7137,4851,7137,5292,7128,5334,7105,5370,7070,5393,7027,5402,2910,5402,2868,5393,2833,5370,2809,5334,2800,5292,2800,4851xe" filled="false" stroked="true" strokeweight="1pt" strokecolor="#5b9bd4">
              <v:path arrowok="t"/>
            </v:shape>
            <v:shape style="position:absolute;left:2800;top:5639;width:4337;height:661" coordorigin="2800,5639" coordsize="4337,661" path="m7027,5639l2910,5639,2868,5647,2833,5671,2809,5706,2800,5749,2800,6189,2809,6232,2833,6267,2868,6291,2910,6299,7027,6299,7070,6291,7105,6267,7128,6232,7137,6189,7137,5749,7128,5706,7105,5671,7070,5647,7027,5639xe" filled="true" fillcolor="#ffffff" stroked="false">
              <v:path arrowok="t"/>
              <v:fill opacity="59110f" type="solid"/>
            </v:shape>
            <v:shape style="position:absolute;left:2800;top:5639;width:4337;height:661" coordorigin="2800,5639" coordsize="4337,661" path="m2800,5749l2809,5706,2833,5671,2868,5647,2910,5639,7027,5639,7070,5647,7105,5671,7128,5706,7137,5749,7137,6189,7128,6232,7105,6267,7070,6291,7027,6299,2910,6299,2868,6291,2833,6267,2809,6232,2800,6189,2800,5749xe" filled="false" stroked="true" strokeweight="1pt" strokecolor="#5b9bd4">
              <v:path arrowok="t"/>
            </v:shape>
            <v:shape style="position:absolute;left:2800;top:6507;width:4337;height:661" coordorigin="2800,6507" coordsize="4337,661" path="m7027,6507l2910,6507,2868,6516,2833,6539,2809,6575,2800,6617,2800,7058,2809,7101,2833,7136,2868,7159,2910,7168,7027,7168,7070,7159,7105,7136,7128,7101,7137,7058,7137,6617,7128,6575,7105,6539,7070,6516,7027,6507xe" filled="true" fillcolor="#ffffff" stroked="false">
              <v:path arrowok="t"/>
              <v:fill opacity="59110f" type="solid"/>
            </v:shape>
            <v:shape style="position:absolute;left:2800;top:6507;width:4337;height:661" coordorigin="2800,6507" coordsize="4337,661" path="m2800,6617l2809,6575,2833,6539,2868,6516,2910,6507,7027,6507,7070,6516,7105,6539,7128,6575,7137,6617,7137,7058,7128,7101,7105,7136,7070,7159,7027,7168,2910,7168,2868,7159,2833,7136,2809,7101,2800,7058,2800,6617xe" filled="false" stroked="true" strokeweight="1pt" strokecolor="#5b9bd4">
              <v:path arrowok="t"/>
            </v:shape>
            <v:shape style="position:absolute;left:3019;top:547;width:3897;height:240" type="#_x0000_t202" filled="false" stroked="false">
              <v:textbox inset="0,0,0,0">
                <w:txbxContent>
                  <w:p>
                    <w:pPr>
                      <w:spacing w:line="240" w:lineRule="exact" w:before="0"/>
                      <w:ind w:left="0" w:right="-10" w:firstLine="0"/>
                      <w:jc w:val="left"/>
                      <w:rPr>
                        <w:sz w:val="24"/>
                      </w:rPr>
                    </w:pPr>
                    <w:r>
                      <w:rPr>
                        <w:sz w:val="24"/>
                      </w:rPr>
                      <w:t>Acuerdos y Tratados</w:t>
                    </w:r>
                    <w:r>
                      <w:rPr>
                        <w:spacing w:val="-22"/>
                        <w:sz w:val="24"/>
                      </w:rPr>
                      <w:t> </w:t>
                    </w:r>
                    <w:r>
                      <w:rPr>
                        <w:sz w:val="24"/>
                      </w:rPr>
                      <w:t>Internacionales</w:t>
                    </w:r>
                  </w:p>
                </w:txbxContent>
              </v:textbox>
              <w10:wrap type="none"/>
            </v:shape>
            <v:shape style="position:absolute;left:3059;top:1292;width:3816;height:490" type="#_x0000_t202" filled="false" stroked="false">
              <v:textbox inset="0,0,0,0">
                <w:txbxContent>
                  <w:p>
                    <w:pPr>
                      <w:spacing w:line="216" w:lineRule="auto" w:before="0"/>
                      <w:ind w:left="931" w:right="-19" w:hanging="932"/>
                      <w:jc w:val="left"/>
                      <w:rPr>
                        <w:sz w:val="24"/>
                      </w:rPr>
                    </w:pPr>
                    <w:r>
                      <w:rPr>
                        <w:sz w:val="24"/>
                      </w:rPr>
                      <w:t>Constitución Política de los Estados Unidos Mexicanos</w:t>
                    </w:r>
                  </w:p>
                </w:txbxContent>
              </v:textbox>
              <w10:wrap type="none"/>
            </v:shape>
            <v:shape style="position:absolute;left:4060;top:2271;width:1816;height:241" type="#_x0000_t202" filled="false" stroked="false">
              <v:textbox inset="0,0,0,0">
                <w:txbxContent>
                  <w:p>
                    <w:pPr>
                      <w:spacing w:line="240" w:lineRule="exact" w:before="0"/>
                      <w:ind w:left="0" w:right="-19" w:firstLine="0"/>
                      <w:jc w:val="left"/>
                      <w:rPr>
                        <w:sz w:val="24"/>
                      </w:rPr>
                    </w:pPr>
                    <w:r>
                      <w:rPr>
                        <w:sz w:val="24"/>
                      </w:rPr>
                      <w:t>Leyes Generales</w:t>
                    </w:r>
                  </w:p>
                </w:txbxContent>
              </v:textbox>
              <w10:wrap type="none"/>
            </v:shape>
            <v:shape style="position:absolute;left:3059;top:3170;width:3816;height:240" type="#_x0000_t202" filled="false" stroked="false">
              <v:textbox inset="0,0,0,0">
                <w:txbxContent>
                  <w:p>
                    <w:pPr>
                      <w:spacing w:line="240" w:lineRule="exact" w:before="0"/>
                      <w:ind w:left="0" w:right="-20" w:firstLine="0"/>
                      <w:jc w:val="left"/>
                      <w:rPr>
                        <w:sz w:val="24"/>
                      </w:rPr>
                    </w:pPr>
                    <w:r>
                      <w:rPr>
                        <w:sz w:val="24"/>
                      </w:rPr>
                      <w:t>Constitución Política de los Estados</w:t>
                    </w:r>
                  </w:p>
                </w:txbxContent>
              </v:textbox>
              <w10:wrap type="none"/>
            </v:shape>
            <v:shape style="position:absolute;left:3928;top:4054;width:2080;height:240" type="#_x0000_t202" filled="false" stroked="false">
              <v:textbox inset="0,0,0,0">
                <w:txbxContent>
                  <w:p>
                    <w:pPr>
                      <w:spacing w:line="240" w:lineRule="exact" w:before="0"/>
                      <w:ind w:left="0" w:right="-15" w:firstLine="0"/>
                      <w:jc w:val="left"/>
                      <w:rPr>
                        <w:sz w:val="24"/>
                      </w:rPr>
                    </w:pPr>
                    <w:r>
                      <w:rPr>
                        <w:sz w:val="24"/>
                      </w:rPr>
                      <w:t>Legislación</w:t>
                    </w:r>
                    <w:r>
                      <w:rPr>
                        <w:spacing w:val="-7"/>
                        <w:sz w:val="24"/>
                      </w:rPr>
                      <w:t> </w:t>
                    </w:r>
                    <w:r>
                      <w:rPr>
                        <w:sz w:val="24"/>
                      </w:rPr>
                      <w:t>Federal</w:t>
                    </w:r>
                  </w:p>
                </w:txbxContent>
              </v:textbox>
              <w10:wrap type="none"/>
            </v:shape>
            <v:shape style="position:absolute;left:2906;top:4827;width:4122;height:490" type="#_x0000_t202" filled="false" stroked="false">
              <v:textbox inset="0,0,0,0">
                <w:txbxContent>
                  <w:p>
                    <w:pPr>
                      <w:spacing w:line="216" w:lineRule="auto" w:before="0"/>
                      <w:ind w:left="1428" w:right="-8" w:hanging="1428"/>
                      <w:jc w:val="left"/>
                      <w:rPr>
                        <w:sz w:val="24"/>
                      </w:rPr>
                    </w:pPr>
                    <w:r>
                      <w:rPr>
                        <w:sz w:val="24"/>
                      </w:rPr>
                      <w:t>Legislación Estatal y Leyes</w:t>
                    </w:r>
                    <w:r>
                      <w:rPr>
                        <w:spacing w:val="-13"/>
                        <w:sz w:val="24"/>
                      </w:rPr>
                      <w:t> </w:t>
                    </w:r>
                    <w:r>
                      <w:rPr>
                        <w:sz w:val="24"/>
                      </w:rPr>
                      <w:t>destinadas al</w:t>
                    </w:r>
                    <w:r>
                      <w:rPr>
                        <w:spacing w:val="-4"/>
                        <w:sz w:val="24"/>
                      </w:rPr>
                      <w:t> </w:t>
                    </w:r>
                    <w:r>
                      <w:rPr>
                        <w:sz w:val="24"/>
                      </w:rPr>
                      <w:t>municipio</w:t>
                    </w:r>
                  </w:p>
                </w:txbxContent>
              </v:textbox>
              <w10:wrap type="none"/>
            </v:shape>
            <v:shape style="position:absolute;left:4259;top:5849;width:1418;height:240" type="#_x0000_t202" filled="false" stroked="false">
              <v:textbox inset="0,0,0,0">
                <w:txbxContent>
                  <w:p>
                    <w:pPr>
                      <w:spacing w:line="240" w:lineRule="exact" w:before="0"/>
                      <w:ind w:left="0" w:right="-17" w:firstLine="0"/>
                      <w:jc w:val="left"/>
                      <w:rPr>
                        <w:sz w:val="24"/>
                      </w:rPr>
                    </w:pPr>
                    <w:r>
                      <w:rPr>
                        <w:sz w:val="24"/>
                      </w:rPr>
                      <w:t>Reglamentos</w:t>
                    </w:r>
                  </w:p>
                </w:txbxContent>
              </v:textbox>
              <w10:wrap type="none"/>
            </v:shape>
            <v:shape style="position:absolute;left:3395;top:6718;width:3147;height:240" type="#_x0000_t202" filled="false" stroked="false">
              <v:textbox inset="0,0,0,0">
                <w:txbxContent>
                  <w:p>
                    <w:pPr>
                      <w:spacing w:line="240" w:lineRule="exact" w:before="0"/>
                      <w:ind w:left="0" w:right="-11" w:firstLine="0"/>
                      <w:jc w:val="left"/>
                      <w:rPr>
                        <w:sz w:val="24"/>
                      </w:rPr>
                    </w:pPr>
                    <w:r>
                      <w:rPr>
                        <w:sz w:val="24"/>
                      </w:rPr>
                      <w:t>Disposiciones</w:t>
                    </w:r>
                    <w:r>
                      <w:rPr>
                        <w:spacing w:val="-10"/>
                        <w:sz w:val="24"/>
                      </w:rPr>
                      <w:t> </w:t>
                    </w:r>
                    <w:r>
                      <w:rPr>
                        <w:sz w:val="24"/>
                      </w:rPr>
                      <w:t>administrativas</w:t>
                    </w:r>
                  </w:p>
                </w:txbxContent>
              </v:textbox>
              <w10:wrap type="none"/>
            </v:shape>
          </v:group>
        </w:pict>
      </w:r>
      <w:r>
        <w:rPr>
          <w:sz w:val="20"/>
        </w:rPr>
      </w:r>
    </w:p>
    <w:p>
      <w:pPr>
        <w:pStyle w:val="BodyText"/>
        <w:spacing w:before="111"/>
        <w:ind w:left="2867" w:right="1789"/>
      </w:pPr>
      <w:r>
        <w:rPr/>
        <w:t>Figura A.1. Pirámide legislativa</w:t>
      </w:r>
    </w:p>
    <w:p>
      <w:pPr>
        <w:spacing w:after="0"/>
        <w:sectPr>
          <w:pgSz w:w="12240" w:h="15840"/>
          <w:pgMar w:header="0" w:footer="859" w:top="1360" w:bottom="1100" w:left="1600" w:right="1580"/>
        </w:sectPr>
      </w:pPr>
    </w:p>
    <w:p>
      <w:pPr>
        <w:spacing w:before="53"/>
        <w:ind w:left="222" w:right="188" w:firstLine="0"/>
        <w:jc w:val="left"/>
        <w:rPr>
          <w:b/>
          <w:sz w:val="22"/>
        </w:rPr>
      </w:pPr>
      <w:r>
        <w:rPr>
          <w:b/>
          <w:color w:val="212121"/>
          <w:sz w:val="22"/>
        </w:rPr>
        <w:t>Tabla A.1 Marco Jurídico del proyecto</w:t>
      </w:r>
    </w:p>
    <w:p>
      <w:pPr>
        <w:pStyle w:val="BodyText"/>
        <w:spacing w:before="4" w:after="1"/>
        <w:rPr>
          <w:b/>
          <w:sz w:val="11"/>
        </w:rPr>
      </w:pPr>
    </w:p>
    <w:tbl>
      <w:tblPr>
        <w:tblW w:w="0" w:type="auto"/>
        <w:jc w:val="left"/>
        <w:tblInd w:w="1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660"/>
        <w:gridCol w:w="6321"/>
      </w:tblGrid>
      <w:tr>
        <w:trPr>
          <w:trHeight w:val="5005" w:hRule="exact"/>
        </w:trPr>
        <w:tc>
          <w:tcPr>
            <w:tcW w:w="2660" w:type="dxa"/>
          </w:tcPr>
          <w:p>
            <w:pPr>
              <w:pStyle w:val="TableParagraph"/>
              <w:spacing w:before="8"/>
              <w:jc w:val="left"/>
              <w:rPr>
                <w:b/>
                <w:sz w:val="20"/>
              </w:rPr>
            </w:pPr>
          </w:p>
          <w:p>
            <w:pPr>
              <w:pStyle w:val="TableParagraph"/>
              <w:spacing w:line="360" w:lineRule="auto"/>
              <w:ind w:left="103" w:right="101"/>
              <w:jc w:val="both"/>
              <w:rPr>
                <w:sz w:val="24"/>
              </w:rPr>
            </w:pPr>
            <w:r>
              <w:rPr>
                <w:color w:val="212121"/>
                <w:sz w:val="24"/>
              </w:rPr>
              <w:t>Constitución  Política de los Estados Unidos Mexicanos</w:t>
            </w:r>
          </w:p>
        </w:tc>
        <w:tc>
          <w:tcPr>
            <w:tcW w:w="6321" w:type="dxa"/>
          </w:tcPr>
          <w:p>
            <w:pPr>
              <w:pStyle w:val="TableParagraph"/>
              <w:spacing w:before="8"/>
              <w:jc w:val="left"/>
              <w:rPr>
                <w:b/>
                <w:sz w:val="20"/>
              </w:rPr>
            </w:pPr>
          </w:p>
          <w:p>
            <w:pPr>
              <w:pStyle w:val="TableParagraph"/>
              <w:spacing w:line="360" w:lineRule="auto"/>
              <w:ind w:left="103" w:right="98"/>
              <w:jc w:val="both"/>
              <w:rPr>
                <w:sz w:val="24"/>
              </w:rPr>
            </w:pPr>
            <w:r>
              <w:rPr>
                <w:sz w:val="24"/>
              </w:rPr>
              <w:t>Establece la existencia de órganos de autoridad, sus facultades y limitaciones, así como los derechos de los individuos   y   las   vías    para    hacerlos    efectivos.   La teoría jurídica mexicana divide el estudio de la Constitución en dos grandes partes: la dogmática, que incluye las garantías o derechos individuales; y, la pragmática, que establece: 1) la estructura, funcionamiento, y facultades de los poderes federales y locales; 2) los principios que rigen a la nación y estados mexicanos; 3) prevenciones generales y complementarias; y, 4) disposiciones</w:t>
            </w:r>
            <w:r>
              <w:rPr>
                <w:spacing w:val="-21"/>
                <w:sz w:val="24"/>
              </w:rPr>
              <w:t> </w:t>
            </w:r>
            <w:r>
              <w:rPr>
                <w:sz w:val="24"/>
              </w:rPr>
              <w:t>transitorias.</w:t>
            </w:r>
          </w:p>
        </w:tc>
      </w:tr>
      <w:tr>
        <w:trPr>
          <w:trHeight w:val="7355" w:hRule="exact"/>
        </w:trPr>
        <w:tc>
          <w:tcPr>
            <w:tcW w:w="2660" w:type="dxa"/>
          </w:tcPr>
          <w:p>
            <w:pPr>
              <w:pStyle w:val="TableParagraph"/>
              <w:spacing w:before="8"/>
              <w:jc w:val="left"/>
              <w:rPr>
                <w:b/>
                <w:sz w:val="20"/>
              </w:rPr>
            </w:pPr>
          </w:p>
          <w:p>
            <w:pPr>
              <w:pStyle w:val="TableParagraph"/>
              <w:tabs>
                <w:tab w:pos="2425" w:val="left" w:leader="none"/>
              </w:tabs>
              <w:spacing w:line="360" w:lineRule="auto"/>
              <w:ind w:left="103" w:right="101"/>
              <w:jc w:val="both"/>
              <w:rPr>
                <w:sz w:val="24"/>
              </w:rPr>
            </w:pPr>
            <w:r>
              <w:rPr>
                <w:color w:val="212121"/>
                <w:sz w:val="24"/>
              </w:rPr>
              <w:t>Ley Federal sobre Metrología</w:t>
              <w:tab/>
              <w:t>y Normalización</w:t>
            </w:r>
          </w:p>
        </w:tc>
        <w:tc>
          <w:tcPr>
            <w:tcW w:w="6321" w:type="dxa"/>
          </w:tcPr>
          <w:p>
            <w:pPr>
              <w:pStyle w:val="TableParagraph"/>
              <w:spacing w:before="8"/>
              <w:jc w:val="left"/>
              <w:rPr>
                <w:b/>
                <w:sz w:val="20"/>
              </w:rPr>
            </w:pPr>
          </w:p>
          <w:p>
            <w:pPr>
              <w:pStyle w:val="TableParagraph"/>
              <w:spacing w:line="360" w:lineRule="auto"/>
              <w:ind w:left="103" w:right="106"/>
              <w:jc w:val="both"/>
              <w:rPr>
                <w:sz w:val="24"/>
              </w:rPr>
            </w:pPr>
            <w:r>
              <w:rPr>
                <w:color w:val="2E2E2E"/>
                <w:sz w:val="24"/>
              </w:rPr>
              <w:t>El principal objetivo de la LFMN es alentar a las empresas a adoptar mayores normas de calidad, lo que, a su vez, elevará su grado de competitividad.</w:t>
            </w:r>
          </w:p>
          <w:p>
            <w:pPr>
              <w:pStyle w:val="TableParagraph"/>
              <w:spacing w:before="1"/>
              <w:jc w:val="left"/>
              <w:rPr>
                <w:b/>
                <w:sz w:val="21"/>
              </w:rPr>
            </w:pPr>
          </w:p>
          <w:p>
            <w:pPr>
              <w:pStyle w:val="TableParagraph"/>
              <w:spacing w:line="360" w:lineRule="auto"/>
              <w:ind w:left="103" w:right="108"/>
              <w:jc w:val="both"/>
              <w:rPr>
                <w:sz w:val="24"/>
              </w:rPr>
            </w:pPr>
            <w:r>
              <w:rPr>
                <w:color w:val="2E2E2E"/>
                <w:sz w:val="24"/>
              </w:rPr>
              <w:t>Los objetivos de esta Ley se establecen en el artículo segundo de la misma y entre otros son:</w:t>
            </w:r>
          </w:p>
          <w:p>
            <w:pPr>
              <w:pStyle w:val="TableParagraph"/>
              <w:spacing w:before="1"/>
              <w:jc w:val="left"/>
              <w:rPr>
                <w:b/>
                <w:sz w:val="21"/>
              </w:rPr>
            </w:pPr>
          </w:p>
          <w:p>
            <w:pPr>
              <w:pStyle w:val="TableParagraph"/>
              <w:spacing w:line="360" w:lineRule="auto"/>
              <w:ind w:left="103" w:right="104"/>
              <w:jc w:val="both"/>
              <w:rPr>
                <w:sz w:val="24"/>
              </w:rPr>
            </w:pPr>
            <w:r>
              <w:rPr>
                <w:color w:val="2E2E2E"/>
                <w:sz w:val="24"/>
              </w:rPr>
              <w:t>I. En materia de Metrología: a) establecer el Sistema General de Unidades de Medida; b) precisar los conceptos fundamentales sobre metrología; c)  establecer los requisitos para la fabricación, importación, reparación, venta verificación y uso de los instrumentos para medir y los patrones de medida; d) establecer la obligatoriedad de la medición en transacciones comerciales y de indicar el contenido neto en los productos envasados; e) instituir el Sistema Nacional de Calibración; f) crear el Centro Nacional de Metrología, como organismo de alto nivel técnico en la materia; y, </w:t>
            </w:r>
            <w:r>
              <w:rPr>
                <w:color w:val="2E2E2E"/>
                <w:spacing w:val="5"/>
                <w:sz w:val="24"/>
              </w:rPr>
              <w:t> </w:t>
            </w:r>
            <w:r>
              <w:rPr>
                <w:color w:val="2E2E2E"/>
                <w:sz w:val="24"/>
              </w:rPr>
              <w:t>g)</w:t>
            </w:r>
          </w:p>
        </w:tc>
      </w:tr>
    </w:tbl>
    <w:p>
      <w:pPr>
        <w:spacing w:after="0" w:line="360" w:lineRule="auto"/>
        <w:jc w:val="both"/>
        <w:rPr>
          <w:sz w:val="24"/>
        </w:rPr>
        <w:sectPr>
          <w:pgSz w:w="12240" w:h="15840"/>
          <w:pgMar w:header="0" w:footer="859" w:top="1360" w:bottom="1100" w:left="1480" w:right="1540"/>
        </w:sectPr>
      </w:pPr>
    </w:p>
    <w:tbl>
      <w:tblPr>
        <w:tblW w:w="0" w:type="auto"/>
        <w:jc w:val="left"/>
        <w:tblInd w:w="1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660"/>
        <w:gridCol w:w="6321"/>
      </w:tblGrid>
      <w:tr>
        <w:trPr>
          <w:trHeight w:val="10600" w:hRule="exact"/>
        </w:trPr>
        <w:tc>
          <w:tcPr>
            <w:tcW w:w="2660" w:type="dxa"/>
          </w:tcPr>
          <w:p>
            <w:pPr/>
          </w:p>
        </w:tc>
        <w:tc>
          <w:tcPr>
            <w:tcW w:w="6321" w:type="dxa"/>
          </w:tcPr>
          <w:p>
            <w:pPr>
              <w:pStyle w:val="TableParagraph"/>
              <w:spacing w:line="360" w:lineRule="auto"/>
              <w:ind w:left="103" w:right="109"/>
              <w:jc w:val="both"/>
              <w:rPr>
                <w:sz w:val="24"/>
              </w:rPr>
            </w:pPr>
            <w:r>
              <w:rPr>
                <w:color w:val="2E2E2E"/>
                <w:sz w:val="24"/>
              </w:rPr>
              <w:t>regular, en lo general, las demás materias relativas a la metrología</w:t>
            </w:r>
          </w:p>
          <w:p>
            <w:pPr>
              <w:pStyle w:val="TableParagraph"/>
              <w:spacing w:before="3"/>
              <w:jc w:val="left"/>
              <w:rPr>
                <w:b/>
                <w:sz w:val="21"/>
              </w:rPr>
            </w:pPr>
          </w:p>
          <w:p>
            <w:pPr>
              <w:pStyle w:val="TableParagraph"/>
              <w:spacing w:line="360" w:lineRule="auto"/>
              <w:ind w:left="103" w:right="101"/>
              <w:jc w:val="both"/>
              <w:rPr>
                <w:sz w:val="24"/>
              </w:rPr>
            </w:pPr>
            <w:r>
              <w:rPr>
                <w:color w:val="2E2E2E"/>
                <w:sz w:val="24"/>
              </w:rPr>
              <w:t>II. En materia de normalización, certificación, acreditamiento y verificación: a) fomentar la transparencia y eficiencia en la elaboración y observancia de normas oficiales mexicanas y normas mexicanas; b) instituir la Comisión Nacional de Normalización para que coadyuve en las actividades que sobre normalización corresponde realizar a las distintas dependencias de la administración pública federal; c) establecer un procedimiento uniforme para la  elaboración de normas oficiales mexicanas por las dependencias de la administración pública federal; d) promover la concurrencia de los sectores público, privado, científico y de consumidores en la elaboración y observancia de normas oficiales mexicanas y normas mexicanas; e) coordinar las actividades de  normalización, certificación, verificación y laboratorios de prueba de las dependencias de administración pública federal; f) establecer el sistema nacional de acreditamiento de organismos de normalización y de certificación, unidades de verificación y de laboratorios  de prueba y de calibración; y, g) en general, divulgar las acciones de normalización y demás actividades relacionadas con la</w:t>
            </w:r>
            <w:r>
              <w:rPr>
                <w:color w:val="2E2E2E"/>
                <w:spacing w:val="-8"/>
                <w:sz w:val="24"/>
              </w:rPr>
              <w:t> </w:t>
            </w:r>
            <w:r>
              <w:rPr>
                <w:color w:val="2E2E2E"/>
                <w:sz w:val="24"/>
              </w:rPr>
              <w:t>materia.</w:t>
            </w:r>
          </w:p>
        </w:tc>
      </w:tr>
      <w:tr>
        <w:trPr>
          <w:trHeight w:val="2321" w:hRule="exact"/>
        </w:trPr>
        <w:tc>
          <w:tcPr>
            <w:tcW w:w="2660" w:type="dxa"/>
          </w:tcPr>
          <w:p>
            <w:pPr>
              <w:pStyle w:val="TableParagraph"/>
              <w:spacing w:before="8"/>
              <w:jc w:val="left"/>
              <w:rPr>
                <w:b/>
                <w:sz w:val="20"/>
              </w:rPr>
            </w:pPr>
          </w:p>
          <w:p>
            <w:pPr>
              <w:pStyle w:val="TableParagraph"/>
              <w:ind w:left="103"/>
              <w:jc w:val="left"/>
              <w:rPr>
                <w:sz w:val="24"/>
              </w:rPr>
            </w:pPr>
            <w:r>
              <w:rPr>
                <w:color w:val="212121"/>
                <w:sz w:val="24"/>
              </w:rPr>
              <w:t>Ley General de Salud</w:t>
            </w:r>
          </w:p>
        </w:tc>
        <w:tc>
          <w:tcPr>
            <w:tcW w:w="6321" w:type="dxa"/>
          </w:tcPr>
          <w:p>
            <w:pPr>
              <w:pStyle w:val="TableParagraph"/>
              <w:spacing w:before="8"/>
              <w:jc w:val="left"/>
              <w:rPr>
                <w:b/>
                <w:sz w:val="20"/>
              </w:rPr>
            </w:pPr>
          </w:p>
          <w:p>
            <w:pPr>
              <w:pStyle w:val="TableParagraph"/>
              <w:spacing w:line="360" w:lineRule="auto"/>
              <w:ind w:left="103" w:right="99"/>
              <w:jc w:val="both"/>
              <w:rPr>
                <w:sz w:val="24"/>
              </w:rPr>
            </w:pPr>
            <w:r>
              <w:rPr>
                <w:color w:val="2E2E2E"/>
                <w:sz w:val="24"/>
              </w:rPr>
              <w:t>Establece la forma de organización y las competencias o atribuciones de los servicios de salud, pero fundamentalmente, específica la forma en que debemos ser tratadas todas las personas, para solucionar cualquier  problema  de  salud,  independientemente  </w:t>
            </w:r>
            <w:r>
              <w:rPr>
                <w:color w:val="2E2E2E"/>
                <w:spacing w:val="25"/>
                <w:sz w:val="24"/>
              </w:rPr>
              <w:t> </w:t>
            </w:r>
            <w:r>
              <w:rPr>
                <w:color w:val="2E2E2E"/>
                <w:sz w:val="24"/>
              </w:rPr>
              <w:t>de</w:t>
            </w:r>
          </w:p>
        </w:tc>
      </w:tr>
    </w:tbl>
    <w:p>
      <w:pPr>
        <w:spacing w:after="0" w:line="360" w:lineRule="auto"/>
        <w:jc w:val="both"/>
        <w:rPr>
          <w:sz w:val="24"/>
        </w:rPr>
        <w:sectPr>
          <w:pgSz w:w="12240" w:h="15840"/>
          <w:pgMar w:header="0" w:footer="859" w:top="1420" w:bottom="1040" w:left="1480" w:right="1540"/>
        </w:sectPr>
      </w:pPr>
    </w:p>
    <w:tbl>
      <w:tblPr>
        <w:tblW w:w="0" w:type="auto"/>
        <w:jc w:val="left"/>
        <w:tblInd w:w="1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660"/>
        <w:gridCol w:w="6321"/>
      </w:tblGrid>
      <w:tr>
        <w:trPr>
          <w:trHeight w:val="1251" w:hRule="exact"/>
        </w:trPr>
        <w:tc>
          <w:tcPr>
            <w:tcW w:w="2660" w:type="dxa"/>
          </w:tcPr>
          <w:p>
            <w:pPr/>
          </w:p>
        </w:tc>
        <w:tc>
          <w:tcPr>
            <w:tcW w:w="6321" w:type="dxa"/>
          </w:tcPr>
          <w:p>
            <w:pPr>
              <w:pStyle w:val="TableParagraph"/>
              <w:spacing w:line="360" w:lineRule="auto"/>
              <w:ind w:left="103" w:right="100"/>
              <w:jc w:val="both"/>
              <w:rPr>
                <w:sz w:val="24"/>
              </w:rPr>
            </w:pPr>
            <w:r>
              <w:rPr>
                <w:color w:val="2E2E2E"/>
                <w:sz w:val="24"/>
              </w:rPr>
              <w:t>nuestra edad, sexo, condición física y social, religión, tendencia política o afiliación a alguna institución en particular</w:t>
            </w:r>
          </w:p>
        </w:tc>
      </w:tr>
      <w:tr>
        <w:trPr>
          <w:trHeight w:val="5045" w:hRule="exact"/>
        </w:trPr>
        <w:tc>
          <w:tcPr>
            <w:tcW w:w="2660" w:type="dxa"/>
          </w:tcPr>
          <w:p>
            <w:pPr>
              <w:pStyle w:val="TableParagraph"/>
              <w:spacing w:before="10"/>
              <w:jc w:val="left"/>
              <w:rPr>
                <w:b/>
                <w:sz w:val="20"/>
              </w:rPr>
            </w:pPr>
          </w:p>
          <w:p>
            <w:pPr>
              <w:pStyle w:val="TableParagraph"/>
              <w:ind w:left="103"/>
              <w:jc w:val="left"/>
              <w:rPr>
                <w:sz w:val="24"/>
              </w:rPr>
            </w:pPr>
            <w:r>
              <w:rPr>
                <w:sz w:val="24"/>
              </w:rPr>
              <w:t>NOM-001-SSA1-2010</w:t>
            </w:r>
          </w:p>
        </w:tc>
        <w:tc>
          <w:tcPr>
            <w:tcW w:w="6321" w:type="dxa"/>
          </w:tcPr>
          <w:p>
            <w:pPr>
              <w:pStyle w:val="TableParagraph"/>
              <w:spacing w:before="10"/>
              <w:jc w:val="left"/>
              <w:rPr>
                <w:b/>
                <w:sz w:val="20"/>
              </w:rPr>
            </w:pPr>
          </w:p>
          <w:p>
            <w:pPr>
              <w:pStyle w:val="TableParagraph"/>
              <w:spacing w:line="360" w:lineRule="auto"/>
              <w:ind w:left="103" w:right="108"/>
              <w:jc w:val="both"/>
              <w:rPr>
                <w:sz w:val="24"/>
              </w:rPr>
            </w:pPr>
            <w:r>
              <w:rPr>
                <w:color w:val="2E2E2E"/>
                <w:sz w:val="24"/>
              </w:rPr>
              <w:t>Que instituye el procedimiento por el cual se revisará, actualizará y editará la farmacopea de los Estados Unidos Mexicanos</w:t>
            </w:r>
          </w:p>
          <w:p>
            <w:pPr>
              <w:pStyle w:val="TableParagraph"/>
              <w:spacing w:before="1"/>
              <w:jc w:val="left"/>
              <w:rPr>
                <w:b/>
                <w:sz w:val="21"/>
              </w:rPr>
            </w:pPr>
          </w:p>
          <w:p>
            <w:pPr>
              <w:pStyle w:val="TableParagraph"/>
              <w:spacing w:line="360" w:lineRule="auto"/>
              <w:ind w:left="103" w:right="104"/>
              <w:jc w:val="both"/>
              <w:rPr>
                <w:sz w:val="24"/>
              </w:rPr>
            </w:pPr>
            <w:r>
              <w:rPr>
                <w:color w:val="2E2E2E"/>
                <w:sz w:val="24"/>
              </w:rPr>
              <w:t>Esta norma es de observancia obligatoria para la Secretaría de Salud a través de la Dirección Ejecutiva de Farmacopea y Farmacovigilancia de la Comisión Federal para la Protección contra Riesgos Sanitarios y para la Comisión Permanente de la Farmacopea de los Estados Unidos Mexicanos, así como para el sector público y privado que participe en el procedimiento de revisión, actualización</w:t>
            </w:r>
          </w:p>
        </w:tc>
      </w:tr>
      <w:tr>
        <w:trPr>
          <w:trHeight w:val="4631" w:hRule="exact"/>
        </w:trPr>
        <w:tc>
          <w:tcPr>
            <w:tcW w:w="2660" w:type="dxa"/>
          </w:tcPr>
          <w:p>
            <w:pPr>
              <w:pStyle w:val="TableParagraph"/>
              <w:spacing w:before="8"/>
              <w:jc w:val="left"/>
              <w:rPr>
                <w:b/>
                <w:sz w:val="20"/>
              </w:rPr>
            </w:pPr>
          </w:p>
          <w:p>
            <w:pPr>
              <w:pStyle w:val="TableParagraph"/>
              <w:spacing w:line="362" w:lineRule="auto"/>
              <w:ind w:left="103" w:right="597"/>
              <w:jc w:val="left"/>
              <w:rPr>
                <w:sz w:val="24"/>
              </w:rPr>
            </w:pPr>
            <w:r>
              <w:rPr>
                <w:color w:val="212121"/>
                <w:sz w:val="24"/>
              </w:rPr>
              <w:t>NOM-052- SEMARNAT-2005</w:t>
            </w:r>
          </w:p>
        </w:tc>
        <w:tc>
          <w:tcPr>
            <w:tcW w:w="6321" w:type="dxa"/>
          </w:tcPr>
          <w:p>
            <w:pPr>
              <w:pStyle w:val="TableParagraph"/>
              <w:spacing w:before="8"/>
              <w:jc w:val="left"/>
              <w:rPr>
                <w:b/>
                <w:sz w:val="20"/>
              </w:rPr>
            </w:pPr>
          </w:p>
          <w:p>
            <w:pPr>
              <w:pStyle w:val="TableParagraph"/>
              <w:spacing w:line="360" w:lineRule="auto"/>
              <w:ind w:left="103" w:right="104"/>
              <w:jc w:val="both"/>
              <w:rPr>
                <w:sz w:val="24"/>
              </w:rPr>
            </w:pPr>
            <w:r>
              <w:rPr>
                <w:color w:val="212121"/>
                <w:sz w:val="24"/>
              </w:rPr>
              <w:t>Norma Oficial Mexicana que establece las  características, el procedimiento de identificación, clasificación y los listados de los residuos</w:t>
            </w:r>
            <w:r>
              <w:rPr>
                <w:color w:val="212121"/>
                <w:spacing w:val="-16"/>
                <w:sz w:val="24"/>
              </w:rPr>
              <w:t> </w:t>
            </w:r>
            <w:r>
              <w:rPr>
                <w:color w:val="212121"/>
                <w:sz w:val="24"/>
              </w:rPr>
              <w:t>peligrosos.</w:t>
            </w:r>
          </w:p>
          <w:p>
            <w:pPr>
              <w:pStyle w:val="TableParagraph"/>
              <w:spacing w:before="3"/>
              <w:jc w:val="left"/>
              <w:rPr>
                <w:b/>
                <w:sz w:val="21"/>
              </w:rPr>
            </w:pPr>
          </w:p>
          <w:p>
            <w:pPr>
              <w:pStyle w:val="TableParagraph"/>
              <w:spacing w:line="360" w:lineRule="auto"/>
              <w:ind w:left="103" w:right="102"/>
              <w:jc w:val="both"/>
              <w:rPr>
                <w:sz w:val="24"/>
              </w:rPr>
            </w:pPr>
            <w:r>
              <w:rPr>
                <w:sz w:val="24"/>
              </w:rPr>
              <w:t>Esta Norma Oficial Mexicana establece el procedimiento para identificar si un residuo es peligroso, el cual incluye los listados de los residuos peligrosos y las características que hacen que se consideren como tales. Esta Norma Oficial Mexicana es de observancia obligatoria en lo conducente para los responsables de identificar la peligrosidad de un residuo</w:t>
            </w:r>
          </w:p>
        </w:tc>
      </w:tr>
      <w:tr>
        <w:trPr>
          <w:trHeight w:val="1733" w:hRule="exact"/>
        </w:trPr>
        <w:tc>
          <w:tcPr>
            <w:tcW w:w="2660" w:type="dxa"/>
          </w:tcPr>
          <w:p>
            <w:pPr>
              <w:pStyle w:val="TableParagraph"/>
              <w:spacing w:before="8"/>
              <w:jc w:val="left"/>
              <w:rPr>
                <w:b/>
                <w:sz w:val="20"/>
              </w:rPr>
            </w:pPr>
          </w:p>
          <w:p>
            <w:pPr>
              <w:pStyle w:val="TableParagraph"/>
              <w:ind w:left="103"/>
              <w:jc w:val="left"/>
              <w:rPr>
                <w:sz w:val="24"/>
              </w:rPr>
            </w:pPr>
            <w:r>
              <w:rPr>
                <w:color w:val="2E2E2E"/>
                <w:sz w:val="24"/>
              </w:rPr>
              <w:t>NOM-059-SSA1-2013</w:t>
            </w:r>
          </w:p>
        </w:tc>
        <w:tc>
          <w:tcPr>
            <w:tcW w:w="6321" w:type="dxa"/>
          </w:tcPr>
          <w:p>
            <w:pPr>
              <w:pStyle w:val="TableParagraph"/>
              <w:spacing w:before="8"/>
              <w:jc w:val="left"/>
              <w:rPr>
                <w:b/>
                <w:sz w:val="20"/>
              </w:rPr>
            </w:pPr>
          </w:p>
          <w:p>
            <w:pPr>
              <w:pStyle w:val="TableParagraph"/>
              <w:spacing w:line="360" w:lineRule="auto"/>
              <w:ind w:left="103" w:right="105"/>
              <w:jc w:val="left"/>
              <w:rPr>
                <w:sz w:val="24"/>
              </w:rPr>
            </w:pPr>
            <w:r>
              <w:rPr>
                <w:color w:val="2E2E2E"/>
                <w:sz w:val="24"/>
              </w:rPr>
              <w:t>Norma Oficial Mexicana, Buenas prácticas de fabricación de medicamentos</w:t>
            </w:r>
          </w:p>
          <w:p>
            <w:pPr>
              <w:pStyle w:val="TableParagraph"/>
              <w:spacing w:before="1"/>
              <w:jc w:val="left"/>
              <w:rPr>
                <w:b/>
                <w:sz w:val="21"/>
              </w:rPr>
            </w:pPr>
          </w:p>
          <w:p>
            <w:pPr>
              <w:pStyle w:val="TableParagraph"/>
              <w:ind w:left="103"/>
              <w:jc w:val="left"/>
              <w:rPr>
                <w:sz w:val="24"/>
              </w:rPr>
            </w:pPr>
            <w:r>
              <w:rPr>
                <w:color w:val="2E2E2E"/>
                <w:sz w:val="24"/>
              </w:rPr>
              <w:t>Esta Norma establece los requisitos mínimos</w:t>
            </w:r>
            <w:r>
              <w:rPr>
                <w:color w:val="2E2E2E"/>
                <w:spacing w:val="52"/>
                <w:sz w:val="24"/>
              </w:rPr>
              <w:t> </w:t>
            </w:r>
            <w:r>
              <w:rPr>
                <w:color w:val="2E2E2E"/>
                <w:sz w:val="24"/>
              </w:rPr>
              <w:t>necesarios</w:t>
            </w:r>
          </w:p>
        </w:tc>
      </w:tr>
    </w:tbl>
    <w:p>
      <w:pPr>
        <w:spacing w:after="0"/>
        <w:jc w:val="left"/>
        <w:rPr>
          <w:sz w:val="24"/>
        </w:rPr>
        <w:sectPr>
          <w:pgSz w:w="12240" w:h="15840"/>
          <w:pgMar w:header="0" w:footer="859" w:top="1420" w:bottom="1040" w:left="1480" w:right="1540"/>
        </w:sectPr>
      </w:pPr>
    </w:p>
    <w:tbl>
      <w:tblPr>
        <w:tblW w:w="0" w:type="auto"/>
        <w:jc w:val="left"/>
        <w:tblInd w:w="1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660"/>
        <w:gridCol w:w="6321"/>
      </w:tblGrid>
      <w:tr>
        <w:trPr>
          <w:trHeight w:val="4151" w:hRule="exact"/>
        </w:trPr>
        <w:tc>
          <w:tcPr>
            <w:tcW w:w="2660" w:type="dxa"/>
          </w:tcPr>
          <w:p>
            <w:pPr/>
          </w:p>
        </w:tc>
        <w:tc>
          <w:tcPr>
            <w:tcW w:w="6321" w:type="dxa"/>
          </w:tcPr>
          <w:p>
            <w:pPr>
              <w:pStyle w:val="TableParagraph"/>
              <w:spacing w:line="360" w:lineRule="auto"/>
              <w:ind w:left="103" w:right="102"/>
              <w:jc w:val="both"/>
              <w:rPr>
                <w:sz w:val="24"/>
              </w:rPr>
            </w:pPr>
            <w:r>
              <w:rPr>
                <w:color w:val="2E2E2E"/>
                <w:sz w:val="24"/>
              </w:rPr>
              <w:t>para el proceso de fabricación de los medicamentos para uso humano comercializados en el país y/o con fines de investigación. Esta Norma es de observancia obligatoria, para todos los establecimientos dedicados a la fabricación y/o importación de medicamentos para uso humano comercializados en el país y/o con fines de investigación, así como los laboratorios de control de calidad, almacenes de acondicionamiento, depósito y distribución de medicamentos y materias primas para la elaboración</w:t>
            </w:r>
          </w:p>
        </w:tc>
      </w:tr>
      <w:tr>
        <w:trPr>
          <w:trHeight w:val="5244" w:hRule="exact"/>
        </w:trPr>
        <w:tc>
          <w:tcPr>
            <w:tcW w:w="2660" w:type="dxa"/>
          </w:tcPr>
          <w:p>
            <w:pPr>
              <w:pStyle w:val="TableParagraph"/>
              <w:spacing w:before="8"/>
              <w:jc w:val="left"/>
              <w:rPr>
                <w:b/>
                <w:sz w:val="20"/>
              </w:rPr>
            </w:pPr>
          </w:p>
          <w:p>
            <w:pPr>
              <w:pStyle w:val="TableParagraph"/>
              <w:ind w:left="103"/>
              <w:jc w:val="left"/>
              <w:rPr>
                <w:sz w:val="24"/>
              </w:rPr>
            </w:pPr>
            <w:r>
              <w:rPr>
                <w:sz w:val="24"/>
              </w:rPr>
              <w:t>NOM-164-SSA1-2013</w:t>
            </w:r>
          </w:p>
        </w:tc>
        <w:tc>
          <w:tcPr>
            <w:tcW w:w="6321" w:type="dxa"/>
          </w:tcPr>
          <w:p>
            <w:pPr>
              <w:pStyle w:val="TableParagraph"/>
              <w:spacing w:before="8"/>
              <w:jc w:val="left"/>
              <w:rPr>
                <w:b/>
                <w:sz w:val="20"/>
              </w:rPr>
            </w:pPr>
          </w:p>
          <w:p>
            <w:pPr>
              <w:pStyle w:val="TableParagraph"/>
              <w:ind w:left="103"/>
              <w:jc w:val="both"/>
              <w:rPr>
                <w:sz w:val="24"/>
              </w:rPr>
            </w:pPr>
            <w:r>
              <w:rPr>
                <w:color w:val="2E2E2E"/>
                <w:sz w:val="24"/>
              </w:rPr>
              <w:t>Buenas prácticas de fabricación de los fármacos</w:t>
            </w:r>
          </w:p>
          <w:p>
            <w:pPr>
              <w:pStyle w:val="TableParagraph"/>
              <w:spacing w:before="11"/>
              <w:jc w:val="left"/>
              <w:rPr>
                <w:b/>
                <w:sz w:val="32"/>
              </w:rPr>
            </w:pPr>
          </w:p>
          <w:p>
            <w:pPr>
              <w:pStyle w:val="TableParagraph"/>
              <w:spacing w:line="360" w:lineRule="auto"/>
              <w:ind w:left="103" w:right="101"/>
              <w:jc w:val="both"/>
              <w:rPr>
                <w:sz w:val="24"/>
              </w:rPr>
            </w:pPr>
            <w:r>
              <w:rPr>
                <w:color w:val="2E2E2E"/>
                <w:sz w:val="24"/>
              </w:rPr>
              <w:t>Esta Norma establece los requisitos mínimos necesarios para el proceso de fabricación de los fármacos o principios activos comercializados en el país o para fármacos en desarrollo para uso en investigación clínica. Esta Norma es de observancia obligatoria, para todos los establecimientos dedicados a la fabricación de fármacos o principios activos comercializados en el país o fármacos en desarrollo para uso en investigación clínica y almacenes de distribución de fármacos o principios activos.</w:t>
            </w:r>
          </w:p>
        </w:tc>
      </w:tr>
      <w:tr>
        <w:trPr>
          <w:trHeight w:val="3387" w:hRule="exact"/>
        </w:trPr>
        <w:tc>
          <w:tcPr>
            <w:tcW w:w="2660" w:type="dxa"/>
          </w:tcPr>
          <w:p>
            <w:pPr>
              <w:pStyle w:val="TableParagraph"/>
              <w:spacing w:before="8"/>
              <w:jc w:val="left"/>
              <w:rPr>
                <w:b/>
                <w:sz w:val="20"/>
              </w:rPr>
            </w:pPr>
          </w:p>
          <w:p>
            <w:pPr>
              <w:pStyle w:val="TableParagraph"/>
              <w:spacing w:line="360" w:lineRule="auto"/>
              <w:ind w:left="103" w:right="768"/>
              <w:jc w:val="left"/>
              <w:rPr>
                <w:sz w:val="24"/>
              </w:rPr>
            </w:pPr>
            <w:r>
              <w:rPr>
                <w:color w:val="212121"/>
                <w:sz w:val="24"/>
              </w:rPr>
              <w:t>NMX-EC-17025- IMNC-2006</w:t>
            </w:r>
          </w:p>
        </w:tc>
        <w:tc>
          <w:tcPr>
            <w:tcW w:w="6321" w:type="dxa"/>
          </w:tcPr>
          <w:p>
            <w:pPr>
              <w:pStyle w:val="TableParagraph"/>
              <w:spacing w:before="8"/>
              <w:jc w:val="left"/>
              <w:rPr>
                <w:b/>
                <w:sz w:val="20"/>
              </w:rPr>
            </w:pPr>
          </w:p>
          <w:p>
            <w:pPr>
              <w:pStyle w:val="TableParagraph"/>
              <w:spacing w:line="360" w:lineRule="auto"/>
              <w:ind w:left="103" w:right="107"/>
              <w:jc w:val="both"/>
              <w:rPr>
                <w:sz w:val="24"/>
              </w:rPr>
            </w:pPr>
            <w:r>
              <w:rPr>
                <w:color w:val="212121"/>
                <w:sz w:val="24"/>
              </w:rPr>
              <w:t>Requisitos generales para la competencia de los laboratorios de prueba y ensayo.</w:t>
            </w:r>
          </w:p>
          <w:p>
            <w:pPr>
              <w:pStyle w:val="TableParagraph"/>
              <w:spacing w:before="4"/>
              <w:jc w:val="left"/>
              <w:rPr>
                <w:b/>
                <w:sz w:val="21"/>
              </w:rPr>
            </w:pPr>
          </w:p>
          <w:p>
            <w:pPr>
              <w:pStyle w:val="TableParagraph"/>
              <w:spacing w:line="360" w:lineRule="auto"/>
              <w:ind w:left="103" w:right="101"/>
              <w:jc w:val="both"/>
              <w:rPr>
                <w:sz w:val="24"/>
              </w:rPr>
            </w:pPr>
            <w:r>
              <w:rPr>
                <w:sz w:val="24"/>
              </w:rPr>
              <w:t>Los Requerimientos Generales para la Competencia de Laboratorios de Calibración y Ensayo se publicaron por ISO en diciembre de 1999 y se revisó en mayo de 2005. Es el resultado de la asociación entre La Organización Internacional  de  Normas  y  La  Comisión</w:t>
            </w:r>
            <w:r>
              <w:rPr>
                <w:spacing w:val="-22"/>
                <w:sz w:val="24"/>
              </w:rPr>
              <w:t> </w:t>
            </w:r>
            <w:r>
              <w:rPr>
                <w:sz w:val="24"/>
              </w:rPr>
              <w:t>Electrotécnica</w:t>
            </w:r>
          </w:p>
        </w:tc>
      </w:tr>
    </w:tbl>
    <w:p>
      <w:pPr>
        <w:spacing w:after="0" w:line="360" w:lineRule="auto"/>
        <w:jc w:val="both"/>
        <w:rPr>
          <w:sz w:val="24"/>
        </w:rPr>
        <w:sectPr>
          <w:pgSz w:w="12240" w:h="15840"/>
          <w:pgMar w:header="0" w:footer="859" w:top="1420" w:bottom="1040" w:left="1480" w:right="1540"/>
        </w:sectPr>
      </w:pPr>
    </w:p>
    <w:tbl>
      <w:tblPr>
        <w:tblW w:w="0" w:type="auto"/>
        <w:jc w:val="left"/>
        <w:tblInd w:w="1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660"/>
        <w:gridCol w:w="6321"/>
      </w:tblGrid>
      <w:tr>
        <w:trPr>
          <w:trHeight w:val="1666" w:hRule="exact"/>
        </w:trPr>
        <w:tc>
          <w:tcPr>
            <w:tcW w:w="2660" w:type="dxa"/>
          </w:tcPr>
          <w:p>
            <w:pPr/>
          </w:p>
        </w:tc>
        <w:tc>
          <w:tcPr>
            <w:tcW w:w="6321" w:type="dxa"/>
          </w:tcPr>
          <w:p>
            <w:pPr>
              <w:pStyle w:val="TableParagraph"/>
              <w:spacing w:line="360" w:lineRule="auto"/>
              <w:ind w:left="103" w:right="101"/>
              <w:jc w:val="both"/>
              <w:rPr>
                <w:sz w:val="24"/>
              </w:rPr>
            </w:pPr>
            <w:r>
              <w:rPr>
                <w:sz w:val="24"/>
              </w:rPr>
              <w:t>Internacional. La norma reemplaza la Guía ISO 25 y EN 45001 y toma en consideración la experiencia de operaciones que se obtuvo desde que se publicaron las normas anteriores.</w:t>
            </w:r>
          </w:p>
        </w:tc>
      </w:tr>
      <w:tr>
        <w:trPr>
          <w:trHeight w:val="3802" w:hRule="exact"/>
        </w:trPr>
        <w:tc>
          <w:tcPr>
            <w:tcW w:w="2660" w:type="dxa"/>
          </w:tcPr>
          <w:p>
            <w:pPr>
              <w:pStyle w:val="TableParagraph"/>
              <w:spacing w:before="8"/>
              <w:jc w:val="left"/>
              <w:rPr>
                <w:b/>
                <w:sz w:val="20"/>
              </w:rPr>
            </w:pPr>
          </w:p>
          <w:p>
            <w:pPr>
              <w:pStyle w:val="TableParagraph"/>
              <w:ind w:left="103"/>
              <w:jc w:val="left"/>
              <w:rPr>
                <w:sz w:val="24"/>
              </w:rPr>
            </w:pPr>
            <w:r>
              <w:rPr>
                <w:color w:val="212121"/>
                <w:sz w:val="24"/>
              </w:rPr>
              <w:t>ISO/IE 17025:2005</w:t>
            </w:r>
          </w:p>
        </w:tc>
        <w:tc>
          <w:tcPr>
            <w:tcW w:w="6321" w:type="dxa"/>
          </w:tcPr>
          <w:p>
            <w:pPr>
              <w:pStyle w:val="TableParagraph"/>
              <w:spacing w:before="8"/>
              <w:jc w:val="left"/>
              <w:rPr>
                <w:b/>
                <w:sz w:val="20"/>
              </w:rPr>
            </w:pPr>
          </w:p>
          <w:p>
            <w:pPr>
              <w:pStyle w:val="TableParagraph"/>
              <w:spacing w:line="360" w:lineRule="auto"/>
              <w:ind w:left="103" w:right="106"/>
              <w:jc w:val="both"/>
              <w:rPr>
                <w:sz w:val="24"/>
              </w:rPr>
            </w:pPr>
            <w:r>
              <w:rPr>
                <w:sz w:val="24"/>
              </w:rPr>
              <w:t>“General requirements for the competence of testing and calibration laboratories”</w:t>
            </w:r>
          </w:p>
          <w:p>
            <w:pPr>
              <w:pStyle w:val="TableParagraph"/>
              <w:spacing w:before="1"/>
              <w:jc w:val="left"/>
              <w:rPr>
                <w:b/>
                <w:sz w:val="21"/>
              </w:rPr>
            </w:pPr>
          </w:p>
          <w:p>
            <w:pPr>
              <w:pStyle w:val="TableParagraph"/>
              <w:spacing w:line="360" w:lineRule="auto"/>
              <w:ind w:left="103" w:right="103"/>
              <w:jc w:val="both"/>
              <w:rPr>
                <w:sz w:val="24"/>
              </w:rPr>
            </w:pPr>
            <w:r>
              <w:rPr>
                <w:sz w:val="24"/>
              </w:rPr>
              <w:t>Esta Norma Internacional establece los requisitos generales para la competencia en la realización de ensayos o de calibraciones, incluido el muestreo. Cubre los ensayos y las calibraciones que se realizan utilizando métodos normalizados, métodos no normalizados y métodos desarrollados por el propio laboratorio.</w:t>
            </w:r>
          </w:p>
        </w:tc>
      </w:tr>
      <w:tr>
        <w:trPr>
          <w:trHeight w:val="2146" w:hRule="exact"/>
        </w:trPr>
        <w:tc>
          <w:tcPr>
            <w:tcW w:w="2660" w:type="dxa"/>
          </w:tcPr>
          <w:p>
            <w:pPr>
              <w:pStyle w:val="TableParagraph"/>
              <w:spacing w:before="8"/>
              <w:jc w:val="left"/>
              <w:rPr>
                <w:b/>
                <w:sz w:val="20"/>
              </w:rPr>
            </w:pPr>
          </w:p>
          <w:p>
            <w:pPr>
              <w:pStyle w:val="TableParagraph"/>
              <w:ind w:left="103"/>
              <w:jc w:val="left"/>
              <w:rPr>
                <w:sz w:val="24"/>
              </w:rPr>
            </w:pPr>
            <w:r>
              <w:rPr>
                <w:color w:val="212121"/>
                <w:sz w:val="24"/>
              </w:rPr>
              <w:t>ICH Q1</w:t>
            </w:r>
          </w:p>
        </w:tc>
        <w:tc>
          <w:tcPr>
            <w:tcW w:w="6321" w:type="dxa"/>
          </w:tcPr>
          <w:p>
            <w:pPr>
              <w:pStyle w:val="TableParagraph"/>
              <w:spacing w:before="8"/>
              <w:jc w:val="left"/>
              <w:rPr>
                <w:b/>
                <w:sz w:val="20"/>
              </w:rPr>
            </w:pPr>
          </w:p>
          <w:p>
            <w:pPr>
              <w:pStyle w:val="TableParagraph"/>
              <w:ind w:left="103"/>
              <w:jc w:val="both"/>
              <w:rPr>
                <w:sz w:val="24"/>
              </w:rPr>
            </w:pPr>
            <w:r>
              <w:rPr>
                <w:sz w:val="24"/>
              </w:rPr>
              <w:t>Stability testing of new drug substances and products</w:t>
            </w:r>
          </w:p>
          <w:p>
            <w:pPr>
              <w:pStyle w:val="TableParagraph"/>
              <w:spacing w:before="11"/>
              <w:jc w:val="left"/>
              <w:rPr>
                <w:b/>
                <w:sz w:val="32"/>
              </w:rPr>
            </w:pPr>
          </w:p>
          <w:p>
            <w:pPr>
              <w:pStyle w:val="TableParagraph"/>
              <w:spacing w:line="360" w:lineRule="auto"/>
              <w:ind w:left="103" w:right="105"/>
              <w:jc w:val="both"/>
              <w:rPr>
                <w:sz w:val="24"/>
              </w:rPr>
            </w:pPr>
            <w:r>
              <w:rPr>
                <w:sz w:val="24"/>
              </w:rPr>
              <w:t>Recomendaciones sobre los protocolos de pruebas de estabilidad incluyendo la temperatura, la humedad y la duración del ensayo para la zona climática I y II</w:t>
            </w:r>
          </w:p>
        </w:tc>
      </w:tr>
      <w:tr>
        <w:trPr>
          <w:trHeight w:val="2974" w:hRule="exact"/>
        </w:trPr>
        <w:tc>
          <w:tcPr>
            <w:tcW w:w="2660" w:type="dxa"/>
          </w:tcPr>
          <w:p>
            <w:pPr>
              <w:pStyle w:val="TableParagraph"/>
              <w:spacing w:before="8"/>
              <w:jc w:val="left"/>
              <w:rPr>
                <w:b/>
                <w:sz w:val="20"/>
              </w:rPr>
            </w:pPr>
          </w:p>
          <w:p>
            <w:pPr>
              <w:pStyle w:val="TableParagraph"/>
              <w:ind w:left="103"/>
              <w:jc w:val="left"/>
              <w:rPr>
                <w:sz w:val="24"/>
              </w:rPr>
            </w:pPr>
            <w:r>
              <w:rPr>
                <w:color w:val="212121"/>
                <w:sz w:val="24"/>
              </w:rPr>
              <w:t>ICH Q2 (R1)</w:t>
            </w:r>
          </w:p>
        </w:tc>
        <w:tc>
          <w:tcPr>
            <w:tcW w:w="6321" w:type="dxa"/>
          </w:tcPr>
          <w:p>
            <w:pPr>
              <w:pStyle w:val="TableParagraph"/>
              <w:spacing w:before="8"/>
              <w:jc w:val="left"/>
              <w:rPr>
                <w:b/>
                <w:sz w:val="20"/>
              </w:rPr>
            </w:pPr>
          </w:p>
          <w:p>
            <w:pPr>
              <w:pStyle w:val="TableParagraph"/>
              <w:ind w:left="103"/>
              <w:jc w:val="both"/>
              <w:rPr>
                <w:sz w:val="24"/>
              </w:rPr>
            </w:pPr>
            <w:r>
              <w:rPr>
                <w:color w:val="212121"/>
                <w:sz w:val="24"/>
              </w:rPr>
              <w:t>Validation of analytical procedures: text and methodology</w:t>
            </w:r>
          </w:p>
          <w:p>
            <w:pPr>
              <w:pStyle w:val="TableParagraph"/>
              <w:spacing w:before="11"/>
              <w:jc w:val="left"/>
              <w:rPr>
                <w:b/>
                <w:sz w:val="32"/>
              </w:rPr>
            </w:pPr>
          </w:p>
          <w:p>
            <w:pPr>
              <w:pStyle w:val="TableParagraph"/>
              <w:spacing w:line="360" w:lineRule="auto"/>
              <w:ind w:left="103" w:right="103"/>
              <w:jc w:val="both"/>
              <w:rPr>
                <w:sz w:val="24"/>
              </w:rPr>
            </w:pPr>
            <w:r>
              <w:rPr>
                <w:sz w:val="24"/>
              </w:rPr>
              <w:t>Identificación de los parámetros de validación necesarios para una variedad de métodos analíticos, también se analizan las características que deben de considerar durante la validación de los procedimientos  analíticos que se incluyen como parte de las solicitudes de registro</w:t>
            </w:r>
          </w:p>
        </w:tc>
      </w:tr>
      <w:tr>
        <w:trPr>
          <w:trHeight w:val="2146" w:hRule="exact"/>
        </w:trPr>
        <w:tc>
          <w:tcPr>
            <w:tcW w:w="2660" w:type="dxa"/>
          </w:tcPr>
          <w:p>
            <w:pPr>
              <w:pStyle w:val="TableParagraph"/>
              <w:spacing w:before="8"/>
              <w:jc w:val="left"/>
              <w:rPr>
                <w:b/>
                <w:sz w:val="20"/>
              </w:rPr>
            </w:pPr>
          </w:p>
          <w:p>
            <w:pPr>
              <w:pStyle w:val="TableParagraph"/>
              <w:ind w:left="103"/>
              <w:jc w:val="left"/>
              <w:rPr>
                <w:sz w:val="24"/>
              </w:rPr>
            </w:pPr>
            <w:r>
              <w:rPr>
                <w:color w:val="212121"/>
                <w:sz w:val="24"/>
              </w:rPr>
              <w:t>ICH Q3D</w:t>
            </w:r>
          </w:p>
        </w:tc>
        <w:tc>
          <w:tcPr>
            <w:tcW w:w="6321" w:type="dxa"/>
          </w:tcPr>
          <w:p>
            <w:pPr>
              <w:pStyle w:val="TableParagraph"/>
              <w:spacing w:before="8"/>
              <w:jc w:val="left"/>
              <w:rPr>
                <w:b/>
                <w:sz w:val="20"/>
              </w:rPr>
            </w:pPr>
          </w:p>
          <w:p>
            <w:pPr>
              <w:pStyle w:val="TableParagraph"/>
              <w:spacing w:line="360" w:lineRule="auto"/>
              <w:ind w:left="103" w:right="104"/>
              <w:jc w:val="both"/>
              <w:rPr>
                <w:sz w:val="24"/>
              </w:rPr>
            </w:pPr>
            <w:r>
              <w:rPr>
                <w:color w:val="212121"/>
                <w:sz w:val="24"/>
              </w:rPr>
              <w:t>Guideline for elemental impurities, International Conference on Harmonization of technical requirements for registration of pharmaceuticals for human use</w:t>
            </w:r>
          </w:p>
          <w:p>
            <w:pPr>
              <w:pStyle w:val="TableParagraph"/>
              <w:spacing w:before="3"/>
              <w:jc w:val="left"/>
              <w:rPr>
                <w:b/>
                <w:sz w:val="21"/>
              </w:rPr>
            </w:pPr>
          </w:p>
          <w:p>
            <w:pPr>
              <w:pStyle w:val="TableParagraph"/>
              <w:ind w:left="103"/>
              <w:jc w:val="both"/>
              <w:rPr>
                <w:sz w:val="24"/>
              </w:rPr>
            </w:pPr>
            <w:r>
              <w:rPr>
                <w:sz w:val="24"/>
              </w:rPr>
              <w:t>La Directriz ICH Q3A existente clasifica impurezas  como</w:t>
            </w:r>
          </w:p>
        </w:tc>
      </w:tr>
    </w:tbl>
    <w:p>
      <w:pPr>
        <w:spacing w:after="0"/>
        <w:jc w:val="both"/>
        <w:rPr>
          <w:sz w:val="24"/>
        </w:rPr>
        <w:sectPr>
          <w:pgSz w:w="12240" w:h="15840"/>
          <w:pgMar w:header="0" w:footer="859" w:top="1420" w:bottom="1040" w:left="1480" w:right="1540"/>
        </w:sectPr>
      </w:pPr>
    </w:p>
    <w:tbl>
      <w:tblPr>
        <w:tblW w:w="0" w:type="auto"/>
        <w:jc w:val="left"/>
        <w:tblInd w:w="1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660"/>
        <w:gridCol w:w="6321"/>
      </w:tblGrid>
      <w:tr>
        <w:trPr>
          <w:trHeight w:val="3735" w:hRule="exact"/>
        </w:trPr>
        <w:tc>
          <w:tcPr>
            <w:tcW w:w="2660" w:type="dxa"/>
          </w:tcPr>
          <w:p>
            <w:pPr/>
          </w:p>
        </w:tc>
        <w:tc>
          <w:tcPr>
            <w:tcW w:w="6321" w:type="dxa"/>
          </w:tcPr>
          <w:p>
            <w:pPr>
              <w:pStyle w:val="TableParagraph"/>
              <w:spacing w:line="360" w:lineRule="auto"/>
              <w:ind w:left="103" w:right="100"/>
              <w:jc w:val="both"/>
              <w:rPr>
                <w:sz w:val="24"/>
              </w:rPr>
            </w:pPr>
            <w:r>
              <w:rPr>
                <w:sz w:val="24"/>
              </w:rPr>
              <w:t>orgánicas, inorgánicas y solventes residuales. Las Directrices Q3A y Q3B abordan con eficacia los requisitos de impurezas orgánicas. Una directriz Q3C adicional fue desarrollada para  proporcionar aclaraciones sobre los requisitos para disolventes residuales. La propuesta de nueva Directriz Q3D proporcionaría una aclaración similar de los requisitos para los metales, que se incluyen en la clasificación de las impurezas inorgánicas de la</w:t>
            </w:r>
            <w:r>
              <w:rPr>
                <w:spacing w:val="-11"/>
                <w:sz w:val="24"/>
              </w:rPr>
              <w:t> </w:t>
            </w:r>
            <w:r>
              <w:rPr>
                <w:sz w:val="24"/>
              </w:rPr>
              <w:t>ICH</w:t>
            </w:r>
          </w:p>
        </w:tc>
      </w:tr>
      <w:tr>
        <w:trPr>
          <w:trHeight w:val="3802" w:hRule="exact"/>
        </w:trPr>
        <w:tc>
          <w:tcPr>
            <w:tcW w:w="2660" w:type="dxa"/>
          </w:tcPr>
          <w:p>
            <w:pPr>
              <w:pStyle w:val="TableParagraph"/>
              <w:spacing w:before="10"/>
              <w:jc w:val="left"/>
              <w:rPr>
                <w:b/>
                <w:sz w:val="20"/>
              </w:rPr>
            </w:pPr>
          </w:p>
          <w:p>
            <w:pPr>
              <w:pStyle w:val="TableParagraph"/>
              <w:ind w:left="103"/>
              <w:jc w:val="left"/>
              <w:rPr>
                <w:sz w:val="24"/>
              </w:rPr>
            </w:pPr>
            <w:r>
              <w:rPr>
                <w:color w:val="212121"/>
                <w:sz w:val="24"/>
              </w:rPr>
              <w:t>ICH Q6 Specifications</w:t>
            </w:r>
          </w:p>
        </w:tc>
        <w:tc>
          <w:tcPr>
            <w:tcW w:w="6321" w:type="dxa"/>
          </w:tcPr>
          <w:p>
            <w:pPr>
              <w:pStyle w:val="TableParagraph"/>
              <w:spacing w:before="10"/>
              <w:jc w:val="left"/>
              <w:rPr>
                <w:b/>
                <w:sz w:val="20"/>
              </w:rPr>
            </w:pPr>
          </w:p>
          <w:p>
            <w:pPr>
              <w:pStyle w:val="TableParagraph"/>
              <w:spacing w:line="360" w:lineRule="auto"/>
              <w:ind w:left="103" w:right="109"/>
              <w:jc w:val="both"/>
              <w:rPr>
                <w:sz w:val="24"/>
              </w:rPr>
            </w:pPr>
            <w:r>
              <w:rPr>
                <w:color w:val="212121"/>
                <w:sz w:val="24"/>
              </w:rPr>
              <w:t>Test procedures and acceptance criteria for new drug substances and new drug products: chemical substances</w:t>
            </w:r>
          </w:p>
          <w:p>
            <w:pPr>
              <w:pStyle w:val="TableParagraph"/>
              <w:spacing w:before="3"/>
              <w:jc w:val="left"/>
              <w:rPr>
                <w:b/>
                <w:sz w:val="21"/>
              </w:rPr>
            </w:pPr>
          </w:p>
          <w:p>
            <w:pPr>
              <w:pStyle w:val="TableParagraph"/>
              <w:spacing w:line="360" w:lineRule="auto"/>
              <w:ind w:left="103" w:right="102"/>
              <w:jc w:val="both"/>
              <w:rPr>
                <w:sz w:val="24"/>
              </w:rPr>
            </w:pPr>
            <w:r>
              <w:rPr>
                <w:sz w:val="24"/>
              </w:rPr>
              <w:t>Esto aborda el proceso de selección de las pruebas y los métodos y establecer las especificaciones para los ensayos de sustancias y formas farmacéuticas. Ha  tenido en cuenta la considerable guía e información que están presentes en los documentos regionales  existentes</w:t>
            </w:r>
          </w:p>
        </w:tc>
      </w:tr>
      <w:tr>
        <w:trPr>
          <w:trHeight w:val="5045" w:hRule="exact"/>
        </w:trPr>
        <w:tc>
          <w:tcPr>
            <w:tcW w:w="2660" w:type="dxa"/>
          </w:tcPr>
          <w:p>
            <w:pPr>
              <w:pStyle w:val="TableParagraph"/>
              <w:spacing w:before="10"/>
              <w:jc w:val="left"/>
              <w:rPr>
                <w:b/>
                <w:sz w:val="20"/>
              </w:rPr>
            </w:pPr>
          </w:p>
          <w:p>
            <w:pPr>
              <w:pStyle w:val="TableParagraph"/>
              <w:ind w:left="103"/>
              <w:jc w:val="left"/>
              <w:rPr>
                <w:sz w:val="24"/>
              </w:rPr>
            </w:pPr>
            <w:r>
              <w:rPr>
                <w:color w:val="212121"/>
                <w:sz w:val="24"/>
              </w:rPr>
              <w:t>ICH Q7A</w:t>
            </w:r>
          </w:p>
        </w:tc>
        <w:tc>
          <w:tcPr>
            <w:tcW w:w="6321" w:type="dxa"/>
          </w:tcPr>
          <w:p>
            <w:pPr>
              <w:pStyle w:val="TableParagraph"/>
              <w:spacing w:before="10"/>
              <w:jc w:val="left"/>
              <w:rPr>
                <w:b/>
                <w:sz w:val="20"/>
              </w:rPr>
            </w:pPr>
          </w:p>
          <w:p>
            <w:pPr>
              <w:pStyle w:val="TableParagraph"/>
              <w:spacing w:line="360" w:lineRule="auto"/>
              <w:ind w:left="103" w:right="110"/>
              <w:jc w:val="both"/>
              <w:rPr>
                <w:sz w:val="24"/>
              </w:rPr>
            </w:pPr>
            <w:r>
              <w:rPr>
                <w:color w:val="212121"/>
                <w:sz w:val="24"/>
              </w:rPr>
              <w:t>“Good Manufacturing Practice Guidance for Active Pharmaceutical Ingredients”</w:t>
            </w:r>
          </w:p>
          <w:p>
            <w:pPr>
              <w:pStyle w:val="TableParagraph"/>
              <w:spacing w:before="3"/>
              <w:jc w:val="left"/>
              <w:rPr>
                <w:b/>
                <w:sz w:val="21"/>
              </w:rPr>
            </w:pPr>
          </w:p>
          <w:p>
            <w:pPr>
              <w:pStyle w:val="TableParagraph"/>
              <w:spacing w:line="360" w:lineRule="auto"/>
              <w:ind w:left="103" w:right="104"/>
              <w:jc w:val="both"/>
              <w:rPr>
                <w:sz w:val="24"/>
              </w:rPr>
            </w:pPr>
            <w:r>
              <w:rPr>
                <w:sz w:val="24"/>
              </w:rPr>
              <w:t>La supervisión de medicamentos se basa en dos aspectos principales: la calidad del diseño y la calidad de la conformidad. La calidad del diseño es evaluada por  las autoridades competentes a través del expediente de solicitud de autorización de comercialización. Además de la eficacia y la seguridad, se consideran aspectos de calidad "farmacéuticos" (incluido el método de fabricación, pruebas, etc). La Calidad de la conformidad se</w:t>
            </w:r>
            <w:r>
              <w:rPr>
                <w:spacing w:val="39"/>
                <w:sz w:val="24"/>
              </w:rPr>
              <w:t> </w:t>
            </w:r>
            <w:r>
              <w:rPr>
                <w:sz w:val="24"/>
              </w:rPr>
              <w:t>basa</w:t>
            </w:r>
            <w:r>
              <w:rPr>
                <w:spacing w:val="39"/>
                <w:sz w:val="24"/>
              </w:rPr>
              <w:t> </w:t>
            </w:r>
            <w:r>
              <w:rPr>
                <w:sz w:val="24"/>
              </w:rPr>
              <w:t>principalmente</w:t>
            </w:r>
            <w:r>
              <w:rPr>
                <w:spacing w:val="39"/>
                <w:sz w:val="24"/>
              </w:rPr>
              <w:t> </w:t>
            </w:r>
            <w:r>
              <w:rPr>
                <w:sz w:val="24"/>
              </w:rPr>
              <w:t>en</w:t>
            </w:r>
            <w:r>
              <w:rPr>
                <w:spacing w:val="36"/>
                <w:sz w:val="24"/>
              </w:rPr>
              <w:t> </w:t>
            </w:r>
            <w:r>
              <w:rPr>
                <w:sz w:val="24"/>
              </w:rPr>
              <w:t>la</w:t>
            </w:r>
            <w:r>
              <w:rPr>
                <w:spacing w:val="38"/>
                <w:sz w:val="24"/>
              </w:rPr>
              <w:t> </w:t>
            </w:r>
            <w:r>
              <w:rPr>
                <w:sz w:val="24"/>
              </w:rPr>
              <w:t>calidad</w:t>
            </w:r>
            <w:r>
              <w:rPr>
                <w:spacing w:val="36"/>
                <w:sz w:val="24"/>
              </w:rPr>
              <w:t> </w:t>
            </w:r>
            <w:r>
              <w:rPr>
                <w:sz w:val="24"/>
              </w:rPr>
              <w:t>de</w:t>
            </w:r>
            <w:r>
              <w:rPr>
                <w:spacing w:val="36"/>
                <w:sz w:val="24"/>
              </w:rPr>
              <w:t> </w:t>
            </w:r>
            <w:r>
              <w:rPr>
                <w:sz w:val="24"/>
              </w:rPr>
              <w:t>la</w:t>
            </w:r>
            <w:r>
              <w:rPr>
                <w:spacing w:val="36"/>
                <w:sz w:val="24"/>
              </w:rPr>
              <w:t> </w:t>
            </w:r>
            <w:r>
              <w:rPr>
                <w:sz w:val="24"/>
              </w:rPr>
              <w:t>producción,</w:t>
            </w:r>
          </w:p>
        </w:tc>
      </w:tr>
    </w:tbl>
    <w:p>
      <w:pPr>
        <w:spacing w:after="0" w:line="360" w:lineRule="auto"/>
        <w:jc w:val="both"/>
        <w:rPr>
          <w:sz w:val="24"/>
        </w:rPr>
        <w:sectPr>
          <w:pgSz w:w="12240" w:h="15840"/>
          <w:pgMar w:header="0" w:footer="859" w:top="1420" w:bottom="1040" w:left="1480" w:right="1540"/>
        </w:sectPr>
      </w:pPr>
    </w:p>
    <w:tbl>
      <w:tblPr>
        <w:tblW w:w="0" w:type="auto"/>
        <w:jc w:val="left"/>
        <w:tblInd w:w="1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660"/>
        <w:gridCol w:w="6321"/>
      </w:tblGrid>
      <w:tr>
        <w:trPr>
          <w:trHeight w:val="1666" w:hRule="exact"/>
        </w:trPr>
        <w:tc>
          <w:tcPr>
            <w:tcW w:w="2660" w:type="dxa"/>
          </w:tcPr>
          <w:p>
            <w:pPr/>
          </w:p>
        </w:tc>
        <w:tc>
          <w:tcPr>
            <w:tcW w:w="6321" w:type="dxa"/>
          </w:tcPr>
          <w:p>
            <w:pPr>
              <w:pStyle w:val="TableParagraph"/>
              <w:spacing w:line="360" w:lineRule="auto"/>
              <w:ind w:left="103" w:right="100"/>
              <w:jc w:val="both"/>
              <w:rPr>
                <w:sz w:val="24"/>
              </w:rPr>
            </w:pPr>
            <w:r>
              <w:rPr>
                <w:sz w:val="24"/>
              </w:rPr>
              <w:t>que debe estar en conformidad con la autorización de comercialización, para garantizar la coherencia de la producción y operación de un sistema de aseguramiento de la calidad.</w:t>
            </w:r>
          </w:p>
        </w:tc>
      </w:tr>
      <w:tr>
        <w:trPr>
          <w:trHeight w:val="5043" w:hRule="exact"/>
        </w:trPr>
        <w:tc>
          <w:tcPr>
            <w:tcW w:w="2660" w:type="dxa"/>
          </w:tcPr>
          <w:p>
            <w:pPr>
              <w:pStyle w:val="TableParagraph"/>
              <w:spacing w:before="8"/>
              <w:jc w:val="left"/>
              <w:rPr>
                <w:b/>
                <w:sz w:val="20"/>
              </w:rPr>
            </w:pPr>
          </w:p>
          <w:p>
            <w:pPr>
              <w:pStyle w:val="TableParagraph"/>
              <w:ind w:left="103"/>
              <w:jc w:val="left"/>
              <w:rPr>
                <w:sz w:val="24"/>
              </w:rPr>
            </w:pPr>
            <w:r>
              <w:rPr>
                <w:color w:val="212121"/>
                <w:sz w:val="24"/>
              </w:rPr>
              <w:t>ICH Q9</w:t>
            </w:r>
          </w:p>
        </w:tc>
        <w:tc>
          <w:tcPr>
            <w:tcW w:w="6321" w:type="dxa"/>
          </w:tcPr>
          <w:p>
            <w:pPr>
              <w:pStyle w:val="TableParagraph"/>
              <w:spacing w:before="8"/>
              <w:jc w:val="left"/>
              <w:rPr>
                <w:b/>
                <w:sz w:val="20"/>
              </w:rPr>
            </w:pPr>
          </w:p>
          <w:p>
            <w:pPr>
              <w:pStyle w:val="TableParagraph"/>
              <w:spacing w:line="360" w:lineRule="auto"/>
              <w:ind w:left="103" w:right="107"/>
              <w:jc w:val="both"/>
              <w:rPr>
                <w:sz w:val="24"/>
              </w:rPr>
            </w:pPr>
            <w:r>
              <w:rPr>
                <w:color w:val="212121"/>
                <w:sz w:val="24"/>
              </w:rPr>
              <w:t>Quality Risk Management, Dated and endorsed on 11 November 2003</w:t>
            </w:r>
          </w:p>
          <w:p>
            <w:pPr>
              <w:pStyle w:val="TableParagraph"/>
              <w:spacing w:before="1"/>
              <w:jc w:val="left"/>
              <w:rPr>
                <w:b/>
                <w:sz w:val="21"/>
              </w:rPr>
            </w:pPr>
          </w:p>
          <w:p>
            <w:pPr>
              <w:pStyle w:val="TableParagraph"/>
              <w:spacing w:line="360" w:lineRule="auto"/>
              <w:ind w:left="103" w:right="102"/>
              <w:jc w:val="both"/>
              <w:rPr>
                <w:sz w:val="24"/>
              </w:rPr>
            </w:pPr>
            <w:r>
              <w:rPr>
                <w:sz w:val="24"/>
              </w:rPr>
              <w:t>Provee principios y ejemplos de herramientas para el manejo del riesgo de la calidad que se pueden aplicar a todos los aspectos de la calidad farmacéutica incluidos desarrollo, fabricación, distribución y la inspección durante todo el ciclo de vida de las sustancias farmacéuticas y medicinales, productos farmacéutico, productos biológicos y biotecnológico, incluyendo el uso de materiales, disolventes, excipientes, envasado y etiquetado de materias primas.</w:t>
            </w:r>
          </w:p>
        </w:tc>
      </w:tr>
      <w:tr>
        <w:trPr>
          <w:trHeight w:val="665" w:hRule="exact"/>
        </w:trPr>
        <w:tc>
          <w:tcPr>
            <w:tcW w:w="2660" w:type="dxa"/>
          </w:tcPr>
          <w:p>
            <w:pPr>
              <w:pStyle w:val="TableParagraph"/>
              <w:spacing w:before="10"/>
              <w:jc w:val="left"/>
              <w:rPr>
                <w:b/>
                <w:sz w:val="20"/>
              </w:rPr>
            </w:pPr>
          </w:p>
          <w:p>
            <w:pPr>
              <w:pStyle w:val="TableParagraph"/>
              <w:spacing w:before="1"/>
              <w:ind w:left="103"/>
              <w:jc w:val="left"/>
              <w:rPr>
                <w:sz w:val="24"/>
              </w:rPr>
            </w:pPr>
            <w:r>
              <w:rPr>
                <w:color w:val="212121"/>
                <w:sz w:val="24"/>
              </w:rPr>
              <w:t>ICH Q10</w:t>
            </w:r>
          </w:p>
        </w:tc>
        <w:tc>
          <w:tcPr>
            <w:tcW w:w="6321" w:type="dxa"/>
          </w:tcPr>
          <w:p>
            <w:pPr>
              <w:pStyle w:val="TableParagraph"/>
              <w:spacing w:before="10"/>
              <w:jc w:val="left"/>
              <w:rPr>
                <w:b/>
                <w:sz w:val="20"/>
              </w:rPr>
            </w:pPr>
          </w:p>
          <w:p>
            <w:pPr>
              <w:pStyle w:val="TableParagraph"/>
              <w:spacing w:before="1"/>
              <w:ind w:left="103" w:right="105"/>
              <w:jc w:val="left"/>
              <w:rPr>
                <w:sz w:val="24"/>
              </w:rPr>
            </w:pPr>
            <w:r>
              <w:rPr>
                <w:color w:val="212121"/>
                <w:sz w:val="24"/>
              </w:rPr>
              <w:t>Pharmaceutical Quality System (PQS)</w:t>
            </w:r>
          </w:p>
        </w:tc>
      </w:tr>
      <w:tr>
        <w:trPr>
          <w:trHeight w:val="1078" w:hRule="exact"/>
        </w:trPr>
        <w:tc>
          <w:tcPr>
            <w:tcW w:w="2660" w:type="dxa"/>
          </w:tcPr>
          <w:p>
            <w:pPr>
              <w:pStyle w:val="TableParagraph"/>
              <w:spacing w:before="8"/>
              <w:jc w:val="left"/>
              <w:rPr>
                <w:b/>
                <w:sz w:val="20"/>
              </w:rPr>
            </w:pPr>
          </w:p>
          <w:p>
            <w:pPr>
              <w:pStyle w:val="TableParagraph"/>
              <w:ind w:left="103"/>
              <w:jc w:val="left"/>
              <w:rPr>
                <w:sz w:val="24"/>
              </w:rPr>
            </w:pPr>
            <w:r>
              <w:rPr>
                <w:color w:val="212121"/>
                <w:sz w:val="24"/>
              </w:rPr>
              <w:t>ICH Q11</w:t>
            </w:r>
          </w:p>
        </w:tc>
        <w:tc>
          <w:tcPr>
            <w:tcW w:w="6321" w:type="dxa"/>
          </w:tcPr>
          <w:p>
            <w:pPr>
              <w:pStyle w:val="TableParagraph"/>
              <w:spacing w:before="8"/>
              <w:jc w:val="left"/>
              <w:rPr>
                <w:b/>
                <w:sz w:val="20"/>
              </w:rPr>
            </w:pPr>
          </w:p>
          <w:p>
            <w:pPr>
              <w:pStyle w:val="TableParagraph"/>
              <w:tabs>
                <w:tab w:pos="1729" w:val="left" w:leader="none"/>
                <w:tab w:pos="2340" w:val="left" w:leader="none"/>
                <w:tab w:pos="3884" w:val="left" w:leader="none"/>
                <w:tab w:pos="4297" w:val="left" w:leader="none"/>
                <w:tab w:pos="4987" w:val="left" w:leader="none"/>
              </w:tabs>
              <w:spacing w:line="360" w:lineRule="auto"/>
              <w:ind w:left="103" w:right="105"/>
              <w:jc w:val="left"/>
              <w:rPr>
                <w:sz w:val="24"/>
              </w:rPr>
            </w:pPr>
            <w:r>
              <w:rPr>
                <w:color w:val="212121"/>
                <w:sz w:val="24"/>
              </w:rPr>
              <w:t>Development</w:t>
              <w:tab/>
              <w:t>and</w:t>
              <w:tab/>
              <w:t>manufacture</w:t>
              <w:tab/>
              <w:t>of</w:t>
              <w:tab/>
              <w:t>drug</w:t>
              <w:tab/>
              <w:t>substances (chemical entities and biotechnological/biological</w:t>
            </w:r>
            <w:r>
              <w:rPr>
                <w:color w:val="212121"/>
                <w:spacing w:val="-15"/>
                <w:sz w:val="24"/>
              </w:rPr>
              <w:t> </w:t>
            </w:r>
            <w:r>
              <w:rPr>
                <w:color w:val="212121"/>
                <w:sz w:val="24"/>
              </w:rPr>
              <w:t>entities)</w:t>
            </w:r>
          </w:p>
        </w:tc>
      </w:tr>
    </w:tbl>
    <w:p>
      <w:pPr>
        <w:spacing w:after="0" w:line="360" w:lineRule="auto"/>
        <w:jc w:val="left"/>
        <w:rPr>
          <w:sz w:val="24"/>
        </w:rPr>
        <w:sectPr>
          <w:footerReference w:type="default" r:id="rId69"/>
          <w:pgSz w:w="12240" w:h="15840"/>
          <w:pgMar w:footer="859" w:header="0" w:top="1420" w:bottom="1040" w:left="1480" w:right="1540"/>
        </w:sectPr>
      </w:pPr>
    </w:p>
    <w:p>
      <w:pPr>
        <w:pStyle w:val="Heading1"/>
        <w:spacing w:before="54"/>
        <w:ind w:right="76"/>
        <w:jc w:val="left"/>
      </w:pPr>
      <w:bookmarkStart w:name="_bookmark28" w:id="52"/>
      <w:bookmarkEnd w:id="52"/>
      <w:r>
        <w:rPr>
          <w:b w:val="0"/>
        </w:rPr>
      </w:r>
      <w:r>
        <w:rPr/>
        <w:t>ANEXO B. REPORTE DE VALIDACIÓN IMPUREZAS ELEMENTALES CLASE 1</w:t>
      </w:r>
    </w:p>
    <w:p>
      <w:pPr>
        <w:pStyle w:val="BodyText"/>
        <w:spacing w:before="5"/>
        <w:rPr>
          <w:b/>
          <w:sz w:val="30"/>
        </w:rPr>
      </w:pPr>
    </w:p>
    <w:p>
      <w:pPr>
        <w:pStyle w:val="ListParagraph"/>
        <w:numPr>
          <w:ilvl w:val="0"/>
          <w:numId w:val="9"/>
        </w:numPr>
        <w:tabs>
          <w:tab w:pos="821" w:val="left" w:leader="none"/>
          <w:tab w:pos="822" w:val="left" w:leader="none"/>
        </w:tabs>
        <w:spacing w:line="240" w:lineRule="auto" w:before="1" w:after="0"/>
        <w:ind w:left="822" w:right="0" w:hanging="495"/>
        <w:jc w:val="left"/>
        <w:rPr>
          <w:b/>
          <w:color w:val="212121"/>
          <w:sz w:val="24"/>
        </w:rPr>
      </w:pPr>
      <w:r>
        <w:rPr>
          <w:b/>
          <w:color w:val="212121"/>
          <w:sz w:val="24"/>
        </w:rPr>
        <w:t>Idoneidad del</w:t>
      </w:r>
      <w:r>
        <w:rPr>
          <w:b/>
          <w:color w:val="212121"/>
          <w:spacing w:val="-5"/>
          <w:sz w:val="24"/>
        </w:rPr>
        <w:t> </w:t>
      </w:r>
      <w:r>
        <w:rPr>
          <w:b/>
          <w:color w:val="212121"/>
          <w:sz w:val="24"/>
        </w:rPr>
        <w:t>sistema</w:t>
      </w:r>
    </w:p>
    <w:p>
      <w:pPr>
        <w:pStyle w:val="BodyText"/>
        <w:spacing w:before="2"/>
        <w:rPr>
          <w:b/>
        </w:rPr>
      </w:pPr>
    </w:p>
    <w:p>
      <w:pPr>
        <w:pStyle w:val="BodyText"/>
        <w:spacing w:line="360" w:lineRule="auto"/>
        <w:ind w:left="810" w:right="257"/>
        <w:jc w:val="both"/>
      </w:pPr>
      <w:r>
        <w:rPr>
          <w:color w:val="212121"/>
        </w:rPr>
        <w:t>Una prueba de idoneidad del sistema se realizó antes de la ejecución de cada parámetro de validación analítica con el único propósito de verificar que la concentración obtenida para cada muestra se leyó de forma confiable.</w:t>
      </w:r>
    </w:p>
    <w:p>
      <w:pPr>
        <w:pStyle w:val="BodyText"/>
        <w:spacing w:line="360" w:lineRule="auto" w:before="204"/>
        <w:ind w:left="810" w:right="262"/>
        <w:jc w:val="both"/>
      </w:pPr>
      <w:r>
        <w:rPr>
          <w:color w:val="212121"/>
        </w:rPr>
        <w:t>Una solución estándar preparada a 100 % de la solución patrón de trabajo (STD5) se midió usando la concentración obtenida en cada curva de calibración; se calculó el % de recuperación obtenido para la concentración medida frente a la concentración obtenida en la curva de calibración. En todos los casos el valor obtenido fue de entre 80 y 120 %. Intervalo de los resultados para cada analito de interés se presenta en la Tabla B.I.1.</w:t>
      </w:r>
    </w:p>
    <w:p>
      <w:pPr>
        <w:pStyle w:val="Heading1"/>
        <w:spacing w:line="276" w:lineRule="auto" w:before="204" w:after="5"/>
        <w:ind w:left="810" w:right="254"/>
      </w:pPr>
      <w:r>
        <w:rPr>
          <w:color w:val="212121"/>
        </w:rPr>
        <w:t>Tabla B.I.1. Resultados de la Idoneidad del sistema para la clase 1 (% de recobro)</w:t>
      </w:r>
    </w:p>
    <w:tbl>
      <w:tblPr>
        <w:tblW w:w="0" w:type="auto"/>
        <w:jc w:val="left"/>
        <w:tblInd w:w="1023"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CellMar>
          <w:top w:w="0" w:type="dxa"/>
          <w:left w:w="0" w:type="dxa"/>
          <w:bottom w:w="0" w:type="dxa"/>
          <w:right w:w="0" w:type="dxa"/>
        </w:tblCellMar>
        <w:tblLook w:val="01E0"/>
      </w:tblPr>
      <w:tblGrid>
        <w:gridCol w:w="3332"/>
        <w:gridCol w:w="2341"/>
        <w:gridCol w:w="2340"/>
      </w:tblGrid>
      <w:tr>
        <w:trPr>
          <w:trHeight w:val="425" w:hRule="exact"/>
        </w:trPr>
        <w:tc>
          <w:tcPr>
            <w:tcW w:w="3332" w:type="dxa"/>
            <w:shd w:val="clear" w:color="auto" w:fill="D9D9D9"/>
          </w:tcPr>
          <w:p>
            <w:pPr>
              <w:pStyle w:val="TableParagraph"/>
              <w:spacing w:before="115"/>
              <w:ind w:left="1224" w:right="1226"/>
              <w:rPr>
                <w:b/>
                <w:sz w:val="24"/>
              </w:rPr>
            </w:pPr>
            <w:r>
              <w:rPr>
                <w:b/>
                <w:sz w:val="24"/>
              </w:rPr>
              <w:t>Analito</w:t>
            </w:r>
          </w:p>
        </w:tc>
        <w:tc>
          <w:tcPr>
            <w:tcW w:w="2341" w:type="dxa"/>
            <w:shd w:val="clear" w:color="auto" w:fill="D9D9D9"/>
          </w:tcPr>
          <w:p>
            <w:pPr>
              <w:pStyle w:val="TableParagraph"/>
              <w:spacing w:before="115"/>
              <w:ind w:left="266" w:right="270"/>
              <w:rPr>
                <w:b/>
                <w:sz w:val="24"/>
              </w:rPr>
            </w:pPr>
            <w:r>
              <w:rPr>
                <w:b/>
                <w:sz w:val="24"/>
              </w:rPr>
              <w:t>Valor más Bajo</w:t>
            </w:r>
          </w:p>
        </w:tc>
        <w:tc>
          <w:tcPr>
            <w:tcW w:w="2340" w:type="dxa"/>
            <w:shd w:val="clear" w:color="auto" w:fill="D9D9D9"/>
          </w:tcPr>
          <w:p>
            <w:pPr>
              <w:pStyle w:val="TableParagraph"/>
              <w:spacing w:before="115"/>
              <w:ind w:left="262" w:right="270"/>
              <w:rPr>
                <w:b/>
                <w:sz w:val="24"/>
              </w:rPr>
            </w:pPr>
            <w:r>
              <w:rPr>
                <w:b/>
                <w:sz w:val="24"/>
              </w:rPr>
              <w:t>Valor más Alto</w:t>
            </w:r>
          </w:p>
        </w:tc>
      </w:tr>
      <w:tr>
        <w:trPr>
          <w:trHeight w:val="543" w:hRule="exact"/>
        </w:trPr>
        <w:tc>
          <w:tcPr>
            <w:tcW w:w="3332" w:type="dxa"/>
          </w:tcPr>
          <w:p>
            <w:pPr>
              <w:pStyle w:val="TableParagraph"/>
              <w:spacing w:before="17"/>
              <w:ind w:left="1224" w:right="1225"/>
              <w:rPr>
                <w:sz w:val="24"/>
              </w:rPr>
            </w:pPr>
            <w:r>
              <w:rPr>
                <w:sz w:val="24"/>
              </w:rPr>
              <w:t>As</w:t>
            </w:r>
          </w:p>
        </w:tc>
        <w:tc>
          <w:tcPr>
            <w:tcW w:w="2341" w:type="dxa"/>
          </w:tcPr>
          <w:p>
            <w:pPr>
              <w:pStyle w:val="TableParagraph"/>
              <w:spacing w:before="17"/>
              <w:ind w:left="266" w:right="268"/>
              <w:rPr>
                <w:sz w:val="24"/>
              </w:rPr>
            </w:pPr>
            <w:r>
              <w:rPr>
                <w:sz w:val="24"/>
              </w:rPr>
              <w:t>95</w:t>
            </w:r>
          </w:p>
        </w:tc>
        <w:tc>
          <w:tcPr>
            <w:tcW w:w="2340" w:type="dxa"/>
          </w:tcPr>
          <w:p>
            <w:pPr>
              <w:pStyle w:val="TableParagraph"/>
              <w:spacing w:before="17"/>
              <w:ind w:left="266" w:right="266"/>
              <w:rPr>
                <w:sz w:val="24"/>
              </w:rPr>
            </w:pPr>
            <w:r>
              <w:rPr>
                <w:sz w:val="24"/>
              </w:rPr>
              <w:t>107</w:t>
            </w:r>
          </w:p>
        </w:tc>
      </w:tr>
      <w:tr>
        <w:trPr>
          <w:trHeight w:val="506" w:hRule="exact"/>
        </w:trPr>
        <w:tc>
          <w:tcPr>
            <w:tcW w:w="3332" w:type="dxa"/>
          </w:tcPr>
          <w:p>
            <w:pPr>
              <w:pStyle w:val="TableParagraph"/>
              <w:ind w:left="1222" w:right="1226"/>
              <w:rPr>
                <w:sz w:val="24"/>
              </w:rPr>
            </w:pPr>
            <w:r>
              <w:rPr>
                <w:sz w:val="24"/>
              </w:rPr>
              <w:t>Cd</w:t>
            </w:r>
          </w:p>
        </w:tc>
        <w:tc>
          <w:tcPr>
            <w:tcW w:w="2341" w:type="dxa"/>
          </w:tcPr>
          <w:p>
            <w:pPr>
              <w:pStyle w:val="TableParagraph"/>
              <w:ind w:left="266" w:right="268"/>
              <w:rPr>
                <w:sz w:val="24"/>
              </w:rPr>
            </w:pPr>
            <w:r>
              <w:rPr>
                <w:sz w:val="24"/>
              </w:rPr>
              <w:t>97</w:t>
            </w:r>
          </w:p>
        </w:tc>
        <w:tc>
          <w:tcPr>
            <w:tcW w:w="2340" w:type="dxa"/>
          </w:tcPr>
          <w:p>
            <w:pPr>
              <w:pStyle w:val="TableParagraph"/>
              <w:ind w:left="266" w:right="266"/>
              <w:rPr>
                <w:sz w:val="24"/>
              </w:rPr>
            </w:pPr>
            <w:r>
              <w:rPr>
                <w:sz w:val="24"/>
              </w:rPr>
              <w:t>106</w:t>
            </w:r>
          </w:p>
        </w:tc>
      </w:tr>
      <w:tr>
        <w:trPr>
          <w:trHeight w:val="590" w:hRule="exact"/>
        </w:trPr>
        <w:tc>
          <w:tcPr>
            <w:tcW w:w="3332" w:type="dxa"/>
          </w:tcPr>
          <w:p>
            <w:pPr>
              <w:pStyle w:val="TableParagraph"/>
              <w:spacing w:before="41"/>
              <w:ind w:left="1222" w:right="1226"/>
              <w:rPr>
                <w:sz w:val="24"/>
              </w:rPr>
            </w:pPr>
            <w:r>
              <w:rPr>
                <w:sz w:val="24"/>
              </w:rPr>
              <w:t>Hg</w:t>
            </w:r>
          </w:p>
        </w:tc>
        <w:tc>
          <w:tcPr>
            <w:tcW w:w="2341" w:type="dxa"/>
          </w:tcPr>
          <w:p>
            <w:pPr>
              <w:pStyle w:val="TableParagraph"/>
              <w:spacing w:before="41"/>
              <w:ind w:left="266" w:right="268"/>
              <w:rPr>
                <w:sz w:val="24"/>
              </w:rPr>
            </w:pPr>
            <w:r>
              <w:rPr>
                <w:sz w:val="24"/>
              </w:rPr>
              <w:t>96</w:t>
            </w:r>
          </w:p>
        </w:tc>
        <w:tc>
          <w:tcPr>
            <w:tcW w:w="2340" w:type="dxa"/>
          </w:tcPr>
          <w:p>
            <w:pPr>
              <w:pStyle w:val="TableParagraph"/>
              <w:spacing w:before="41"/>
              <w:ind w:left="266" w:right="266"/>
              <w:rPr>
                <w:sz w:val="24"/>
              </w:rPr>
            </w:pPr>
            <w:r>
              <w:rPr>
                <w:sz w:val="24"/>
              </w:rPr>
              <w:t>102</w:t>
            </w:r>
          </w:p>
        </w:tc>
      </w:tr>
      <w:tr>
        <w:trPr>
          <w:trHeight w:val="528" w:hRule="exact"/>
        </w:trPr>
        <w:tc>
          <w:tcPr>
            <w:tcW w:w="3332" w:type="dxa"/>
          </w:tcPr>
          <w:p>
            <w:pPr>
              <w:pStyle w:val="TableParagraph"/>
              <w:spacing w:before="10"/>
              <w:ind w:left="1224" w:right="1224"/>
              <w:rPr>
                <w:sz w:val="24"/>
              </w:rPr>
            </w:pPr>
            <w:r>
              <w:rPr>
                <w:sz w:val="24"/>
              </w:rPr>
              <w:t>Pb</w:t>
            </w:r>
          </w:p>
        </w:tc>
        <w:tc>
          <w:tcPr>
            <w:tcW w:w="2341" w:type="dxa"/>
          </w:tcPr>
          <w:p>
            <w:pPr>
              <w:pStyle w:val="TableParagraph"/>
              <w:spacing w:before="10"/>
              <w:ind w:left="266" w:right="268"/>
              <w:rPr>
                <w:sz w:val="24"/>
              </w:rPr>
            </w:pPr>
            <w:r>
              <w:rPr>
                <w:sz w:val="24"/>
              </w:rPr>
              <w:t>92</w:t>
            </w:r>
          </w:p>
        </w:tc>
        <w:tc>
          <w:tcPr>
            <w:tcW w:w="2340" w:type="dxa"/>
          </w:tcPr>
          <w:p>
            <w:pPr>
              <w:pStyle w:val="TableParagraph"/>
              <w:spacing w:before="10"/>
              <w:ind w:left="266" w:right="266"/>
              <w:rPr>
                <w:sz w:val="24"/>
              </w:rPr>
            </w:pPr>
            <w:r>
              <w:rPr>
                <w:sz w:val="24"/>
              </w:rPr>
              <w:t>103</w:t>
            </w:r>
          </w:p>
        </w:tc>
      </w:tr>
    </w:tbl>
    <w:p>
      <w:pPr>
        <w:pStyle w:val="BodyText"/>
        <w:spacing w:before="10"/>
        <w:rPr>
          <w:b/>
          <w:sz w:val="29"/>
        </w:rPr>
      </w:pPr>
    </w:p>
    <w:p>
      <w:pPr>
        <w:pStyle w:val="ListParagraph"/>
        <w:numPr>
          <w:ilvl w:val="0"/>
          <w:numId w:val="9"/>
        </w:numPr>
        <w:tabs>
          <w:tab w:pos="821" w:val="left" w:leader="none"/>
          <w:tab w:pos="822" w:val="left" w:leader="none"/>
        </w:tabs>
        <w:spacing w:line="240" w:lineRule="auto" w:before="70" w:after="0"/>
        <w:ind w:left="822" w:right="0" w:hanging="560"/>
        <w:jc w:val="left"/>
        <w:rPr>
          <w:b/>
          <w:sz w:val="24"/>
        </w:rPr>
      </w:pPr>
      <w:r>
        <w:rPr>
          <w:b/>
          <w:sz w:val="24"/>
        </w:rPr>
        <w:t>Estabilidad de las</w:t>
      </w:r>
      <w:r>
        <w:rPr>
          <w:b/>
          <w:spacing w:val="-10"/>
          <w:sz w:val="24"/>
        </w:rPr>
        <w:t> </w:t>
      </w:r>
      <w:r>
        <w:rPr>
          <w:b/>
          <w:sz w:val="24"/>
        </w:rPr>
        <w:t>Soluciones</w:t>
      </w:r>
    </w:p>
    <w:p>
      <w:pPr>
        <w:pStyle w:val="BodyText"/>
        <w:rPr>
          <w:b/>
          <w:sz w:val="21"/>
        </w:rPr>
      </w:pPr>
    </w:p>
    <w:p>
      <w:pPr>
        <w:pStyle w:val="BodyText"/>
        <w:spacing w:line="360" w:lineRule="auto" w:before="1"/>
        <w:ind w:left="810" w:right="255"/>
        <w:jc w:val="both"/>
      </w:pPr>
      <w:r>
        <w:rPr>
          <w:color w:val="212121"/>
        </w:rPr>
        <w:t>La estabilidad de la Solución Estándar Stock fue examinada por un período de 22 horas después de su preparación. Solución Estándar Stock se almacenó en refrigeración durante todo el período de tiempo evaluado. Una solución estándar al 100% de la concentración de trabajo se preparó a partir de la solución anterior en el momento inicial y 22 horas. El % de recuperación se calculó contra el de una solución estándar fresca  preparada para cada período de</w:t>
      </w:r>
      <w:r>
        <w:rPr>
          <w:color w:val="212121"/>
          <w:spacing w:val="-13"/>
        </w:rPr>
        <w:t> </w:t>
      </w:r>
      <w:r>
        <w:rPr>
          <w:color w:val="212121"/>
        </w:rPr>
        <w:t>tiempo.</w:t>
      </w:r>
    </w:p>
    <w:p>
      <w:pPr>
        <w:spacing w:after="0" w:line="360" w:lineRule="auto"/>
        <w:jc w:val="both"/>
        <w:sectPr>
          <w:footerReference w:type="default" r:id="rId70"/>
          <w:pgSz w:w="12240" w:h="15840"/>
          <w:pgMar w:footer="859" w:header="0" w:top="1360" w:bottom="1040" w:left="1600" w:right="1440"/>
          <w:pgNumType w:start="51"/>
        </w:sectPr>
      </w:pPr>
    </w:p>
    <w:p>
      <w:pPr>
        <w:pStyle w:val="BodyText"/>
        <w:spacing w:before="56"/>
        <w:ind w:left="690"/>
        <w:jc w:val="both"/>
      </w:pPr>
      <w:r>
        <w:rPr>
          <w:color w:val="212121"/>
        </w:rPr>
        <w:t>El resultado  obtenido para el  % de  recuperación  se muestra  en  la  Tabla</w:t>
      </w:r>
    </w:p>
    <w:p>
      <w:pPr>
        <w:pStyle w:val="ListParagraph"/>
        <w:numPr>
          <w:ilvl w:val="2"/>
          <w:numId w:val="10"/>
        </w:numPr>
        <w:tabs>
          <w:tab w:pos="1319" w:val="left" w:leader="none"/>
        </w:tabs>
        <w:spacing w:line="240" w:lineRule="auto" w:before="137" w:after="0"/>
        <w:ind w:left="1318" w:right="0" w:hanging="628"/>
        <w:jc w:val="both"/>
        <w:rPr>
          <w:sz w:val="24"/>
        </w:rPr>
      </w:pPr>
      <w:r>
        <w:rPr>
          <w:color w:val="212121"/>
          <w:sz w:val="24"/>
        </w:rPr>
        <w:t>y cumple con las especificaciones de</w:t>
      </w:r>
      <w:r>
        <w:rPr>
          <w:color w:val="212121"/>
          <w:spacing w:val="-15"/>
          <w:sz w:val="24"/>
        </w:rPr>
        <w:t> </w:t>
      </w:r>
      <w:r>
        <w:rPr>
          <w:color w:val="212121"/>
          <w:sz w:val="24"/>
        </w:rPr>
        <w:t>90-110%.</w:t>
      </w:r>
    </w:p>
    <w:p>
      <w:pPr>
        <w:pStyle w:val="BodyText"/>
        <w:spacing w:before="4"/>
        <w:rPr>
          <w:sz w:val="29"/>
        </w:rPr>
      </w:pPr>
    </w:p>
    <w:p>
      <w:pPr>
        <w:pStyle w:val="BodyText"/>
        <w:spacing w:line="360" w:lineRule="auto" w:before="1"/>
        <w:ind w:left="690" w:right="114"/>
        <w:jc w:val="both"/>
      </w:pPr>
      <w:r>
        <w:rPr>
          <w:color w:val="212121"/>
        </w:rPr>
        <w:t>La estabilidad de la solución estándar de trabajo (STD5) fue examinada por un período de 93 horas después de su preparación. La solución estándar de trabajo se almacenó a temperatura ambiente durante todo el período de tiempo evaluado. La solución estándar de trabajo se evaluó en el momento inicial, 22 y 93 horas. El % de recuperación se calculó contra el de una solución estándar fresca preparada para cada período.</w:t>
      </w:r>
    </w:p>
    <w:p>
      <w:pPr>
        <w:pStyle w:val="BodyText"/>
        <w:spacing w:before="202"/>
        <w:ind w:left="690"/>
        <w:jc w:val="both"/>
      </w:pPr>
      <w:r>
        <w:rPr>
          <w:color w:val="212121"/>
        </w:rPr>
        <w:t>El resultado  obtenido para el  % de  recuperación  se muestra  en  la  Tabla</w:t>
      </w:r>
    </w:p>
    <w:p>
      <w:pPr>
        <w:pStyle w:val="ListParagraph"/>
        <w:numPr>
          <w:ilvl w:val="2"/>
          <w:numId w:val="10"/>
        </w:numPr>
        <w:tabs>
          <w:tab w:pos="1319" w:val="left" w:leader="none"/>
        </w:tabs>
        <w:spacing w:line="240" w:lineRule="auto" w:before="139" w:after="0"/>
        <w:ind w:left="1318" w:right="0" w:hanging="628"/>
        <w:jc w:val="both"/>
        <w:rPr>
          <w:sz w:val="24"/>
        </w:rPr>
      </w:pPr>
      <w:r>
        <w:rPr>
          <w:color w:val="212121"/>
          <w:sz w:val="24"/>
        </w:rPr>
        <w:t>y cumple con las especificaciones de</w:t>
      </w:r>
      <w:r>
        <w:rPr>
          <w:color w:val="212121"/>
          <w:spacing w:val="-15"/>
          <w:sz w:val="24"/>
        </w:rPr>
        <w:t> </w:t>
      </w:r>
      <w:r>
        <w:rPr>
          <w:color w:val="212121"/>
          <w:sz w:val="24"/>
        </w:rPr>
        <w:t>90-110%.</w:t>
      </w:r>
    </w:p>
    <w:p>
      <w:pPr>
        <w:pStyle w:val="BodyText"/>
        <w:spacing w:before="4"/>
        <w:rPr>
          <w:sz w:val="29"/>
        </w:rPr>
      </w:pPr>
    </w:p>
    <w:p>
      <w:pPr>
        <w:pStyle w:val="BodyText"/>
        <w:spacing w:line="360" w:lineRule="auto" w:before="1"/>
        <w:ind w:left="690" w:right="116"/>
        <w:jc w:val="both"/>
      </w:pPr>
      <w:r>
        <w:rPr>
          <w:color w:val="212121"/>
        </w:rPr>
        <w:t>La estabilidad de la solución de muestra del producto A se examinó por un período de 22 horas después de su preparación. La solución muestra se almacenó a temperatura ambiente durante todo el período de tiempo medido y evaluado por duplicado en el momento inicial y 22 horas. La evaluación de la estabilidad de la solución de la muestra se realizó con un número de lote que cuenta con su certificado analítico, preparado en la concentración objetivo. Después de este tiempo, la respuesta de As, Cd, Hg y Pb no aumentaron ni disminuyeron por arriba del límite de cuantificación. Los resultados mostrados en la Tabla B.II.3 demuestran que la solución de muestra es estable durante 26 horas a temperatura</w:t>
      </w:r>
      <w:r>
        <w:rPr>
          <w:color w:val="212121"/>
          <w:spacing w:val="-21"/>
        </w:rPr>
        <w:t> </w:t>
      </w:r>
      <w:r>
        <w:rPr>
          <w:color w:val="212121"/>
        </w:rPr>
        <w:t>ambiente.</w:t>
      </w:r>
    </w:p>
    <w:p>
      <w:pPr>
        <w:pStyle w:val="BodyText"/>
      </w:pPr>
    </w:p>
    <w:p>
      <w:pPr>
        <w:pStyle w:val="BodyText"/>
      </w:pPr>
    </w:p>
    <w:p>
      <w:pPr>
        <w:pStyle w:val="BodyText"/>
        <w:spacing w:before="2"/>
        <w:rPr>
          <w:sz w:val="23"/>
        </w:rPr>
      </w:pPr>
    </w:p>
    <w:p>
      <w:pPr>
        <w:pStyle w:val="Heading1"/>
        <w:spacing w:line="276" w:lineRule="auto" w:after="4"/>
        <w:ind w:left="2725" w:right="448" w:hanging="1695"/>
        <w:jc w:val="left"/>
      </w:pPr>
      <w:r>
        <w:rPr/>
        <w:t>Tabla B.II.1. Resultados de la Estabilidad de la Solución Estándar Stock clase 1 </w:t>
      </w:r>
      <w:r>
        <w:rPr>
          <w:color w:val="212121"/>
        </w:rPr>
        <w:t>(% de Recobro)</w:t>
      </w:r>
    </w:p>
    <w:tbl>
      <w:tblPr>
        <w:tblW w:w="0" w:type="auto"/>
        <w:jc w:val="left"/>
        <w:tblInd w:w="567"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CellMar>
          <w:top w:w="0" w:type="dxa"/>
          <w:left w:w="0" w:type="dxa"/>
          <w:bottom w:w="0" w:type="dxa"/>
          <w:right w:w="0" w:type="dxa"/>
        </w:tblCellMar>
        <w:tblLook w:val="01E0"/>
      </w:tblPr>
      <w:tblGrid>
        <w:gridCol w:w="1609"/>
        <w:gridCol w:w="1723"/>
        <w:gridCol w:w="1464"/>
        <w:gridCol w:w="1462"/>
        <w:gridCol w:w="1380"/>
      </w:tblGrid>
      <w:tr>
        <w:trPr>
          <w:trHeight w:val="546" w:hRule="exact"/>
        </w:trPr>
        <w:tc>
          <w:tcPr>
            <w:tcW w:w="1609" w:type="dxa"/>
            <w:tcBorders>
              <w:left w:val="single" w:sz="12" w:space="0" w:color="000000"/>
              <w:bottom w:val="single" w:sz="12" w:space="0" w:color="000000"/>
              <w:right w:val="single" w:sz="12" w:space="0" w:color="000000"/>
            </w:tcBorders>
            <w:shd w:val="clear" w:color="auto" w:fill="D9D9D9"/>
          </w:tcPr>
          <w:p>
            <w:pPr>
              <w:pStyle w:val="TableParagraph"/>
              <w:spacing w:before="117"/>
              <w:ind w:left="362"/>
              <w:jc w:val="left"/>
              <w:rPr>
                <w:b/>
                <w:sz w:val="24"/>
              </w:rPr>
            </w:pPr>
            <w:r>
              <w:rPr>
                <w:b/>
                <w:sz w:val="24"/>
              </w:rPr>
              <w:t>Tiempo</w:t>
            </w:r>
          </w:p>
        </w:tc>
        <w:tc>
          <w:tcPr>
            <w:tcW w:w="1723" w:type="dxa"/>
            <w:tcBorders>
              <w:left w:val="single" w:sz="12" w:space="0" w:color="000000"/>
              <w:bottom w:val="single" w:sz="12" w:space="0" w:color="000000"/>
              <w:right w:val="single" w:sz="12" w:space="0" w:color="000000"/>
            </w:tcBorders>
            <w:shd w:val="clear" w:color="auto" w:fill="D9D9D9"/>
          </w:tcPr>
          <w:p>
            <w:pPr>
              <w:pStyle w:val="TableParagraph"/>
              <w:spacing w:before="117"/>
              <w:ind w:left="669" w:right="678"/>
              <w:rPr>
                <w:b/>
                <w:sz w:val="24"/>
              </w:rPr>
            </w:pPr>
            <w:r>
              <w:rPr>
                <w:b/>
                <w:sz w:val="24"/>
              </w:rPr>
              <w:t>As</w:t>
            </w:r>
          </w:p>
        </w:tc>
        <w:tc>
          <w:tcPr>
            <w:tcW w:w="1464" w:type="dxa"/>
            <w:tcBorders>
              <w:left w:val="single" w:sz="12" w:space="0" w:color="000000"/>
              <w:bottom w:val="single" w:sz="12" w:space="0" w:color="000000"/>
              <w:right w:val="single" w:sz="12" w:space="0" w:color="000000"/>
            </w:tcBorders>
            <w:shd w:val="clear" w:color="auto" w:fill="D9D9D9"/>
          </w:tcPr>
          <w:p>
            <w:pPr>
              <w:pStyle w:val="TableParagraph"/>
              <w:spacing w:before="117"/>
              <w:ind w:left="537" w:right="537"/>
              <w:rPr>
                <w:b/>
                <w:sz w:val="24"/>
              </w:rPr>
            </w:pPr>
            <w:r>
              <w:rPr>
                <w:b/>
                <w:sz w:val="24"/>
              </w:rPr>
              <w:t>Cd</w:t>
            </w:r>
          </w:p>
        </w:tc>
        <w:tc>
          <w:tcPr>
            <w:tcW w:w="1462" w:type="dxa"/>
            <w:tcBorders>
              <w:left w:val="single" w:sz="12" w:space="0" w:color="000000"/>
              <w:bottom w:val="single" w:sz="12" w:space="0" w:color="000000"/>
              <w:right w:val="single" w:sz="12" w:space="0" w:color="000000"/>
            </w:tcBorders>
            <w:shd w:val="clear" w:color="auto" w:fill="D9D9D9"/>
          </w:tcPr>
          <w:p>
            <w:pPr>
              <w:pStyle w:val="TableParagraph"/>
              <w:spacing w:before="117"/>
              <w:ind w:left="535" w:right="538"/>
              <w:rPr>
                <w:b/>
                <w:sz w:val="24"/>
              </w:rPr>
            </w:pPr>
            <w:r>
              <w:rPr>
                <w:b/>
                <w:sz w:val="24"/>
              </w:rPr>
              <w:t>Hg</w:t>
            </w:r>
          </w:p>
        </w:tc>
        <w:tc>
          <w:tcPr>
            <w:tcW w:w="1380" w:type="dxa"/>
            <w:tcBorders>
              <w:left w:val="single" w:sz="12" w:space="0" w:color="000000"/>
              <w:bottom w:val="single" w:sz="12" w:space="0" w:color="000000"/>
              <w:right w:val="single" w:sz="12" w:space="0" w:color="000000"/>
            </w:tcBorders>
            <w:shd w:val="clear" w:color="auto" w:fill="D9D9D9"/>
          </w:tcPr>
          <w:p>
            <w:pPr>
              <w:pStyle w:val="TableParagraph"/>
              <w:spacing w:before="117"/>
              <w:ind w:left="453" w:right="454"/>
              <w:rPr>
                <w:b/>
                <w:sz w:val="24"/>
              </w:rPr>
            </w:pPr>
            <w:r>
              <w:rPr>
                <w:b/>
                <w:sz w:val="24"/>
              </w:rPr>
              <w:t>Pb</w:t>
            </w:r>
          </w:p>
        </w:tc>
      </w:tr>
      <w:tr>
        <w:trPr>
          <w:trHeight w:val="545" w:hRule="exact"/>
        </w:trPr>
        <w:tc>
          <w:tcPr>
            <w:tcW w:w="1609" w:type="dxa"/>
            <w:tcBorders>
              <w:top w:val="single" w:sz="12" w:space="0" w:color="000000"/>
              <w:left w:val="single" w:sz="12" w:space="0" w:color="000000"/>
              <w:bottom w:val="single" w:sz="12" w:space="0" w:color="000000"/>
              <w:right w:val="single" w:sz="12" w:space="0" w:color="000000"/>
            </w:tcBorders>
          </w:tcPr>
          <w:p>
            <w:pPr>
              <w:pStyle w:val="TableParagraph"/>
              <w:spacing w:before="115"/>
              <w:ind w:left="321"/>
              <w:jc w:val="left"/>
              <w:rPr>
                <w:sz w:val="24"/>
              </w:rPr>
            </w:pPr>
            <w:r>
              <w:rPr>
                <w:sz w:val="24"/>
              </w:rPr>
              <w:t>22 horas</w:t>
            </w:r>
          </w:p>
        </w:tc>
        <w:tc>
          <w:tcPr>
            <w:tcW w:w="1723" w:type="dxa"/>
            <w:tcBorders>
              <w:top w:val="single" w:sz="12" w:space="0" w:color="000000"/>
              <w:left w:val="single" w:sz="12" w:space="0" w:color="000000"/>
              <w:bottom w:val="single" w:sz="12" w:space="0" w:color="000000"/>
              <w:right w:val="single" w:sz="12" w:space="0" w:color="000000"/>
            </w:tcBorders>
          </w:tcPr>
          <w:p>
            <w:pPr>
              <w:pStyle w:val="TableParagraph"/>
              <w:spacing w:before="115"/>
              <w:ind w:left="669" w:right="669"/>
              <w:rPr>
                <w:sz w:val="24"/>
              </w:rPr>
            </w:pPr>
            <w:r>
              <w:rPr>
                <w:sz w:val="24"/>
              </w:rPr>
              <w:t>96</w:t>
            </w:r>
          </w:p>
        </w:tc>
        <w:tc>
          <w:tcPr>
            <w:tcW w:w="1464" w:type="dxa"/>
            <w:tcBorders>
              <w:top w:val="single" w:sz="12" w:space="0" w:color="000000"/>
              <w:left w:val="single" w:sz="12" w:space="0" w:color="000000"/>
              <w:bottom w:val="single" w:sz="12" w:space="0" w:color="000000"/>
              <w:right w:val="single" w:sz="12" w:space="0" w:color="000000"/>
            </w:tcBorders>
          </w:tcPr>
          <w:p>
            <w:pPr>
              <w:pStyle w:val="TableParagraph"/>
              <w:spacing w:before="115"/>
              <w:ind w:left="537" w:right="537"/>
              <w:rPr>
                <w:sz w:val="24"/>
              </w:rPr>
            </w:pPr>
            <w:r>
              <w:rPr>
                <w:sz w:val="24"/>
              </w:rPr>
              <w:t>96</w:t>
            </w:r>
          </w:p>
        </w:tc>
        <w:tc>
          <w:tcPr>
            <w:tcW w:w="1462" w:type="dxa"/>
            <w:tcBorders>
              <w:top w:val="single" w:sz="12" w:space="0" w:color="000000"/>
              <w:left w:val="single" w:sz="12" w:space="0" w:color="000000"/>
              <w:bottom w:val="single" w:sz="12" w:space="0" w:color="000000"/>
              <w:right w:val="single" w:sz="12" w:space="0" w:color="000000"/>
            </w:tcBorders>
          </w:tcPr>
          <w:p>
            <w:pPr>
              <w:pStyle w:val="TableParagraph"/>
              <w:spacing w:before="115"/>
              <w:ind w:left="535" w:right="537"/>
              <w:rPr>
                <w:sz w:val="24"/>
              </w:rPr>
            </w:pPr>
            <w:r>
              <w:rPr>
                <w:sz w:val="24"/>
              </w:rPr>
              <w:t>97</w:t>
            </w:r>
          </w:p>
        </w:tc>
        <w:tc>
          <w:tcPr>
            <w:tcW w:w="1380" w:type="dxa"/>
            <w:tcBorders>
              <w:top w:val="single" w:sz="12" w:space="0" w:color="000000"/>
              <w:left w:val="single" w:sz="12" w:space="0" w:color="000000"/>
              <w:bottom w:val="single" w:sz="12" w:space="0" w:color="000000"/>
              <w:right w:val="single" w:sz="12" w:space="0" w:color="000000"/>
            </w:tcBorders>
          </w:tcPr>
          <w:p>
            <w:pPr>
              <w:pStyle w:val="TableParagraph"/>
              <w:spacing w:before="115"/>
              <w:ind w:left="456" w:right="454"/>
              <w:rPr>
                <w:sz w:val="24"/>
              </w:rPr>
            </w:pPr>
            <w:r>
              <w:rPr>
                <w:sz w:val="24"/>
              </w:rPr>
              <w:t>120</w:t>
            </w:r>
          </w:p>
        </w:tc>
      </w:tr>
    </w:tbl>
    <w:p>
      <w:pPr>
        <w:spacing w:after="0"/>
        <w:rPr>
          <w:sz w:val="24"/>
        </w:rPr>
        <w:sectPr>
          <w:pgSz w:w="12240" w:h="15840"/>
          <w:pgMar w:header="0" w:footer="859" w:top="1360" w:bottom="1100" w:left="1720" w:right="1580"/>
        </w:sectPr>
      </w:pPr>
    </w:p>
    <w:p>
      <w:pPr>
        <w:spacing w:line="276" w:lineRule="auto" w:before="56" w:after="4"/>
        <w:ind w:left="2660" w:right="274" w:hanging="1763"/>
        <w:jc w:val="left"/>
        <w:rPr>
          <w:b/>
          <w:sz w:val="24"/>
        </w:rPr>
      </w:pPr>
      <w:r>
        <w:rPr>
          <w:b/>
          <w:sz w:val="24"/>
        </w:rPr>
        <w:t>Tabla B.II.2. Resultados de la Estabilidad de la Solución Estándar de Trabajo clase 1 </w:t>
      </w:r>
      <w:r>
        <w:rPr>
          <w:b/>
          <w:color w:val="212121"/>
          <w:sz w:val="24"/>
        </w:rPr>
        <w:t>(% de Recobro)</w:t>
      </w:r>
    </w:p>
    <w:tbl>
      <w:tblPr>
        <w:tblW w:w="0" w:type="auto"/>
        <w:jc w:val="left"/>
        <w:tblInd w:w="1457"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CellMar>
          <w:top w:w="0" w:type="dxa"/>
          <w:left w:w="0" w:type="dxa"/>
          <w:bottom w:w="0" w:type="dxa"/>
          <w:right w:w="0" w:type="dxa"/>
        </w:tblCellMar>
        <w:tblLook w:val="01E0"/>
      </w:tblPr>
      <w:tblGrid>
        <w:gridCol w:w="1299"/>
        <w:gridCol w:w="1325"/>
        <w:gridCol w:w="1123"/>
        <w:gridCol w:w="1070"/>
        <w:gridCol w:w="1121"/>
      </w:tblGrid>
      <w:tr>
        <w:trPr>
          <w:trHeight w:val="546" w:hRule="exact"/>
        </w:trPr>
        <w:tc>
          <w:tcPr>
            <w:tcW w:w="1299" w:type="dxa"/>
            <w:shd w:val="clear" w:color="auto" w:fill="D9D9D9"/>
          </w:tcPr>
          <w:p>
            <w:pPr>
              <w:pStyle w:val="TableParagraph"/>
              <w:spacing w:before="117"/>
              <w:ind w:left="147" w:right="148"/>
              <w:rPr>
                <w:b/>
                <w:sz w:val="24"/>
              </w:rPr>
            </w:pPr>
            <w:r>
              <w:rPr>
                <w:b/>
                <w:sz w:val="24"/>
              </w:rPr>
              <w:t>Tiempo</w:t>
            </w:r>
          </w:p>
        </w:tc>
        <w:tc>
          <w:tcPr>
            <w:tcW w:w="1325" w:type="dxa"/>
            <w:shd w:val="clear" w:color="auto" w:fill="D9D9D9"/>
          </w:tcPr>
          <w:p>
            <w:pPr>
              <w:pStyle w:val="TableParagraph"/>
              <w:spacing w:before="117"/>
              <w:ind w:right="506"/>
              <w:jc w:val="right"/>
              <w:rPr>
                <w:b/>
                <w:sz w:val="24"/>
              </w:rPr>
            </w:pPr>
            <w:r>
              <w:rPr>
                <w:b/>
                <w:sz w:val="24"/>
              </w:rPr>
              <w:t>As</w:t>
            </w:r>
          </w:p>
        </w:tc>
        <w:tc>
          <w:tcPr>
            <w:tcW w:w="1123" w:type="dxa"/>
            <w:shd w:val="clear" w:color="auto" w:fill="D9D9D9"/>
          </w:tcPr>
          <w:p>
            <w:pPr>
              <w:pStyle w:val="TableParagraph"/>
              <w:spacing w:before="117"/>
              <w:ind w:left="367" w:right="367"/>
              <w:rPr>
                <w:b/>
                <w:sz w:val="24"/>
              </w:rPr>
            </w:pPr>
            <w:r>
              <w:rPr>
                <w:b/>
                <w:sz w:val="24"/>
              </w:rPr>
              <w:t>Cd</w:t>
            </w:r>
          </w:p>
        </w:tc>
        <w:tc>
          <w:tcPr>
            <w:tcW w:w="1070" w:type="dxa"/>
            <w:shd w:val="clear" w:color="auto" w:fill="D9D9D9"/>
          </w:tcPr>
          <w:p>
            <w:pPr>
              <w:pStyle w:val="TableParagraph"/>
              <w:spacing w:before="117"/>
              <w:ind w:left="340" w:right="340"/>
              <w:rPr>
                <w:b/>
                <w:sz w:val="24"/>
              </w:rPr>
            </w:pPr>
            <w:r>
              <w:rPr>
                <w:b/>
                <w:sz w:val="24"/>
              </w:rPr>
              <w:t>Hg</w:t>
            </w:r>
          </w:p>
        </w:tc>
        <w:tc>
          <w:tcPr>
            <w:tcW w:w="1121" w:type="dxa"/>
            <w:shd w:val="clear" w:color="auto" w:fill="D9D9D9"/>
          </w:tcPr>
          <w:p>
            <w:pPr>
              <w:pStyle w:val="TableParagraph"/>
              <w:spacing w:before="117"/>
              <w:ind w:left="391"/>
              <w:jc w:val="left"/>
              <w:rPr>
                <w:b/>
                <w:sz w:val="24"/>
              </w:rPr>
            </w:pPr>
            <w:r>
              <w:rPr>
                <w:b/>
                <w:sz w:val="24"/>
              </w:rPr>
              <w:t>Pb</w:t>
            </w:r>
          </w:p>
        </w:tc>
      </w:tr>
      <w:tr>
        <w:trPr>
          <w:trHeight w:val="754" w:hRule="exact"/>
        </w:trPr>
        <w:tc>
          <w:tcPr>
            <w:tcW w:w="1299" w:type="dxa"/>
            <w:tcBorders>
              <w:bottom w:val="single" w:sz="8" w:space="0" w:color="000000"/>
            </w:tcBorders>
          </w:tcPr>
          <w:p>
            <w:pPr>
              <w:pStyle w:val="TableParagraph"/>
              <w:spacing w:before="2"/>
              <w:jc w:val="left"/>
              <w:rPr>
                <w:b/>
                <w:sz w:val="19"/>
              </w:rPr>
            </w:pPr>
          </w:p>
          <w:p>
            <w:pPr>
              <w:pStyle w:val="TableParagraph"/>
              <w:spacing w:before="1"/>
              <w:ind w:left="148" w:right="148"/>
              <w:rPr>
                <w:sz w:val="24"/>
              </w:rPr>
            </w:pPr>
            <w:r>
              <w:rPr>
                <w:sz w:val="24"/>
              </w:rPr>
              <w:t>22 horas</w:t>
            </w:r>
          </w:p>
        </w:tc>
        <w:tc>
          <w:tcPr>
            <w:tcW w:w="1325" w:type="dxa"/>
            <w:tcBorders>
              <w:bottom w:val="single" w:sz="8" w:space="0" w:color="000000"/>
            </w:tcBorders>
          </w:tcPr>
          <w:p>
            <w:pPr>
              <w:pStyle w:val="TableParagraph"/>
              <w:spacing w:before="2"/>
              <w:jc w:val="left"/>
              <w:rPr>
                <w:b/>
                <w:sz w:val="19"/>
              </w:rPr>
            </w:pPr>
          </w:p>
          <w:p>
            <w:pPr>
              <w:pStyle w:val="TableParagraph"/>
              <w:spacing w:before="1"/>
              <w:ind w:right="513"/>
              <w:jc w:val="right"/>
              <w:rPr>
                <w:sz w:val="24"/>
              </w:rPr>
            </w:pPr>
            <w:r>
              <w:rPr>
                <w:sz w:val="24"/>
              </w:rPr>
              <w:t>94</w:t>
            </w:r>
          </w:p>
        </w:tc>
        <w:tc>
          <w:tcPr>
            <w:tcW w:w="1123" w:type="dxa"/>
            <w:tcBorders>
              <w:bottom w:val="single" w:sz="8" w:space="0" w:color="000000"/>
            </w:tcBorders>
          </w:tcPr>
          <w:p>
            <w:pPr>
              <w:pStyle w:val="TableParagraph"/>
              <w:spacing w:before="2"/>
              <w:jc w:val="left"/>
              <w:rPr>
                <w:b/>
                <w:sz w:val="19"/>
              </w:rPr>
            </w:pPr>
          </w:p>
          <w:p>
            <w:pPr>
              <w:pStyle w:val="TableParagraph"/>
              <w:spacing w:before="1"/>
              <w:ind w:left="367" w:right="367"/>
              <w:rPr>
                <w:sz w:val="24"/>
              </w:rPr>
            </w:pPr>
            <w:r>
              <w:rPr>
                <w:sz w:val="24"/>
              </w:rPr>
              <w:t>97</w:t>
            </w:r>
          </w:p>
        </w:tc>
        <w:tc>
          <w:tcPr>
            <w:tcW w:w="1070" w:type="dxa"/>
            <w:tcBorders>
              <w:bottom w:val="single" w:sz="8" w:space="0" w:color="000000"/>
            </w:tcBorders>
          </w:tcPr>
          <w:p>
            <w:pPr>
              <w:pStyle w:val="TableParagraph"/>
              <w:spacing w:before="2"/>
              <w:jc w:val="left"/>
              <w:rPr>
                <w:b/>
                <w:sz w:val="19"/>
              </w:rPr>
            </w:pPr>
          </w:p>
          <w:p>
            <w:pPr>
              <w:pStyle w:val="TableParagraph"/>
              <w:spacing w:before="1"/>
              <w:ind w:left="340" w:right="340"/>
              <w:rPr>
                <w:sz w:val="24"/>
              </w:rPr>
            </w:pPr>
            <w:r>
              <w:rPr>
                <w:sz w:val="24"/>
              </w:rPr>
              <w:t>96</w:t>
            </w:r>
          </w:p>
        </w:tc>
        <w:tc>
          <w:tcPr>
            <w:tcW w:w="1121" w:type="dxa"/>
            <w:tcBorders>
              <w:bottom w:val="single" w:sz="8" w:space="0" w:color="000000"/>
            </w:tcBorders>
          </w:tcPr>
          <w:p>
            <w:pPr>
              <w:pStyle w:val="TableParagraph"/>
              <w:spacing w:before="2"/>
              <w:jc w:val="left"/>
              <w:rPr>
                <w:b/>
                <w:sz w:val="19"/>
              </w:rPr>
            </w:pPr>
          </w:p>
          <w:p>
            <w:pPr>
              <w:pStyle w:val="TableParagraph"/>
              <w:spacing w:before="1"/>
              <w:ind w:left="413"/>
              <w:jc w:val="left"/>
              <w:rPr>
                <w:sz w:val="24"/>
              </w:rPr>
            </w:pPr>
            <w:r>
              <w:rPr>
                <w:sz w:val="24"/>
              </w:rPr>
              <w:t>95</w:t>
            </w:r>
          </w:p>
        </w:tc>
      </w:tr>
      <w:tr>
        <w:trPr>
          <w:trHeight w:val="701" w:hRule="exact"/>
        </w:trPr>
        <w:tc>
          <w:tcPr>
            <w:tcW w:w="1299" w:type="dxa"/>
            <w:tcBorders>
              <w:top w:val="single" w:sz="8" w:space="0" w:color="000000"/>
            </w:tcBorders>
          </w:tcPr>
          <w:p>
            <w:pPr>
              <w:pStyle w:val="TableParagraph"/>
              <w:spacing w:before="197"/>
              <w:ind w:left="148" w:right="148"/>
              <w:rPr>
                <w:sz w:val="24"/>
              </w:rPr>
            </w:pPr>
            <w:r>
              <w:rPr>
                <w:sz w:val="24"/>
              </w:rPr>
              <w:t>93 horas</w:t>
            </w:r>
          </w:p>
        </w:tc>
        <w:tc>
          <w:tcPr>
            <w:tcW w:w="1325" w:type="dxa"/>
            <w:tcBorders>
              <w:top w:val="single" w:sz="8" w:space="0" w:color="000000"/>
            </w:tcBorders>
          </w:tcPr>
          <w:p>
            <w:pPr>
              <w:pStyle w:val="TableParagraph"/>
              <w:spacing w:before="197"/>
              <w:ind w:right="444"/>
              <w:jc w:val="right"/>
              <w:rPr>
                <w:sz w:val="24"/>
              </w:rPr>
            </w:pPr>
            <w:r>
              <w:rPr>
                <w:w w:val="95"/>
                <w:sz w:val="24"/>
              </w:rPr>
              <w:t>100</w:t>
            </w:r>
          </w:p>
        </w:tc>
        <w:tc>
          <w:tcPr>
            <w:tcW w:w="1123" w:type="dxa"/>
            <w:tcBorders>
              <w:top w:val="single" w:sz="8" w:space="0" w:color="000000"/>
            </w:tcBorders>
          </w:tcPr>
          <w:p>
            <w:pPr>
              <w:pStyle w:val="TableParagraph"/>
              <w:spacing w:before="197"/>
              <w:ind w:left="367" w:right="367"/>
              <w:rPr>
                <w:sz w:val="24"/>
              </w:rPr>
            </w:pPr>
            <w:r>
              <w:rPr>
                <w:sz w:val="24"/>
              </w:rPr>
              <w:t>99</w:t>
            </w:r>
          </w:p>
        </w:tc>
        <w:tc>
          <w:tcPr>
            <w:tcW w:w="1070" w:type="dxa"/>
            <w:tcBorders>
              <w:top w:val="single" w:sz="8" w:space="0" w:color="000000"/>
            </w:tcBorders>
          </w:tcPr>
          <w:p>
            <w:pPr>
              <w:pStyle w:val="TableParagraph"/>
              <w:spacing w:before="197"/>
              <w:ind w:left="340" w:right="340"/>
              <w:rPr>
                <w:sz w:val="24"/>
              </w:rPr>
            </w:pPr>
            <w:r>
              <w:rPr>
                <w:sz w:val="24"/>
              </w:rPr>
              <w:t>96</w:t>
            </w:r>
          </w:p>
        </w:tc>
        <w:tc>
          <w:tcPr>
            <w:tcW w:w="1121" w:type="dxa"/>
            <w:tcBorders>
              <w:top w:val="single" w:sz="8" w:space="0" w:color="000000"/>
            </w:tcBorders>
          </w:tcPr>
          <w:p>
            <w:pPr>
              <w:pStyle w:val="TableParagraph"/>
              <w:spacing w:before="197"/>
              <w:ind w:left="413"/>
              <w:jc w:val="left"/>
              <w:rPr>
                <w:sz w:val="24"/>
              </w:rPr>
            </w:pPr>
            <w:r>
              <w:rPr>
                <w:sz w:val="24"/>
              </w:rPr>
              <w:t>97</w:t>
            </w:r>
          </w:p>
        </w:tc>
      </w:tr>
    </w:tbl>
    <w:p>
      <w:pPr>
        <w:pStyle w:val="BodyText"/>
        <w:rPr>
          <w:b/>
          <w:sz w:val="20"/>
        </w:rPr>
      </w:pPr>
    </w:p>
    <w:p>
      <w:pPr>
        <w:pStyle w:val="BodyText"/>
        <w:spacing w:before="3"/>
        <w:rPr>
          <w:b/>
          <w:sz w:val="29"/>
        </w:rPr>
      </w:pPr>
    </w:p>
    <w:p>
      <w:pPr>
        <w:spacing w:before="70" w:after="44"/>
        <w:ind w:left="1126" w:right="274" w:firstLine="0"/>
        <w:jc w:val="left"/>
        <w:rPr>
          <w:b/>
          <w:sz w:val="24"/>
        </w:rPr>
      </w:pPr>
      <w:r>
        <w:rPr>
          <w:b/>
          <w:sz w:val="24"/>
        </w:rPr>
        <w:t>Tabla B.II.3. Resultados de la Estabilidad de la Solución Muestra</w:t>
      </w:r>
    </w:p>
    <w:tbl>
      <w:tblPr>
        <w:tblW w:w="0" w:type="auto"/>
        <w:jc w:val="left"/>
        <w:tblInd w:w="1056"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CellMar>
          <w:top w:w="0" w:type="dxa"/>
          <w:left w:w="0" w:type="dxa"/>
          <w:bottom w:w="0" w:type="dxa"/>
          <w:right w:w="0" w:type="dxa"/>
        </w:tblCellMar>
        <w:tblLook w:val="01E0"/>
      </w:tblPr>
      <w:tblGrid>
        <w:gridCol w:w="2540"/>
        <w:gridCol w:w="4201"/>
      </w:tblGrid>
      <w:tr>
        <w:trPr>
          <w:trHeight w:val="426" w:hRule="exact"/>
        </w:trPr>
        <w:tc>
          <w:tcPr>
            <w:tcW w:w="2540" w:type="dxa"/>
            <w:tcBorders>
              <w:left w:val="single" w:sz="12" w:space="0" w:color="000000"/>
              <w:bottom w:val="single" w:sz="12" w:space="0" w:color="000000"/>
              <w:right w:val="single" w:sz="12" w:space="0" w:color="000000"/>
            </w:tcBorders>
            <w:shd w:val="clear" w:color="auto" w:fill="D9D9D9"/>
          </w:tcPr>
          <w:p>
            <w:pPr>
              <w:pStyle w:val="TableParagraph"/>
              <w:spacing w:before="117"/>
              <w:ind w:left="766" w:right="768"/>
              <w:rPr>
                <w:b/>
                <w:sz w:val="24"/>
              </w:rPr>
            </w:pPr>
            <w:r>
              <w:rPr>
                <w:b/>
                <w:sz w:val="24"/>
              </w:rPr>
              <w:t>Tiempo</w:t>
            </w:r>
          </w:p>
        </w:tc>
        <w:tc>
          <w:tcPr>
            <w:tcW w:w="4201" w:type="dxa"/>
            <w:tcBorders>
              <w:left w:val="single" w:sz="12" w:space="0" w:color="000000"/>
              <w:bottom w:val="single" w:sz="12" w:space="0" w:color="000000"/>
              <w:right w:val="single" w:sz="12" w:space="0" w:color="000000"/>
            </w:tcBorders>
            <w:shd w:val="clear" w:color="auto" w:fill="D9D9D9"/>
          </w:tcPr>
          <w:p>
            <w:pPr>
              <w:pStyle w:val="TableParagraph"/>
              <w:spacing w:before="117"/>
              <w:ind w:left="1486" w:right="1486"/>
              <w:rPr>
                <w:b/>
                <w:sz w:val="24"/>
              </w:rPr>
            </w:pPr>
            <w:r>
              <w:rPr>
                <w:b/>
                <w:sz w:val="24"/>
              </w:rPr>
              <w:t>Resultado</w:t>
            </w:r>
          </w:p>
        </w:tc>
      </w:tr>
      <w:tr>
        <w:trPr>
          <w:trHeight w:val="977" w:hRule="exact"/>
        </w:trPr>
        <w:tc>
          <w:tcPr>
            <w:tcW w:w="2540" w:type="dxa"/>
            <w:tcBorders>
              <w:top w:val="single" w:sz="12" w:space="0" w:color="000000"/>
              <w:left w:val="single" w:sz="12" w:space="0" w:color="000000"/>
              <w:bottom w:val="single" w:sz="12" w:space="0" w:color="000000"/>
              <w:right w:val="single" w:sz="12" w:space="0" w:color="000000"/>
            </w:tcBorders>
          </w:tcPr>
          <w:p>
            <w:pPr>
              <w:pStyle w:val="TableParagraph"/>
              <w:jc w:val="left"/>
              <w:rPr>
                <w:b/>
                <w:sz w:val="34"/>
              </w:rPr>
            </w:pPr>
          </w:p>
          <w:p>
            <w:pPr>
              <w:pStyle w:val="TableParagraph"/>
              <w:ind w:left="768" w:right="768"/>
              <w:rPr>
                <w:sz w:val="24"/>
              </w:rPr>
            </w:pPr>
            <w:r>
              <w:rPr>
                <w:sz w:val="24"/>
              </w:rPr>
              <w:t>26 horas</w:t>
            </w:r>
          </w:p>
        </w:tc>
        <w:tc>
          <w:tcPr>
            <w:tcW w:w="4201" w:type="dxa"/>
            <w:tcBorders>
              <w:top w:val="single" w:sz="12" w:space="0" w:color="000000"/>
              <w:left w:val="single" w:sz="12" w:space="0" w:color="000000"/>
              <w:bottom w:val="single" w:sz="12" w:space="0" w:color="000000"/>
              <w:right w:val="single" w:sz="12" w:space="0" w:color="000000"/>
            </w:tcBorders>
          </w:tcPr>
          <w:p>
            <w:pPr>
              <w:pStyle w:val="TableParagraph"/>
              <w:spacing w:before="115"/>
              <w:ind w:left="196" w:right="198" w:firstLine="1"/>
              <w:rPr>
                <w:sz w:val="24"/>
              </w:rPr>
            </w:pPr>
            <w:r>
              <w:rPr>
                <w:color w:val="212121"/>
                <w:sz w:val="24"/>
              </w:rPr>
              <w:t>Las respuestas de As, Cd, Hg y Pb no aumentaron ni disminuyeron por arriba del límite de cuantificación</w:t>
            </w:r>
          </w:p>
        </w:tc>
      </w:tr>
    </w:tbl>
    <w:p>
      <w:pPr>
        <w:pStyle w:val="BodyText"/>
        <w:rPr>
          <w:b/>
          <w:sz w:val="20"/>
        </w:rPr>
      </w:pPr>
    </w:p>
    <w:p>
      <w:pPr>
        <w:pStyle w:val="BodyText"/>
        <w:spacing w:before="1"/>
        <w:rPr>
          <w:b/>
          <w:sz w:val="29"/>
        </w:rPr>
      </w:pPr>
    </w:p>
    <w:p>
      <w:pPr>
        <w:pStyle w:val="ListParagraph"/>
        <w:numPr>
          <w:ilvl w:val="0"/>
          <w:numId w:val="9"/>
        </w:numPr>
        <w:tabs>
          <w:tab w:pos="741" w:val="left" w:leader="none"/>
          <w:tab w:pos="742" w:val="left" w:leader="none"/>
        </w:tabs>
        <w:spacing w:line="240" w:lineRule="auto" w:before="69" w:after="0"/>
        <w:ind w:left="742" w:right="0" w:hanging="627"/>
        <w:jc w:val="left"/>
        <w:rPr>
          <w:b/>
          <w:sz w:val="24"/>
        </w:rPr>
      </w:pPr>
      <w:r>
        <w:rPr>
          <w:b/>
          <w:sz w:val="24"/>
        </w:rPr>
        <w:t>Linealidad</w:t>
      </w:r>
    </w:p>
    <w:p>
      <w:pPr>
        <w:pStyle w:val="BodyText"/>
        <w:spacing w:before="7"/>
        <w:rPr>
          <w:b/>
        </w:rPr>
      </w:pPr>
    </w:p>
    <w:p>
      <w:pPr>
        <w:pStyle w:val="BodyText"/>
        <w:spacing w:line="360" w:lineRule="auto"/>
        <w:ind w:left="730" w:right="119"/>
        <w:jc w:val="both"/>
      </w:pPr>
      <w:r>
        <w:rPr>
          <w:color w:val="212121"/>
        </w:rPr>
        <w:t>La linealidad de la respuesta para As, Cd, Hg y Pb se determinó con ocho concentraciones que cubren el rango desde límite de detección (LD) hasta el 200% de la concentración</w:t>
      </w:r>
      <w:r>
        <w:rPr>
          <w:color w:val="212121"/>
          <w:spacing w:val="-16"/>
        </w:rPr>
        <w:t> </w:t>
      </w:r>
      <w:r>
        <w:rPr>
          <w:color w:val="212121"/>
        </w:rPr>
        <w:t>objetivo</w:t>
      </w:r>
    </w:p>
    <w:p>
      <w:pPr>
        <w:pStyle w:val="BodyText"/>
        <w:spacing w:before="3"/>
        <w:rPr>
          <w:sz w:val="21"/>
        </w:rPr>
      </w:pPr>
    </w:p>
    <w:p>
      <w:pPr>
        <w:pStyle w:val="BodyText"/>
        <w:spacing w:line="360" w:lineRule="auto"/>
        <w:ind w:left="730" w:right="118"/>
        <w:jc w:val="both"/>
      </w:pPr>
      <w:r>
        <w:rPr>
          <w:color w:val="212121"/>
        </w:rPr>
        <w:t>La solución stock se diluyó en serie con diluyente para producir soluciones que contienen As, Cd, Hg y Pb en los intervalos descritos en las Tablas</w:t>
      </w:r>
    </w:p>
    <w:p>
      <w:pPr>
        <w:pStyle w:val="BodyText"/>
        <w:spacing w:before="5"/>
        <w:ind w:left="730"/>
        <w:jc w:val="both"/>
      </w:pPr>
      <w:r>
        <w:rPr>
          <w:color w:val="212121"/>
        </w:rPr>
        <w:t>B.III.1 – B.III.4. Cada solución se inyectó una vez.</w:t>
      </w:r>
    </w:p>
    <w:p>
      <w:pPr>
        <w:pStyle w:val="BodyText"/>
        <w:spacing w:before="8"/>
        <w:rPr>
          <w:sz w:val="32"/>
        </w:rPr>
      </w:pPr>
    </w:p>
    <w:p>
      <w:pPr>
        <w:pStyle w:val="BodyText"/>
        <w:spacing w:line="355" w:lineRule="auto" w:before="1"/>
        <w:ind w:left="730" w:right="116"/>
        <w:jc w:val="both"/>
      </w:pPr>
      <w:r>
        <w:rPr>
          <w:color w:val="212121"/>
        </w:rPr>
        <w:t>Los resultados se tabulan en las Tablas III.1 – III.4 y los gráficos de relación lineal se muestran en las Figuras B.III.1 – B.III.4. Los análisis de regresión para As, Cd, Hg y Pb muestran coeficientes de determinación que cumplen con la especificación para el valor r</w:t>
      </w:r>
      <w:r>
        <w:rPr>
          <w:color w:val="212121"/>
          <w:position w:val="11"/>
          <w:sz w:val="16"/>
        </w:rPr>
        <w:t>2 </w:t>
      </w:r>
      <w:r>
        <w:rPr>
          <w:color w:val="212121"/>
        </w:rPr>
        <w:t>de </w:t>
      </w:r>
      <w:r>
        <w:rPr>
          <w:rFonts w:ascii="Symbol" w:hAnsi="Symbol"/>
          <w:color w:val="212121"/>
        </w:rPr>
        <w:t></w:t>
      </w:r>
      <w:r>
        <w:rPr>
          <w:rFonts w:ascii="Times New Roman" w:hAnsi="Times New Roman"/>
          <w:color w:val="212121"/>
        </w:rPr>
        <w:t> </w:t>
      </w:r>
      <w:r>
        <w:rPr>
          <w:color w:val="212121"/>
        </w:rPr>
        <w:t>0,99, lo que confirma la linealidad del método.</w:t>
      </w:r>
    </w:p>
    <w:p>
      <w:pPr>
        <w:spacing w:after="0" w:line="355" w:lineRule="auto"/>
        <w:jc w:val="both"/>
        <w:sectPr>
          <w:pgSz w:w="12240" w:h="15840"/>
          <w:pgMar w:header="0" w:footer="859" w:top="1360" w:bottom="1100" w:left="1680" w:right="1580"/>
        </w:sectPr>
      </w:pPr>
    </w:p>
    <w:p>
      <w:pPr>
        <w:pStyle w:val="Heading1"/>
        <w:spacing w:before="54" w:after="47"/>
        <w:ind w:left="1294"/>
        <w:jc w:val="left"/>
      </w:pPr>
      <w:r>
        <w:rPr/>
        <w:t>Tabla B.III.1. Resultados de la Linealidad de la respuesta para As</w:t>
      </w:r>
    </w:p>
    <w:tbl>
      <w:tblPr>
        <w:tblW w:w="0" w:type="auto"/>
        <w:jc w:val="left"/>
        <w:tblInd w:w="1407"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CellMar>
          <w:top w:w="0" w:type="dxa"/>
          <w:left w:w="0" w:type="dxa"/>
          <w:bottom w:w="0" w:type="dxa"/>
          <w:right w:w="0" w:type="dxa"/>
        </w:tblCellMar>
        <w:tblLook w:val="01E0"/>
      </w:tblPr>
      <w:tblGrid>
        <w:gridCol w:w="2101"/>
        <w:gridCol w:w="2547"/>
        <w:gridCol w:w="2768"/>
      </w:tblGrid>
      <w:tr>
        <w:trPr>
          <w:trHeight w:val="582" w:hRule="exact"/>
        </w:trPr>
        <w:tc>
          <w:tcPr>
            <w:tcW w:w="2101" w:type="dxa"/>
            <w:shd w:val="clear" w:color="auto" w:fill="D9D9D9"/>
          </w:tcPr>
          <w:p>
            <w:pPr>
              <w:pStyle w:val="TableParagraph"/>
              <w:spacing w:before="133"/>
              <w:ind w:left="35" w:right="36"/>
              <w:rPr>
                <w:b/>
                <w:sz w:val="24"/>
              </w:rPr>
            </w:pPr>
            <w:r>
              <w:rPr>
                <w:b/>
                <w:sz w:val="24"/>
              </w:rPr>
              <w:t>% Concentración</w:t>
            </w:r>
          </w:p>
        </w:tc>
        <w:tc>
          <w:tcPr>
            <w:tcW w:w="2547" w:type="dxa"/>
            <w:shd w:val="clear" w:color="auto" w:fill="D9D9D9"/>
          </w:tcPr>
          <w:p>
            <w:pPr>
              <w:pStyle w:val="TableParagraph"/>
              <w:spacing w:before="133"/>
              <w:ind w:left="36" w:right="36"/>
              <w:rPr>
                <w:b/>
                <w:sz w:val="24"/>
              </w:rPr>
            </w:pPr>
            <w:r>
              <w:rPr>
                <w:b/>
                <w:sz w:val="24"/>
              </w:rPr>
              <w:t>Concentración (µg/L)</w:t>
            </w:r>
          </w:p>
        </w:tc>
        <w:tc>
          <w:tcPr>
            <w:tcW w:w="2768" w:type="dxa"/>
            <w:shd w:val="clear" w:color="auto" w:fill="D9D9D9"/>
          </w:tcPr>
          <w:p>
            <w:pPr>
              <w:pStyle w:val="TableParagraph"/>
              <w:ind w:left="55" w:right="37" w:firstLine="706"/>
              <w:jc w:val="left"/>
              <w:rPr>
                <w:b/>
                <w:sz w:val="24"/>
              </w:rPr>
            </w:pPr>
            <w:r>
              <w:rPr>
                <w:b/>
                <w:sz w:val="24"/>
              </w:rPr>
              <w:t>Respuesta (Relación CPS</w:t>
            </w:r>
            <w:r>
              <w:rPr>
                <w:b/>
                <w:position w:val="-2"/>
                <w:sz w:val="16"/>
              </w:rPr>
              <w:t>As</w:t>
            </w:r>
            <w:r>
              <w:rPr>
                <w:b/>
                <w:sz w:val="24"/>
              </w:rPr>
              <w:t>/CPS</w:t>
            </w:r>
            <w:r>
              <w:rPr>
                <w:b/>
                <w:position w:val="-2"/>
                <w:sz w:val="16"/>
              </w:rPr>
              <w:t>In</w:t>
            </w:r>
            <w:r>
              <w:rPr>
                <w:b/>
                <w:sz w:val="24"/>
              </w:rPr>
              <w:t>)</w:t>
            </w:r>
          </w:p>
        </w:tc>
      </w:tr>
      <w:tr>
        <w:trPr>
          <w:trHeight w:val="398" w:hRule="exact"/>
        </w:trPr>
        <w:tc>
          <w:tcPr>
            <w:tcW w:w="2101" w:type="dxa"/>
            <w:tcBorders>
              <w:bottom w:val="single" w:sz="8" w:space="0" w:color="000000"/>
            </w:tcBorders>
          </w:tcPr>
          <w:p>
            <w:pPr>
              <w:pStyle w:val="TableParagraph"/>
              <w:spacing w:before="43"/>
              <w:ind w:left="35" w:right="36"/>
              <w:rPr>
                <w:sz w:val="24"/>
              </w:rPr>
            </w:pPr>
            <w:r>
              <w:rPr>
                <w:sz w:val="24"/>
              </w:rPr>
              <w:t>LD</w:t>
            </w:r>
          </w:p>
        </w:tc>
        <w:tc>
          <w:tcPr>
            <w:tcW w:w="2547" w:type="dxa"/>
            <w:tcBorders>
              <w:bottom w:val="single" w:sz="8" w:space="0" w:color="000000"/>
            </w:tcBorders>
          </w:tcPr>
          <w:p>
            <w:pPr>
              <w:pStyle w:val="TableParagraph"/>
              <w:spacing w:before="43"/>
              <w:ind w:left="35" w:right="36"/>
              <w:rPr>
                <w:sz w:val="24"/>
              </w:rPr>
            </w:pPr>
            <w:r>
              <w:rPr>
                <w:sz w:val="24"/>
              </w:rPr>
              <w:t>0.7500</w:t>
            </w:r>
          </w:p>
        </w:tc>
        <w:tc>
          <w:tcPr>
            <w:tcW w:w="2768" w:type="dxa"/>
            <w:tcBorders>
              <w:bottom w:val="single" w:sz="8" w:space="0" w:color="000000"/>
            </w:tcBorders>
          </w:tcPr>
          <w:p>
            <w:pPr>
              <w:pStyle w:val="TableParagraph"/>
              <w:spacing w:before="43"/>
              <w:ind w:left="915" w:right="916"/>
              <w:rPr>
                <w:sz w:val="24"/>
              </w:rPr>
            </w:pPr>
            <w:r>
              <w:rPr>
                <w:sz w:val="24"/>
              </w:rPr>
              <w:t>0.00081</w:t>
            </w:r>
          </w:p>
        </w:tc>
      </w:tr>
      <w:tr>
        <w:trPr>
          <w:trHeight w:val="394" w:hRule="exact"/>
        </w:trPr>
        <w:tc>
          <w:tcPr>
            <w:tcW w:w="2101" w:type="dxa"/>
            <w:tcBorders>
              <w:top w:val="single" w:sz="8" w:space="0" w:color="000000"/>
              <w:bottom w:val="single" w:sz="8" w:space="0" w:color="000000"/>
            </w:tcBorders>
          </w:tcPr>
          <w:p>
            <w:pPr>
              <w:pStyle w:val="TableParagraph"/>
              <w:spacing w:before="46"/>
              <w:ind w:left="35" w:right="36"/>
              <w:rPr>
                <w:sz w:val="24"/>
              </w:rPr>
            </w:pPr>
            <w:r>
              <w:rPr>
                <w:sz w:val="24"/>
              </w:rPr>
              <w:t>LC</w:t>
            </w:r>
          </w:p>
        </w:tc>
        <w:tc>
          <w:tcPr>
            <w:tcW w:w="2547" w:type="dxa"/>
            <w:tcBorders>
              <w:top w:val="single" w:sz="8" w:space="0" w:color="000000"/>
              <w:bottom w:val="single" w:sz="8" w:space="0" w:color="000000"/>
            </w:tcBorders>
          </w:tcPr>
          <w:p>
            <w:pPr>
              <w:pStyle w:val="TableParagraph"/>
              <w:spacing w:before="46"/>
              <w:ind w:left="35" w:right="36"/>
              <w:rPr>
                <w:sz w:val="24"/>
              </w:rPr>
            </w:pPr>
            <w:r>
              <w:rPr>
                <w:sz w:val="24"/>
              </w:rPr>
              <w:t>1.5000</w:t>
            </w:r>
          </w:p>
        </w:tc>
        <w:tc>
          <w:tcPr>
            <w:tcW w:w="2768" w:type="dxa"/>
            <w:tcBorders>
              <w:top w:val="single" w:sz="8" w:space="0" w:color="000000"/>
              <w:bottom w:val="single" w:sz="8" w:space="0" w:color="000000"/>
            </w:tcBorders>
          </w:tcPr>
          <w:p>
            <w:pPr>
              <w:pStyle w:val="TableParagraph"/>
              <w:spacing w:before="46"/>
              <w:ind w:left="915" w:right="916"/>
              <w:rPr>
                <w:sz w:val="24"/>
              </w:rPr>
            </w:pPr>
            <w:r>
              <w:rPr>
                <w:sz w:val="24"/>
              </w:rPr>
              <w:t>0.00140</w:t>
            </w:r>
          </w:p>
        </w:tc>
      </w:tr>
      <w:tr>
        <w:trPr>
          <w:trHeight w:val="394" w:hRule="exact"/>
        </w:trPr>
        <w:tc>
          <w:tcPr>
            <w:tcW w:w="2101" w:type="dxa"/>
            <w:tcBorders>
              <w:top w:val="single" w:sz="8" w:space="0" w:color="000000"/>
              <w:bottom w:val="single" w:sz="8" w:space="0" w:color="000000"/>
            </w:tcBorders>
          </w:tcPr>
          <w:p>
            <w:pPr>
              <w:pStyle w:val="TableParagraph"/>
              <w:spacing w:before="46"/>
              <w:ind w:left="35" w:right="32"/>
              <w:rPr>
                <w:sz w:val="24"/>
              </w:rPr>
            </w:pPr>
            <w:r>
              <w:rPr>
                <w:sz w:val="24"/>
              </w:rPr>
              <w:t>50</w:t>
            </w:r>
          </w:p>
        </w:tc>
        <w:tc>
          <w:tcPr>
            <w:tcW w:w="2547" w:type="dxa"/>
            <w:tcBorders>
              <w:top w:val="single" w:sz="8" w:space="0" w:color="000000"/>
              <w:bottom w:val="single" w:sz="8" w:space="0" w:color="000000"/>
            </w:tcBorders>
          </w:tcPr>
          <w:p>
            <w:pPr>
              <w:pStyle w:val="TableParagraph"/>
              <w:spacing w:before="46"/>
              <w:ind w:left="35" w:right="36"/>
              <w:rPr>
                <w:sz w:val="24"/>
              </w:rPr>
            </w:pPr>
            <w:r>
              <w:rPr>
                <w:sz w:val="24"/>
              </w:rPr>
              <w:t>3.0000</w:t>
            </w:r>
          </w:p>
        </w:tc>
        <w:tc>
          <w:tcPr>
            <w:tcW w:w="2768" w:type="dxa"/>
            <w:tcBorders>
              <w:top w:val="single" w:sz="8" w:space="0" w:color="000000"/>
              <w:bottom w:val="single" w:sz="8" w:space="0" w:color="000000"/>
            </w:tcBorders>
          </w:tcPr>
          <w:p>
            <w:pPr>
              <w:pStyle w:val="TableParagraph"/>
              <w:spacing w:before="46"/>
              <w:ind w:left="915" w:right="916"/>
              <w:rPr>
                <w:sz w:val="24"/>
              </w:rPr>
            </w:pPr>
            <w:r>
              <w:rPr>
                <w:sz w:val="24"/>
              </w:rPr>
              <w:t>0.00251</w:t>
            </w:r>
          </w:p>
        </w:tc>
      </w:tr>
      <w:tr>
        <w:trPr>
          <w:trHeight w:val="394" w:hRule="exact"/>
        </w:trPr>
        <w:tc>
          <w:tcPr>
            <w:tcW w:w="2101" w:type="dxa"/>
            <w:tcBorders>
              <w:top w:val="single" w:sz="8" w:space="0" w:color="000000"/>
              <w:bottom w:val="single" w:sz="8" w:space="0" w:color="000000"/>
            </w:tcBorders>
          </w:tcPr>
          <w:p>
            <w:pPr>
              <w:pStyle w:val="TableParagraph"/>
              <w:spacing w:before="46"/>
              <w:ind w:left="35" w:right="32"/>
              <w:rPr>
                <w:sz w:val="24"/>
              </w:rPr>
            </w:pPr>
            <w:r>
              <w:rPr>
                <w:sz w:val="24"/>
              </w:rPr>
              <w:t>75</w:t>
            </w:r>
          </w:p>
        </w:tc>
        <w:tc>
          <w:tcPr>
            <w:tcW w:w="2547" w:type="dxa"/>
            <w:tcBorders>
              <w:top w:val="single" w:sz="8" w:space="0" w:color="000000"/>
              <w:bottom w:val="single" w:sz="8" w:space="0" w:color="000000"/>
            </w:tcBorders>
          </w:tcPr>
          <w:p>
            <w:pPr>
              <w:pStyle w:val="TableParagraph"/>
              <w:spacing w:before="46"/>
              <w:ind w:left="35" w:right="36"/>
              <w:rPr>
                <w:sz w:val="24"/>
              </w:rPr>
            </w:pPr>
            <w:r>
              <w:rPr>
                <w:sz w:val="24"/>
              </w:rPr>
              <w:t>4.5000</w:t>
            </w:r>
          </w:p>
        </w:tc>
        <w:tc>
          <w:tcPr>
            <w:tcW w:w="2768" w:type="dxa"/>
            <w:tcBorders>
              <w:top w:val="single" w:sz="8" w:space="0" w:color="000000"/>
              <w:bottom w:val="single" w:sz="8" w:space="0" w:color="000000"/>
            </w:tcBorders>
          </w:tcPr>
          <w:p>
            <w:pPr>
              <w:pStyle w:val="TableParagraph"/>
              <w:spacing w:before="46"/>
              <w:ind w:left="915" w:right="916"/>
              <w:rPr>
                <w:sz w:val="24"/>
              </w:rPr>
            </w:pPr>
            <w:r>
              <w:rPr>
                <w:sz w:val="24"/>
              </w:rPr>
              <w:t>0.00373</w:t>
            </w:r>
          </w:p>
        </w:tc>
      </w:tr>
      <w:tr>
        <w:trPr>
          <w:trHeight w:val="396" w:hRule="exact"/>
        </w:trPr>
        <w:tc>
          <w:tcPr>
            <w:tcW w:w="2101" w:type="dxa"/>
            <w:tcBorders>
              <w:top w:val="single" w:sz="8" w:space="0" w:color="000000"/>
              <w:bottom w:val="single" w:sz="8" w:space="0" w:color="000000"/>
            </w:tcBorders>
          </w:tcPr>
          <w:p>
            <w:pPr>
              <w:pStyle w:val="TableParagraph"/>
              <w:spacing w:before="46"/>
              <w:ind w:left="35" w:right="32"/>
              <w:rPr>
                <w:sz w:val="24"/>
              </w:rPr>
            </w:pPr>
            <w:r>
              <w:rPr>
                <w:sz w:val="24"/>
              </w:rPr>
              <w:t>100</w:t>
            </w:r>
          </w:p>
        </w:tc>
        <w:tc>
          <w:tcPr>
            <w:tcW w:w="2547" w:type="dxa"/>
            <w:tcBorders>
              <w:top w:val="single" w:sz="8" w:space="0" w:color="000000"/>
              <w:bottom w:val="single" w:sz="8" w:space="0" w:color="000000"/>
            </w:tcBorders>
          </w:tcPr>
          <w:p>
            <w:pPr>
              <w:pStyle w:val="TableParagraph"/>
              <w:spacing w:before="46"/>
              <w:ind w:left="35" w:right="36"/>
              <w:rPr>
                <w:sz w:val="24"/>
              </w:rPr>
            </w:pPr>
            <w:r>
              <w:rPr>
                <w:sz w:val="24"/>
              </w:rPr>
              <w:t>6.0000</w:t>
            </w:r>
          </w:p>
        </w:tc>
        <w:tc>
          <w:tcPr>
            <w:tcW w:w="2768" w:type="dxa"/>
            <w:tcBorders>
              <w:top w:val="single" w:sz="8" w:space="0" w:color="000000"/>
              <w:bottom w:val="single" w:sz="8" w:space="0" w:color="000000"/>
            </w:tcBorders>
          </w:tcPr>
          <w:p>
            <w:pPr>
              <w:pStyle w:val="TableParagraph"/>
              <w:spacing w:before="46"/>
              <w:ind w:left="915" w:right="916"/>
              <w:rPr>
                <w:sz w:val="24"/>
              </w:rPr>
            </w:pPr>
            <w:r>
              <w:rPr>
                <w:sz w:val="24"/>
              </w:rPr>
              <w:t>0.00510</w:t>
            </w:r>
          </w:p>
        </w:tc>
      </w:tr>
      <w:tr>
        <w:trPr>
          <w:trHeight w:val="394" w:hRule="exact"/>
        </w:trPr>
        <w:tc>
          <w:tcPr>
            <w:tcW w:w="2101" w:type="dxa"/>
            <w:tcBorders>
              <w:top w:val="single" w:sz="8" w:space="0" w:color="000000"/>
              <w:bottom w:val="single" w:sz="8" w:space="0" w:color="000000"/>
            </w:tcBorders>
          </w:tcPr>
          <w:p>
            <w:pPr>
              <w:pStyle w:val="TableParagraph"/>
              <w:spacing w:before="43"/>
              <w:ind w:left="35" w:right="32"/>
              <w:rPr>
                <w:sz w:val="24"/>
              </w:rPr>
            </w:pPr>
            <w:r>
              <w:rPr>
                <w:sz w:val="24"/>
              </w:rPr>
              <w:t>125</w:t>
            </w:r>
          </w:p>
        </w:tc>
        <w:tc>
          <w:tcPr>
            <w:tcW w:w="2547" w:type="dxa"/>
            <w:tcBorders>
              <w:top w:val="single" w:sz="8" w:space="0" w:color="000000"/>
              <w:bottom w:val="single" w:sz="8" w:space="0" w:color="000000"/>
            </w:tcBorders>
          </w:tcPr>
          <w:p>
            <w:pPr>
              <w:pStyle w:val="TableParagraph"/>
              <w:spacing w:before="43"/>
              <w:ind w:left="35" w:right="36"/>
              <w:rPr>
                <w:sz w:val="24"/>
              </w:rPr>
            </w:pPr>
            <w:r>
              <w:rPr>
                <w:sz w:val="24"/>
              </w:rPr>
              <w:t>7.5000</w:t>
            </w:r>
          </w:p>
        </w:tc>
        <w:tc>
          <w:tcPr>
            <w:tcW w:w="2768" w:type="dxa"/>
            <w:tcBorders>
              <w:top w:val="single" w:sz="8" w:space="0" w:color="000000"/>
              <w:bottom w:val="single" w:sz="8" w:space="0" w:color="000000"/>
            </w:tcBorders>
          </w:tcPr>
          <w:p>
            <w:pPr>
              <w:pStyle w:val="TableParagraph"/>
              <w:spacing w:before="43"/>
              <w:ind w:left="915" w:right="916"/>
              <w:rPr>
                <w:sz w:val="24"/>
              </w:rPr>
            </w:pPr>
            <w:r>
              <w:rPr>
                <w:sz w:val="24"/>
              </w:rPr>
              <w:t>0.00622</w:t>
            </w:r>
          </w:p>
        </w:tc>
      </w:tr>
      <w:tr>
        <w:trPr>
          <w:trHeight w:val="394" w:hRule="exact"/>
        </w:trPr>
        <w:tc>
          <w:tcPr>
            <w:tcW w:w="2101" w:type="dxa"/>
            <w:tcBorders>
              <w:top w:val="single" w:sz="8" w:space="0" w:color="000000"/>
              <w:bottom w:val="single" w:sz="8" w:space="0" w:color="000000"/>
            </w:tcBorders>
          </w:tcPr>
          <w:p>
            <w:pPr>
              <w:pStyle w:val="TableParagraph"/>
              <w:spacing w:before="43"/>
              <w:ind w:left="35" w:right="32"/>
              <w:rPr>
                <w:sz w:val="24"/>
              </w:rPr>
            </w:pPr>
            <w:r>
              <w:rPr>
                <w:sz w:val="24"/>
              </w:rPr>
              <w:t>150</w:t>
            </w:r>
          </w:p>
        </w:tc>
        <w:tc>
          <w:tcPr>
            <w:tcW w:w="2547" w:type="dxa"/>
            <w:tcBorders>
              <w:top w:val="single" w:sz="8" w:space="0" w:color="000000"/>
              <w:bottom w:val="single" w:sz="8" w:space="0" w:color="000000"/>
            </w:tcBorders>
          </w:tcPr>
          <w:p>
            <w:pPr>
              <w:pStyle w:val="TableParagraph"/>
              <w:spacing w:before="43"/>
              <w:ind w:left="35" w:right="36"/>
              <w:rPr>
                <w:sz w:val="24"/>
              </w:rPr>
            </w:pPr>
            <w:r>
              <w:rPr>
                <w:sz w:val="24"/>
              </w:rPr>
              <w:t>9.0000</w:t>
            </w:r>
          </w:p>
        </w:tc>
        <w:tc>
          <w:tcPr>
            <w:tcW w:w="2768" w:type="dxa"/>
            <w:tcBorders>
              <w:top w:val="single" w:sz="8" w:space="0" w:color="000000"/>
              <w:bottom w:val="single" w:sz="8" w:space="0" w:color="000000"/>
            </w:tcBorders>
          </w:tcPr>
          <w:p>
            <w:pPr>
              <w:pStyle w:val="TableParagraph"/>
              <w:spacing w:before="43"/>
              <w:ind w:left="915" w:right="916"/>
              <w:rPr>
                <w:sz w:val="24"/>
              </w:rPr>
            </w:pPr>
            <w:r>
              <w:rPr>
                <w:sz w:val="24"/>
              </w:rPr>
              <w:t>0.00728</w:t>
            </w:r>
          </w:p>
        </w:tc>
      </w:tr>
      <w:tr>
        <w:trPr>
          <w:trHeight w:val="398" w:hRule="exact"/>
        </w:trPr>
        <w:tc>
          <w:tcPr>
            <w:tcW w:w="2101" w:type="dxa"/>
            <w:tcBorders>
              <w:top w:val="single" w:sz="8" w:space="0" w:color="000000"/>
            </w:tcBorders>
          </w:tcPr>
          <w:p>
            <w:pPr>
              <w:pStyle w:val="TableParagraph"/>
              <w:spacing w:before="46"/>
              <w:ind w:left="35" w:right="32"/>
              <w:rPr>
                <w:sz w:val="24"/>
              </w:rPr>
            </w:pPr>
            <w:r>
              <w:rPr>
                <w:sz w:val="24"/>
              </w:rPr>
              <w:t>200</w:t>
            </w:r>
          </w:p>
        </w:tc>
        <w:tc>
          <w:tcPr>
            <w:tcW w:w="2547" w:type="dxa"/>
            <w:tcBorders>
              <w:top w:val="single" w:sz="8" w:space="0" w:color="000000"/>
            </w:tcBorders>
          </w:tcPr>
          <w:p>
            <w:pPr>
              <w:pStyle w:val="TableParagraph"/>
              <w:spacing w:before="46"/>
              <w:ind w:left="35" w:right="36"/>
              <w:rPr>
                <w:sz w:val="24"/>
              </w:rPr>
            </w:pPr>
            <w:r>
              <w:rPr>
                <w:sz w:val="24"/>
              </w:rPr>
              <w:t>12.0000</w:t>
            </w:r>
          </w:p>
        </w:tc>
        <w:tc>
          <w:tcPr>
            <w:tcW w:w="2768" w:type="dxa"/>
            <w:tcBorders>
              <w:top w:val="single" w:sz="8" w:space="0" w:color="000000"/>
            </w:tcBorders>
          </w:tcPr>
          <w:p>
            <w:pPr>
              <w:pStyle w:val="TableParagraph"/>
              <w:spacing w:before="46"/>
              <w:ind w:left="915" w:right="916"/>
              <w:rPr>
                <w:sz w:val="24"/>
              </w:rPr>
            </w:pPr>
            <w:r>
              <w:rPr>
                <w:sz w:val="24"/>
              </w:rPr>
              <w:t>0.00951</w:t>
            </w:r>
          </w:p>
        </w:tc>
      </w:tr>
    </w:tbl>
    <w:p>
      <w:pPr>
        <w:spacing w:before="2"/>
        <w:ind w:left="1398" w:right="0" w:firstLine="0"/>
        <w:jc w:val="left"/>
        <w:rPr>
          <w:sz w:val="20"/>
        </w:rPr>
      </w:pPr>
      <w:r>
        <w:rPr>
          <w:sz w:val="20"/>
        </w:rPr>
        <w:t>CPS: Cuentas por segundo del analito</w:t>
      </w:r>
    </w:p>
    <w:p>
      <w:pPr>
        <w:pStyle w:val="BodyText"/>
        <w:rPr>
          <w:sz w:val="20"/>
        </w:rPr>
      </w:pPr>
    </w:p>
    <w:p>
      <w:pPr>
        <w:pStyle w:val="Heading1"/>
        <w:spacing w:before="119"/>
        <w:ind w:left="1313"/>
        <w:jc w:val="left"/>
      </w:pPr>
      <w:r>
        <w:rPr/>
        <w:pict>
          <v:group style="position:absolute;margin-left:156.975006pt;margin-top:21.49087pt;width:379.05pt;height:227.45pt;mso-position-horizontal-relative:page;mso-position-vertical-relative:paragraph;z-index:1960" coordorigin="3140,430" coordsize="7581,4549">
            <v:shape style="position:absolute;left:4728;top:660;width:5439;height:3437" coordorigin="4728,660" coordsize="5439,3437" path="m4790,4034l4790,660m4728,4034l4790,4034m4728,3473l4790,3473m4728,2909l4790,2909m4728,2347l4790,2347m4728,1783l4790,1783m4728,1222l4790,1222m4728,660l4790,660m4790,4034l10166,4034m4790,4034l4790,4097m5558,4034l5558,4097m6326,4034l6326,4097m7094,4034l7094,4097m7862,4034l7862,4097m8630,4034l8630,4097m9398,4034l9398,4097m10166,4034l10166,4097e" filled="false" stroked="true" strokeweight=".72pt" strokecolor="#858585">
              <v:path arrowok="t"/>
            </v:shape>
            <v:shape style="position:absolute;left:5000;top:3729;width:155;height:155" type="#_x0000_t75" stroked="false">
              <v:imagedata r:id="rId71" o:title=""/>
            </v:shape>
            <v:shape style="position:absolute;left:5288;top:3563;width:155;height:155" type="#_x0000_t75" stroked="false">
              <v:imagedata r:id="rId72" o:title=""/>
            </v:shape>
            <v:shape style="position:absolute;left:5864;top:3251;width:155;height:155" type="#_x0000_t75" stroked="false">
              <v:imagedata r:id="rId73" o:title=""/>
            </v:shape>
            <v:shape style="position:absolute;left:6440;top:2908;width:155;height:155" type="#_x0000_t75" stroked="false">
              <v:imagedata r:id="rId71" o:title=""/>
            </v:shape>
            <v:shape style="position:absolute;left:7015;top:2523;width:155;height:155" type="#_x0000_t75" stroked="false">
              <v:imagedata r:id="rId74" o:title=""/>
            </v:shape>
            <v:shape style="position:absolute;left:7591;top:2208;width:155;height:155" type="#_x0000_t75" stroked="false">
              <v:imagedata r:id="rId74" o:title=""/>
            </v:shape>
            <v:shape style="position:absolute;left:8167;top:1909;width:155;height:155" type="#_x0000_t75" stroked="false">
              <v:imagedata r:id="rId74" o:title=""/>
            </v:shape>
            <v:shape style="position:absolute;left:9318;top:1282;width:155;height:155" type="#_x0000_t75" stroked="false">
              <v:imagedata r:id="rId72" o:title=""/>
            </v:shape>
            <v:shape style="position:absolute;left:5078;top:1327;width:4320;height:2472" coordorigin="5078,1327" coordsize="4320,2472" path="m5078,3799l9398,1327m5078,3799l9398,1327m5078,3799l9398,1327m5078,3799l9398,1327m5078,3799l9398,1327m5078,3799l9398,1327e" filled="false" stroked="true" strokeweight=".72pt" strokecolor="#000000">
              <v:path arrowok="t"/>
            </v:shape>
            <v:rect style="position:absolute;left:3147;top:437;width:7566;height:4533" filled="false" stroked="true" strokeweight=".75pt" strokecolor="#858585"/>
            <v:shape style="position:absolute;left:3948;top:567;width:656;height:1888" type="#_x0000_t202" filled="false" stroked="false">
              <v:textbox inset="0,0,0,0">
                <w:txbxContent>
                  <w:p>
                    <w:pPr>
                      <w:spacing w:line="203" w:lineRule="exact" w:before="0"/>
                      <w:ind w:left="0" w:right="-16" w:firstLine="0"/>
                      <w:jc w:val="left"/>
                      <w:rPr>
                        <w:rFonts w:ascii="Calibri"/>
                        <w:sz w:val="20"/>
                      </w:rPr>
                    </w:pPr>
                    <w:r>
                      <w:rPr>
                        <w:rFonts w:ascii="Calibri"/>
                        <w:spacing w:val="-1"/>
                        <w:sz w:val="20"/>
                      </w:rPr>
                      <w:t>0.01200</w:t>
                    </w:r>
                  </w:p>
                  <w:p>
                    <w:pPr>
                      <w:spacing w:line="240" w:lineRule="auto" w:before="8"/>
                      <w:rPr>
                        <w:b/>
                        <w:sz w:val="27"/>
                      </w:rPr>
                    </w:pPr>
                  </w:p>
                  <w:p>
                    <w:pPr>
                      <w:spacing w:before="0"/>
                      <w:ind w:left="0" w:right="-16" w:firstLine="0"/>
                      <w:jc w:val="left"/>
                      <w:rPr>
                        <w:rFonts w:ascii="Calibri"/>
                        <w:sz w:val="20"/>
                      </w:rPr>
                    </w:pPr>
                    <w:r>
                      <w:rPr>
                        <w:rFonts w:ascii="Calibri"/>
                        <w:spacing w:val="-1"/>
                        <w:sz w:val="20"/>
                      </w:rPr>
                      <w:t>0.01000</w:t>
                    </w:r>
                  </w:p>
                  <w:p>
                    <w:pPr>
                      <w:spacing w:line="240" w:lineRule="auto" w:before="8"/>
                      <w:rPr>
                        <w:b/>
                        <w:sz w:val="27"/>
                      </w:rPr>
                    </w:pPr>
                  </w:p>
                  <w:p>
                    <w:pPr>
                      <w:spacing w:before="0"/>
                      <w:ind w:left="0" w:right="-16" w:firstLine="0"/>
                      <w:jc w:val="left"/>
                      <w:rPr>
                        <w:rFonts w:ascii="Calibri"/>
                        <w:sz w:val="20"/>
                      </w:rPr>
                    </w:pPr>
                    <w:r>
                      <w:rPr>
                        <w:rFonts w:ascii="Calibri"/>
                        <w:spacing w:val="-1"/>
                        <w:sz w:val="20"/>
                      </w:rPr>
                      <w:t>0.00800</w:t>
                    </w:r>
                  </w:p>
                  <w:p>
                    <w:pPr>
                      <w:spacing w:line="240" w:lineRule="auto" w:before="8"/>
                      <w:rPr>
                        <w:b/>
                        <w:sz w:val="27"/>
                      </w:rPr>
                    </w:pPr>
                  </w:p>
                  <w:p>
                    <w:pPr>
                      <w:spacing w:line="240" w:lineRule="exact" w:before="0"/>
                      <w:ind w:left="0" w:right="-16" w:firstLine="0"/>
                      <w:jc w:val="left"/>
                      <w:rPr>
                        <w:rFonts w:ascii="Calibri"/>
                        <w:sz w:val="20"/>
                      </w:rPr>
                    </w:pPr>
                    <w:r>
                      <w:rPr>
                        <w:rFonts w:ascii="Calibri"/>
                        <w:spacing w:val="-1"/>
                        <w:sz w:val="20"/>
                      </w:rPr>
                      <w:t>0.00600</w:t>
                    </w:r>
                  </w:p>
                </w:txbxContent>
              </v:textbox>
              <w10:wrap type="none"/>
            </v:shape>
            <v:shape style="position:absolute;left:8985;top:2157;width:1666;height:444" type="#_x0000_t202" filled="false" stroked="false">
              <v:textbox inset="0,0,0,0">
                <w:txbxContent>
                  <w:p>
                    <w:pPr>
                      <w:spacing w:line="203" w:lineRule="exact" w:before="0"/>
                      <w:ind w:left="0" w:right="0" w:firstLine="0"/>
                      <w:jc w:val="center"/>
                      <w:rPr>
                        <w:rFonts w:ascii="Calibri"/>
                        <w:sz w:val="20"/>
                      </w:rPr>
                    </w:pPr>
                    <w:r>
                      <w:rPr>
                        <w:rFonts w:ascii="Calibri"/>
                        <w:sz w:val="20"/>
                      </w:rPr>
                      <w:t>y = 0.0008x +</w:t>
                    </w:r>
                    <w:r>
                      <w:rPr>
                        <w:rFonts w:ascii="Calibri"/>
                        <w:spacing w:val="-8"/>
                        <w:sz w:val="20"/>
                      </w:rPr>
                      <w:t> </w:t>
                    </w:r>
                    <w:r>
                      <w:rPr>
                        <w:rFonts w:ascii="Calibri"/>
                        <w:sz w:val="20"/>
                      </w:rPr>
                      <w:t>0.0002</w:t>
                    </w:r>
                  </w:p>
                  <w:p>
                    <w:pPr>
                      <w:spacing w:line="240" w:lineRule="exact" w:before="0"/>
                      <w:ind w:left="0" w:right="0" w:firstLine="0"/>
                      <w:jc w:val="center"/>
                      <w:rPr>
                        <w:rFonts w:ascii="Calibri" w:hAnsi="Calibri"/>
                        <w:sz w:val="20"/>
                      </w:rPr>
                    </w:pPr>
                    <w:r>
                      <w:rPr>
                        <w:rFonts w:ascii="Calibri" w:hAnsi="Calibri"/>
                        <w:sz w:val="20"/>
                      </w:rPr>
                      <w:t>R² = 1.00</w:t>
                    </w:r>
                  </w:p>
                </w:txbxContent>
              </v:textbox>
              <w10:wrap type="none"/>
            </v:shape>
            <v:shape style="position:absolute;left:3948;top:2818;width:6546;height:1901" type="#_x0000_t202" filled="false" stroked="false">
              <v:textbox inset="0,0,0,0">
                <w:txbxContent>
                  <w:p>
                    <w:pPr>
                      <w:spacing w:line="203" w:lineRule="exact" w:before="0"/>
                      <w:ind w:left="0" w:right="0" w:firstLine="0"/>
                      <w:jc w:val="left"/>
                      <w:rPr>
                        <w:rFonts w:ascii="Calibri"/>
                        <w:sz w:val="20"/>
                      </w:rPr>
                    </w:pPr>
                    <w:r>
                      <w:rPr>
                        <w:rFonts w:ascii="Calibri"/>
                        <w:sz w:val="20"/>
                      </w:rPr>
                      <w:t>0.00400</w:t>
                    </w:r>
                  </w:p>
                  <w:p>
                    <w:pPr>
                      <w:spacing w:line="240" w:lineRule="auto" w:before="8"/>
                      <w:rPr>
                        <w:b/>
                        <w:sz w:val="27"/>
                      </w:rPr>
                    </w:pPr>
                  </w:p>
                  <w:p>
                    <w:pPr>
                      <w:spacing w:before="0"/>
                      <w:ind w:left="0" w:right="0" w:firstLine="0"/>
                      <w:jc w:val="left"/>
                      <w:rPr>
                        <w:rFonts w:ascii="Calibri"/>
                        <w:sz w:val="20"/>
                      </w:rPr>
                    </w:pPr>
                    <w:r>
                      <w:rPr>
                        <w:rFonts w:ascii="Calibri"/>
                        <w:sz w:val="20"/>
                      </w:rPr>
                      <w:t>0.00200</w:t>
                    </w:r>
                  </w:p>
                  <w:p>
                    <w:pPr>
                      <w:spacing w:line="240" w:lineRule="auto" w:before="8"/>
                      <w:rPr>
                        <w:b/>
                        <w:sz w:val="27"/>
                      </w:rPr>
                    </w:pPr>
                  </w:p>
                  <w:p>
                    <w:pPr>
                      <w:spacing w:before="0"/>
                      <w:ind w:left="0" w:right="0" w:firstLine="0"/>
                      <w:jc w:val="left"/>
                      <w:rPr>
                        <w:rFonts w:ascii="Calibri"/>
                        <w:sz w:val="20"/>
                      </w:rPr>
                    </w:pPr>
                    <w:r>
                      <w:rPr>
                        <w:rFonts w:ascii="Calibri"/>
                        <w:sz w:val="20"/>
                      </w:rPr>
                      <w:t>0.00000</w:t>
                    </w:r>
                  </w:p>
                  <w:p>
                    <w:pPr>
                      <w:tabs>
                        <w:tab w:pos="1333" w:val="left" w:leader="none"/>
                        <w:tab w:pos="2101" w:val="left" w:leader="none"/>
                        <w:tab w:pos="2868" w:val="left" w:leader="none"/>
                        <w:tab w:pos="3636" w:val="left" w:leader="none"/>
                      </w:tabs>
                      <w:spacing w:before="16"/>
                      <w:ind w:left="565" w:right="0" w:firstLine="0"/>
                      <w:jc w:val="center"/>
                      <w:rPr>
                        <w:rFonts w:ascii="Calibri"/>
                        <w:sz w:val="20"/>
                      </w:rPr>
                    </w:pPr>
                    <w:r>
                      <w:rPr>
                        <w:rFonts w:ascii="Calibri"/>
                        <w:sz w:val="20"/>
                      </w:rPr>
                      <w:t>0.0000</w:t>
                      <w:tab/>
                      <w:t>2.0000</w:t>
                      <w:tab/>
                      <w:t>4.0000</w:t>
                      <w:tab/>
                      <w:t>6.0000</w:t>
                      <w:tab/>
                      <w:t>8.0000   10.0000  12.0000  </w:t>
                    </w:r>
                    <w:r>
                      <w:rPr>
                        <w:rFonts w:ascii="Calibri"/>
                        <w:spacing w:val="10"/>
                        <w:sz w:val="20"/>
                      </w:rPr>
                      <w:t> </w:t>
                    </w:r>
                    <w:r>
                      <w:rPr>
                        <w:rFonts w:ascii="Calibri"/>
                        <w:sz w:val="20"/>
                      </w:rPr>
                      <w:t>14.0000</w:t>
                    </w:r>
                  </w:p>
                  <w:p>
                    <w:pPr>
                      <w:spacing w:line="251" w:lineRule="exact" w:before="61"/>
                      <w:ind w:left="512" w:right="0" w:firstLine="0"/>
                      <w:jc w:val="center"/>
                      <w:rPr>
                        <w:rFonts w:ascii="Calibri" w:hAnsi="Calibri"/>
                        <w:b/>
                        <w:sz w:val="20"/>
                      </w:rPr>
                    </w:pPr>
                    <w:r>
                      <w:rPr>
                        <w:b/>
                        <w:sz w:val="20"/>
                      </w:rPr>
                      <w:t>Concentracion </w:t>
                    </w:r>
                    <w:r>
                      <w:rPr>
                        <w:rFonts w:ascii="Symbol" w:hAnsi="Symbol"/>
                        <w:b/>
                        <w:sz w:val="20"/>
                      </w:rPr>
                      <w:t></w:t>
                    </w:r>
                    <w:r>
                      <w:rPr>
                        <w:rFonts w:ascii="Calibri" w:hAnsi="Calibri"/>
                        <w:b/>
                        <w:sz w:val="20"/>
                      </w:rPr>
                      <w:t>g/L)</w:t>
                    </w:r>
                  </w:p>
                </w:txbxContent>
              </v:textbox>
              <w10:wrap type="none"/>
            </v:shape>
            <w10:wrap type="none"/>
          </v:group>
        </w:pict>
      </w:r>
      <w:r>
        <w:rPr/>
        <w:pict>
          <v:shape style="position:absolute;margin-left:167.910004pt;margin-top:88.913094pt;width:25.8pt;height:92.75pt;mso-position-horizontal-relative:page;mso-position-vertical-relative:paragraph;z-index:1984" type="#_x0000_t202" filled="false" stroked="false">
            <v:textbox inset="0,0,0,0" style="layout-flow:vertical;mso-layout-flow-alt:bottom-to-top">
              <w:txbxContent>
                <w:p>
                  <w:pPr>
                    <w:spacing w:line="223" w:lineRule="exact" w:before="0"/>
                    <w:ind w:left="500" w:right="-857" w:firstLine="0"/>
                    <w:jc w:val="left"/>
                    <w:rPr>
                      <w:rFonts w:ascii="Calibri"/>
                      <w:b/>
                      <w:sz w:val="20"/>
                    </w:rPr>
                  </w:pPr>
                  <w:r>
                    <w:rPr>
                      <w:rFonts w:ascii="Calibri"/>
                      <w:b/>
                      <w:w w:val="99"/>
                      <w:sz w:val="20"/>
                    </w:rPr>
                    <w:t>Respuesta</w:t>
                  </w:r>
                </w:p>
                <w:p>
                  <w:pPr>
                    <w:spacing w:before="0"/>
                    <w:ind w:left="20" w:right="-520" w:firstLine="0"/>
                    <w:jc w:val="left"/>
                    <w:rPr>
                      <w:rFonts w:ascii="Calibri" w:hAnsi="Calibri"/>
                      <w:b/>
                      <w:sz w:val="20"/>
                    </w:rPr>
                  </w:pPr>
                  <w:r>
                    <w:rPr>
                      <w:rFonts w:ascii="Calibri" w:hAnsi="Calibri"/>
                      <w:b/>
                      <w:w w:val="99"/>
                      <w:sz w:val="20"/>
                    </w:rPr>
                    <w:t>(Re</w:t>
                  </w:r>
                  <w:r>
                    <w:rPr>
                      <w:rFonts w:ascii="Calibri" w:hAnsi="Calibri"/>
                      <w:b/>
                      <w:spacing w:val="-1"/>
                      <w:w w:val="99"/>
                      <w:sz w:val="20"/>
                    </w:rPr>
                    <w:t>l</w:t>
                  </w:r>
                  <w:r>
                    <w:rPr>
                      <w:rFonts w:ascii="Calibri" w:hAnsi="Calibri"/>
                      <w:b/>
                      <w:w w:val="99"/>
                      <w:sz w:val="20"/>
                    </w:rPr>
                    <w:t>ac</w:t>
                  </w:r>
                  <w:r>
                    <w:rPr>
                      <w:rFonts w:ascii="Calibri" w:hAnsi="Calibri"/>
                      <w:b/>
                      <w:spacing w:val="-1"/>
                      <w:w w:val="99"/>
                      <w:sz w:val="20"/>
                    </w:rPr>
                    <w:t>i</w:t>
                  </w:r>
                  <w:r>
                    <w:rPr>
                      <w:rFonts w:ascii="Calibri" w:hAnsi="Calibri"/>
                      <w:b/>
                      <w:w w:val="99"/>
                      <w:sz w:val="20"/>
                    </w:rPr>
                    <w:t>ón</w:t>
                  </w:r>
                  <w:r>
                    <w:rPr>
                      <w:rFonts w:ascii="Calibri" w:hAnsi="Calibri"/>
                      <w:b/>
                      <w:spacing w:val="-2"/>
                      <w:sz w:val="20"/>
                    </w:rPr>
                    <w:t> </w:t>
                  </w:r>
                  <w:r>
                    <w:rPr>
                      <w:rFonts w:ascii="Calibri" w:hAnsi="Calibri"/>
                      <w:b/>
                      <w:spacing w:val="-1"/>
                      <w:w w:val="99"/>
                      <w:sz w:val="20"/>
                    </w:rPr>
                    <w:t>CP</w:t>
                  </w:r>
                  <w:r>
                    <w:rPr>
                      <w:rFonts w:ascii="Calibri" w:hAnsi="Calibri"/>
                      <w:b/>
                      <w:w w:val="99"/>
                      <w:sz w:val="20"/>
                    </w:rPr>
                    <w:t>S</w:t>
                  </w:r>
                  <w:r>
                    <w:rPr>
                      <w:rFonts w:ascii="Calibri" w:hAnsi="Calibri"/>
                      <w:b/>
                      <w:w w:val="103"/>
                      <w:position w:val="-4"/>
                      <w:sz w:val="13"/>
                    </w:rPr>
                    <w:t>A</w:t>
                  </w:r>
                  <w:r>
                    <w:rPr>
                      <w:rFonts w:ascii="Calibri" w:hAnsi="Calibri"/>
                      <w:b/>
                      <w:spacing w:val="-1"/>
                      <w:w w:val="103"/>
                      <w:position w:val="-4"/>
                      <w:sz w:val="13"/>
                    </w:rPr>
                    <w:t>s</w:t>
                  </w:r>
                  <w:r>
                    <w:rPr>
                      <w:rFonts w:ascii="Calibri" w:hAnsi="Calibri"/>
                      <w:b/>
                      <w:w w:val="99"/>
                      <w:sz w:val="20"/>
                    </w:rPr>
                    <w:t>/</w:t>
                  </w:r>
                  <w:r>
                    <w:rPr>
                      <w:rFonts w:ascii="Calibri" w:hAnsi="Calibri"/>
                      <w:b/>
                      <w:spacing w:val="-1"/>
                      <w:w w:val="99"/>
                      <w:sz w:val="20"/>
                    </w:rPr>
                    <w:t>CP</w:t>
                  </w:r>
                  <w:r>
                    <w:rPr>
                      <w:rFonts w:ascii="Calibri" w:hAnsi="Calibri"/>
                      <w:b/>
                      <w:w w:val="99"/>
                      <w:sz w:val="20"/>
                    </w:rPr>
                    <w:t>S</w:t>
                  </w:r>
                  <w:r>
                    <w:rPr>
                      <w:rFonts w:ascii="Calibri" w:hAnsi="Calibri"/>
                      <w:b/>
                      <w:w w:val="103"/>
                      <w:position w:val="-4"/>
                      <w:sz w:val="13"/>
                    </w:rPr>
                    <w:t>I</w:t>
                  </w:r>
                  <w:r>
                    <w:rPr>
                      <w:rFonts w:ascii="Calibri" w:hAnsi="Calibri"/>
                      <w:b/>
                      <w:spacing w:val="-1"/>
                      <w:w w:val="103"/>
                      <w:position w:val="-4"/>
                      <w:sz w:val="13"/>
                    </w:rPr>
                    <w:t>n</w:t>
                  </w:r>
                  <w:r>
                    <w:rPr>
                      <w:rFonts w:ascii="Calibri" w:hAnsi="Calibri"/>
                      <w:b/>
                      <w:w w:val="99"/>
                      <w:sz w:val="20"/>
                    </w:rPr>
                    <w:t>)</w:t>
                  </w:r>
                </w:p>
              </w:txbxContent>
            </v:textbox>
            <w10:wrap type="none"/>
          </v:shape>
        </w:pict>
      </w:r>
      <w:r>
        <w:rPr/>
        <w:t>Figura B.III.1. Resultados de la linealidad de la respuesta para As</w:t>
      </w: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10"/>
        <w:rPr>
          <w:b/>
          <w:sz w:val="16"/>
        </w:rPr>
      </w:pPr>
    </w:p>
    <w:tbl>
      <w:tblPr>
        <w:tblW w:w="0" w:type="auto"/>
        <w:jc w:val="left"/>
        <w:tblInd w:w="237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375"/>
        <w:gridCol w:w="3825"/>
      </w:tblGrid>
      <w:tr>
        <w:trPr>
          <w:trHeight w:val="637" w:hRule="exact"/>
        </w:trPr>
        <w:tc>
          <w:tcPr>
            <w:tcW w:w="2375" w:type="dxa"/>
            <w:tcBorders>
              <w:left w:val="nil"/>
              <w:bottom w:val="double" w:sz="4" w:space="0" w:color="000000"/>
              <w:right w:val="nil"/>
            </w:tcBorders>
          </w:tcPr>
          <w:p>
            <w:pPr>
              <w:pStyle w:val="TableParagraph"/>
              <w:spacing w:before="10"/>
              <w:jc w:val="left"/>
              <w:rPr>
                <w:b/>
                <w:sz w:val="20"/>
              </w:rPr>
            </w:pPr>
          </w:p>
          <w:p>
            <w:pPr>
              <w:pStyle w:val="TableParagraph"/>
              <w:ind w:left="84"/>
              <w:jc w:val="left"/>
              <w:rPr>
                <w:rFonts w:ascii="Calibri" w:hAnsi="Calibri"/>
                <w:b/>
                <w:i/>
                <w:sz w:val="26"/>
              </w:rPr>
            </w:pPr>
            <w:r>
              <w:rPr>
                <w:rFonts w:ascii="Calibri" w:hAnsi="Calibri"/>
                <w:b/>
                <w:i/>
                <w:sz w:val="26"/>
              </w:rPr>
              <w:t>Regresión</w:t>
            </w:r>
          </w:p>
        </w:tc>
        <w:tc>
          <w:tcPr>
            <w:tcW w:w="3825" w:type="dxa"/>
            <w:tcBorders>
              <w:left w:val="nil"/>
              <w:bottom w:val="double" w:sz="4" w:space="0" w:color="000000"/>
              <w:right w:val="nil"/>
            </w:tcBorders>
          </w:tcPr>
          <w:p>
            <w:pPr/>
          </w:p>
        </w:tc>
      </w:tr>
      <w:tr>
        <w:trPr>
          <w:trHeight w:val="301" w:hRule="exact"/>
        </w:trPr>
        <w:tc>
          <w:tcPr>
            <w:tcW w:w="2375" w:type="dxa"/>
            <w:tcBorders>
              <w:top w:val="double" w:sz="4" w:space="0" w:color="000000"/>
              <w:left w:val="nil"/>
              <w:bottom w:val="nil"/>
              <w:right w:val="nil"/>
            </w:tcBorders>
          </w:tcPr>
          <w:p>
            <w:pPr>
              <w:pStyle w:val="TableParagraph"/>
              <w:spacing w:line="274" w:lineRule="exact"/>
              <w:ind w:left="84"/>
              <w:jc w:val="left"/>
              <w:rPr>
                <w:sz w:val="24"/>
              </w:rPr>
            </w:pPr>
            <w:r>
              <w:rPr>
                <w:sz w:val="24"/>
              </w:rPr>
              <w:t>Constante</w:t>
            </w:r>
          </w:p>
        </w:tc>
        <w:tc>
          <w:tcPr>
            <w:tcW w:w="3825" w:type="dxa"/>
            <w:tcBorders>
              <w:top w:val="double" w:sz="4" w:space="0" w:color="000000"/>
              <w:left w:val="nil"/>
              <w:bottom w:val="nil"/>
              <w:right w:val="nil"/>
            </w:tcBorders>
          </w:tcPr>
          <w:p>
            <w:pPr>
              <w:pStyle w:val="TableParagraph"/>
              <w:spacing w:line="274" w:lineRule="exact"/>
              <w:ind w:left="687"/>
              <w:jc w:val="left"/>
              <w:rPr>
                <w:sz w:val="24"/>
              </w:rPr>
            </w:pPr>
            <w:r>
              <w:rPr>
                <w:sz w:val="24"/>
              </w:rPr>
              <w:t>0.0002</w:t>
            </w:r>
          </w:p>
        </w:tc>
      </w:tr>
      <w:tr>
        <w:trPr>
          <w:trHeight w:val="276" w:hRule="exact"/>
        </w:trPr>
        <w:tc>
          <w:tcPr>
            <w:tcW w:w="2375" w:type="dxa"/>
            <w:tcBorders>
              <w:top w:val="nil"/>
              <w:left w:val="nil"/>
              <w:bottom w:val="nil"/>
              <w:right w:val="nil"/>
            </w:tcBorders>
          </w:tcPr>
          <w:p>
            <w:pPr>
              <w:pStyle w:val="TableParagraph"/>
              <w:spacing w:line="263" w:lineRule="exact"/>
              <w:ind w:left="84"/>
              <w:jc w:val="left"/>
              <w:rPr>
                <w:sz w:val="24"/>
              </w:rPr>
            </w:pPr>
            <w:r>
              <w:rPr>
                <w:sz w:val="24"/>
              </w:rPr>
              <w:t>Coeficiente X</w:t>
            </w:r>
          </w:p>
        </w:tc>
        <w:tc>
          <w:tcPr>
            <w:tcW w:w="3825" w:type="dxa"/>
            <w:tcBorders>
              <w:top w:val="nil"/>
              <w:left w:val="nil"/>
              <w:bottom w:val="nil"/>
              <w:right w:val="nil"/>
            </w:tcBorders>
          </w:tcPr>
          <w:p>
            <w:pPr>
              <w:pStyle w:val="TableParagraph"/>
              <w:spacing w:line="263" w:lineRule="exact"/>
              <w:ind w:left="687"/>
              <w:jc w:val="left"/>
              <w:rPr>
                <w:sz w:val="24"/>
              </w:rPr>
            </w:pPr>
            <w:r>
              <w:rPr>
                <w:sz w:val="24"/>
              </w:rPr>
              <w:t>0.0008</w:t>
            </w:r>
          </w:p>
        </w:tc>
      </w:tr>
      <w:tr>
        <w:trPr>
          <w:trHeight w:val="276" w:hRule="exact"/>
        </w:trPr>
        <w:tc>
          <w:tcPr>
            <w:tcW w:w="2375" w:type="dxa"/>
            <w:tcBorders>
              <w:top w:val="nil"/>
              <w:left w:val="nil"/>
              <w:bottom w:val="nil"/>
              <w:right w:val="nil"/>
            </w:tcBorders>
          </w:tcPr>
          <w:p>
            <w:pPr>
              <w:pStyle w:val="TableParagraph"/>
              <w:spacing w:line="263" w:lineRule="exact"/>
              <w:ind w:left="84"/>
              <w:jc w:val="left"/>
              <w:rPr>
                <w:sz w:val="24"/>
              </w:rPr>
            </w:pPr>
            <w:r>
              <w:rPr>
                <w:sz w:val="24"/>
              </w:rPr>
              <w:t>r cuadrada</w:t>
            </w:r>
          </w:p>
        </w:tc>
        <w:tc>
          <w:tcPr>
            <w:tcW w:w="3825" w:type="dxa"/>
            <w:tcBorders>
              <w:top w:val="nil"/>
              <w:left w:val="nil"/>
              <w:bottom w:val="nil"/>
              <w:right w:val="nil"/>
            </w:tcBorders>
          </w:tcPr>
          <w:p>
            <w:pPr>
              <w:pStyle w:val="TableParagraph"/>
              <w:spacing w:line="263" w:lineRule="exact"/>
              <w:ind w:left="687"/>
              <w:jc w:val="left"/>
              <w:rPr>
                <w:sz w:val="24"/>
              </w:rPr>
            </w:pPr>
            <w:r>
              <w:rPr>
                <w:sz w:val="24"/>
              </w:rPr>
              <w:t>1.00</w:t>
            </w:r>
          </w:p>
        </w:tc>
      </w:tr>
      <w:tr>
        <w:trPr>
          <w:trHeight w:val="392" w:hRule="exact"/>
        </w:trPr>
        <w:tc>
          <w:tcPr>
            <w:tcW w:w="2375" w:type="dxa"/>
            <w:tcBorders>
              <w:top w:val="nil"/>
              <w:left w:val="nil"/>
              <w:right w:val="nil"/>
            </w:tcBorders>
          </w:tcPr>
          <w:p>
            <w:pPr>
              <w:pStyle w:val="TableParagraph"/>
              <w:spacing w:line="263" w:lineRule="exact"/>
              <w:ind w:left="84"/>
              <w:jc w:val="left"/>
              <w:rPr>
                <w:sz w:val="24"/>
              </w:rPr>
            </w:pPr>
            <w:r>
              <w:rPr>
                <w:sz w:val="24"/>
              </w:rPr>
              <w:t>Observaciones</w:t>
            </w:r>
          </w:p>
        </w:tc>
        <w:tc>
          <w:tcPr>
            <w:tcW w:w="3825" w:type="dxa"/>
            <w:tcBorders>
              <w:top w:val="nil"/>
              <w:left w:val="nil"/>
              <w:right w:val="nil"/>
            </w:tcBorders>
          </w:tcPr>
          <w:p>
            <w:pPr>
              <w:pStyle w:val="TableParagraph"/>
              <w:spacing w:line="263" w:lineRule="exact"/>
              <w:ind w:left="687"/>
              <w:jc w:val="left"/>
              <w:rPr>
                <w:sz w:val="24"/>
              </w:rPr>
            </w:pPr>
            <w:r>
              <w:rPr>
                <w:w w:val="99"/>
                <w:sz w:val="24"/>
              </w:rPr>
              <w:t>8</w:t>
            </w:r>
          </w:p>
        </w:tc>
      </w:tr>
    </w:tbl>
    <w:p>
      <w:pPr>
        <w:pStyle w:val="BodyText"/>
        <w:rPr>
          <w:b/>
          <w:sz w:val="20"/>
        </w:rPr>
      </w:pPr>
    </w:p>
    <w:p>
      <w:pPr>
        <w:pStyle w:val="BodyText"/>
        <w:spacing w:before="10"/>
        <w:rPr>
          <w:b/>
          <w:sz w:val="28"/>
        </w:rPr>
      </w:pPr>
    </w:p>
    <w:p>
      <w:pPr>
        <w:spacing w:before="69"/>
        <w:ind w:left="1405" w:right="0" w:firstLine="0"/>
        <w:jc w:val="left"/>
        <w:rPr>
          <w:b/>
          <w:sz w:val="24"/>
        </w:rPr>
      </w:pPr>
      <w:r>
        <w:rPr>
          <w:b/>
          <w:sz w:val="24"/>
        </w:rPr>
        <w:t>Tabla B.III.2. Resultados de la Linealidad de la respuesta para Cd</w:t>
      </w:r>
    </w:p>
    <w:p>
      <w:pPr>
        <w:spacing w:after="0"/>
        <w:jc w:val="left"/>
        <w:rPr>
          <w:sz w:val="24"/>
        </w:rPr>
        <w:sectPr>
          <w:pgSz w:w="12240" w:h="15840"/>
          <w:pgMar w:header="0" w:footer="859" w:top="1360" w:bottom="1100" w:left="1720" w:right="1400"/>
        </w:sectPr>
      </w:pPr>
    </w:p>
    <w:tbl>
      <w:tblPr>
        <w:tblW w:w="0" w:type="auto"/>
        <w:jc w:val="left"/>
        <w:tblInd w:w="1407"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CellMar>
          <w:top w:w="0" w:type="dxa"/>
          <w:left w:w="0" w:type="dxa"/>
          <w:bottom w:w="0" w:type="dxa"/>
          <w:right w:w="0" w:type="dxa"/>
        </w:tblCellMar>
        <w:tblLook w:val="01E0"/>
      </w:tblPr>
      <w:tblGrid>
        <w:gridCol w:w="2465"/>
        <w:gridCol w:w="2201"/>
        <w:gridCol w:w="2840"/>
      </w:tblGrid>
      <w:tr>
        <w:trPr>
          <w:trHeight w:val="581" w:hRule="exact"/>
        </w:trPr>
        <w:tc>
          <w:tcPr>
            <w:tcW w:w="2465" w:type="dxa"/>
            <w:shd w:val="clear" w:color="auto" w:fill="D9D9D9"/>
          </w:tcPr>
          <w:p>
            <w:pPr>
              <w:pStyle w:val="TableParagraph"/>
              <w:spacing w:before="135"/>
              <w:ind w:left="217" w:right="218"/>
              <w:rPr>
                <w:b/>
                <w:sz w:val="24"/>
              </w:rPr>
            </w:pPr>
            <w:r>
              <w:rPr>
                <w:b/>
                <w:sz w:val="24"/>
              </w:rPr>
              <w:t>% Concentración</w:t>
            </w:r>
          </w:p>
        </w:tc>
        <w:tc>
          <w:tcPr>
            <w:tcW w:w="2201" w:type="dxa"/>
            <w:shd w:val="clear" w:color="auto" w:fill="D9D9D9"/>
          </w:tcPr>
          <w:p>
            <w:pPr>
              <w:pStyle w:val="TableParagraph"/>
              <w:ind w:left="756" w:right="230" w:hanging="514"/>
              <w:jc w:val="left"/>
              <w:rPr>
                <w:b/>
                <w:sz w:val="24"/>
              </w:rPr>
            </w:pPr>
            <w:r>
              <w:rPr>
                <w:b/>
                <w:sz w:val="24"/>
              </w:rPr>
              <w:t>Concentración (µg/L)</w:t>
            </w:r>
          </w:p>
        </w:tc>
        <w:tc>
          <w:tcPr>
            <w:tcW w:w="2840" w:type="dxa"/>
            <w:shd w:val="clear" w:color="auto" w:fill="D9D9D9"/>
          </w:tcPr>
          <w:p>
            <w:pPr>
              <w:pStyle w:val="TableParagraph"/>
              <w:ind w:left="86" w:right="69" w:firstLine="711"/>
              <w:jc w:val="left"/>
              <w:rPr>
                <w:b/>
                <w:sz w:val="24"/>
              </w:rPr>
            </w:pPr>
            <w:r>
              <w:rPr>
                <w:b/>
                <w:sz w:val="24"/>
              </w:rPr>
              <w:t>Respuesta (Relación CPS</w:t>
            </w:r>
            <w:r>
              <w:rPr>
                <w:b/>
                <w:position w:val="-2"/>
                <w:sz w:val="16"/>
              </w:rPr>
              <w:t>Cd</w:t>
            </w:r>
            <w:r>
              <w:rPr>
                <w:b/>
                <w:sz w:val="24"/>
              </w:rPr>
              <w:t>/CPS</w:t>
            </w:r>
            <w:r>
              <w:rPr>
                <w:b/>
                <w:position w:val="-2"/>
                <w:sz w:val="16"/>
              </w:rPr>
              <w:t>In</w:t>
            </w:r>
            <w:r>
              <w:rPr>
                <w:b/>
                <w:sz w:val="24"/>
              </w:rPr>
              <w:t>)</w:t>
            </w:r>
          </w:p>
        </w:tc>
      </w:tr>
      <w:tr>
        <w:trPr>
          <w:trHeight w:val="410" w:hRule="exact"/>
        </w:trPr>
        <w:tc>
          <w:tcPr>
            <w:tcW w:w="2465" w:type="dxa"/>
            <w:tcBorders>
              <w:bottom w:val="single" w:sz="8" w:space="0" w:color="000000"/>
            </w:tcBorders>
          </w:tcPr>
          <w:p>
            <w:pPr>
              <w:pStyle w:val="TableParagraph"/>
              <w:spacing w:before="53"/>
              <w:ind w:left="217" w:right="218"/>
              <w:rPr>
                <w:sz w:val="24"/>
              </w:rPr>
            </w:pPr>
            <w:r>
              <w:rPr>
                <w:sz w:val="24"/>
              </w:rPr>
              <w:t>LD</w:t>
            </w:r>
          </w:p>
        </w:tc>
        <w:tc>
          <w:tcPr>
            <w:tcW w:w="2201" w:type="dxa"/>
            <w:tcBorders>
              <w:bottom w:val="single" w:sz="8" w:space="0" w:color="000000"/>
            </w:tcBorders>
          </w:tcPr>
          <w:p>
            <w:pPr>
              <w:pStyle w:val="TableParagraph"/>
              <w:spacing w:before="53"/>
              <w:ind w:left="717" w:right="230"/>
              <w:jc w:val="left"/>
              <w:rPr>
                <w:sz w:val="24"/>
              </w:rPr>
            </w:pPr>
            <w:r>
              <w:rPr>
                <w:sz w:val="24"/>
              </w:rPr>
              <w:t>0.2500</w:t>
            </w:r>
          </w:p>
        </w:tc>
        <w:tc>
          <w:tcPr>
            <w:tcW w:w="2840" w:type="dxa"/>
            <w:tcBorders>
              <w:bottom w:val="single" w:sz="8" w:space="0" w:color="000000"/>
            </w:tcBorders>
          </w:tcPr>
          <w:p>
            <w:pPr>
              <w:pStyle w:val="TableParagraph"/>
              <w:spacing w:before="53"/>
              <w:ind w:left="951" w:right="952"/>
              <w:rPr>
                <w:sz w:val="24"/>
              </w:rPr>
            </w:pPr>
            <w:r>
              <w:rPr>
                <w:sz w:val="24"/>
              </w:rPr>
              <w:t>0.00096</w:t>
            </w:r>
          </w:p>
        </w:tc>
      </w:tr>
      <w:tr>
        <w:trPr>
          <w:trHeight w:val="406" w:hRule="exact"/>
        </w:trPr>
        <w:tc>
          <w:tcPr>
            <w:tcW w:w="2465" w:type="dxa"/>
            <w:tcBorders>
              <w:top w:val="single" w:sz="8" w:space="0" w:color="000000"/>
              <w:bottom w:val="single" w:sz="8" w:space="0" w:color="000000"/>
            </w:tcBorders>
          </w:tcPr>
          <w:p>
            <w:pPr>
              <w:pStyle w:val="TableParagraph"/>
              <w:spacing w:before="51"/>
              <w:ind w:left="217" w:right="218"/>
              <w:rPr>
                <w:sz w:val="24"/>
              </w:rPr>
            </w:pPr>
            <w:r>
              <w:rPr>
                <w:sz w:val="24"/>
              </w:rPr>
              <w:t>LC</w:t>
            </w:r>
          </w:p>
        </w:tc>
        <w:tc>
          <w:tcPr>
            <w:tcW w:w="2201" w:type="dxa"/>
            <w:tcBorders>
              <w:top w:val="single" w:sz="8" w:space="0" w:color="000000"/>
              <w:bottom w:val="single" w:sz="8" w:space="0" w:color="000000"/>
            </w:tcBorders>
          </w:tcPr>
          <w:p>
            <w:pPr>
              <w:pStyle w:val="TableParagraph"/>
              <w:spacing w:before="51"/>
              <w:ind w:left="717" w:right="230"/>
              <w:jc w:val="left"/>
              <w:rPr>
                <w:sz w:val="24"/>
              </w:rPr>
            </w:pPr>
            <w:r>
              <w:rPr>
                <w:sz w:val="24"/>
              </w:rPr>
              <w:t>0.5000</w:t>
            </w:r>
          </w:p>
        </w:tc>
        <w:tc>
          <w:tcPr>
            <w:tcW w:w="2840" w:type="dxa"/>
            <w:tcBorders>
              <w:top w:val="single" w:sz="8" w:space="0" w:color="000000"/>
              <w:bottom w:val="single" w:sz="8" w:space="0" w:color="000000"/>
            </w:tcBorders>
          </w:tcPr>
          <w:p>
            <w:pPr>
              <w:pStyle w:val="TableParagraph"/>
              <w:spacing w:before="51"/>
              <w:ind w:left="951" w:right="952"/>
              <w:rPr>
                <w:sz w:val="24"/>
              </w:rPr>
            </w:pPr>
            <w:r>
              <w:rPr>
                <w:sz w:val="24"/>
              </w:rPr>
              <w:t>0.00192</w:t>
            </w:r>
          </w:p>
        </w:tc>
      </w:tr>
      <w:tr>
        <w:trPr>
          <w:trHeight w:val="406" w:hRule="exact"/>
        </w:trPr>
        <w:tc>
          <w:tcPr>
            <w:tcW w:w="2465" w:type="dxa"/>
            <w:tcBorders>
              <w:top w:val="single" w:sz="8" w:space="0" w:color="000000"/>
              <w:bottom w:val="single" w:sz="8" w:space="0" w:color="000000"/>
            </w:tcBorders>
          </w:tcPr>
          <w:p>
            <w:pPr>
              <w:pStyle w:val="TableParagraph"/>
              <w:spacing w:before="51"/>
              <w:ind w:left="217" w:right="214"/>
              <w:rPr>
                <w:sz w:val="24"/>
              </w:rPr>
            </w:pPr>
            <w:r>
              <w:rPr>
                <w:sz w:val="24"/>
              </w:rPr>
              <w:t>50</w:t>
            </w:r>
          </w:p>
        </w:tc>
        <w:tc>
          <w:tcPr>
            <w:tcW w:w="2201" w:type="dxa"/>
            <w:tcBorders>
              <w:top w:val="single" w:sz="8" w:space="0" w:color="000000"/>
              <w:bottom w:val="single" w:sz="8" w:space="0" w:color="000000"/>
            </w:tcBorders>
          </w:tcPr>
          <w:p>
            <w:pPr>
              <w:pStyle w:val="TableParagraph"/>
              <w:spacing w:before="51"/>
              <w:ind w:left="717" w:right="230"/>
              <w:jc w:val="left"/>
              <w:rPr>
                <w:sz w:val="24"/>
              </w:rPr>
            </w:pPr>
            <w:r>
              <w:rPr>
                <w:sz w:val="24"/>
              </w:rPr>
              <w:t>1.0000</w:t>
            </w:r>
          </w:p>
        </w:tc>
        <w:tc>
          <w:tcPr>
            <w:tcW w:w="2840" w:type="dxa"/>
            <w:tcBorders>
              <w:top w:val="single" w:sz="8" w:space="0" w:color="000000"/>
              <w:bottom w:val="single" w:sz="8" w:space="0" w:color="000000"/>
            </w:tcBorders>
          </w:tcPr>
          <w:p>
            <w:pPr>
              <w:pStyle w:val="TableParagraph"/>
              <w:spacing w:before="51"/>
              <w:ind w:left="951" w:right="952"/>
              <w:rPr>
                <w:sz w:val="24"/>
              </w:rPr>
            </w:pPr>
            <w:r>
              <w:rPr>
                <w:sz w:val="24"/>
              </w:rPr>
              <w:t>0.00367</w:t>
            </w:r>
          </w:p>
        </w:tc>
      </w:tr>
      <w:tr>
        <w:trPr>
          <w:trHeight w:val="403" w:hRule="exact"/>
        </w:trPr>
        <w:tc>
          <w:tcPr>
            <w:tcW w:w="2465" w:type="dxa"/>
            <w:tcBorders>
              <w:top w:val="single" w:sz="8" w:space="0" w:color="000000"/>
              <w:bottom w:val="single" w:sz="8" w:space="0" w:color="000000"/>
            </w:tcBorders>
          </w:tcPr>
          <w:p>
            <w:pPr>
              <w:pStyle w:val="TableParagraph"/>
              <w:spacing w:before="51"/>
              <w:ind w:left="217" w:right="214"/>
              <w:rPr>
                <w:sz w:val="24"/>
              </w:rPr>
            </w:pPr>
            <w:r>
              <w:rPr>
                <w:sz w:val="24"/>
              </w:rPr>
              <w:t>75</w:t>
            </w:r>
          </w:p>
        </w:tc>
        <w:tc>
          <w:tcPr>
            <w:tcW w:w="2201" w:type="dxa"/>
            <w:tcBorders>
              <w:top w:val="single" w:sz="8" w:space="0" w:color="000000"/>
              <w:bottom w:val="single" w:sz="8" w:space="0" w:color="000000"/>
            </w:tcBorders>
          </w:tcPr>
          <w:p>
            <w:pPr>
              <w:pStyle w:val="TableParagraph"/>
              <w:spacing w:before="51"/>
              <w:ind w:left="717" w:right="230"/>
              <w:jc w:val="left"/>
              <w:rPr>
                <w:sz w:val="24"/>
              </w:rPr>
            </w:pPr>
            <w:r>
              <w:rPr>
                <w:sz w:val="24"/>
              </w:rPr>
              <w:t>1.5000</w:t>
            </w:r>
          </w:p>
        </w:tc>
        <w:tc>
          <w:tcPr>
            <w:tcW w:w="2840" w:type="dxa"/>
            <w:tcBorders>
              <w:top w:val="single" w:sz="8" w:space="0" w:color="000000"/>
              <w:bottom w:val="single" w:sz="8" w:space="0" w:color="000000"/>
            </w:tcBorders>
          </w:tcPr>
          <w:p>
            <w:pPr>
              <w:pStyle w:val="TableParagraph"/>
              <w:spacing w:before="51"/>
              <w:ind w:left="951" w:right="952"/>
              <w:rPr>
                <w:sz w:val="24"/>
              </w:rPr>
            </w:pPr>
            <w:r>
              <w:rPr>
                <w:sz w:val="24"/>
              </w:rPr>
              <w:t>0.00569</w:t>
            </w:r>
          </w:p>
        </w:tc>
      </w:tr>
      <w:tr>
        <w:trPr>
          <w:trHeight w:val="406" w:hRule="exact"/>
        </w:trPr>
        <w:tc>
          <w:tcPr>
            <w:tcW w:w="2465" w:type="dxa"/>
            <w:tcBorders>
              <w:top w:val="single" w:sz="8" w:space="0" w:color="000000"/>
              <w:bottom w:val="single" w:sz="8" w:space="0" w:color="000000"/>
            </w:tcBorders>
          </w:tcPr>
          <w:p>
            <w:pPr>
              <w:pStyle w:val="TableParagraph"/>
              <w:spacing w:before="53"/>
              <w:ind w:left="217" w:right="214"/>
              <w:rPr>
                <w:sz w:val="24"/>
              </w:rPr>
            </w:pPr>
            <w:r>
              <w:rPr>
                <w:sz w:val="24"/>
              </w:rPr>
              <w:t>100</w:t>
            </w:r>
          </w:p>
        </w:tc>
        <w:tc>
          <w:tcPr>
            <w:tcW w:w="2201" w:type="dxa"/>
            <w:tcBorders>
              <w:top w:val="single" w:sz="8" w:space="0" w:color="000000"/>
              <w:bottom w:val="single" w:sz="8" w:space="0" w:color="000000"/>
            </w:tcBorders>
          </w:tcPr>
          <w:p>
            <w:pPr>
              <w:pStyle w:val="TableParagraph"/>
              <w:spacing w:before="53"/>
              <w:ind w:left="717" w:right="230"/>
              <w:jc w:val="left"/>
              <w:rPr>
                <w:sz w:val="24"/>
              </w:rPr>
            </w:pPr>
            <w:r>
              <w:rPr>
                <w:sz w:val="24"/>
              </w:rPr>
              <w:t>2.0000</w:t>
            </w:r>
          </w:p>
        </w:tc>
        <w:tc>
          <w:tcPr>
            <w:tcW w:w="2840" w:type="dxa"/>
            <w:tcBorders>
              <w:top w:val="single" w:sz="8" w:space="0" w:color="000000"/>
              <w:bottom w:val="single" w:sz="8" w:space="0" w:color="000000"/>
            </w:tcBorders>
          </w:tcPr>
          <w:p>
            <w:pPr>
              <w:pStyle w:val="TableParagraph"/>
              <w:spacing w:before="53"/>
              <w:ind w:left="951" w:right="952"/>
              <w:rPr>
                <w:sz w:val="24"/>
              </w:rPr>
            </w:pPr>
            <w:r>
              <w:rPr>
                <w:sz w:val="24"/>
              </w:rPr>
              <w:t>0.00745</w:t>
            </w:r>
          </w:p>
        </w:tc>
      </w:tr>
      <w:tr>
        <w:trPr>
          <w:trHeight w:val="406" w:hRule="exact"/>
        </w:trPr>
        <w:tc>
          <w:tcPr>
            <w:tcW w:w="2465" w:type="dxa"/>
            <w:tcBorders>
              <w:top w:val="single" w:sz="8" w:space="0" w:color="000000"/>
              <w:bottom w:val="single" w:sz="8" w:space="0" w:color="000000"/>
            </w:tcBorders>
          </w:tcPr>
          <w:p>
            <w:pPr>
              <w:pStyle w:val="TableParagraph"/>
              <w:spacing w:before="51"/>
              <w:ind w:left="217" w:right="214"/>
              <w:rPr>
                <w:sz w:val="24"/>
              </w:rPr>
            </w:pPr>
            <w:r>
              <w:rPr>
                <w:sz w:val="24"/>
              </w:rPr>
              <w:t>125</w:t>
            </w:r>
          </w:p>
        </w:tc>
        <w:tc>
          <w:tcPr>
            <w:tcW w:w="2201" w:type="dxa"/>
            <w:tcBorders>
              <w:top w:val="single" w:sz="8" w:space="0" w:color="000000"/>
              <w:bottom w:val="single" w:sz="8" w:space="0" w:color="000000"/>
            </w:tcBorders>
          </w:tcPr>
          <w:p>
            <w:pPr>
              <w:pStyle w:val="TableParagraph"/>
              <w:spacing w:before="51"/>
              <w:ind w:left="717" w:right="230"/>
              <w:jc w:val="left"/>
              <w:rPr>
                <w:sz w:val="24"/>
              </w:rPr>
            </w:pPr>
            <w:r>
              <w:rPr>
                <w:sz w:val="24"/>
              </w:rPr>
              <w:t>2.5000</w:t>
            </w:r>
          </w:p>
        </w:tc>
        <w:tc>
          <w:tcPr>
            <w:tcW w:w="2840" w:type="dxa"/>
            <w:tcBorders>
              <w:top w:val="single" w:sz="8" w:space="0" w:color="000000"/>
              <w:bottom w:val="single" w:sz="8" w:space="0" w:color="000000"/>
            </w:tcBorders>
          </w:tcPr>
          <w:p>
            <w:pPr>
              <w:pStyle w:val="TableParagraph"/>
              <w:spacing w:before="51"/>
              <w:ind w:left="951" w:right="952"/>
              <w:rPr>
                <w:sz w:val="24"/>
              </w:rPr>
            </w:pPr>
            <w:r>
              <w:rPr>
                <w:sz w:val="24"/>
              </w:rPr>
              <w:t>0.00936</w:t>
            </w:r>
          </w:p>
        </w:tc>
      </w:tr>
      <w:tr>
        <w:trPr>
          <w:trHeight w:val="406" w:hRule="exact"/>
        </w:trPr>
        <w:tc>
          <w:tcPr>
            <w:tcW w:w="2465" w:type="dxa"/>
            <w:tcBorders>
              <w:top w:val="single" w:sz="8" w:space="0" w:color="000000"/>
              <w:bottom w:val="single" w:sz="8" w:space="0" w:color="000000"/>
            </w:tcBorders>
          </w:tcPr>
          <w:p>
            <w:pPr>
              <w:pStyle w:val="TableParagraph"/>
              <w:spacing w:before="51"/>
              <w:ind w:left="217" w:right="214"/>
              <w:rPr>
                <w:sz w:val="24"/>
              </w:rPr>
            </w:pPr>
            <w:r>
              <w:rPr>
                <w:sz w:val="24"/>
              </w:rPr>
              <w:t>150</w:t>
            </w:r>
          </w:p>
        </w:tc>
        <w:tc>
          <w:tcPr>
            <w:tcW w:w="2201" w:type="dxa"/>
            <w:tcBorders>
              <w:top w:val="single" w:sz="8" w:space="0" w:color="000000"/>
              <w:bottom w:val="single" w:sz="8" w:space="0" w:color="000000"/>
            </w:tcBorders>
          </w:tcPr>
          <w:p>
            <w:pPr>
              <w:pStyle w:val="TableParagraph"/>
              <w:spacing w:before="51"/>
              <w:ind w:left="717" w:right="230"/>
              <w:jc w:val="left"/>
              <w:rPr>
                <w:sz w:val="24"/>
              </w:rPr>
            </w:pPr>
            <w:r>
              <w:rPr>
                <w:sz w:val="24"/>
              </w:rPr>
              <w:t>3.0000</w:t>
            </w:r>
          </w:p>
        </w:tc>
        <w:tc>
          <w:tcPr>
            <w:tcW w:w="2840" w:type="dxa"/>
            <w:tcBorders>
              <w:top w:val="single" w:sz="8" w:space="0" w:color="000000"/>
              <w:bottom w:val="single" w:sz="8" w:space="0" w:color="000000"/>
            </w:tcBorders>
          </w:tcPr>
          <w:p>
            <w:pPr>
              <w:pStyle w:val="TableParagraph"/>
              <w:spacing w:before="51"/>
              <w:ind w:left="951" w:right="952"/>
              <w:rPr>
                <w:sz w:val="24"/>
              </w:rPr>
            </w:pPr>
            <w:r>
              <w:rPr>
                <w:sz w:val="24"/>
              </w:rPr>
              <w:t>0.01109</w:t>
            </w:r>
          </w:p>
        </w:tc>
      </w:tr>
      <w:tr>
        <w:trPr>
          <w:trHeight w:val="409" w:hRule="exact"/>
        </w:trPr>
        <w:tc>
          <w:tcPr>
            <w:tcW w:w="2465" w:type="dxa"/>
            <w:tcBorders>
              <w:top w:val="single" w:sz="8" w:space="0" w:color="000000"/>
            </w:tcBorders>
          </w:tcPr>
          <w:p>
            <w:pPr>
              <w:pStyle w:val="TableParagraph"/>
              <w:spacing w:before="51"/>
              <w:ind w:left="217" w:right="214"/>
              <w:rPr>
                <w:sz w:val="24"/>
              </w:rPr>
            </w:pPr>
            <w:r>
              <w:rPr>
                <w:sz w:val="24"/>
              </w:rPr>
              <w:t>200</w:t>
            </w:r>
          </w:p>
        </w:tc>
        <w:tc>
          <w:tcPr>
            <w:tcW w:w="2201" w:type="dxa"/>
            <w:tcBorders>
              <w:top w:val="single" w:sz="8" w:space="0" w:color="000000"/>
            </w:tcBorders>
          </w:tcPr>
          <w:p>
            <w:pPr>
              <w:pStyle w:val="TableParagraph"/>
              <w:spacing w:before="51"/>
              <w:ind w:left="717" w:right="230"/>
              <w:jc w:val="left"/>
              <w:rPr>
                <w:sz w:val="24"/>
              </w:rPr>
            </w:pPr>
            <w:r>
              <w:rPr>
                <w:sz w:val="24"/>
              </w:rPr>
              <w:t>4.0000</w:t>
            </w:r>
          </w:p>
        </w:tc>
        <w:tc>
          <w:tcPr>
            <w:tcW w:w="2840" w:type="dxa"/>
            <w:tcBorders>
              <w:top w:val="single" w:sz="8" w:space="0" w:color="000000"/>
            </w:tcBorders>
          </w:tcPr>
          <w:p>
            <w:pPr>
              <w:pStyle w:val="TableParagraph"/>
              <w:spacing w:before="51"/>
              <w:ind w:left="951" w:right="952"/>
              <w:rPr>
                <w:sz w:val="24"/>
              </w:rPr>
            </w:pPr>
            <w:r>
              <w:rPr>
                <w:sz w:val="24"/>
              </w:rPr>
              <w:t>0.01460</w:t>
            </w:r>
          </w:p>
        </w:tc>
      </w:tr>
    </w:tbl>
    <w:p>
      <w:pPr>
        <w:spacing w:before="0"/>
        <w:ind w:left="1398" w:right="0" w:firstLine="0"/>
        <w:jc w:val="left"/>
        <w:rPr>
          <w:sz w:val="20"/>
        </w:rPr>
      </w:pPr>
      <w:r>
        <w:rPr/>
        <w:pict>
          <v:group style="position:absolute;margin-left:228.404999pt;margin-top:582.304993pt;width:253.5pt;height:1.45pt;mso-position-horizontal-relative:page;mso-position-vertical-relative:page;z-index:-255376" coordorigin="4568,11646" coordsize="5070,29">
            <v:line style="position:absolute" from="4583,11661" to="6971,11661" stroked="true" strokeweight="1.44pt" strokecolor="#000000"/>
            <v:line style="position:absolute" from="6971,11661" to="7074,11661" stroked="true" strokeweight="1.44pt" strokecolor="#000000"/>
            <v:line style="position:absolute" from="7074,11661" to="9623,11661" stroked="true" strokeweight="1.44pt" strokecolor="#000000"/>
            <w10:wrap type="none"/>
          </v:group>
        </w:pict>
      </w:r>
      <w:r>
        <w:rPr>
          <w:sz w:val="20"/>
        </w:rPr>
        <w:t>CPS: Cuentas por segundo del analito</w:t>
      </w:r>
    </w:p>
    <w:p>
      <w:pPr>
        <w:pStyle w:val="BodyText"/>
        <w:spacing w:before="9"/>
        <w:rPr>
          <w:sz w:val="25"/>
        </w:rPr>
      </w:pPr>
    </w:p>
    <w:p>
      <w:pPr>
        <w:pStyle w:val="Heading1"/>
        <w:ind w:left="1359"/>
        <w:jc w:val="left"/>
      </w:pPr>
      <w:r>
        <w:rPr/>
        <w:pict>
          <v:group style="position:absolute;margin-left:156.975006pt;margin-top:15.580874pt;width:379.05pt;height:227.45pt;mso-position-horizontal-relative:page;mso-position-vertical-relative:paragraph;z-index:2248" coordorigin="3140,312" coordsize="7581,4549">
            <v:shape style="position:absolute;left:4728;top:543;width:5489;height:3437" coordorigin="4728,543" coordsize="5489,3437" path="m4790,3918l4790,543m4728,3918l4790,3918m4728,3495l4790,3495m4728,3073l4790,3073m4728,2653l4790,2653m4728,2231l4790,2231m4728,1808l4790,1808m4728,1386l4790,1386m4728,963l4790,963m4728,543l4790,543m4790,3918l10217,3918m4790,3918l4790,3980m5875,3918l5875,3980m6962,3918l6962,3980m8047,3918l8047,3980m9132,3918l9132,3980m10217,3918l10217,3980e" filled="false" stroked="true" strokeweight=".72pt" strokecolor="#858585">
              <v:path arrowok="t"/>
            </v:shape>
            <v:shape style="position:absolute;left:4983;top:3637;width:155;height:155" type="#_x0000_t75" stroked="false">
              <v:imagedata r:id="rId72" o:title=""/>
            </v:shape>
            <v:shape style="position:absolute;left:5255;top:3434;width:155;height:155" type="#_x0000_t75" stroked="false">
              <v:imagedata r:id="rId71" o:title=""/>
            </v:shape>
            <v:shape style="position:absolute;left:5797;top:3065;width:155;height:155" type="#_x0000_t75" stroked="false">
              <v:imagedata r:id="rId72" o:title=""/>
            </v:shape>
            <v:shape style="position:absolute;left:6340;top:2639;width:155;height:155" type="#_x0000_t75" stroked="false">
              <v:imagedata r:id="rId72" o:title=""/>
            </v:shape>
            <v:shape style="position:absolute;left:6882;top:2268;width:155;height:155" type="#_x0000_t75" stroked="false">
              <v:imagedata r:id="rId73" o:title=""/>
            </v:shape>
            <v:shape style="position:absolute;left:7425;top:1865;width:155;height:155" type="#_x0000_t75" stroked="false">
              <v:imagedata r:id="rId72" o:title=""/>
            </v:shape>
            <v:shape style="position:absolute;left:7967;top:1500;width:155;height:155" type="#_x0000_t75" stroked="false">
              <v:imagedata r:id="rId72" o:title=""/>
            </v:shape>
            <v:shape style="position:absolute;left:9052;top:759;width:155;height:155" type="#_x0000_t75" stroked="false">
              <v:imagedata r:id="rId72" o:title=""/>
            </v:shape>
            <v:shape style="position:absolute;left:5062;top:812;width:4071;height:2890" coordorigin="5062,812" coordsize="4071,2890" path="m5062,3702l9132,812m5062,3702l9132,812m5062,3702l9132,812m5062,3702l9132,812m5062,3702l9132,812m5062,3702l9132,812e" filled="false" stroked="true" strokeweight=".72pt" strokecolor="#000000">
              <v:path arrowok="t"/>
            </v:shape>
            <v:rect style="position:absolute;left:3147;top:319;width:7566;height:4533" filled="false" stroked="true" strokeweight=".75pt" strokecolor="#858585"/>
            <v:shape style="position:absolute;left:3948;top:449;width:656;height:2310" type="#_x0000_t202" filled="false" stroked="false">
              <v:textbox inset="0,0,0,0">
                <w:txbxContent>
                  <w:p>
                    <w:pPr>
                      <w:spacing w:line="203" w:lineRule="exact" w:before="0"/>
                      <w:ind w:left="0" w:right="-16" w:firstLine="0"/>
                      <w:jc w:val="left"/>
                      <w:rPr>
                        <w:rFonts w:ascii="Calibri"/>
                        <w:sz w:val="20"/>
                      </w:rPr>
                    </w:pPr>
                    <w:r>
                      <w:rPr>
                        <w:rFonts w:ascii="Calibri"/>
                        <w:spacing w:val="-1"/>
                        <w:sz w:val="20"/>
                      </w:rPr>
                      <w:t>0.01600</w:t>
                    </w:r>
                  </w:p>
                  <w:p>
                    <w:pPr>
                      <w:spacing w:before="178"/>
                      <w:ind w:left="0" w:right="-16" w:firstLine="0"/>
                      <w:jc w:val="left"/>
                      <w:rPr>
                        <w:rFonts w:ascii="Calibri"/>
                        <w:sz w:val="20"/>
                      </w:rPr>
                    </w:pPr>
                    <w:r>
                      <w:rPr>
                        <w:rFonts w:ascii="Calibri"/>
                        <w:spacing w:val="-1"/>
                        <w:sz w:val="20"/>
                      </w:rPr>
                      <w:t>0.01400</w:t>
                    </w:r>
                  </w:p>
                  <w:p>
                    <w:pPr>
                      <w:spacing w:before="178"/>
                      <w:ind w:left="0" w:right="-16" w:firstLine="0"/>
                      <w:jc w:val="left"/>
                      <w:rPr>
                        <w:rFonts w:ascii="Calibri"/>
                        <w:sz w:val="20"/>
                      </w:rPr>
                    </w:pPr>
                    <w:r>
                      <w:rPr>
                        <w:rFonts w:ascii="Calibri"/>
                        <w:spacing w:val="-1"/>
                        <w:sz w:val="20"/>
                      </w:rPr>
                      <w:t>0.01200</w:t>
                    </w:r>
                  </w:p>
                  <w:p>
                    <w:pPr>
                      <w:spacing w:before="177"/>
                      <w:ind w:left="0" w:right="-16" w:firstLine="0"/>
                      <w:jc w:val="left"/>
                      <w:rPr>
                        <w:rFonts w:ascii="Calibri"/>
                        <w:sz w:val="20"/>
                      </w:rPr>
                    </w:pPr>
                    <w:r>
                      <w:rPr>
                        <w:rFonts w:ascii="Calibri"/>
                        <w:spacing w:val="-1"/>
                        <w:sz w:val="20"/>
                      </w:rPr>
                      <w:t>0.01000</w:t>
                    </w:r>
                  </w:p>
                  <w:p>
                    <w:pPr>
                      <w:spacing w:before="178"/>
                      <w:ind w:left="0" w:right="-16" w:firstLine="0"/>
                      <w:jc w:val="left"/>
                      <w:rPr>
                        <w:rFonts w:ascii="Calibri"/>
                        <w:sz w:val="20"/>
                      </w:rPr>
                    </w:pPr>
                    <w:r>
                      <w:rPr>
                        <w:rFonts w:ascii="Calibri"/>
                        <w:spacing w:val="-1"/>
                        <w:sz w:val="20"/>
                      </w:rPr>
                      <w:t>0.00800</w:t>
                    </w:r>
                  </w:p>
                  <w:p>
                    <w:pPr>
                      <w:spacing w:line="240" w:lineRule="exact" w:before="177"/>
                      <w:ind w:left="0" w:right="-16" w:firstLine="0"/>
                      <w:jc w:val="left"/>
                      <w:rPr>
                        <w:rFonts w:ascii="Calibri"/>
                        <w:sz w:val="20"/>
                      </w:rPr>
                    </w:pPr>
                    <w:r>
                      <w:rPr>
                        <w:rFonts w:ascii="Calibri"/>
                        <w:spacing w:val="-1"/>
                        <w:sz w:val="20"/>
                      </w:rPr>
                      <w:t>0.00600</w:t>
                    </w:r>
                  </w:p>
                </w:txbxContent>
              </v:textbox>
              <w10:wrap type="none"/>
            </v:shape>
            <v:shape style="position:absolute;left:8815;top:2190;width:1666;height:444" type="#_x0000_t202" filled="false" stroked="false">
              <v:textbox inset="0,0,0,0">
                <w:txbxContent>
                  <w:p>
                    <w:pPr>
                      <w:spacing w:line="203" w:lineRule="exact" w:before="0"/>
                      <w:ind w:left="0" w:right="0" w:firstLine="0"/>
                      <w:jc w:val="center"/>
                      <w:rPr>
                        <w:rFonts w:ascii="Calibri"/>
                        <w:sz w:val="20"/>
                      </w:rPr>
                    </w:pPr>
                    <w:r>
                      <w:rPr>
                        <w:rFonts w:ascii="Calibri"/>
                        <w:sz w:val="20"/>
                      </w:rPr>
                      <w:t>y = 0.0037x +</w:t>
                    </w:r>
                    <w:r>
                      <w:rPr>
                        <w:rFonts w:ascii="Calibri"/>
                        <w:spacing w:val="-8"/>
                        <w:sz w:val="20"/>
                      </w:rPr>
                      <w:t> </w:t>
                    </w:r>
                    <w:r>
                      <w:rPr>
                        <w:rFonts w:ascii="Calibri"/>
                        <w:sz w:val="20"/>
                      </w:rPr>
                      <w:t>0.0001</w:t>
                    </w:r>
                  </w:p>
                  <w:p>
                    <w:pPr>
                      <w:spacing w:line="240" w:lineRule="exact" w:before="0"/>
                      <w:ind w:left="0" w:right="0" w:firstLine="0"/>
                      <w:jc w:val="center"/>
                      <w:rPr>
                        <w:rFonts w:ascii="Calibri" w:hAnsi="Calibri"/>
                        <w:sz w:val="20"/>
                      </w:rPr>
                    </w:pPr>
                    <w:r>
                      <w:rPr>
                        <w:rFonts w:ascii="Calibri" w:hAnsi="Calibri"/>
                        <w:sz w:val="20"/>
                      </w:rPr>
                      <w:t>R² = 1.00</w:t>
                    </w:r>
                  </w:p>
                </w:txbxContent>
              </v:textbox>
              <w10:wrap type="none"/>
            </v:shape>
            <v:shape style="position:absolute;left:3948;top:2981;width:1121;height:1304" type="#_x0000_t202" filled="false" stroked="false">
              <v:textbox inset="0,0,0,0">
                <w:txbxContent>
                  <w:p>
                    <w:pPr>
                      <w:spacing w:line="203" w:lineRule="exact" w:before="0"/>
                      <w:ind w:left="0" w:right="0" w:firstLine="0"/>
                      <w:jc w:val="left"/>
                      <w:rPr>
                        <w:rFonts w:ascii="Calibri"/>
                        <w:sz w:val="20"/>
                      </w:rPr>
                    </w:pPr>
                    <w:r>
                      <w:rPr>
                        <w:rFonts w:ascii="Calibri"/>
                        <w:sz w:val="20"/>
                      </w:rPr>
                      <w:t>0.00400</w:t>
                    </w:r>
                  </w:p>
                  <w:p>
                    <w:pPr>
                      <w:spacing w:before="178"/>
                      <w:ind w:left="0" w:right="0" w:firstLine="0"/>
                      <w:jc w:val="left"/>
                      <w:rPr>
                        <w:rFonts w:ascii="Calibri"/>
                        <w:sz w:val="20"/>
                      </w:rPr>
                    </w:pPr>
                    <w:r>
                      <w:rPr>
                        <w:rFonts w:ascii="Calibri"/>
                        <w:sz w:val="20"/>
                      </w:rPr>
                      <w:t>0.00200</w:t>
                    </w:r>
                  </w:p>
                  <w:p>
                    <w:pPr>
                      <w:spacing w:before="178"/>
                      <w:ind w:left="0" w:right="0" w:firstLine="0"/>
                      <w:jc w:val="left"/>
                      <w:rPr>
                        <w:rFonts w:ascii="Calibri"/>
                        <w:sz w:val="20"/>
                      </w:rPr>
                    </w:pPr>
                    <w:r>
                      <w:rPr>
                        <w:rFonts w:ascii="Calibri"/>
                        <w:sz w:val="20"/>
                      </w:rPr>
                      <w:t>0.00000</w:t>
                    </w:r>
                  </w:p>
                  <w:p>
                    <w:pPr>
                      <w:spacing w:line="240" w:lineRule="exact" w:before="15"/>
                      <w:ind w:left="565" w:right="0" w:firstLine="0"/>
                      <w:jc w:val="left"/>
                      <w:rPr>
                        <w:rFonts w:ascii="Calibri"/>
                        <w:sz w:val="20"/>
                      </w:rPr>
                    </w:pPr>
                    <w:r>
                      <w:rPr>
                        <w:rFonts w:ascii="Calibri"/>
                        <w:w w:val="95"/>
                        <w:sz w:val="20"/>
                      </w:rPr>
                      <w:t>0.0000</w:t>
                    </w:r>
                  </w:p>
                </w:txbxContent>
              </v:textbox>
              <w10:wrap type="none"/>
            </v:shape>
            <v:shape style="position:absolute;left:5599;top:4085;width:556;height:200" type="#_x0000_t202" filled="false" stroked="false">
              <v:textbox inset="0,0,0,0">
                <w:txbxContent>
                  <w:p>
                    <w:pPr>
                      <w:spacing w:line="199" w:lineRule="exact" w:before="0"/>
                      <w:ind w:left="0" w:right="0" w:firstLine="0"/>
                      <w:jc w:val="left"/>
                      <w:rPr>
                        <w:rFonts w:ascii="Calibri"/>
                        <w:sz w:val="20"/>
                      </w:rPr>
                    </w:pPr>
                    <w:r>
                      <w:rPr>
                        <w:rFonts w:ascii="Calibri"/>
                        <w:w w:val="95"/>
                        <w:sz w:val="20"/>
                      </w:rPr>
                      <w:t>1.0000</w:t>
                    </w:r>
                  </w:p>
                </w:txbxContent>
              </v:textbox>
              <w10:wrap type="none"/>
            </v:shape>
            <v:shape style="position:absolute;left:6684;top:4085;width:556;height:200" type="#_x0000_t202" filled="false" stroked="false">
              <v:textbox inset="0,0,0,0">
                <w:txbxContent>
                  <w:p>
                    <w:pPr>
                      <w:spacing w:line="199" w:lineRule="exact" w:before="0"/>
                      <w:ind w:left="0" w:right="0" w:firstLine="0"/>
                      <w:jc w:val="left"/>
                      <w:rPr>
                        <w:rFonts w:ascii="Calibri"/>
                        <w:sz w:val="20"/>
                      </w:rPr>
                    </w:pPr>
                    <w:r>
                      <w:rPr>
                        <w:rFonts w:ascii="Calibri"/>
                        <w:w w:val="95"/>
                        <w:sz w:val="20"/>
                      </w:rPr>
                      <w:t>2.0000</w:t>
                    </w:r>
                  </w:p>
                </w:txbxContent>
              </v:textbox>
              <w10:wrap type="none"/>
            </v:shape>
            <v:shape style="position:absolute;left:7769;top:4085;width:556;height:200" type="#_x0000_t202" filled="false" stroked="false">
              <v:textbox inset="0,0,0,0">
                <w:txbxContent>
                  <w:p>
                    <w:pPr>
                      <w:spacing w:line="199" w:lineRule="exact" w:before="0"/>
                      <w:ind w:left="0" w:right="0" w:firstLine="0"/>
                      <w:jc w:val="left"/>
                      <w:rPr>
                        <w:rFonts w:ascii="Calibri"/>
                        <w:sz w:val="20"/>
                      </w:rPr>
                    </w:pPr>
                    <w:r>
                      <w:rPr>
                        <w:rFonts w:ascii="Calibri"/>
                        <w:w w:val="95"/>
                        <w:sz w:val="20"/>
                      </w:rPr>
                      <w:t>3.0000</w:t>
                    </w:r>
                  </w:p>
                </w:txbxContent>
              </v:textbox>
              <w10:wrap type="none"/>
            </v:shape>
            <v:shape style="position:absolute;left:8855;top:4085;width:556;height:200" type="#_x0000_t202" filled="false" stroked="false">
              <v:textbox inset="0,0,0,0">
                <w:txbxContent>
                  <w:p>
                    <w:pPr>
                      <w:spacing w:line="199" w:lineRule="exact" w:before="0"/>
                      <w:ind w:left="0" w:right="0" w:firstLine="0"/>
                      <w:jc w:val="left"/>
                      <w:rPr>
                        <w:rFonts w:ascii="Calibri"/>
                        <w:sz w:val="20"/>
                      </w:rPr>
                    </w:pPr>
                    <w:r>
                      <w:rPr>
                        <w:rFonts w:ascii="Calibri"/>
                        <w:w w:val="95"/>
                        <w:sz w:val="20"/>
                      </w:rPr>
                      <w:t>4.0000</w:t>
                    </w:r>
                  </w:p>
                </w:txbxContent>
              </v:textbox>
              <w10:wrap type="none"/>
            </v:shape>
            <v:shape style="position:absolute;left:9940;top:4085;width:556;height:200" type="#_x0000_t202" filled="false" stroked="false">
              <v:textbox inset="0,0,0,0">
                <w:txbxContent>
                  <w:p>
                    <w:pPr>
                      <w:spacing w:line="199" w:lineRule="exact" w:before="0"/>
                      <w:ind w:left="0" w:right="0" w:firstLine="0"/>
                      <w:jc w:val="left"/>
                      <w:rPr>
                        <w:rFonts w:ascii="Calibri"/>
                        <w:sz w:val="20"/>
                      </w:rPr>
                    </w:pPr>
                    <w:r>
                      <w:rPr>
                        <w:rFonts w:ascii="Calibri"/>
                        <w:w w:val="95"/>
                        <w:sz w:val="20"/>
                      </w:rPr>
                      <w:t>5.0000</w:t>
                    </w:r>
                  </w:p>
                </w:txbxContent>
              </v:textbox>
              <w10:wrap type="none"/>
            </v:shape>
            <v:shape style="position:absolute;left:6546;top:4387;width:1964;height:214" type="#_x0000_t202" filled="false" stroked="false">
              <v:textbox inset="0,0,0,0">
                <w:txbxContent>
                  <w:p>
                    <w:pPr>
                      <w:spacing w:line="213" w:lineRule="exact" w:before="0"/>
                      <w:ind w:left="0" w:right="-14" w:firstLine="0"/>
                      <w:jc w:val="left"/>
                      <w:rPr>
                        <w:rFonts w:ascii="Calibri" w:hAnsi="Calibri"/>
                        <w:b/>
                        <w:sz w:val="20"/>
                      </w:rPr>
                    </w:pPr>
                    <w:r>
                      <w:rPr>
                        <w:b/>
                        <w:sz w:val="20"/>
                      </w:rPr>
                      <w:t>Concentración</w:t>
                    </w:r>
                    <w:r>
                      <w:rPr>
                        <w:b/>
                        <w:spacing w:val="-8"/>
                        <w:sz w:val="20"/>
                      </w:rPr>
                      <w:t> </w:t>
                    </w:r>
                    <w:r>
                      <w:rPr>
                        <w:rFonts w:ascii="Symbol" w:hAnsi="Symbol"/>
                        <w:b/>
                        <w:sz w:val="20"/>
                      </w:rPr>
                      <w:t></w:t>
                    </w:r>
                    <w:r>
                      <w:rPr>
                        <w:rFonts w:ascii="Calibri" w:hAnsi="Calibri"/>
                        <w:b/>
                        <w:sz w:val="20"/>
                      </w:rPr>
                      <w:t>g/L)</w:t>
                    </w:r>
                  </w:p>
                </w:txbxContent>
              </v:textbox>
              <w10:wrap type="none"/>
            </v:shape>
            <w10:wrap type="none"/>
          </v:group>
        </w:pict>
      </w:r>
      <w:r>
        <w:rPr/>
        <w:pict>
          <v:shape style="position:absolute;margin-left:170.910004pt;margin-top:64.963097pt;width:25.8pt;height:93.25pt;mso-position-horizontal-relative:page;mso-position-vertical-relative:paragraph;z-index:2272" type="#_x0000_t202" filled="false" stroked="false">
            <v:textbox inset="0,0,0,0" style="layout-flow:vertical;mso-layout-flow-alt:bottom-to-top">
              <w:txbxContent>
                <w:p>
                  <w:pPr>
                    <w:spacing w:line="223" w:lineRule="exact" w:before="0"/>
                    <w:ind w:left="505" w:right="-862" w:firstLine="0"/>
                    <w:jc w:val="left"/>
                    <w:rPr>
                      <w:rFonts w:ascii="Calibri"/>
                      <w:b/>
                      <w:sz w:val="20"/>
                    </w:rPr>
                  </w:pPr>
                  <w:r>
                    <w:rPr>
                      <w:rFonts w:ascii="Calibri"/>
                      <w:b/>
                      <w:w w:val="99"/>
                      <w:sz w:val="20"/>
                    </w:rPr>
                    <w:t>Respuesta</w:t>
                  </w:r>
                </w:p>
                <w:p>
                  <w:pPr>
                    <w:spacing w:before="0"/>
                    <w:ind w:left="20" w:right="-528" w:firstLine="0"/>
                    <w:jc w:val="left"/>
                    <w:rPr>
                      <w:rFonts w:ascii="Calibri" w:hAnsi="Calibri"/>
                      <w:b/>
                      <w:sz w:val="20"/>
                    </w:rPr>
                  </w:pPr>
                  <w:r>
                    <w:rPr>
                      <w:rFonts w:ascii="Calibri" w:hAnsi="Calibri"/>
                      <w:b/>
                      <w:w w:val="99"/>
                      <w:sz w:val="20"/>
                    </w:rPr>
                    <w:t>(Re</w:t>
                  </w:r>
                  <w:r>
                    <w:rPr>
                      <w:rFonts w:ascii="Calibri" w:hAnsi="Calibri"/>
                      <w:b/>
                      <w:spacing w:val="-1"/>
                      <w:w w:val="99"/>
                      <w:sz w:val="20"/>
                    </w:rPr>
                    <w:t>l</w:t>
                  </w:r>
                  <w:r>
                    <w:rPr>
                      <w:rFonts w:ascii="Calibri" w:hAnsi="Calibri"/>
                      <w:b/>
                      <w:w w:val="99"/>
                      <w:sz w:val="20"/>
                    </w:rPr>
                    <w:t>ac</w:t>
                  </w:r>
                  <w:r>
                    <w:rPr>
                      <w:rFonts w:ascii="Calibri" w:hAnsi="Calibri"/>
                      <w:b/>
                      <w:spacing w:val="-1"/>
                      <w:w w:val="99"/>
                      <w:sz w:val="20"/>
                    </w:rPr>
                    <w:t>i</w:t>
                  </w:r>
                  <w:r>
                    <w:rPr>
                      <w:rFonts w:ascii="Calibri" w:hAnsi="Calibri"/>
                      <w:b/>
                      <w:w w:val="99"/>
                      <w:sz w:val="20"/>
                    </w:rPr>
                    <w:t>ón</w:t>
                  </w:r>
                  <w:r>
                    <w:rPr>
                      <w:rFonts w:ascii="Calibri" w:hAnsi="Calibri"/>
                      <w:b/>
                      <w:spacing w:val="-2"/>
                      <w:sz w:val="20"/>
                    </w:rPr>
                    <w:t> </w:t>
                  </w:r>
                  <w:r>
                    <w:rPr>
                      <w:rFonts w:ascii="Calibri" w:hAnsi="Calibri"/>
                      <w:b/>
                      <w:spacing w:val="-1"/>
                      <w:w w:val="99"/>
                      <w:sz w:val="20"/>
                    </w:rPr>
                    <w:t>CP</w:t>
                  </w:r>
                  <w:r>
                    <w:rPr>
                      <w:rFonts w:ascii="Calibri" w:hAnsi="Calibri"/>
                      <w:b/>
                      <w:w w:val="99"/>
                      <w:sz w:val="20"/>
                    </w:rPr>
                    <w:t>S</w:t>
                  </w:r>
                  <w:r>
                    <w:rPr>
                      <w:rFonts w:ascii="Calibri" w:hAnsi="Calibri"/>
                      <w:b/>
                      <w:w w:val="103"/>
                      <w:position w:val="-4"/>
                      <w:sz w:val="13"/>
                    </w:rPr>
                    <w:t>C</w:t>
                  </w:r>
                  <w:r>
                    <w:rPr>
                      <w:rFonts w:ascii="Calibri" w:hAnsi="Calibri"/>
                      <w:b/>
                      <w:spacing w:val="-1"/>
                      <w:w w:val="103"/>
                      <w:position w:val="-4"/>
                      <w:sz w:val="13"/>
                    </w:rPr>
                    <w:t>d</w:t>
                  </w:r>
                  <w:r>
                    <w:rPr>
                      <w:rFonts w:ascii="Calibri" w:hAnsi="Calibri"/>
                      <w:b/>
                      <w:w w:val="99"/>
                      <w:sz w:val="20"/>
                    </w:rPr>
                    <w:t>/</w:t>
                  </w:r>
                  <w:r>
                    <w:rPr>
                      <w:rFonts w:ascii="Calibri" w:hAnsi="Calibri"/>
                      <w:b/>
                      <w:spacing w:val="-1"/>
                      <w:w w:val="99"/>
                      <w:sz w:val="20"/>
                    </w:rPr>
                    <w:t>CPS</w:t>
                  </w:r>
                  <w:r>
                    <w:rPr>
                      <w:rFonts w:ascii="Calibri" w:hAnsi="Calibri"/>
                      <w:b/>
                      <w:w w:val="103"/>
                      <w:position w:val="-4"/>
                      <w:sz w:val="13"/>
                    </w:rPr>
                    <w:t>I</w:t>
                  </w:r>
                  <w:r>
                    <w:rPr>
                      <w:rFonts w:ascii="Calibri" w:hAnsi="Calibri"/>
                      <w:b/>
                      <w:spacing w:val="-1"/>
                      <w:w w:val="103"/>
                      <w:position w:val="-4"/>
                      <w:sz w:val="13"/>
                    </w:rPr>
                    <w:t>n</w:t>
                  </w:r>
                  <w:r>
                    <w:rPr>
                      <w:rFonts w:ascii="Calibri" w:hAnsi="Calibri"/>
                      <w:b/>
                      <w:w w:val="99"/>
                      <w:sz w:val="20"/>
                    </w:rPr>
                    <w:t>)</w:t>
                  </w:r>
                </w:p>
              </w:txbxContent>
            </v:textbox>
            <w10:wrap type="none"/>
          </v:shape>
        </w:pict>
      </w:r>
      <w:r>
        <w:rPr/>
        <w:t>Figura B.III.2. Resultados de la linealidad de la respuesta para Cd</w:t>
      </w: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3"/>
        <w:rPr>
          <w:b/>
          <w:sz w:val="29"/>
        </w:rPr>
      </w:pPr>
    </w:p>
    <w:tbl>
      <w:tblPr>
        <w:tblW w:w="0" w:type="auto"/>
        <w:jc w:val="left"/>
        <w:tblInd w:w="284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080"/>
        <w:gridCol w:w="2975"/>
      </w:tblGrid>
      <w:tr>
        <w:trPr>
          <w:trHeight w:val="718" w:hRule="exact"/>
        </w:trPr>
        <w:tc>
          <w:tcPr>
            <w:tcW w:w="2080" w:type="dxa"/>
            <w:tcBorders>
              <w:left w:val="nil"/>
              <w:bottom w:val="single" w:sz="6" w:space="0" w:color="000000"/>
              <w:right w:val="nil"/>
            </w:tcBorders>
          </w:tcPr>
          <w:p>
            <w:pPr>
              <w:pStyle w:val="TableParagraph"/>
              <w:spacing w:before="9"/>
              <w:jc w:val="left"/>
              <w:rPr>
                <w:b/>
                <w:sz w:val="20"/>
              </w:rPr>
            </w:pPr>
          </w:p>
          <w:p>
            <w:pPr>
              <w:pStyle w:val="TableParagraph"/>
              <w:ind w:left="84" w:right="-15"/>
              <w:jc w:val="left"/>
              <w:rPr>
                <w:rFonts w:ascii="Calibri" w:hAnsi="Calibri"/>
                <w:b/>
                <w:i/>
                <w:sz w:val="26"/>
              </w:rPr>
            </w:pPr>
            <w:r>
              <w:rPr>
                <w:rFonts w:ascii="Calibri" w:hAnsi="Calibri"/>
                <w:b/>
                <w:i/>
                <w:sz w:val="26"/>
              </w:rPr>
              <w:t>Regresión</w:t>
            </w:r>
          </w:p>
        </w:tc>
        <w:tc>
          <w:tcPr>
            <w:tcW w:w="2975" w:type="dxa"/>
            <w:tcBorders>
              <w:left w:val="nil"/>
              <w:bottom w:val="single" w:sz="6" w:space="0" w:color="000000"/>
              <w:right w:val="nil"/>
            </w:tcBorders>
          </w:tcPr>
          <w:p>
            <w:pPr/>
          </w:p>
        </w:tc>
      </w:tr>
      <w:tr>
        <w:trPr>
          <w:trHeight w:val="295" w:hRule="exact"/>
        </w:trPr>
        <w:tc>
          <w:tcPr>
            <w:tcW w:w="2080" w:type="dxa"/>
            <w:tcBorders>
              <w:top w:val="single" w:sz="6" w:space="0" w:color="000000"/>
              <w:left w:val="nil"/>
              <w:bottom w:val="nil"/>
              <w:right w:val="nil"/>
            </w:tcBorders>
          </w:tcPr>
          <w:p>
            <w:pPr>
              <w:pStyle w:val="TableParagraph"/>
              <w:spacing w:line="275" w:lineRule="exact"/>
              <w:ind w:left="84" w:right="-15"/>
              <w:jc w:val="left"/>
              <w:rPr>
                <w:sz w:val="24"/>
              </w:rPr>
            </w:pPr>
            <w:r>
              <w:rPr>
                <w:sz w:val="24"/>
              </w:rPr>
              <w:t>Constante</w:t>
            </w:r>
          </w:p>
        </w:tc>
        <w:tc>
          <w:tcPr>
            <w:tcW w:w="2975" w:type="dxa"/>
            <w:tcBorders>
              <w:top w:val="single" w:sz="6" w:space="0" w:color="000000"/>
              <w:left w:val="nil"/>
              <w:bottom w:val="nil"/>
              <w:right w:val="nil"/>
            </w:tcBorders>
          </w:tcPr>
          <w:p>
            <w:pPr>
              <w:pStyle w:val="TableParagraph"/>
              <w:spacing w:line="275" w:lineRule="exact"/>
              <w:ind w:left="392"/>
              <w:jc w:val="left"/>
              <w:rPr>
                <w:sz w:val="24"/>
              </w:rPr>
            </w:pPr>
            <w:r>
              <w:rPr>
                <w:sz w:val="24"/>
              </w:rPr>
              <w:t>0.00001</w:t>
            </w:r>
          </w:p>
        </w:tc>
      </w:tr>
      <w:tr>
        <w:trPr>
          <w:trHeight w:val="276" w:hRule="exact"/>
        </w:trPr>
        <w:tc>
          <w:tcPr>
            <w:tcW w:w="2080" w:type="dxa"/>
            <w:tcBorders>
              <w:top w:val="nil"/>
              <w:left w:val="nil"/>
              <w:bottom w:val="nil"/>
              <w:right w:val="nil"/>
            </w:tcBorders>
          </w:tcPr>
          <w:p>
            <w:pPr>
              <w:pStyle w:val="TableParagraph"/>
              <w:spacing w:line="263" w:lineRule="exact"/>
              <w:ind w:left="84" w:right="-15"/>
              <w:jc w:val="left"/>
              <w:rPr>
                <w:sz w:val="24"/>
              </w:rPr>
            </w:pPr>
            <w:r>
              <w:rPr>
                <w:sz w:val="24"/>
              </w:rPr>
              <w:t>Coeficiente X</w:t>
            </w:r>
          </w:p>
        </w:tc>
        <w:tc>
          <w:tcPr>
            <w:tcW w:w="2975" w:type="dxa"/>
            <w:tcBorders>
              <w:top w:val="nil"/>
              <w:left w:val="nil"/>
              <w:bottom w:val="nil"/>
              <w:right w:val="nil"/>
            </w:tcBorders>
          </w:tcPr>
          <w:p>
            <w:pPr>
              <w:pStyle w:val="TableParagraph"/>
              <w:spacing w:line="263" w:lineRule="exact"/>
              <w:ind w:left="392"/>
              <w:jc w:val="left"/>
              <w:rPr>
                <w:sz w:val="24"/>
              </w:rPr>
            </w:pPr>
            <w:r>
              <w:rPr>
                <w:sz w:val="24"/>
              </w:rPr>
              <w:t>0.0037</w:t>
            </w:r>
          </w:p>
        </w:tc>
      </w:tr>
      <w:tr>
        <w:trPr>
          <w:trHeight w:val="276" w:hRule="exact"/>
        </w:trPr>
        <w:tc>
          <w:tcPr>
            <w:tcW w:w="2080" w:type="dxa"/>
            <w:tcBorders>
              <w:top w:val="nil"/>
              <w:left w:val="nil"/>
              <w:bottom w:val="nil"/>
              <w:right w:val="nil"/>
            </w:tcBorders>
          </w:tcPr>
          <w:p>
            <w:pPr>
              <w:pStyle w:val="TableParagraph"/>
              <w:spacing w:line="263" w:lineRule="exact"/>
              <w:ind w:left="84" w:right="-15"/>
              <w:jc w:val="left"/>
              <w:rPr>
                <w:sz w:val="24"/>
              </w:rPr>
            </w:pPr>
            <w:r>
              <w:rPr>
                <w:sz w:val="24"/>
              </w:rPr>
              <w:t>R cuadrada</w:t>
            </w:r>
          </w:p>
        </w:tc>
        <w:tc>
          <w:tcPr>
            <w:tcW w:w="2975" w:type="dxa"/>
            <w:tcBorders>
              <w:top w:val="nil"/>
              <w:left w:val="nil"/>
              <w:bottom w:val="nil"/>
              <w:right w:val="nil"/>
            </w:tcBorders>
          </w:tcPr>
          <w:p>
            <w:pPr>
              <w:pStyle w:val="TableParagraph"/>
              <w:spacing w:line="263" w:lineRule="exact"/>
              <w:ind w:left="392"/>
              <w:jc w:val="left"/>
              <w:rPr>
                <w:sz w:val="24"/>
              </w:rPr>
            </w:pPr>
            <w:r>
              <w:rPr>
                <w:sz w:val="24"/>
              </w:rPr>
              <w:t>1.00</w:t>
            </w:r>
          </w:p>
        </w:tc>
      </w:tr>
      <w:tr>
        <w:trPr>
          <w:trHeight w:val="284" w:hRule="exact"/>
        </w:trPr>
        <w:tc>
          <w:tcPr>
            <w:tcW w:w="2080" w:type="dxa"/>
            <w:tcBorders>
              <w:top w:val="nil"/>
              <w:left w:val="nil"/>
              <w:bottom w:val="single" w:sz="12" w:space="0" w:color="000000"/>
              <w:right w:val="nil"/>
            </w:tcBorders>
          </w:tcPr>
          <w:p>
            <w:pPr>
              <w:pStyle w:val="TableParagraph"/>
              <w:spacing w:line="263" w:lineRule="exact"/>
              <w:ind w:left="84" w:right="-15"/>
              <w:jc w:val="left"/>
              <w:rPr>
                <w:sz w:val="24"/>
              </w:rPr>
            </w:pPr>
            <w:r>
              <w:rPr>
                <w:sz w:val="24"/>
              </w:rPr>
              <w:t>Observaciones</w:t>
            </w:r>
          </w:p>
        </w:tc>
        <w:tc>
          <w:tcPr>
            <w:tcW w:w="2975" w:type="dxa"/>
            <w:tcBorders>
              <w:top w:val="nil"/>
              <w:left w:val="nil"/>
              <w:bottom w:val="single" w:sz="12" w:space="0" w:color="000000"/>
              <w:right w:val="nil"/>
            </w:tcBorders>
          </w:tcPr>
          <w:p>
            <w:pPr>
              <w:pStyle w:val="TableParagraph"/>
              <w:spacing w:line="263" w:lineRule="exact"/>
              <w:ind w:left="392"/>
              <w:jc w:val="left"/>
              <w:rPr>
                <w:sz w:val="24"/>
              </w:rPr>
            </w:pPr>
            <w:r>
              <w:rPr>
                <w:w w:val="99"/>
                <w:sz w:val="24"/>
              </w:rPr>
              <w:t>8</w:t>
            </w:r>
          </w:p>
        </w:tc>
      </w:tr>
    </w:tbl>
    <w:p>
      <w:pPr>
        <w:pStyle w:val="BodyText"/>
        <w:rPr>
          <w:b/>
          <w:sz w:val="20"/>
        </w:rPr>
      </w:pPr>
    </w:p>
    <w:p>
      <w:pPr>
        <w:pStyle w:val="BodyText"/>
        <w:rPr>
          <w:b/>
          <w:sz w:val="20"/>
        </w:rPr>
      </w:pPr>
    </w:p>
    <w:p>
      <w:pPr>
        <w:pStyle w:val="BodyText"/>
        <w:rPr>
          <w:b/>
          <w:sz w:val="20"/>
        </w:rPr>
      </w:pPr>
    </w:p>
    <w:p>
      <w:pPr>
        <w:pStyle w:val="BodyText"/>
        <w:spacing w:before="5"/>
        <w:rPr>
          <w:b/>
          <w:sz w:val="16"/>
        </w:rPr>
      </w:pPr>
    </w:p>
    <w:p>
      <w:pPr>
        <w:spacing w:before="69"/>
        <w:ind w:left="1398" w:right="0" w:firstLine="0"/>
        <w:jc w:val="left"/>
        <w:rPr>
          <w:b/>
          <w:sz w:val="24"/>
        </w:rPr>
      </w:pPr>
      <w:r>
        <w:rPr>
          <w:b/>
          <w:sz w:val="24"/>
        </w:rPr>
        <w:t>Tabla B.III.3. Resultados de la Linealidad de la respuesta para Hg</w:t>
      </w:r>
    </w:p>
    <w:p>
      <w:pPr>
        <w:spacing w:after="0"/>
        <w:jc w:val="left"/>
        <w:rPr>
          <w:sz w:val="24"/>
        </w:rPr>
        <w:sectPr>
          <w:pgSz w:w="12240" w:h="15840"/>
          <w:pgMar w:header="0" w:footer="859" w:top="1420" w:bottom="1100" w:left="1720" w:right="1400"/>
        </w:sectPr>
      </w:pPr>
    </w:p>
    <w:tbl>
      <w:tblPr>
        <w:tblW w:w="0" w:type="auto"/>
        <w:jc w:val="left"/>
        <w:tblInd w:w="1407"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CellMar>
          <w:top w:w="0" w:type="dxa"/>
          <w:left w:w="0" w:type="dxa"/>
          <w:bottom w:w="0" w:type="dxa"/>
          <w:right w:w="0" w:type="dxa"/>
        </w:tblCellMar>
        <w:tblLook w:val="01E0"/>
      </w:tblPr>
      <w:tblGrid>
        <w:gridCol w:w="2485"/>
        <w:gridCol w:w="2218"/>
        <w:gridCol w:w="2864"/>
      </w:tblGrid>
      <w:tr>
        <w:trPr>
          <w:trHeight w:val="581" w:hRule="exact"/>
        </w:trPr>
        <w:tc>
          <w:tcPr>
            <w:tcW w:w="2485" w:type="dxa"/>
            <w:shd w:val="clear" w:color="auto" w:fill="D9D9D9"/>
          </w:tcPr>
          <w:p>
            <w:pPr>
              <w:pStyle w:val="TableParagraph"/>
              <w:spacing w:before="135"/>
              <w:ind w:left="227" w:right="228"/>
              <w:rPr>
                <w:b/>
                <w:sz w:val="24"/>
              </w:rPr>
            </w:pPr>
            <w:r>
              <w:rPr>
                <w:b/>
                <w:sz w:val="24"/>
              </w:rPr>
              <w:t>% Concentración</w:t>
            </w:r>
          </w:p>
        </w:tc>
        <w:tc>
          <w:tcPr>
            <w:tcW w:w="2218" w:type="dxa"/>
            <w:shd w:val="clear" w:color="auto" w:fill="D9D9D9"/>
          </w:tcPr>
          <w:p>
            <w:pPr>
              <w:pStyle w:val="TableParagraph"/>
              <w:ind w:left="763" w:right="237" w:hanging="512"/>
              <w:jc w:val="left"/>
              <w:rPr>
                <w:b/>
                <w:sz w:val="24"/>
              </w:rPr>
            </w:pPr>
            <w:r>
              <w:rPr>
                <w:b/>
                <w:sz w:val="24"/>
              </w:rPr>
              <w:t>Concentración (µg/L)</w:t>
            </w:r>
          </w:p>
        </w:tc>
        <w:tc>
          <w:tcPr>
            <w:tcW w:w="2864" w:type="dxa"/>
            <w:shd w:val="clear" w:color="auto" w:fill="D9D9D9"/>
          </w:tcPr>
          <w:p>
            <w:pPr>
              <w:pStyle w:val="TableParagraph"/>
              <w:ind w:left="98" w:right="81" w:firstLine="711"/>
              <w:jc w:val="left"/>
              <w:rPr>
                <w:b/>
                <w:sz w:val="24"/>
              </w:rPr>
            </w:pPr>
            <w:r>
              <w:rPr>
                <w:b/>
                <w:sz w:val="24"/>
              </w:rPr>
              <w:t>Respuesta (Relación CPS</w:t>
            </w:r>
            <w:r>
              <w:rPr>
                <w:b/>
                <w:position w:val="-2"/>
                <w:sz w:val="16"/>
              </w:rPr>
              <w:t>Hg</w:t>
            </w:r>
            <w:r>
              <w:rPr>
                <w:b/>
                <w:sz w:val="24"/>
              </w:rPr>
              <w:t>/CPS</w:t>
            </w:r>
            <w:r>
              <w:rPr>
                <w:b/>
                <w:position w:val="-2"/>
                <w:sz w:val="16"/>
              </w:rPr>
              <w:t>In</w:t>
            </w:r>
            <w:r>
              <w:rPr>
                <w:b/>
                <w:sz w:val="24"/>
              </w:rPr>
              <w:t>)</w:t>
            </w:r>
          </w:p>
        </w:tc>
      </w:tr>
      <w:tr>
        <w:trPr>
          <w:trHeight w:val="408" w:hRule="exact"/>
        </w:trPr>
        <w:tc>
          <w:tcPr>
            <w:tcW w:w="2485" w:type="dxa"/>
            <w:tcBorders>
              <w:bottom w:val="single" w:sz="8" w:space="0" w:color="000000"/>
            </w:tcBorders>
          </w:tcPr>
          <w:p>
            <w:pPr>
              <w:pStyle w:val="TableParagraph"/>
              <w:spacing w:before="51"/>
              <w:ind w:left="227" w:right="228"/>
              <w:rPr>
                <w:sz w:val="24"/>
              </w:rPr>
            </w:pPr>
            <w:r>
              <w:rPr>
                <w:sz w:val="24"/>
              </w:rPr>
              <w:t>LD</w:t>
            </w:r>
          </w:p>
        </w:tc>
        <w:tc>
          <w:tcPr>
            <w:tcW w:w="2218" w:type="dxa"/>
            <w:tcBorders>
              <w:bottom w:val="single" w:sz="8" w:space="0" w:color="000000"/>
            </w:tcBorders>
          </w:tcPr>
          <w:p>
            <w:pPr>
              <w:pStyle w:val="TableParagraph"/>
              <w:spacing w:before="51"/>
              <w:ind w:left="640" w:right="641"/>
              <w:rPr>
                <w:sz w:val="24"/>
              </w:rPr>
            </w:pPr>
            <w:r>
              <w:rPr>
                <w:sz w:val="24"/>
              </w:rPr>
              <w:t>1.5000</w:t>
            </w:r>
          </w:p>
        </w:tc>
        <w:tc>
          <w:tcPr>
            <w:tcW w:w="2864" w:type="dxa"/>
            <w:tcBorders>
              <w:bottom w:val="single" w:sz="8" w:space="0" w:color="000000"/>
            </w:tcBorders>
          </w:tcPr>
          <w:p>
            <w:pPr>
              <w:pStyle w:val="TableParagraph"/>
              <w:spacing w:before="51"/>
              <w:ind w:left="963" w:right="964"/>
              <w:rPr>
                <w:sz w:val="24"/>
              </w:rPr>
            </w:pPr>
            <w:r>
              <w:rPr>
                <w:sz w:val="24"/>
              </w:rPr>
              <w:t>0.00537</w:t>
            </w:r>
          </w:p>
        </w:tc>
      </w:tr>
      <w:tr>
        <w:trPr>
          <w:trHeight w:val="401" w:hRule="exact"/>
        </w:trPr>
        <w:tc>
          <w:tcPr>
            <w:tcW w:w="2485" w:type="dxa"/>
            <w:tcBorders>
              <w:top w:val="single" w:sz="8" w:space="0" w:color="000000"/>
              <w:bottom w:val="single" w:sz="8" w:space="0" w:color="000000"/>
            </w:tcBorders>
          </w:tcPr>
          <w:p>
            <w:pPr>
              <w:pStyle w:val="TableParagraph"/>
              <w:spacing w:before="48"/>
              <w:ind w:left="227" w:right="228"/>
              <w:rPr>
                <w:sz w:val="24"/>
              </w:rPr>
            </w:pPr>
            <w:r>
              <w:rPr>
                <w:sz w:val="24"/>
              </w:rPr>
              <w:t>LC</w:t>
            </w:r>
          </w:p>
        </w:tc>
        <w:tc>
          <w:tcPr>
            <w:tcW w:w="2218" w:type="dxa"/>
            <w:tcBorders>
              <w:top w:val="single" w:sz="8" w:space="0" w:color="000000"/>
              <w:bottom w:val="single" w:sz="8" w:space="0" w:color="000000"/>
            </w:tcBorders>
          </w:tcPr>
          <w:p>
            <w:pPr>
              <w:pStyle w:val="TableParagraph"/>
              <w:spacing w:before="48"/>
              <w:ind w:left="640" w:right="641"/>
              <w:rPr>
                <w:sz w:val="24"/>
              </w:rPr>
            </w:pPr>
            <w:r>
              <w:rPr>
                <w:sz w:val="24"/>
              </w:rPr>
              <w:t>3.0000</w:t>
            </w:r>
          </w:p>
        </w:tc>
        <w:tc>
          <w:tcPr>
            <w:tcW w:w="2864" w:type="dxa"/>
            <w:tcBorders>
              <w:top w:val="single" w:sz="8" w:space="0" w:color="000000"/>
              <w:bottom w:val="single" w:sz="8" w:space="0" w:color="000000"/>
            </w:tcBorders>
          </w:tcPr>
          <w:p>
            <w:pPr>
              <w:pStyle w:val="TableParagraph"/>
              <w:spacing w:before="48"/>
              <w:ind w:left="963" w:right="964"/>
              <w:rPr>
                <w:sz w:val="24"/>
              </w:rPr>
            </w:pPr>
            <w:r>
              <w:rPr>
                <w:sz w:val="24"/>
              </w:rPr>
              <w:t>0.01053</w:t>
            </w:r>
          </w:p>
        </w:tc>
      </w:tr>
      <w:tr>
        <w:trPr>
          <w:trHeight w:val="401" w:hRule="exact"/>
        </w:trPr>
        <w:tc>
          <w:tcPr>
            <w:tcW w:w="2485" w:type="dxa"/>
            <w:tcBorders>
              <w:top w:val="single" w:sz="8" w:space="0" w:color="000000"/>
              <w:bottom w:val="single" w:sz="8" w:space="0" w:color="000000"/>
            </w:tcBorders>
          </w:tcPr>
          <w:p>
            <w:pPr>
              <w:pStyle w:val="TableParagraph"/>
              <w:spacing w:before="48"/>
              <w:ind w:left="227" w:right="224"/>
              <w:rPr>
                <w:sz w:val="24"/>
              </w:rPr>
            </w:pPr>
            <w:r>
              <w:rPr>
                <w:sz w:val="24"/>
              </w:rPr>
              <w:t>50</w:t>
            </w:r>
          </w:p>
        </w:tc>
        <w:tc>
          <w:tcPr>
            <w:tcW w:w="2218" w:type="dxa"/>
            <w:tcBorders>
              <w:top w:val="single" w:sz="8" w:space="0" w:color="000000"/>
              <w:bottom w:val="single" w:sz="8" w:space="0" w:color="000000"/>
            </w:tcBorders>
          </w:tcPr>
          <w:p>
            <w:pPr>
              <w:pStyle w:val="TableParagraph"/>
              <w:spacing w:before="48"/>
              <w:ind w:left="640" w:right="641"/>
              <w:rPr>
                <w:sz w:val="24"/>
              </w:rPr>
            </w:pPr>
            <w:r>
              <w:rPr>
                <w:sz w:val="24"/>
              </w:rPr>
              <w:t>6.0000</w:t>
            </w:r>
          </w:p>
        </w:tc>
        <w:tc>
          <w:tcPr>
            <w:tcW w:w="2864" w:type="dxa"/>
            <w:tcBorders>
              <w:top w:val="single" w:sz="8" w:space="0" w:color="000000"/>
              <w:bottom w:val="single" w:sz="8" w:space="0" w:color="000000"/>
            </w:tcBorders>
          </w:tcPr>
          <w:p>
            <w:pPr>
              <w:pStyle w:val="TableParagraph"/>
              <w:spacing w:before="48"/>
              <w:ind w:left="963" w:right="964"/>
              <w:rPr>
                <w:sz w:val="24"/>
              </w:rPr>
            </w:pPr>
            <w:r>
              <w:rPr>
                <w:sz w:val="24"/>
              </w:rPr>
              <w:t>0.02087</w:t>
            </w:r>
          </w:p>
        </w:tc>
      </w:tr>
      <w:tr>
        <w:trPr>
          <w:trHeight w:val="401" w:hRule="exact"/>
        </w:trPr>
        <w:tc>
          <w:tcPr>
            <w:tcW w:w="2485" w:type="dxa"/>
            <w:tcBorders>
              <w:top w:val="single" w:sz="8" w:space="0" w:color="000000"/>
              <w:bottom w:val="single" w:sz="8" w:space="0" w:color="000000"/>
            </w:tcBorders>
          </w:tcPr>
          <w:p>
            <w:pPr>
              <w:pStyle w:val="TableParagraph"/>
              <w:spacing w:before="48"/>
              <w:ind w:left="227" w:right="224"/>
              <w:rPr>
                <w:sz w:val="24"/>
              </w:rPr>
            </w:pPr>
            <w:r>
              <w:rPr>
                <w:sz w:val="24"/>
              </w:rPr>
              <w:t>75</w:t>
            </w:r>
          </w:p>
        </w:tc>
        <w:tc>
          <w:tcPr>
            <w:tcW w:w="2218" w:type="dxa"/>
            <w:tcBorders>
              <w:top w:val="single" w:sz="8" w:space="0" w:color="000000"/>
              <w:bottom w:val="single" w:sz="8" w:space="0" w:color="000000"/>
            </w:tcBorders>
          </w:tcPr>
          <w:p>
            <w:pPr>
              <w:pStyle w:val="TableParagraph"/>
              <w:spacing w:before="48"/>
              <w:ind w:left="640" w:right="641"/>
              <w:rPr>
                <w:sz w:val="24"/>
              </w:rPr>
            </w:pPr>
            <w:r>
              <w:rPr>
                <w:sz w:val="24"/>
              </w:rPr>
              <w:t>9.0000</w:t>
            </w:r>
          </w:p>
        </w:tc>
        <w:tc>
          <w:tcPr>
            <w:tcW w:w="2864" w:type="dxa"/>
            <w:tcBorders>
              <w:top w:val="single" w:sz="8" w:space="0" w:color="000000"/>
              <w:bottom w:val="single" w:sz="8" w:space="0" w:color="000000"/>
            </w:tcBorders>
          </w:tcPr>
          <w:p>
            <w:pPr>
              <w:pStyle w:val="TableParagraph"/>
              <w:spacing w:before="48"/>
              <w:ind w:left="963" w:right="964"/>
              <w:rPr>
                <w:sz w:val="24"/>
              </w:rPr>
            </w:pPr>
            <w:r>
              <w:rPr>
                <w:sz w:val="24"/>
              </w:rPr>
              <w:t>0.03152</w:t>
            </w:r>
          </w:p>
        </w:tc>
      </w:tr>
      <w:tr>
        <w:trPr>
          <w:trHeight w:val="401" w:hRule="exact"/>
        </w:trPr>
        <w:tc>
          <w:tcPr>
            <w:tcW w:w="2485" w:type="dxa"/>
            <w:tcBorders>
              <w:top w:val="single" w:sz="8" w:space="0" w:color="000000"/>
              <w:bottom w:val="single" w:sz="8" w:space="0" w:color="000000"/>
            </w:tcBorders>
          </w:tcPr>
          <w:p>
            <w:pPr>
              <w:pStyle w:val="TableParagraph"/>
              <w:spacing w:before="48"/>
              <w:ind w:left="227" w:right="224"/>
              <w:rPr>
                <w:sz w:val="24"/>
              </w:rPr>
            </w:pPr>
            <w:r>
              <w:rPr>
                <w:sz w:val="24"/>
              </w:rPr>
              <w:t>100</w:t>
            </w:r>
          </w:p>
        </w:tc>
        <w:tc>
          <w:tcPr>
            <w:tcW w:w="2218" w:type="dxa"/>
            <w:tcBorders>
              <w:top w:val="single" w:sz="8" w:space="0" w:color="000000"/>
              <w:bottom w:val="single" w:sz="8" w:space="0" w:color="000000"/>
            </w:tcBorders>
          </w:tcPr>
          <w:p>
            <w:pPr>
              <w:pStyle w:val="TableParagraph"/>
              <w:spacing w:before="48"/>
              <w:ind w:left="640" w:right="641"/>
              <w:rPr>
                <w:sz w:val="24"/>
              </w:rPr>
            </w:pPr>
            <w:r>
              <w:rPr>
                <w:sz w:val="24"/>
              </w:rPr>
              <w:t>12.0000</w:t>
            </w:r>
          </w:p>
        </w:tc>
        <w:tc>
          <w:tcPr>
            <w:tcW w:w="2864" w:type="dxa"/>
            <w:tcBorders>
              <w:top w:val="single" w:sz="8" w:space="0" w:color="000000"/>
              <w:bottom w:val="single" w:sz="8" w:space="0" w:color="000000"/>
            </w:tcBorders>
          </w:tcPr>
          <w:p>
            <w:pPr>
              <w:pStyle w:val="TableParagraph"/>
              <w:spacing w:before="48"/>
              <w:ind w:left="963" w:right="964"/>
              <w:rPr>
                <w:sz w:val="24"/>
              </w:rPr>
            </w:pPr>
            <w:r>
              <w:rPr>
                <w:sz w:val="24"/>
              </w:rPr>
              <w:t>0.04240</w:t>
            </w:r>
          </w:p>
        </w:tc>
      </w:tr>
      <w:tr>
        <w:trPr>
          <w:trHeight w:val="401" w:hRule="exact"/>
        </w:trPr>
        <w:tc>
          <w:tcPr>
            <w:tcW w:w="2485" w:type="dxa"/>
            <w:tcBorders>
              <w:top w:val="single" w:sz="8" w:space="0" w:color="000000"/>
              <w:bottom w:val="single" w:sz="8" w:space="0" w:color="000000"/>
            </w:tcBorders>
          </w:tcPr>
          <w:p>
            <w:pPr>
              <w:pStyle w:val="TableParagraph"/>
              <w:spacing w:before="48"/>
              <w:ind w:left="227" w:right="224"/>
              <w:rPr>
                <w:sz w:val="24"/>
              </w:rPr>
            </w:pPr>
            <w:r>
              <w:rPr>
                <w:sz w:val="24"/>
              </w:rPr>
              <w:t>125</w:t>
            </w:r>
          </w:p>
        </w:tc>
        <w:tc>
          <w:tcPr>
            <w:tcW w:w="2218" w:type="dxa"/>
            <w:tcBorders>
              <w:top w:val="single" w:sz="8" w:space="0" w:color="000000"/>
              <w:bottom w:val="single" w:sz="8" w:space="0" w:color="000000"/>
            </w:tcBorders>
          </w:tcPr>
          <w:p>
            <w:pPr>
              <w:pStyle w:val="TableParagraph"/>
              <w:spacing w:before="48"/>
              <w:ind w:left="640" w:right="641"/>
              <w:rPr>
                <w:sz w:val="24"/>
              </w:rPr>
            </w:pPr>
            <w:r>
              <w:rPr>
                <w:sz w:val="24"/>
              </w:rPr>
              <w:t>15.0000</w:t>
            </w:r>
          </w:p>
        </w:tc>
        <w:tc>
          <w:tcPr>
            <w:tcW w:w="2864" w:type="dxa"/>
            <w:tcBorders>
              <w:top w:val="single" w:sz="8" w:space="0" w:color="000000"/>
              <w:bottom w:val="single" w:sz="8" w:space="0" w:color="000000"/>
            </w:tcBorders>
          </w:tcPr>
          <w:p>
            <w:pPr>
              <w:pStyle w:val="TableParagraph"/>
              <w:spacing w:before="48"/>
              <w:ind w:left="963" w:right="964"/>
              <w:rPr>
                <w:sz w:val="24"/>
              </w:rPr>
            </w:pPr>
            <w:r>
              <w:rPr>
                <w:sz w:val="24"/>
              </w:rPr>
              <w:t>0.05285</w:t>
            </w:r>
          </w:p>
        </w:tc>
      </w:tr>
      <w:tr>
        <w:trPr>
          <w:trHeight w:val="401" w:hRule="exact"/>
        </w:trPr>
        <w:tc>
          <w:tcPr>
            <w:tcW w:w="2485" w:type="dxa"/>
            <w:tcBorders>
              <w:top w:val="single" w:sz="8" w:space="0" w:color="000000"/>
              <w:bottom w:val="single" w:sz="8" w:space="0" w:color="000000"/>
            </w:tcBorders>
          </w:tcPr>
          <w:p>
            <w:pPr>
              <w:pStyle w:val="TableParagraph"/>
              <w:spacing w:before="48"/>
              <w:ind w:left="227" w:right="224"/>
              <w:rPr>
                <w:sz w:val="24"/>
              </w:rPr>
            </w:pPr>
            <w:r>
              <w:rPr>
                <w:sz w:val="24"/>
              </w:rPr>
              <w:t>150</w:t>
            </w:r>
          </w:p>
        </w:tc>
        <w:tc>
          <w:tcPr>
            <w:tcW w:w="2218" w:type="dxa"/>
            <w:tcBorders>
              <w:top w:val="single" w:sz="8" w:space="0" w:color="000000"/>
              <w:bottom w:val="single" w:sz="8" w:space="0" w:color="000000"/>
            </w:tcBorders>
          </w:tcPr>
          <w:p>
            <w:pPr>
              <w:pStyle w:val="TableParagraph"/>
              <w:spacing w:before="48"/>
              <w:ind w:left="640" w:right="641"/>
              <w:rPr>
                <w:sz w:val="24"/>
              </w:rPr>
            </w:pPr>
            <w:r>
              <w:rPr>
                <w:sz w:val="24"/>
              </w:rPr>
              <w:t>18.0000</w:t>
            </w:r>
          </w:p>
        </w:tc>
        <w:tc>
          <w:tcPr>
            <w:tcW w:w="2864" w:type="dxa"/>
            <w:tcBorders>
              <w:top w:val="single" w:sz="8" w:space="0" w:color="000000"/>
              <w:bottom w:val="single" w:sz="8" w:space="0" w:color="000000"/>
            </w:tcBorders>
          </w:tcPr>
          <w:p>
            <w:pPr>
              <w:pStyle w:val="TableParagraph"/>
              <w:spacing w:before="48"/>
              <w:ind w:left="963" w:right="964"/>
              <w:rPr>
                <w:sz w:val="24"/>
              </w:rPr>
            </w:pPr>
            <w:r>
              <w:rPr>
                <w:sz w:val="24"/>
              </w:rPr>
              <w:t>0.06326</w:t>
            </w:r>
          </w:p>
        </w:tc>
      </w:tr>
      <w:tr>
        <w:trPr>
          <w:trHeight w:val="406" w:hRule="exact"/>
        </w:trPr>
        <w:tc>
          <w:tcPr>
            <w:tcW w:w="2485" w:type="dxa"/>
            <w:tcBorders>
              <w:top w:val="single" w:sz="8" w:space="0" w:color="000000"/>
            </w:tcBorders>
          </w:tcPr>
          <w:p>
            <w:pPr>
              <w:pStyle w:val="TableParagraph"/>
              <w:spacing w:before="49"/>
              <w:ind w:left="227" w:right="224"/>
              <w:rPr>
                <w:sz w:val="24"/>
              </w:rPr>
            </w:pPr>
            <w:r>
              <w:rPr>
                <w:sz w:val="24"/>
              </w:rPr>
              <w:t>200</w:t>
            </w:r>
          </w:p>
        </w:tc>
        <w:tc>
          <w:tcPr>
            <w:tcW w:w="2218" w:type="dxa"/>
            <w:tcBorders>
              <w:top w:val="single" w:sz="8" w:space="0" w:color="000000"/>
            </w:tcBorders>
          </w:tcPr>
          <w:p>
            <w:pPr>
              <w:pStyle w:val="TableParagraph"/>
              <w:spacing w:before="49"/>
              <w:ind w:left="640" w:right="641"/>
              <w:rPr>
                <w:sz w:val="24"/>
              </w:rPr>
            </w:pPr>
            <w:r>
              <w:rPr>
                <w:sz w:val="24"/>
              </w:rPr>
              <w:t>24.0000</w:t>
            </w:r>
          </w:p>
        </w:tc>
        <w:tc>
          <w:tcPr>
            <w:tcW w:w="2864" w:type="dxa"/>
            <w:tcBorders>
              <w:top w:val="single" w:sz="8" w:space="0" w:color="000000"/>
            </w:tcBorders>
          </w:tcPr>
          <w:p>
            <w:pPr>
              <w:pStyle w:val="TableParagraph"/>
              <w:spacing w:before="49"/>
              <w:ind w:left="963" w:right="964"/>
              <w:rPr>
                <w:sz w:val="24"/>
              </w:rPr>
            </w:pPr>
            <w:r>
              <w:rPr>
                <w:sz w:val="24"/>
              </w:rPr>
              <w:t>0.08004</w:t>
            </w:r>
          </w:p>
        </w:tc>
      </w:tr>
    </w:tbl>
    <w:p>
      <w:pPr>
        <w:spacing w:before="0"/>
        <w:ind w:left="1275" w:right="0" w:firstLine="0"/>
        <w:jc w:val="left"/>
        <w:rPr>
          <w:sz w:val="20"/>
        </w:rPr>
      </w:pPr>
      <w:r>
        <w:rPr/>
        <w:pict>
          <v:group style="position:absolute;margin-left:228.404999pt;margin-top:577.025024pt;width:253.5pt;height:1.45pt;mso-position-horizontal-relative:page;mso-position-vertical-relative:page;z-index:-255088" coordorigin="4568,11541" coordsize="5070,29">
            <v:line style="position:absolute" from="4583,11555" to="6971,11555" stroked="true" strokeweight="1.44pt" strokecolor="#000000"/>
            <v:line style="position:absolute" from="6971,11555" to="7074,11555" stroked="true" strokeweight="1.44pt" strokecolor="#000000"/>
            <v:line style="position:absolute" from="7074,11555" to="9623,11555" stroked="true" strokeweight="1.44pt" strokecolor="#000000"/>
            <w10:wrap type="none"/>
          </v:group>
        </w:pict>
      </w:r>
      <w:r>
        <w:rPr>
          <w:sz w:val="20"/>
        </w:rPr>
        <w:t>CPS: Cuentas por segundo del analito</w:t>
      </w:r>
    </w:p>
    <w:p>
      <w:pPr>
        <w:pStyle w:val="BodyText"/>
        <w:rPr>
          <w:sz w:val="20"/>
        </w:rPr>
      </w:pPr>
    </w:p>
    <w:p>
      <w:pPr>
        <w:pStyle w:val="Heading1"/>
        <w:spacing w:before="119"/>
        <w:ind w:left="1275"/>
        <w:jc w:val="left"/>
      </w:pPr>
      <w:r>
        <w:rPr/>
        <w:pict>
          <v:group style="position:absolute;margin-left:150.824997pt;margin-top:21.500856pt;width:379.05pt;height:227.45pt;mso-position-horizontal-relative:page;mso-position-vertical-relative:paragraph;z-index:2536" coordorigin="3016,430" coordsize="7581,4549">
            <v:shape style="position:absolute;left:4603;top:660;width:5439;height:3437" coordorigin="4603,660" coordsize="5439,3437" path="m4666,4034l4666,660m4603,4034l4666,4034m4603,3660l4666,3660m4603,3283l4666,3283m4603,2909l4666,2909m4603,2534l4666,2534m4603,2160l4666,2160m4603,1783l4666,1783m4603,1409l4666,1409m4603,1034l4666,1034m4603,660l4666,660m4666,4034l10042,4034m4666,4034l4666,4097m5563,4034l5563,4097m6458,4034l6458,4097m7354,4034l7354,4097m8249,4034l8249,4097m9144,4034l9144,4097m10042,4034l10042,4097e" filled="false" stroked="true" strokeweight=".72pt" strokecolor="#858585">
              <v:path arrowok="t"/>
            </v:shape>
            <v:shape style="position:absolute;left:4858;top:3756;width:155;height:155" type="#_x0000_t75" stroked="false">
              <v:imagedata r:id="rId71" o:title=""/>
            </v:shape>
            <v:shape style="position:absolute;left:5126;top:3563;width:155;height:155" type="#_x0000_t75" stroked="false">
              <v:imagedata r:id="rId71" o:title=""/>
            </v:shape>
            <v:shape style="position:absolute;left:5664;top:3175;width:155;height:155" type="#_x0000_t75" stroked="false">
              <v:imagedata r:id="rId74" o:title=""/>
            </v:shape>
            <v:shape style="position:absolute;left:6201;top:2775;width:155;height:155" type="#_x0000_t75" stroked="false">
              <v:imagedata r:id="rId72" o:title=""/>
            </v:shape>
            <v:shape style="position:absolute;left:6739;top:2367;width:155;height:155" type="#_x0000_t75" stroked="false">
              <v:imagedata r:id="rId72" o:title=""/>
            </v:shape>
            <v:shape style="position:absolute;left:7276;top:1975;width:155;height:155" type="#_x0000_t75" stroked="false">
              <v:imagedata r:id="rId74" o:title=""/>
            </v:shape>
            <v:shape style="position:absolute;left:7814;top:1585;width:155;height:155" type="#_x0000_t75" stroked="false">
              <v:imagedata r:id="rId73" o:title=""/>
            </v:shape>
            <v:shape style="position:absolute;left:8888;top:956;width:155;height:155" type="#_x0000_t75" stroked="false">
              <v:imagedata r:id="rId74" o:title=""/>
            </v:shape>
            <v:shape style="position:absolute;left:4934;top:953;width:4032;height:2856" coordorigin="4934,953" coordsize="4032,2856" path="m4934,3809l8966,953m4934,3809l8966,953m4934,3809l8966,953m4934,3809l8966,953m4934,3809l8966,953m4934,3809l8966,953e" filled="false" stroked="true" strokeweight=".72pt" strokecolor="#000000">
              <v:path arrowok="t"/>
            </v:shape>
            <v:rect style="position:absolute;left:3024;top:438;width:7566;height:4533" filled="false" stroked="true" strokeweight=".75pt" strokecolor="#858585"/>
            <v:shape style="position:absolute;left:3826;top:568;width:1121;height:3836" type="#_x0000_t202" filled="false" stroked="false">
              <v:textbox inset="0,0,0,0">
                <w:txbxContent>
                  <w:p>
                    <w:pPr>
                      <w:spacing w:line="203" w:lineRule="exact" w:before="0"/>
                      <w:ind w:left="0" w:right="0" w:firstLine="0"/>
                      <w:jc w:val="left"/>
                      <w:rPr>
                        <w:rFonts w:ascii="Calibri"/>
                        <w:sz w:val="20"/>
                      </w:rPr>
                    </w:pPr>
                    <w:r>
                      <w:rPr>
                        <w:rFonts w:ascii="Calibri"/>
                        <w:sz w:val="20"/>
                      </w:rPr>
                      <w:t>0.09000</w:t>
                    </w:r>
                  </w:p>
                  <w:p>
                    <w:pPr>
                      <w:spacing w:before="130"/>
                      <w:ind w:left="0" w:right="0" w:firstLine="0"/>
                      <w:jc w:val="left"/>
                      <w:rPr>
                        <w:rFonts w:ascii="Calibri"/>
                        <w:sz w:val="20"/>
                      </w:rPr>
                    </w:pPr>
                    <w:r>
                      <w:rPr>
                        <w:rFonts w:ascii="Calibri"/>
                        <w:sz w:val="20"/>
                      </w:rPr>
                      <w:t>0.08000</w:t>
                    </w:r>
                  </w:p>
                  <w:p>
                    <w:pPr>
                      <w:spacing w:before="131"/>
                      <w:ind w:left="0" w:right="0" w:firstLine="0"/>
                      <w:jc w:val="left"/>
                      <w:rPr>
                        <w:rFonts w:ascii="Calibri"/>
                        <w:sz w:val="20"/>
                      </w:rPr>
                    </w:pPr>
                    <w:r>
                      <w:rPr>
                        <w:rFonts w:ascii="Calibri"/>
                        <w:sz w:val="20"/>
                      </w:rPr>
                      <w:t>0.07000</w:t>
                    </w:r>
                  </w:p>
                  <w:p>
                    <w:pPr>
                      <w:spacing w:before="130"/>
                      <w:ind w:left="0" w:right="0" w:firstLine="0"/>
                      <w:jc w:val="left"/>
                      <w:rPr>
                        <w:rFonts w:ascii="Calibri"/>
                        <w:sz w:val="20"/>
                      </w:rPr>
                    </w:pPr>
                    <w:r>
                      <w:rPr>
                        <w:rFonts w:ascii="Calibri"/>
                        <w:sz w:val="20"/>
                      </w:rPr>
                      <w:t>0.06000</w:t>
                    </w:r>
                  </w:p>
                  <w:p>
                    <w:pPr>
                      <w:spacing w:before="131"/>
                      <w:ind w:left="0" w:right="0" w:firstLine="0"/>
                      <w:jc w:val="left"/>
                      <w:rPr>
                        <w:rFonts w:ascii="Calibri"/>
                        <w:sz w:val="20"/>
                      </w:rPr>
                    </w:pPr>
                    <w:r>
                      <w:rPr>
                        <w:rFonts w:ascii="Calibri"/>
                        <w:sz w:val="20"/>
                      </w:rPr>
                      <w:t>0.05000</w:t>
                    </w:r>
                  </w:p>
                  <w:p>
                    <w:pPr>
                      <w:spacing w:before="130"/>
                      <w:ind w:left="0" w:right="0" w:firstLine="0"/>
                      <w:jc w:val="left"/>
                      <w:rPr>
                        <w:rFonts w:ascii="Calibri"/>
                        <w:sz w:val="20"/>
                      </w:rPr>
                    </w:pPr>
                    <w:r>
                      <w:rPr>
                        <w:rFonts w:ascii="Calibri"/>
                        <w:sz w:val="20"/>
                      </w:rPr>
                      <w:t>0.04000</w:t>
                    </w:r>
                  </w:p>
                  <w:p>
                    <w:pPr>
                      <w:spacing w:before="131"/>
                      <w:ind w:left="0" w:right="0" w:firstLine="0"/>
                      <w:jc w:val="left"/>
                      <w:rPr>
                        <w:rFonts w:ascii="Calibri"/>
                        <w:sz w:val="20"/>
                      </w:rPr>
                    </w:pPr>
                    <w:r>
                      <w:rPr>
                        <w:rFonts w:ascii="Calibri"/>
                        <w:sz w:val="20"/>
                      </w:rPr>
                      <w:t>0.03000</w:t>
                    </w:r>
                  </w:p>
                  <w:p>
                    <w:pPr>
                      <w:spacing w:before="131"/>
                      <w:ind w:left="0" w:right="0" w:firstLine="0"/>
                      <w:jc w:val="left"/>
                      <w:rPr>
                        <w:rFonts w:ascii="Calibri"/>
                        <w:sz w:val="20"/>
                      </w:rPr>
                    </w:pPr>
                    <w:r>
                      <w:rPr>
                        <w:rFonts w:ascii="Calibri"/>
                        <w:sz w:val="20"/>
                      </w:rPr>
                      <w:t>0.02000</w:t>
                    </w:r>
                  </w:p>
                  <w:p>
                    <w:pPr>
                      <w:spacing w:before="131"/>
                      <w:ind w:left="0" w:right="0" w:firstLine="0"/>
                      <w:jc w:val="left"/>
                      <w:rPr>
                        <w:rFonts w:ascii="Calibri"/>
                        <w:sz w:val="20"/>
                      </w:rPr>
                    </w:pPr>
                    <w:r>
                      <w:rPr>
                        <w:rFonts w:ascii="Calibri"/>
                        <w:sz w:val="20"/>
                      </w:rPr>
                      <w:t>0.01000</w:t>
                    </w:r>
                  </w:p>
                  <w:p>
                    <w:pPr>
                      <w:spacing w:before="131"/>
                      <w:ind w:left="0" w:right="0" w:firstLine="0"/>
                      <w:jc w:val="left"/>
                      <w:rPr>
                        <w:rFonts w:ascii="Calibri"/>
                        <w:sz w:val="20"/>
                      </w:rPr>
                    </w:pPr>
                    <w:r>
                      <w:rPr>
                        <w:rFonts w:ascii="Calibri"/>
                        <w:sz w:val="20"/>
                      </w:rPr>
                      <w:t>0.00000</w:t>
                    </w:r>
                  </w:p>
                  <w:p>
                    <w:pPr>
                      <w:spacing w:line="240" w:lineRule="exact" w:before="16"/>
                      <w:ind w:left="565" w:right="0" w:firstLine="0"/>
                      <w:jc w:val="left"/>
                      <w:rPr>
                        <w:rFonts w:ascii="Calibri"/>
                        <w:sz w:val="20"/>
                      </w:rPr>
                    </w:pPr>
                    <w:r>
                      <w:rPr>
                        <w:rFonts w:ascii="Calibri"/>
                        <w:w w:val="95"/>
                        <w:sz w:val="20"/>
                      </w:rPr>
                      <w:t>0.0000</w:t>
                    </w:r>
                  </w:p>
                </w:txbxContent>
              </v:textbox>
              <w10:wrap type="none"/>
            </v:shape>
            <v:shape style="position:absolute;left:8770;top:1952;width:1666;height:444" type="#_x0000_t202" filled="false" stroked="false">
              <v:textbox inset="0,0,0,0">
                <w:txbxContent>
                  <w:p>
                    <w:pPr>
                      <w:spacing w:line="203" w:lineRule="exact" w:before="0"/>
                      <w:ind w:left="0" w:right="0" w:firstLine="0"/>
                      <w:jc w:val="center"/>
                      <w:rPr>
                        <w:rFonts w:ascii="Calibri"/>
                        <w:sz w:val="20"/>
                      </w:rPr>
                    </w:pPr>
                    <w:r>
                      <w:rPr>
                        <w:rFonts w:ascii="Calibri"/>
                        <w:sz w:val="20"/>
                      </w:rPr>
                      <w:t>y = 0.0034x +</w:t>
                    </w:r>
                    <w:r>
                      <w:rPr>
                        <w:rFonts w:ascii="Calibri"/>
                        <w:spacing w:val="-8"/>
                        <w:sz w:val="20"/>
                      </w:rPr>
                      <w:t> </w:t>
                    </w:r>
                    <w:r>
                      <w:rPr>
                        <w:rFonts w:ascii="Calibri"/>
                        <w:sz w:val="20"/>
                      </w:rPr>
                      <w:t>0.0009</w:t>
                    </w:r>
                  </w:p>
                  <w:p>
                    <w:pPr>
                      <w:spacing w:line="240" w:lineRule="exact" w:before="0"/>
                      <w:ind w:left="1" w:right="0" w:firstLine="0"/>
                      <w:jc w:val="center"/>
                      <w:rPr>
                        <w:rFonts w:ascii="Calibri" w:hAnsi="Calibri"/>
                        <w:sz w:val="20"/>
                      </w:rPr>
                    </w:pPr>
                    <w:r>
                      <w:rPr>
                        <w:rFonts w:ascii="Calibri" w:hAnsi="Calibri"/>
                        <w:sz w:val="20"/>
                      </w:rPr>
                      <w:t>R² = 1.00</w:t>
                    </w:r>
                  </w:p>
                </w:txbxContent>
              </v:textbox>
              <w10:wrap type="none"/>
            </v:shape>
            <v:shape style="position:absolute;left:5287;top:4204;width:556;height:200" type="#_x0000_t202" filled="false" stroked="false">
              <v:textbox inset="0,0,0,0">
                <w:txbxContent>
                  <w:p>
                    <w:pPr>
                      <w:spacing w:line="199" w:lineRule="exact" w:before="0"/>
                      <w:ind w:left="0" w:right="0" w:firstLine="0"/>
                      <w:jc w:val="left"/>
                      <w:rPr>
                        <w:rFonts w:ascii="Calibri"/>
                        <w:sz w:val="20"/>
                      </w:rPr>
                    </w:pPr>
                    <w:r>
                      <w:rPr>
                        <w:rFonts w:ascii="Calibri"/>
                        <w:w w:val="95"/>
                        <w:sz w:val="20"/>
                      </w:rPr>
                      <w:t>5.0000</w:t>
                    </w:r>
                  </w:p>
                </w:txbxContent>
              </v:textbox>
              <w10:wrap type="none"/>
            </v:shape>
            <v:shape style="position:absolute;left:6132;top:4204;width:656;height:200" type="#_x0000_t202" filled="false" stroked="false">
              <v:textbox inset="0,0,0,0">
                <w:txbxContent>
                  <w:p>
                    <w:pPr>
                      <w:spacing w:line="199" w:lineRule="exact" w:before="0"/>
                      <w:ind w:left="0" w:right="-16" w:firstLine="0"/>
                      <w:jc w:val="left"/>
                      <w:rPr>
                        <w:rFonts w:ascii="Calibri"/>
                        <w:sz w:val="20"/>
                      </w:rPr>
                    </w:pPr>
                    <w:r>
                      <w:rPr>
                        <w:rFonts w:ascii="Calibri"/>
                        <w:spacing w:val="-1"/>
                        <w:sz w:val="20"/>
                      </w:rPr>
                      <w:t>10.0000</w:t>
                    </w:r>
                  </w:p>
                </w:txbxContent>
              </v:textbox>
              <w10:wrap type="none"/>
            </v:shape>
            <v:shape style="position:absolute;left:7028;top:4204;width:656;height:200" type="#_x0000_t202" filled="false" stroked="false">
              <v:textbox inset="0,0,0,0">
                <w:txbxContent>
                  <w:p>
                    <w:pPr>
                      <w:spacing w:line="199" w:lineRule="exact" w:before="0"/>
                      <w:ind w:left="0" w:right="-16" w:firstLine="0"/>
                      <w:jc w:val="left"/>
                      <w:rPr>
                        <w:rFonts w:ascii="Calibri"/>
                        <w:sz w:val="20"/>
                      </w:rPr>
                    </w:pPr>
                    <w:r>
                      <w:rPr>
                        <w:rFonts w:ascii="Calibri"/>
                        <w:spacing w:val="-1"/>
                        <w:sz w:val="20"/>
                      </w:rPr>
                      <w:t>15.0000</w:t>
                    </w:r>
                  </w:p>
                </w:txbxContent>
              </v:textbox>
              <w10:wrap type="none"/>
            </v:shape>
            <v:shape style="position:absolute;left:7924;top:4204;width:656;height:200" type="#_x0000_t202" filled="false" stroked="false">
              <v:textbox inset="0,0,0,0">
                <w:txbxContent>
                  <w:p>
                    <w:pPr>
                      <w:spacing w:line="199" w:lineRule="exact" w:before="0"/>
                      <w:ind w:left="0" w:right="-16" w:firstLine="0"/>
                      <w:jc w:val="left"/>
                      <w:rPr>
                        <w:rFonts w:ascii="Calibri"/>
                        <w:sz w:val="20"/>
                      </w:rPr>
                    </w:pPr>
                    <w:r>
                      <w:rPr>
                        <w:rFonts w:ascii="Calibri"/>
                        <w:spacing w:val="-1"/>
                        <w:sz w:val="20"/>
                      </w:rPr>
                      <w:t>20.0000</w:t>
                    </w:r>
                  </w:p>
                </w:txbxContent>
              </v:textbox>
              <w10:wrap type="none"/>
            </v:shape>
            <v:shape style="position:absolute;left:8820;top:4204;width:656;height:200" type="#_x0000_t202" filled="false" stroked="false">
              <v:textbox inset="0,0,0,0">
                <w:txbxContent>
                  <w:p>
                    <w:pPr>
                      <w:spacing w:line="199" w:lineRule="exact" w:before="0"/>
                      <w:ind w:left="0" w:right="-16" w:firstLine="0"/>
                      <w:jc w:val="left"/>
                      <w:rPr>
                        <w:rFonts w:ascii="Calibri"/>
                        <w:sz w:val="20"/>
                      </w:rPr>
                    </w:pPr>
                    <w:r>
                      <w:rPr>
                        <w:rFonts w:ascii="Calibri"/>
                        <w:spacing w:val="-1"/>
                        <w:sz w:val="20"/>
                      </w:rPr>
                      <w:t>25.0000</w:t>
                    </w:r>
                  </w:p>
                </w:txbxContent>
              </v:textbox>
              <w10:wrap type="none"/>
            </v:shape>
            <v:shape style="position:absolute;left:9716;top:4204;width:656;height:200" type="#_x0000_t202" filled="false" stroked="false">
              <v:textbox inset="0,0,0,0">
                <w:txbxContent>
                  <w:p>
                    <w:pPr>
                      <w:spacing w:line="199" w:lineRule="exact" w:before="0"/>
                      <w:ind w:left="0" w:right="-16" w:firstLine="0"/>
                      <w:jc w:val="left"/>
                      <w:rPr>
                        <w:rFonts w:ascii="Calibri"/>
                        <w:sz w:val="20"/>
                      </w:rPr>
                    </w:pPr>
                    <w:r>
                      <w:rPr>
                        <w:rFonts w:ascii="Calibri"/>
                        <w:spacing w:val="-1"/>
                        <w:sz w:val="20"/>
                      </w:rPr>
                      <w:t>30.0000</w:t>
                    </w:r>
                  </w:p>
                </w:txbxContent>
              </v:textbox>
              <w10:wrap type="none"/>
            </v:shape>
            <v:shape style="position:absolute;left:6376;top:4506;width:1956;height:214" type="#_x0000_t202" filled="false" stroked="false">
              <v:textbox inset="0,0,0,0">
                <w:txbxContent>
                  <w:p>
                    <w:pPr>
                      <w:spacing w:line="213" w:lineRule="exact" w:before="0"/>
                      <w:ind w:left="0" w:right="-15" w:firstLine="0"/>
                      <w:jc w:val="left"/>
                      <w:rPr>
                        <w:rFonts w:ascii="Calibri" w:hAnsi="Calibri"/>
                        <w:b/>
                        <w:sz w:val="20"/>
                      </w:rPr>
                    </w:pPr>
                    <w:r>
                      <w:rPr>
                        <w:b/>
                        <w:sz w:val="20"/>
                      </w:rPr>
                      <w:t>Concentración</w:t>
                    </w:r>
                    <w:r>
                      <w:rPr>
                        <w:b/>
                        <w:spacing w:val="-15"/>
                        <w:sz w:val="20"/>
                      </w:rPr>
                      <w:t> </w:t>
                    </w:r>
                    <w:r>
                      <w:rPr>
                        <w:rFonts w:ascii="Symbol" w:hAnsi="Symbol"/>
                        <w:b/>
                        <w:sz w:val="20"/>
                      </w:rPr>
                      <w:t></w:t>
                    </w:r>
                    <w:r>
                      <w:rPr>
                        <w:rFonts w:ascii="Calibri" w:hAnsi="Calibri"/>
                        <w:b/>
                        <w:sz w:val="20"/>
                      </w:rPr>
                      <w:t>g/L)</w:t>
                    </w:r>
                  </w:p>
                </w:txbxContent>
              </v:textbox>
              <w10:wrap type="none"/>
            </v:shape>
            <w10:wrap type="none"/>
          </v:group>
        </w:pict>
      </w:r>
      <w:r>
        <w:rPr/>
        <w:pict>
          <v:shape style="position:absolute;margin-left:164.740005pt;margin-top:70.773087pt;width:25.8pt;height:93.45pt;mso-position-horizontal-relative:page;mso-position-vertical-relative:paragraph;z-index:2560" type="#_x0000_t202" filled="false" stroked="false">
            <v:textbox inset="0,0,0,0" style="layout-flow:vertical;mso-layout-flow-alt:bottom-to-top">
              <w:txbxContent>
                <w:p>
                  <w:pPr>
                    <w:spacing w:line="223" w:lineRule="exact" w:before="0"/>
                    <w:ind w:left="507" w:right="-864" w:firstLine="0"/>
                    <w:jc w:val="left"/>
                    <w:rPr>
                      <w:rFonts w:ascii="Calibri"/>
                      <w:b/>
                      <w:sz w:val="20"/>
                    </w:rPr>
                  </w:pPr>
                  <w:r>
                    <w:rPr>
                      <w:rFonts w:ascii="Calibri"/>
                      <w:b/>
                      <w:w w:val="99"/>
                      <w:sz w:val="20"/>
                    </w:rPr>
                    <w:t>Respuesta</w:t>
                  </w:r>
                </w:p>
                <w:p>
                  <w:pPr>
                    <w:spacing w:before="0"/>
                    <w:ind w:left="20" w:right="-534" w:firstLine="0"/>
                    <w:jc w:val="left"/>
                    <w:rPr>
                      <w:rFonts w:ascii="Calibri" w:hAnsi="Calibri"/>
                      <w:b/>
                      <w:sz w:val="20"/>
                    </w:rPr>
                  </w:pPr>
                  <w:r>
                    <w:rPr>
                      <w:rFonts w:ascii="Calibri" w:hAnsi="Calibri"/>
                      <w:b/>
                      <w:w w:val="99"/>
                      <w:sz w:val="20"/>
                    </w:rPr>
                    <w:t>(Re</w:t>
                  </w:r>
                  <w:r>
                    <w:rPr>
                      <w:rFonts w:ascii="Calibri" w:hAnsi="Calibri"/>
                      <w:b/>
                      <w:spacing w:val="-1"/>
                      <w:w w:val="99"/>
                      <w:sz w:val="20"/>
                    </w:rPr>
                    <w:t>l</w:t>
                  </w:r>
                  <w:r>
                    <w:rPr>
                      <w:rFonts w:ascii="Calibri" w:hAnsi="Calibri"/>
                      <w:b/>
                      <w:w w:val="99"/>
                      <w:sz w:val="20"/>
                    </w:rPr>
                    <w:t>ac</w:t>
                  </w:r>
                  <w:r>
                    <w:rPr>
                      <w:rFonts w:ascii="Calibri" w:hAnsi="Calibri"/>
                      <w:b/>
                      <w:spacing w:val="-1"/>
                      <w:w w:val="99"/>
                      <w:sz w:val="20"/>
                    </w:rPr>
                    <w:t>i</w:t>
                  </w:r>
                  <w:r>
                    <w:rPr>
                      <w:rFonts w:ascii="Calibri" w:hAnsi="Calibri"/>
                      <w:b/>
                      <w:w w:val="99"/>
                      <w:sz w:val="20"/>
                    </w:rPr>
                    <w:t>ón</w:t>
                  </w:r>
                  <w:r>
                    <w:rPr>
                      <w:rFonts w:ascii="Calibri" w:hAnsi="Calibri"/>
                      <w:b/>
                      <w:spacing w:val="-2"/>
                      <w:sz w:val="20"/>
                    </w:rPr>
                    <w:t> </w:t>
                  </w:r>
                  <w:r>
                    <w:rPr>
                      <w:rFonts w:ascii="Calibri" w:hAnsi="Calibri"/>
                      <w:b/>
                      <w:spacing w:val="-1"/>
                      <w:w w:val="99"/>
                      <w:sz w:val="20"/>
                    </w:rPr>
                    <w:t>CP</w:t>
                  </w:r>
                  <w:r>
                    <w:rPr>
                      <w:rFonts w:ascii="Calibri" w:hAnsi="Calibri"/>
                      <w:b/>
                      <w:w w:val="99"/>
                      <w:sz w:val="20"/>
                    </w:rPr>
                    <w:t>S</w:t>
                  </w:r>
                  <w:r>
                    <w:rPr>
                      <w:rFonts w:ascii="Calibri" w:hAnsi="Calibri"/>
                      <w:b/>
                      <w:spacing w:val="-1"/>
                      <w:w w:val="103"/>
                      <w:position w:val="-4"/>
                      <w:sz w:val="13"/>
                    </w:rPr>
                    <w:t>H</w:t>
                  </w:r>
                  <w:r>
                    <w:rPr>
                      <w:rFonts w:ascii="Calibri" w:hAnsi="Calibri"/>
                      <w:b/>
                      <w:spacing w:val="1"/>
                      <w:w w:val="103"/>
                      <w:position w:val="-4"/>
                      <w:sz w:val="13"/>
                    </w:rPr>
                    <w:t>g</w:t>
                  </w:r>
                  <w:r>
                    <w:rPr>
                      <w:rFonts w:ascii="Calibri" w:hAnsi="Calibri"/>
                      <w:b/>
                      <w:w w:val="99"/>
                      <w:sz w:val="20"/>
                    </w:rPr>
                    <w:t>/</w:t>
                  </w:r>
                  <w:r>
                    <w:rPr>
                      <w:rFonts w:ascii="Calibri" w:hAnsi="Calibri"/>
                      <w:b/>
                      <w:spacing w:val="-1"/>
                      <w:w w:val="99"/>
                      <w:sz w:val="20"/>
                    </w:rPr>
                    <w:t>CPS</w:t>
                  </w:r>
                  <w:r>
                    <w:rPr>
                      <w:rFonts w:ascii="Calibri" w:hAnsi="Calibri"/>
                      <w:b/>
                      <w:w w:val="103"/>
                      <w:position w:val="-4"/>
                      <w:sz w:val="13"/>
                    </w:rPr>
                    <w:t>I</w:t>
                  </w:r>
                  <w:r>
                    <w:rPr>
                      <w:rFonts w:ascii="Calibri" w:hAnsi="Calibri"/>
                      <w:b/>
                      <w:spacing w:val="-1"/>
                      <w:w w:val="103"/>
                      <w:position w:val="-4"/>
                      <w:sz w:val="13"/>
                    </w:rPr>
                    <w:t>n</w:t>
                  </w:r>
                  <w:r>
                    <w:rPr>
                      <w:rFonts w:ascii="Calibri" w:hAnsi="Calibri"/>
                      <w:b/>
                      <w:w w:val="99"/>
                      <w:sz w:val="20"/>
                    </w:rPr>
                    <w:t>)</w:t>
                  </w:r>
                </w:p>
              </w:txbxContent>
            </v:textbox>
            <w10:wrap type="none"/>
          </v:shape>
        </w:pict>
      </w:r>
      <w:r>
        <w:rPr/>
        <w:t>Figura B.III.3. Resultados de la Linealidad de la respuesta para Hg</w:t>
      </w: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6"/>
        <w:rPr>
          <w:b/>
        </w:rPr>
      </w:pPr>
    </w:p>
    <w:tbl>
      <w:tblPr>
        <w:tblW w:w="0" w:type="auto"/>
        <w:jc w:val="left"/>
        <w:tblInd w:w="2848"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080"/>
        <w:gridCol w:w="2975"/>
      </w:tblGrid>
      <w:tr>
        <w:trPr>
          <w:trHeight w:val="420" w:hRule="exact"/>
        </w:trPr>
        <w:tc>
          <w:tcPr>
            <w:tcW w:w="2080" w:type="dxa"/>
            <w:tcBorders>
              <w:bottom w:val="single" w:sz="6" w:space="0" w:color="000000"/>
            </w:tcBorders>
          </w:tcPr>
          <w:p>
            <w:pPr>
              <w:pStyle w:val="TableParagraph"/>
              <w:spacing w:line="264" w:lineRule="exact"/>
              <w:ind w:left="84" w:right="-15"/>
              <w:jc w:val="left"/>
              <w:rPr>
                <w:rFonts w:ascii="Calibri" w:hAnsi="Calibri"/>
                <w:b/>
                <w:i/>
                <w:sz w:val="26"/>
              </w:rPr>
            </w:pPr>
            <w:r>
              <w:rPr>
                <w:rFonts w:ascii="Calibri" w:hAnsi="Calibri"/>
                <w:b/>
                <w:i/>
                <w:sz w:val="26"/>
              </w:rPr>
              <w:t>Regresión</w:t>
            </w:r>
          </w:p>
        </w:tc>
        <w:tc>
          <w:tcPr>
            <w:tcW w:w="2975" w:type="dxa"/>
            <w:tcBorders>
              <w:bottom w:val="single" w:sz="6" w:space="0" w:color="000000"/>
            </w:tcBorders>
          </w:tcPr>
          <w:p>
            <w:pPr/>
          </w:p>
        </w:tc>
      </w:tr>
      <w:tr>
        <w:trPr>
          <w:trHeight w:val="295" w:hRule="exact"/>
        </w:trPr>
        <w:tc>
          <w:tcPr>
            <w:tcW w:w="2080" w:type="dxa"/>
            <w:tcBorders>
              <w:top w:val="single" w:sz="6" w:space="0" w:color="000000"/>
            </w:tcBorders>
          </w:tcPr>
          <w:p>
            <w:pPr>
              <w:pStyle w:val="TableParagraph"/>
              <w:spacing w:line="275" w:lineRule="exact"/>
              <w:ind w:left="84" w:right="-15"/>
              <w:jc w:val="left"/>
              <w:rPr>
                <w:sz w:val="24"/>
              </w:rPr>
            </w:pPr>
            <w:r>
              <w:rPr>
                <w:sz w:val="24"/>
              </w:rPr>
              <w:t>Constante</w:t>
            </w:r>
          </w:p>
        </w:tc>
        <w:tc>
          <w:tcPr>
            <w:tcW w:w="2975" w:type="dxa"/>
            <w:tcBorders>
              <w:top w:val="single" w:sz="6" w:space="0" w:color="000000"/>
            </w:tcBorders>
          </w:tcPr>
          <w:p>
            <w:pPr>
              <w:pStyle w:val="TableParagraph"/>
              <w:spacing w:line="275" w:lineRule="exact"/>
              <w:ind w:left="392"/>
              <w:jc w:val="left"/>
              <w:rPr>
                <w:sz w:val="24"/>
              </w:rPr>
            </w:pPr>
            <w:r>
              <w:rPr>
                <w:sz w:val="24"/>
              </w:rPr>
              <w:t>0.0009</w:t>
            </w:r>
          </w:p>
        </w:tc>
      </w:tr>
      <w:tr>
        <w:trPr>
          <w:trHeight w:val="276" w:hRule="exact"/>
        </w:trPr>
        <w:tc>
          <w:tcPr>
            <w:tcW w:w="2080" w:type="dxa"/>
          </w:tcPr>
          <w:p>
            <w:pPr>
              <w:pStyle w:val="TableParagraph"/>
              <w:spacing w:line="263" w:lineRule="exact"/>
              <w:ind w:left="84" w:right="-15"/>
              <w:jc w:val="left"/>
              <w:rPr>
                <w:sz w:val="24"/>
              </w:rPr>
            </w:pPr>
            <w:r>
              <w:rPr>
                <w:sz w:val="24"/>
              </w:rPr>
              <w:t>Coeficiente X</w:t>
            </w:r>
          </w:p>
        </w:tc>
        <w:tc>
          <w:tcPr>
            <w:tcW w:w="2975" w:type="dxa"/>
          </w:tcPr>
          <w:p>
            <w:pPr>
              <w:pStyle w:val="TableParagraph"/>
              <w:spacing w:line="263" w:lineRule="exact"/>
              <w:ind w:left="392"/>
              <w:jc w:val="left"/>
              <w:rPr>
                <w:sz w:val="24"/>
              </w:rPr>
            </w:pPr>
            <w:r>
              <w:rPr>
                <w:sz w:val="24"/>
              </w:rPr>
              <w:t>0.0034</w:t>
            </w:r>
          </w:p>
        </w:tc>
      </w:tr>
      <w:tr>
        <w:trPr>
          <w:trHeight w:val="276" w:hRule="exact"/>
        </w:trPr>
        <w:tc>
          <w:tcPr>
            <w:tcW w:w="2080" w:type="dxa"/>
          </w:tcPr>
          <w:p>
            <w:pPr>
              <w:pStyle w:val="TableParagraph"/>
              <w:spacing w:line="263" w:lineRule="exact"/>
              <w:ind w:left="84" w:right="-15"/>
              <w:jc w:val="left"/>
              <w:rPr>
                <w:sz w:val="24"/>
              </w:rPr>
            </w:pPr>
            <w:r>
              <w:rPr>
                <w:sz w:val="24"/>
              </w:rPr>
              <w:t>R cuadrada</w:t>
            </w:r>
          </w:p>
        </w:tc>
        <w:tc>
          <w:tcPr>
            <w:tcW w:w="2975" w:type="dxa"/>
          </w:tcPr>
          <w:p>
            <w:pPr>
              <w:pStyle w:val="TableParagraph"/>
              <w:spacing w:line="263" w:lineRule="exact"/>
              <w:ind w:left="392"/>
              <w:jc w:val="left"/>
              <w:rPr>
                <w:sz w:val="24"/>
              </w:rPr>
            </w:pPr>
            <w:r>
              <w:rPr>
                <w:sz w:val="24"/>
              </w:rPr>
              <w:t>1.00</w:t>
            </w:r>
          </w:p>
        </w:tc>
      </w:tr>
      <w:tr>
        <w:trPr>
          <w:trHeight w:val="282" w:hRule="exact"/>
        </w:trPr>
        <w:tc>
          <w:tcPr>
            <w:tcW w:w="2080" w:type="dxa"/>
            <w:tcBorders>
              <w:bottom w:val="single" w:sz="12" w:space="0" w:color="000000"/>
            </w:tcBorders>
          </w:tcPr>
          <w:p>
            <w:pPr>
              <w:pStyle w:val="TableParagraph"/>
              <w:spacing w:line="263" w:lineRule="exact"/>
              <w:ind w:left="84" w:right="-15"/>
              <w:jc w:val="left"/>
              <w:rPr>
                <w:sz w:val="24"/>
              </w:rPr>
            </w:pPr>
            <w:r>
              <w:rPr>
                <w:sz w:val="24"/>
              </w:rPr>
              <w:t>Observaciones</w:t>
            </w:r>
          </w:p>
        </w:tc>
        <w:tc>
          <w:tcPr>
            <w:tcW w:w="2975" w:type="dxa"/>
            <w:tcBorders>
              <w:bottom w:val="single" w:sz="12" w:space="0" w:color="000000"/>
            </w:tcBorders>
          </w:tcPr>
          <w:p>
            <w:pPr>
              <w:pStyle w:val="TableParagraph"/>
              <w:spacing w:line="263" w:lineRule="exact"/>
              <w:ind w:left="392"/>
              <w:jc w:val="left"/>
              <w:rPr>
                <w:sz w:val="24"/>
              </w:rPr>
            </w:pPr>
            <w:r>
              <w:rPr>
                <w:w w:val="99"/>
                <w:sz w:val="24"/>
              </w:rPr>
              <w:t>8</w:t>
            </w:r>
          </w:p>
        </w:tc>
      </w:tr>
    </w:tbl>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2"/>
        <w:rPr>
          <w:b/>
        </w:rPr>
      </w:pPr>
    </w:p>
    <w:p>
      <w:pPr>
        <w:spacing w:before="69"/>
        <w:ind w:left="1398" w:right="0" w:firstLine="0"/>
        <w:jc w:val="left"/>
        <w:rPr>
          <w:b/>
          <w:sz w:val="24"/>
        </w:rPr>
      </w:pPr>
      <w:r>
        <w:rPr>
          <w:b/>
          <w:sz w:val="24"/>
        </w:rPr>
        <w:t>Tabla B.III.4. Resultados de la Linealidad de la respuesta para Pb</w:t>
      </w:r>
    </w:p>
    <w:p>
      <w:pPr>
        <w:spacing w:after="0"/>
        <w:jc w:val="left"/>
        <w:rPr>
          <w:sz w:val="24"/>
        </w:rPr>
        <w:sectPr>
          <w:pgSz w:w="12240" w:h="15840"/>
          <w:pgMar w:header="0" w:footer="859" w:top="1420" w:bottom="1100" w:left="1720" w:right="1400"/>
        </w:sectPr>
      </w:pPr>
    </w:p>
    <w:tbl>
      <w:tblPr>
        <w:tblW w:w="0" w:type="auto"/>
        <w:jc w:val="left"/>
        <w:tblInd w:w="1467"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CellMar>
          <w:top w:w="0" w:type="dxa"/>
          <w:left w:w="0" w:type="dxa"/>
          <w:bottom w:w="0" w:type="dxa"/>
          <w:right w:w="0" w:type="dxa"/>
        </w:tblCellMar>
        <w:tblLook w:val="01E0"/>
      </w:tblPr>
      <w:tblGrid>
        <w:gridCol w:w="2461"/>
        <w:gridCol w:w="2196"/>
        <w:gridCol w:w="2835"/>
      </w:tblGrid>
      <w:tr>
        <w:trPr>
          <w:trHeight w:val="581" w:hRule="exact"/>
        </w:trPr>
        <w:tc>
          <w:tcPr>
            <w:tcW w:w="2461" w:type="dxa"/>
            <w:shd w:val="clear" w:color="auto" w:fill="D9D9D9"/>
          </w:tcPr>
          <w:p>
            <w:pPr>
              <w:pStyle w:val="TableParagraph"/>
              <w:spacing w:before="135"/>
              <w:ind w:left="215" w:right="216"/>
              <w:rPr>
                <w:b/>
                <w:sz w:val="24"/>
              </w:rPr>
            </w:pPr>
            <w:r>
              <w:rPr>
                <w:b/>
                <w:sz w:val="24"/>
              </w:rPr>
              <w:t>% Concentración</w:t>
            </w:r>
          </w:p>
        </w:tc>
        <w:tc>
          <w:tcPr>
            <w:tcW w:w="2196" w:type="dxa"/>
            <w:shd w:val="clear" w:color="auto" w:fill="D9D9D9"/>
          </w:tcPr>
          <w:p>
            <w:pPr>
              <w:pStyle w:val="TableParagraph"/>
              <w:ind w:left="753" w:right="226" w:hanging="512"/>
              <w:jc w:val="left"/>
              <w:rPr>
                <w:b/>
                <w:sz w:val="24"/>
              </w:rPr>
            </w:pPr>
            <w:r>
              <w:rPr>
                <w:b/>
                <w:sz w:val="24"/>
              </w:rPr>
              <w:t>Concentración (µg/L)</w:t>
            </w:r>
          </w:p>
        </w:tc>
        <w:tc>
          <w:tcPr>
            <w:tcW w:w="2835" w:type="dxa"/>
            <w:shd w:val="clear" w:color="auto" w:fill="D9D9D9"/>
          </w:tcPr>
          <w:p>
            <w:pPr>
              <w:pStyle w:val="TableParagraph"/>
              <w:ind w:left="88" w:right="71" w:firstLine="706"/>
              <w:jc w:val="left"/>
              <w:rPr>
                <w:b/>
                <w:sz w:val="24"/>
              </w:rPr>
            </w:pPr>
            <w:r>
              <w:rPr>
                <w:b/>
                <w:sz w:val="24"/>
              </w:rPr>
              <w:t>Respuesta (Relación CPS</w:t>
            </w:r>
            <w:r>
              <w:rPr>
                <w:b/>
                <w:position w:val="-2"/>
                <w:sz w:val="16"/>
              </w:rPr>
              <w:t>Pb</w:t>
            </w:r>
            <w:r>
              <w:rPr>
                <w:b/>
                <w:sz w:val="24"/>
              </w:rPr>
              <w:t>/CPS</w:t>
            </w:r>
            <w:r>
              <w:rPr>
                <w:b/>
                <w:position w:val="-2"/>
                <w:sz w:val="16"/>
              </w:rPr>
              <w:t>In</w:t>
            </w:r>
            <w:r>
              <w:rPr>
                <w:b/>
                <w:sz w:val="24"/>
              </w:rPr>
              <w:t>)</w:t>
            </w:r>
          </w:p>
        </w:tc>
      </w:tr>
      <w:tr>
        <w:trPr>
          <w:trHeight w:val="422" w:hRule="exact"/>
        </w:trPr>
        <w:tc>
          <w:tcPr>
            <w:tcW w:w="2461" w:type="dxa"/>
            <w:tcBorders>
              <w:bottom w:val="single" w:sz="8" w:space="0" w:color="000000"/>
            </w:tcBorders>
          </w:tcPr>
          <w:p>
            <w:pPr>
              <w:pStyle w:val="TableParagraph"/>
              <w:spacing w:before="58"/>
              <w:ind w:left="215" w:right="216"/>
              <w:rPr>
                <w:sz w:val="24"/>
              </w:rPr>
            </w:pPr>
            <w:r>
              <w:rPr>
                <w:sz w:val="24"/>
              </w:rPr>
              <w:t>LD</w:t>
            </w:r>
          </w:p>
        </w:tc>
        <w:tc>
          <w:tcPr>
            <w:tcW w:w="2196" w:type="dxa"/>
            <w:tcBorders>
              <w:bottom w:val="single" w:sz="8" w:space="0" w:color="000000"/>
            </w:tcBorders>
          </w:tcPr>
          <w:p>
            <w:pPr>
              <w:pStyle w:val="TableParagraph"/>
              <w:spacing w:before="58"/>
              <w:ind w:left="629" w:right="630"/>
              <w:rPr>
                <w:sz w:val="24"/>
              </w:rPr>
            </w:pPr>
            <w:r>
              <w:rPr>
                <w:sz w:val="24"/>
              </w:rPr>
              <w:t>0.2500</w:t>
            </w:r>
          </w:p>
        </w:tc>
        <w:tc>
          <w:tcPr>
            <w:tcW w:w="2835" w:type="dxa"/>
            <w:tcBorders>
              <w:bottom w:val="single" w:sz="8" w:space="0" w:color="000000"/>
            </w:tcBorders>
          </w:tcPr>
          <w:p>
            <w:pPr>
              <w:pStyle w:val="TableParagraph"/>
              <w:spacing w:before="58"/>
              <w:ind w:right="967"/>
              <w:jc w:val="right"/>
              <w:rPr>
                <w:sz w:val="24"/>
              </w:rPr>
            </w:pPr>
            <w:r>
              <w:rPr>
                <w:sz w:val="24"/>
              </w:rPr>
              <w:t>0.00797</w:t>
            </w:r>
          </w:p>
        </w:tc>
      </w:tr>
      <w:tr>
        <w:trPr>
          <w:trHeight w:val="418" w:hRule="exact"/>
        </w:trPr>
        <w:tc>
          <w:tcPr>
            <w:tcW w:w="2461" w:type="dxa"/>
            <w:tcBorders>
              <w:top w:val="single" w:sz="8" w:space="0" w:color="000000"/>
              <w:bottom w:val="single" w:sz="8" w:space="0" w:color="000000"/>
            </w:tcBorders>
          </w:tcPr>
          <w:p>
            <w:pPr>
              <w:pStyle w:val="TableParagraph"/>
              <w:spacing w:before="58"/>
              <w:ind w:left="215" w:right="216"/>
              <w:rPr>
                <w:sz w:val="24"/>
              </w:rPr>
            </w:pPr>
            <w:r>
              <w:rPr>
                <w:sz w:val="24"/>
              </w:rPr>
              <w:t>LC</w:t>
            </w:r>
          </w:p>
        </w:tc>
        <w:tc>
          <w:tcPr>
            <w:tcW w:w="2196" w:type="dxa"/>
            <w:tcBorders>
              <w:top w:val="single" w:sz="8" w:space="0" w:color="000000"/>
              <w:bottom w:val="single" w:sz="8" w:space="0" w:color="000000"/>
            </w:tcBorders>
          </w:tcPr>
          <w:p>
            <w:pPr>
              <w:pStyle w:val="TableParagraph"/>
              <w:spacing w:before="58"/>
              <w:ind w:left="629" w:right="630"/>
              <w:rPr>
                <w:sz w:val="24"/>
              </w:rPr>
            </w:pPr>
            <w:r>
              <w:rPr>
                <w:sz w:val="24"/>
              </w:rPr>
              <w:t>0.5000</w:t>
            </w:r>
          </w:p>
        </w:tc>
        <w:tc>
          <w:tcPr>
            <w:tcW w:w="2835" w:type="dxa"/>
            <w:tcBorders>
              <w:top w:val="single" w:sz="8" w:space="0" w:color="000000"/>
              <w:bottom w:val="single" w:sz="8" w:space="0" w:color="000000"/>
            </w:tcBorders>
          </w:tcPr>
          <w:p>
            <w:pPr>
              <w:pStyle w:val="TableParagraph"/>
              <w:spacing w:before="58"/>
              <w:ind w:right="967"/>
              <w:jc w:val="right"/>
              <w:rPr>
                <w:sz w:val="24"/>
              </w:rPr>
            </w:pPr>
            <w:r>
              <w:rPr>
                <w:sz w:val="24"/>
              </w:rPr>
              <w:t>0.01099</w:t>
            </w:r>
          </w:p>
        </w:tc>
      </w:tr>
      <w:tr>
        <w:trPr>
          <w:trHeight w:val="418" w:hRule="exact"/>
        </w:trPr>
        <w:tc>
          <w:tcPr>
            <w:tcW w:w="2461" w:type="dxa"/>
            <w:tcBorders>
              <w:top w:val="single" w:sz="8" w:space="0" w:color="000000"/>
              <w:bottom w:val="single" w:sz="8" w:space="0" w:color="000000"/>
            </w:tcBorders>
          </w:tcPr>
          <w:p>
            <w:pPr>
              <w:pStyle w:val="TableParagraph"/>
              <w:spacing w:before="58"/>
              <w:ind w:left="215" w:right="212"/>
              <w:rPr>
                <w:sz w:val="24"/>
              </w:rPr>
            </w:pPr>
            <w:r>
              <w:rPr>
                <w:sz w:val="24"/>
              </w:rPr>
              <w:t>50</w:t>
            </w:r>
          </w:p>
        </w:tc>
        <w:tc>
          <w:tcPr>
            <w:tcW w:w="2196" w:type="dxa"/>
            <w:tcBorders>
              <w:top w:val="single" w:sz="8" w:space="0" w:color="000000"/>
              <w:bottom w:val="single" w:sz="8" w:space="0" w:color="000000"/>
            </w:tcBorders>
          </w:tcPr>
          <w:p>
            <w:pPr>
              <w:pStyle w:val="TableParagraph"/>
              <w:spacing w:before="58"/>
              <w:ind w:left="629" w:right="630"/>
              <w:rPr>
                <w:sz w:val="24"/>
              </w:rPr>
            </w:pPr>
            <w:r>
              <w:rPr>
                <w:sz w:val="24"/>
              </w:rPr>
              <w:t>1.0000</w:t>
            </w:r>
          </w:p>
        </w:tc>
        <w:tc>
          <w:tcPr>
            <w:tcW w:w="2835" w:type="dxa"/>
            <w:tcBorders>
              <w:top w:val="single" w:sz="8" w:space="0" w:color="000000"/>
              <w:bottom w:val="single" w:sz="8" w:space="0" w:color="000000"/>
            </w:tcBorders>
          </w:tcPr>
          <w:p>
            <w:pPr>
              <w:pStyle w:val="TableParagraph"/>
              <w:spacing w:before="58"/>
              <w:ind w:right="967"/>
              <w:jc w:val="right"/>
              <w:rPr>
                <w:sz w:val="24"/>
              </w:rPr>
            </w:pPr>
            <w:r>
              <w:rPr>
                <w:sz w:val="24"/>
              </w:rPr>
              <w:t>0.01827</w:t>
            </w:r>
          </w:p>
        </w:tc>
      </w:tr>
      <w:tr>
        <w:trPr>
          <w:trHeight w:val="415" w:hRule="exact"/>
        </w:trPr>
        <w:tc>
          <w:tcPr>
            <w:tcW w:w="2461" w:type="dxa"/>
            <w:tcBorders>
              <w:top w:val="single" w:sz="8" w:space="0" w:color="000000"/>
              <w:bottom w:val="single" w:sz="8" w:space="0" w:color="000000"/>
            </w:tcBorders>
          </w:tcPr>
          <w:p>
            <w:pPr>
              <w:pStyle w:val="TableParagraph"/>
              <w:spacing w:before="55"/>
              <w:ind w:left="215" w:right="212"/>
              <w:rPr>
                <w:sz w:val="24"/>
              </w:rPr>
            </w:pPr>
            <w:r>
              <w:rPr>
                <w:sz w:val="24"/>
              </w:rPr>
              <w:t>75</w:t>
            </w:r>
          </w:p>
        </w:tc>
        <w:tc>
          <w:tcPr>
            <w:tcW w:w="2196" w:type="dxa"/>
            <w:tcBorders>
              <w:top w:val="single" w:sz="8" w:space="0" w:color="000000"/>
              <w:bottom w:val="single" w:sz="8" w:space="0" w:color="000000"/>
            </w:tcBorders>
          </w:tcPr>
          <w:p>
            <w:pPr>
              <w:pStyle w:val="TableParagraph"/>
              <w:spacing w:before="55"/>
              <w:ind w:left="629" w:right="630"/>
              <w:rPr>
                <w:sz w:val="24"/>
              </w:rPr>
            </w:pPr>
            <w:r>
              <w:rPr>
                <w:sz w:val="24"/>
              </w:rPr>
              <w:t>1.5000</w:t>
            </w:r>
          </w:p>
        </w:tc>
        <w:tc>
          <w:tcPr>
            <w:tcW w:w="2835" w:type="dxa"/>
            <w:tcBorders>
              <w:top w:val="single" w:sz="8" w:space="0" w:color="000000"/>
              <w:bottom w:val="single" w:sz="8" w:space="0" w:color="000000"/>
            </w:tcBorders>
          </w:tcPr>
          <w:p>
            <w:pPr>
              <w:pStyle w:val="TableParagraph"/>
              <w:spacing w:before="55"/>
              <w:ind w:right="967"/>
              <w:jc w:val="right"/>
              <w:rPr>
                <w:sz w:val="24"/>
              </w:rPr>
            </w:pPr>
            <w:r>
              <w:rPr>
                <w:sz w:val="24"/>
              </w:rPr>
              <w:t>0.02563</w:t>
            </w:r>
          </w:p>
        </w:tc>
      </w:tr>
      <w:tr>
        <w:trPr>
          <w:trHeight w:val="418" w:hRule="exact"/>
        </w:trPr>
        <w:tc>
          <w:tcPr>
            <w:tcW w:w="2461" w:type="dxa"/>
            <w:tcBorders>
              <w:top w:val="single" w:sz="8" w:space="0" w:color="000000"/>
              <w:bottom w:val="single" w:sz="8" w:space="0" w:color="000000"/>
            </w:tcBorders>
          </w:tcPr>
          <w:p>
            <w:pPr>
              <w:pStyle w:val="TableParagraph"/>
              <w:spacing w:before="58"/>
              <w:ind w:left="215" w:right="212"/>
              <w:rPr>
                <w:sz w:val="24"/>
              </w:rPr>
            </w:pPr>
            <w:r>
              <w:rPr>
                <w:sz w:val="24"/>
              </w:rPr>
              <w:t>100</w:t>
            </w:r>
          </w:p>
        </w:tc>
        <w:tc>
          <w:tcPr>
            <w:tcW w:w="2196" w:type="dxa"/>
            <w:tcBorders>
              <w:top w:val="single" w:sz="8" w:space="0" w:color="000000"/>
              <w:bottom w:val="single" w:sz="8" w:space="0" w:color="000000"/>
            </w:tcBorders>
          </w:tcPr>
          <w:p>
            <w:pPr>
              <w:pStyle w:val="TableParagraph"/>
              <w:spacing w:before="58"/>
              <w:ind w:left="629" w:right="630"/>
              <w:rPr>
                <w:sz w:val="24"/>
              </w:rPr>
            </w:pPr>
            <w:r>
              <w:rPr>
                <w:sz w:val="24"/>
              </w:rPr>
              <w:t>2.0000</w:t>
            </w:r>
          </w:p>
        </w:tc>
        <w:tc>
          <w:tcPr>
            <w:tcW w:w="2835" w:type="dxa"/>
            <w:tcBorders>
              <w:top w:val="single" w:sz="8" w:space="0" w:color="000000"/>
              <w:bottom w:val="single" w:sz="8" w:space="0" w:color="000000"/>
            </w:tcBorders>
          </w:tcPr>
          <w:p>
            <w:pPr>
              <w:pStyle w:val="TableParagraph"/>
              <w:spacing w:before="58"/>
              <w:ind w:right="967"/>
              <w:jc w:val="right"/>
              <w:rPr>
                <w:sz w:val="24"/>
              </w:rPr>
            </w:pPr>
            <w:r>
              <w:rPr>
                <w:sz w:val="24"/>
              </w:rPr>
              <w:t>0.03219</w:t>
            </w:r>
          </w:p>
        </w:tc>
      </w:tr>
      <w:tr>
        <w:trPr>
          <w:trHeight w:val="418" w:hRule="exact"/>
        </w:trPr>
        <w:tc>
          <w:tcPr>
            <w:tcW w:w="2461" w:type="dxa"/>
            <w:tcBorders>
              <w:top w:val="single" w:sz="8" w:space="0" w:color="000000"/>
              <w:bottom w:val="single" w:sz="8" w:space="0" w:color="000000"/>
            </w:tcBorders>
          </w:tcPr>
          <w:p>
            <w:pPr>
              <w:pStyle w:val="TableParagraph"/>
              <w:spacing w:before="58"/>
              <w:ind w:left="215" w:right="212"/>
              <w:rPr>
                <w:sz w:val="24"/>
              </w:rPr>
            </w:pPr>
            <w:r>
              <w:rPr>
                <w:sz w:val="24"/>
              </w:rPr>
              <w:t>125</w:t>
            </w:r>
          </w:p>
        </w:tc>
        <w:tc>
          <w:tcPr>
            <w:tcW w:w="2196" w:type="dxa"/>
            <w:tcBorders>
              <w:top w:val="single" w:sz="8" w:space="0" w:color="000000"/>
              <w:bottom w:val="single" w:sz="8" w:space="0" w:color="000000"/>
            </w:tcBorders>
          </w:tcPr>
          <w:p>
            <w:pPr>
              <w:pStyle w:val="TableParagraph"/>
              <w:spacing w:before="58"/>
              <w:ind w:left="629" w:right="630"/>
              <w:rPr>
                <w:sz w:val="24"/>
              </w:rPr>
            </w:pPr>
            <w:r>
              <w:rPr>
                <w:sz w:val="24"/>
              </w:rPr>
              <w:t>2.5000</w:t>
            </w:r>
          </w:p>
        </w:tc>
        <w:tc>
          <w:tcPr>
            <w:tcW w:w="2835" w:type="dxa"/>
            <w:tcBorders>
              <w:top w:val="single" w:sz="8" w:space="0" w:color="000000"/>
              <w:bottom w:val="single" w:sz="8" w:space="0" w:color="000000"/>
            </w:tcBorders>
          </w:tcPr>
          <w:p>
            <w:pPr>
              <w:pStyle w:val="TableParagraph"/>
              <w:spacing w:before="58"/>
              <w:ind w:right="967"/>
              <w:jc w:val="right"/>
              <w:rPr>
                <w:sz w:val="24"/>
              </w:rPr>
            </w:pPr>
            <w:r>
              <w:rPr>
                <w:sz w:val="24"/>
              </w:rPr>
              <w:t>0.03926</w:t>
            </w:r>
          </w:p>
        </w:tc>
      </w:tr>
      <w:tr>
        <w:trPr>
          <w:trHeight w:val="418" w:hRule="exact"/>
        </w:trPr>
        <w:tc>
          <w:tcPr>
            <w:tcW w:w="2461" w:type="dxa"/>
            <w:tcBorders>
              <w:top w:val="single" w:sz="8" w:space="0" w:color="000000"/>
              <w:bottom w:val="single" w:sz="8" w:space="0" w:color="000000"/>
            </w:tcBorders>
          </w:tcPr>
          <w:p>
            <w:pPr>
              <w:pStyle w:val="TableParagraph"/>
              <w:spacing w:before="58"/>
              <w:ind w:left="215" w:right="212"/>
              <w:rPr>
                <w:sz w:val="24"/>
              </w:rPr>
            </w:pPr>
            <w:r>
              <w:rPr>
                <w:sz w:val="24"/>
              </w:rPr>
              <w:t>150</w:t>
            </w:r>
          </w:p>
        </w:tc>
        <w:tc>
          <w:tcPr>
            <w:tcW w:w="2196" w:type="dxa"/>
            <w:tcBorders>
              <w:top w:val="single" w:sz="8" w:space="0" w:color="000000"/>
              <w:bottom w:val="single" w:sz="8" w:space="0" w:color="000000"/>
            </w:tcBorders>
          </w:tcPr>
          <w:p>
            <w:pPr>
              <w:pStyle w:val="TableParagraph"/>
              <w:spacing w:before="58"/>
              <w:ind w:left="629" w:right="630"/>
              <w:rPr>
                <w:sz w:val="24"/>
              </w:rPr>
            </w:pPr>
            <w:r>
              <w:rPr>
                <w:sz w:val="24"/>
              </w:rPr>
              <w:t>3.0000</w:t>
            </w:r>
          </w:p>
        </w:tc>
        <w:tc>
          <w:tcPr>
            <w:tcW w:w="2835" w:type="dxa"/>
            <w:tcBorders>
              <w:top w:val="single" w:sz="8" w:space="0" w:color="000000"/>
              <w:bottom w:val="single" w:sz="8" w:space="0" w:color="000000"/>
            </w:tcBorders>
          </w:tcPr>
          <w:p>
            <w:pPr>
              <w:pStyle w:val="TableParagraph"/>
              <w:spacing w:before="58"/>
              <w:ind w:right="967"/>
              <w:jc w:val="right"/>
              <w:rPr>
                <w:sz w:val="24"/>
              </w:rPr>
            </w:pPr>
            <w:r>
              <w:rPr>
                <w:sz w:val="24"/>
              </w:rPr>
              <w:t>0.04597</w:t>
            </w:r>
          </w:p>
        </w:tc>
      </w:tr>
      <w:tr>
        <w:trPr>
          <w:trHeight w:val="421" w:hRule="exact"/>
        </w:trPr>
        <w:tc>
          <w:tcPr>
            <w:tcW w:w="2461" w:type="dxa"/>
            <w:tcBorders>
              <w:top w:val="single" w:sz="8" w:space="0" w:color="000000"/>
            </w:tcBorders>
          </w:tcPr>
          <w:p>
            <w:pPr>
              <w:pStyle w:val="TableParagraph"/>
              <w:spacing w:before="56"/>
              <w:ind w:left="215" w:right="212"/>
              <w:rPr>
                <w:sz w:val="24"/>
              </w:rPr>
            </w:pPr>
            <w:r>
              <w:rPr>
                <w:sz w:val="24"/>
              </w:rPr>
              <w:t>200</w:t>
            </w:r>
          </w:p>
        </w:tc>
        <w:tc>
          <w:tcPr>
            <w:tcW w:w="2196" w:type="dxa"/>
            <w:tcBorders>
              <w:top w:val="single" w:sz="8" w:space="0" w:color="000000"/>
            </w:tcBorders>
          </w:tcPr>
          <w:p>
            <w:pPr>
              <w:pStyle w:val="TableParagraph"/>
              <w:spacing w:before="56"/>
              <w:ind w:left="629" w:right="630"/>
              <w:rPr>
                <w:sz w:val="24"/>
              </w:rPr>
            </w:pPr>
            <w:r>
              <w:rPr>
                <w:sz w:val="24"/>
              </w:rPr>
              <w:t>4.0000</w:t>
            </w:r>
          </w:p>
        </w:tc>
        <w:tc>
          <w:tcPr>
            <w:tcW w:w="2835" w:type="dxa"/>
            <w:tcBorders>
              <w:top w:val="single" w:sz="8" w:space="0" w:color="000000"/>
            </w:tcBorders>
          </w:tcPr>
          <w:p>
            <w:pPr>
              <w:pStyle w:val="TableParagraph"/>
              <w:spacing w:before="56"/>
              <w:ind w:right="967"/>
              <w:jc w:val="right"/>
              <w:rPr>
                <w:sz w:val="24"/>
              </w:rPr>
            </w:pPr>
            <w:r>
              <w:rPr>
                <w:sz w:val="24"/>
              </w:rPr>
              <w:t>0.05876</w:t>
            </w:r>
          </w:p>
        </w:tc>
      </w:tr>
    </w:tbl>
    <w:p>
      <w:pPr>
        <w:spacing w:before="0"/>
        <w:ind w:left="1362" w:right="0" w:firstLine="0"/>
        <w:jc w:val="left"/>
        <w:rPr>
          <w:sz w:val="20"/>
        </w:rPr>
      </w:pPr>
      <w:r>
        <w:rPr/>
        <w:pict>
          <v:group style="position:absolute;margin-left:228.404999pt;margin-top:583.38501pt;width:253.5pt;height:1.45pt;mso-position-horizontal-relative:page;mso-position-vertical-relative:page;z-index:-254800" coordorigin="4568,11668" coordsize="5070,29">
            <v:line style="position:absolute" from="4583,11682" to="6971,11682" stroked="true" strokeweight="1.44pt" strokecolor="#000000"/>
            <v:line style="position:absolute" from="6971,11682" to="7074,11682" stroked="true" strokeweight="1.44pt" strokecolor="#000000"/>
            <v:line style="position:absolute" from="7074,11682" to="9623,11682" stroked="true" strokeweight="1.44pt" strokecolor="#000000"/>
            <w10:wrap type="none"/>
          </v:group>
        </w:pict>
      </w:r>
      <w:r>
        <w:rPr>
          <w:sz w:val="20"/>
        </w:rPr>
        <w:t>CPS: Cuentas por segundo del analito</w:t>
      </w:r>
    </w:p>
    <w:p>
      <w:pPr>
        <w:pStyle w:val="BodyText"/>
        <w:rPr>
          <w:sz w:val="20"/>
        </w:rPr>
      </w:pPr>
    </w:p>
    <w:p>
      <w:pPr>
        <w:pStyle w:val="Heading1"/>
        <w:spacing w:before="119"/>
        <w:ind w:left="1362"/>
        <w:jc w:val="left"/>
      </w:pPr>
      <w:r>
        <w:rPr/>
        <w:pict>
          <v:group style="position:absolute;margin-left:152.175003pt;margin-top:21.540871pt;width:379.05pt;height:227.45pt;mso-position-horizontal-relative:page;mso-position-vertical-relative:paragraph;z-index:2680" coordorigin="3044,431" coordsize="7581,4549">
            <v:shape style="position:absolute;left:4632;top:662;width:5489;height:3437" coordorigin="4632,662" coordsize="5489,3437" path="m4694,4037l4694,662m4632,4037l4694,4037m4632,3554l4694,3554m4632,3072l4694,3072m4632,2590l4694,2590m4632,2107l4694,2107m4632,1625l4694,1625m4632,1142l4694,1142m4632,662l4694,662m4694,4037l10121,4037m4694,4037l4694,4099m5779,4037l5779,4099m6866,4037l6866,4099m7951,4037l7951,4099m9036,4037l9036,4099m10121,4037l10121,4099e" filled="false" stroked="true" strokeweight=".72pt" strokecolor="#858585">
              <v:path arrowok="t"/>
            </v:shape>
            <v:shape style="position:absolute;left:4887;top:3574;width:155;height:155" type="#_x0000_t75" stroked="false">
              <v:imagedata r:id="rId73" o:title=""/>
            </v:shape>
            <v:shape style="position:absolute;left:5159;top:3428;width:155;height:155" type="#_x0000_t75" stroked="false">
              <v:imagedata r:id="rId71" o:title=""/>
            </v:shape>
            <v:shape style="position:absolute;left:5701;top:3077;width:155;height:155" type="#_x0000_t75" stroked="false">
              <v:imagedata r:id="rId74" o:title=""/>
            </v:shape>
            <v:shape style="position:absolute;left:6244;top:2722;width:155;height:155" type="#_x0000_t75" stroked="false">
              <v:imagedata r:id="rId72" o:title=""/>
            </v:shape>
            <v:shape style="position:absolute;left:6786;top:2406;width:155;height:155" type="#_x0000_t75" stroked="false">
              <v:imagedata r:id="rId71" o:title=""/>
            </v:shape>
            <v:shape style="position:absolute;left:7329;top:2065;width:155;height:155" type="#_x0000_t75" stroked="false">
              <v:imagedata r:id="rId74" o:title=""/>
            </v:shape>
            <v:shape style="position:absolute;left:7871;top:1742;width:155;height:155" type="#_x0000_t75" stroked="false">
              <v:imagedata r:id="rId72" o:title=""/>
            </v:shape>
            <v:shape style="position:absolute;left:8956;top:1125;width:155;height:155" type="#_x0000_t75" stroked="false">
              <v:imagedata r:id="rId72" o:title=""/>
            </v:shape>
            <v:shape style="position:absolute;left:4966;top:1174;width:4071;height:2475" coordorigin="4966,1174" coordsize="4071,2475" path="m4966,3648l9036,1174m4966,3648l9036,1174m4966,3648l9036,1174m4966,3648l9036,1174m4966,3648l9036,1174m4966,3648l9036,1174e" filled="false" stroked="true" strokeweight=".72pt" strokecolor="#000000">
              <v:path arrowok="t"/>
            </v:shape>
            <v:rect style="position:absolute;left:3051;top:438;width:7566;height:4533" filled="false" stroked="true" strokeweight=".75pt" strokecolor="#858585"/>
            <v:shape style="position:absolute;left:3852;top:569;width:656;height:1646" type="#_x0000_t202" filled="false" stroked="false">
              <v:textbox inset="0,0,0,0">
                <w:txbxContent>
                  <w:p>
                    <w:pPr>
                      <w:spacing w:line="203" w:lineRule="exact" w:before="0"/>
                      <w:ind w:left="0" w:right="-16" w:firstLine="0"/>
                      <w:jc w:val="left"/>
                      <w:rPr>
                        <w:rFonts w:ascii="Calibri"/>
                        <w:sz w:val="20"/>
                      </w:rPr>
                    </w:pPr>
                    <w:r>
                      <w:rPr>
                        <w:rFonts w:ascii="Calibri"/>
                        <w:spacing w:val="-1"/>
                        <w:sz w:val="20"/>
                      </w:rPr>
                      <w:t>0.07000</w:t>
                    </w:r>
                  </w:p>
                  <w:p>
                    <w:pPr>
                      <w:spacing w:line="240" w:lineRule="auto" w:before="7"/>
                      <w:rPr>
                        <w:b/>
                        <w:sz w:val="20"/>
                      </w:rPr>
                    </w:pPr>
                  </w:p>
                  <w:p>
                    <w:pPr>
                      <w:spacing w:before="1"/>
                      <w:ind w:left="0" w:right="-16" w:firstLine="0"/>
                      <w:jc w:val="left"/>
                      <w:rPr>
                        <w:rFonts w:ascii="Calibri"/>
                        <w:sz w:val="20"/>
                      </w:rPr>
                    </w:pPr>
                    <w:r>
                      <w:rPr>
                        <w:rFonts w:ascii="Calibri"/>
                        <w:spacing w:val="-1"/>
                        <w:sz w:val="20"/>
                      </w:rPr>
                      <w:t>0.06000</w:t>
                    </w:r>
                  </w:p>
                  <w:p>
                    <w:pPr>
                      <w:spacing w:line="240" w:lineRule="auto" w:before="8"/>
                      <w:rPr>
                        <w:b/>
                        <w:sz w:val="20"/>
                      </w:rPr>
                    </w:pPr>
                  </w:p>
                  <w:p>
                    <w:pPr>
                      <w:spacing w:before="0"/>
                      <w:ind w:left="0" w:right="-16" w:firstLine="0"/>
                      <w:jc w:val="left"/>
                      <w:rPr>
                        <w:rFonts w:ascii="Calibri"/>
                        <w:sz w:val="20"/>
                      </w:rPr>
                    </w:pPr>
                    <w:r>
                      <w:rPr>
                        <w:rFonts w:ascii="Calibri"/>
                        <w:spacing w:val="-1"/>
                        <w:sz w:val="20"/>
                      </w:rPr>
                      <w:t>0.05000</w:t>
                    </w:r>
                  </w:p>
                  <w:p>
                    <w:pPr>
                      <w:spacing w:line="240" w:lineRule="auto" w:before="8"/>
                      <w:rPr>
                        <w:b/>
                        <w:sz w:val="20"/>
                      </w:rPr>
                    </w:pPr>
                  </w:p>
                  <w:p>
                    <w:pPr>
                      <w:spacing w:line="240" w:lineRule="exact" w:before="0"/>
                      <w:ind w:left="0" w:right="-16" w:firstLine="0"/>
                      <w:jc w:val="left"/>
                      <w:rPr>
                        <w:rFonts w:ascii="Calibri"/>
                        <w:sz w:val="20"/>
                      </w:rPr>
                    </w:pPr>
                    <w:r>
                      <w:rPr>
                        <w:rFonts w:ascii="Calibri"/>
                        <w:spacing w:val="-1"/>
                        <w:sz w:val="20"/>
                      </w:rPr>
                      <w:t>0.04000</w:t>
                    </w:r>
                  </w:p>
                </w:txbxContent>
              </v:textbox>
              <w10:wrap type="none"/>
            </v:shape>
            <v:shape style="position:absolute;left:8839;top:2071;width:1666;height:444" type="#_x0000_t202" filled="false" stroked="false">
              <v:textbox inset="0,0,0,0">
                <w:txbxContent>
                  <w:p>
                    <w:pPr>
                      <w:spacing w:line="203" w:lineRule="exact" w:before="0"/>
                      <w:ind w:left="0" w:right="0" w:firstLine="0"/>
                      <w:jc w:val="center"/>
                      <w:rPr>
                        <w:rFonts w:ascii="Calibri"/>
                        <w:sz w:val="20"/>
                      </w:rPr>
                    </w:pPr>
                    <w:r>
                      <w:rPr>
                        <w:rFonts w:ascii="Calibri"/>
                        <w:sz w:val="20"/>
                      </w:rPr>
                      <w:t>y = 0.0137x +</w:t>
                    </w:r>
                    <w:r>
                      <w:rPr>
                        <w:rFonts w:ascii="Calibri"/>
                        <w:spacing w:val="-8"/>
                        <w:sz w:val="20"/>
                      </w:rPr>
                      <w:t> </w:t>
                    </w:r>
                    <w:r>
                      <w:rPr>
                        <w:rFonts w:ascii="Calibri"/>
                        <w:sz w:val="20"/>
                      </w:rPr>
                      <w:t>0.0047</w:t>
                    </w:r>
                  </w:p>
                  <w:p>
                    <w:pPr>
                      <w:spacing w:line="240" w:lineRule="exact" w:before="0"/>
                      <w:ind w:left="0" w:right="0" w:firstLine="0"/>
                      <w:jc w:val="center"/>
                      <w:rPr>
                        <w:rFonts w:ascii="Calibri" w:hAnsi="Calibri"/>
                        <w:sz w:val="20"/>
                      </w:rPr>
                    </w:pPr>
                    <w:r>
                      <w:rPr>
                        <w:rFonts w:ascii="Calibri" w:hAnsi="Calibri"/>
                        <w:sz w:val="20"/>
                      </w:rPr>
                      <w:t>R² = 1.00</w:t>
                    </w:r>
                  </w:p>
                </w:txbxContent>
              </v:textbox>
              <w10:wrap type="none"/>
            </v:shape>
            <v:shape style="position:absolute;left:3852;top:2498;width:6547;height:2222" type="#_x0000_t202" filled="false" stroked="false">
              <v:textbox inset="0,0,0,0">
                <w:txbxContent>
                  <w:p>
                    <w:pPr>
                      <w:spacing w:line="203" w:lineRule="exact" w:before="0"/>
                      <w:ind w:left="0" w:right="0" w:firstLine="0"/>
                      <w:jc w:val="left"/>
                      <w:rPr>
                        <w:rFonts w:ascii="Calibri"/>
                        <w:sz w:val="20"/>
                      </w:rPr>
                    </w:pPr>
                    <w:r>
                      <w:rPr>
                        <w:rFonts w:ascii="Calibri"/>
                        <w:sz w:val="20"/>
                      </w:rPr>
                      <w:t>0.03000</w:t>
                    </w:r>
                  </w:p>
                  <w:p>
                    <w:pPr>
                      <w:spacing w:line="240" w:lineRule="auto" w:before="7"/>
                      <w:rPr>
                        <w:b/>
                        <w:sz w:val="20"/>
                      </w:rPr>
                    </w:pPr>
                  </w:p>
                  <w:p>
                    <w:pPr>
                      <w:spacing w:before="1"/>
                      <w:ind w:left="0" w:right="0" w:firstLine="0"/>
                      <w:jc w:val="left"/>
                      <w:rPr>
                        <w:rFonts w:ascii="Calibri"/>
                        <w:sz w:val="20"/>
                      </w:rPr>
                    </w:pPr>
                    <w:r>
                      <w:rPr>
                        <w:rFonts w:ascii="Calibri"/>
                        <w:sz w:val="20"/>
                      </w:rPr>
                      <w:t>0.02000</w:t>
                    </w:r>
                  </w:p>
                  <w:p>
                    <w:pPr>
                      <w:spacing w:line="240" w:lineRule="auto" w:before="8"/>
                      <w:rPr>
                        <w:b/>
                        <w:sz w:val="20"/>
                      </w:rPr>
                    </w:pPr>
                  </w:p>
                  <w:p>
                    <w:pPr>
                      <w:spacing w:before="0"/>
                      <w:ind w:left="0" w:right="0" w:firstLine="0"/>
                      <w:jc w:val="left"/>
                      <w:rPr>
                        <w:rFonts w:ascii="Calibri"/>
                        <w:sz w:val="20"/>
                      </w:rPr>
                    </w:pPr>
                    <w:r>
                      <w:rPr>
                        <w:rFonts w:ascii="Calibri"/>
                        <w:sz w:val="20"/>
                      </w:rPr>
                      <w:t>0.01000</w:t>
                    </w:r>
                  </w:p>
                  <w:p>
                    <w:pPr>
                      <w:spacing w:line="240" w:lineRule="auto" w:before="8"/>
                      <w:rPr>
                        <w:b/>
                        <w:sz w:val="20"/>
                      </w:rPr>
                    </w:pPr>
                  </w:p>
                  <w:p>
                    <w:pPr>
                      <w:spacing w:before="0"/>
                      <w:ind w:left="0" w:right="0" w:firstLine="0"/>
                      <w:jc w:val="left"/>
                      <w:rPr>
                        <w:rFonts w:ascii="Calibri"/>
                        <w:sz w:val="20"/>
                      </w:rPr>
                    </w:pPr>
                    <w:r>
                      <w:rPr>
                        <w:rFonts w:ascii="Calibri"/>
                        <w:sz w:val="20"/>
                      </w:rPr>
                      <w:t>0.00000</w:t>
                    </w:r>
                  </w:p>
                  <w:p>
                    <w:pPr>
                      <w:tabs>
                        <w:tab w:pos="1650" w:val="left" w:leader="none"/>
                        <w:tab w:pos="2735" w:val="left" w:leader="none"/>
                        <w:tab w:pos="3820" w:val="left" w:leader="none"/>
                        <w:tab w:pos="4906" w:val="left" w:leader="none"/>
                        <w:tab w:pos="5991" w:val="left" w:leader="none"/>
                      </w:tabs>
                      <w:spacing w:before="16"/>
                      <w:ind w:left="565" w:right="0" w:firstLine="0"/>
                      <w:jc w:val="center"/>
                      <w:rPr>
                        <w:rFonts w:ascii="Calibri"/>
                        <w:sz w:val="20"/>
                      </w:rPr>
                    </w:pPr>
                    <w:r>
                      <w:rPr>
                        <w:rFonts w:ascii="Calibri"/>
                        <w:sz w:val="20"/>
                      </w:rPr>
                      <w:t>0.0000</w:t>
                      <w:tab/>
                      <w:t>1.0000</w:t>
                      <w:tab/>
                      <w:t>2.0000</w:t>
                      <w:tab/>
                      <w:t>3.0000</w:t>
                      <w:tab/>
                      <w:t>4.0000</w:t>
                      <w:tab/>
                    </w:r>
                    <w:r>
                      <w:rPr>
                        <w:rFonts w:ascii="Calibri"/>
                        <w:w w:val="95"/>
                        <w:sz w:val="20"/>
                      </w:rPr>
                      <w:t>5.0000</w:t>
                    </w:r>
                  </w:p>
                  <w:p>
                    <w:pPr>
                      <w:spacing w:line="251" w:lineRule="exact" w:before="61"/>
                      <w:ind w:left="562" w:right="0" w:firstLine="0"/>
                      <w:jc w:val="center"/>
                      <w:rPr>
                        <w:rFonts w:ascii="Calibri" w:hAnsi="Calibri"/>
                        <w:b/>
                        <w:sz w:val="20"/>
                      </w:rPr>
                    </w:pPr>
                    <w:r>
                      <w:rPr>
                        <w:b/>
                        <w:sz w:val="20"/>
                      </w:rPr>
                      <w:t>Concentración </w:t>
                    </w:r>
                    <w:r>
                      <w:rPr>
                        <w:rFonts w:ascii="Symbol" w:hAnsi="Symbol"/>
                        <w:b/>
                        <w:sz w:val="20"/>
                      </w:rPr>
                      <w:t></w:t>
                    </w:r>
                    <w:r>
                      <w:rPr>
                        <w:rFonts w:ascii="Calibri" w:hAnsi="Calibri"/>
                        <w:b/>
                        <w:sz w:val="20"/>
                      </w:rPr>
                      <w:t>g/L)</w:t>
                    </w:r>
                  </w:p>
                </w:txbxContent>
              </v:textbox>
              <w10:wrap type="none"/>
            </v:shape>
            <w10:wrap type="none"/>
          </v:group>
        </w:pict>
      </w:r>
      <w:r>
        <w:rPr/>
        <w:pict>
          <v:shape style="position:absolute;margin-left:166.110001pt;margin-top:70.913101pt;width:25.8pt;height:93.25pt;mso-position-horizontal-relative:page;mso-position-vertical-relative:paragraph;z-index:2704" type="#_x0000_t202" filled="false" stroked="false">
            <v:textbox inset="0,0,0,0" style="layout-flow:vertical;mso-layout-flow-alt:bottom-to-top">
              <w:txbxContent>
                <w:p>
                  <w:pPr>
                    <w:spacing w:line="223" w:lineRule="exact" w:before="0"/>
                    <w:ind w:left="504" w:right="-861" w:firstLine="0"/>
                    <w:jc w:val="left"/>
                    <w:rPr>
                      <w:rFonts w:ascii="Calibri"/>
                      <w:b/>
                      <w:sz w:val="20"/>
                    </w:rPr>
                  </w:pPr>
                  <w:r>
                    <w:rPr>
                      <w:rFonts w:ascii="Calibri"/>
                      <w:b/>
                      <w:w w:val="99"/>
                      <w:sz w:val="20"/>
                    </w:rPr>
                    <w:t>Respuesta</w:t>
                  </w:r>
                </w:p>
                <w:p>
                  <w:pPr>
                    <w:spacing w:before="0"/>
                    <w:ind w:left="20" w:right="-529" w:firstLine="0"/>
                    <w:jc w:val="left"/>
                    <w:rPr>
                      <w:rFonts w:ascii="Calibri" w:hAnsi="Calibri"/>
                      <w:b/>
                      <w:sz w:val="20"/>
                    </w:rPr>
                  </w:pPr>
                  <w:r>
                    <w:rPr>
                      <w:rFonts w:ascii="Calibri" w:hAnsi="Calibri"/>
                      <w:b/>
                      <w:w w:val="99"/>
                      <w:sz w:val="20"/>
                    </w:rPr>
                    <w:t>(Re</w:t>
                  </w:r>
                  <w:r>
                    <w:rPr>
                      <w:rFonts w:ascii="Calibri" w:hAnsi="Calibri"/>
                      <w:b/>
                      <w:spacing w:val="-1"/>
                      <w:w w:val="99"/>
                      <w:sz w:val="20"/>
                    </w:rPr>
                    <w:t>l</w:t>
                  </w:r>
                  <w:r>
                    <w:rPr>
                      <w:rFonts w:ascii="Calibri" w:hAnsi="Calibri"/>
                      <w:b/>
                      <w:w w:val="99"/>
                      <w:sz w:val="20"/>
                    </w:rPr>
                    <w:t>ac</w:t>
                  </w:r>
                  <w:r>
                    <w:rPr>
                      <w:rFonts w:ascii="Calibri" w:hAnsi="Calibri"/>
                      <w:b/>
                      <w:spacing w:val="-1"/>
                      <w:w w:val="99"/>
                      <w:sz w:val="20"/>
                    </w:rPr>
                    <w:t>i</w:t>
                  </w:r>
                  <w:r>
                    <w:rPr>
                      <w:rFonts w:ascii="Calibri" w:hAnsi="Calibri"/>
                      <w:b/>
                      <w:w w:val="99"/>
                      <w:sz w:val="20"/>
                    </w:rPr>
                    <w:t>ón</w:t>
                  </w:r>
                  <w:r>
                    <w:rPr>
                      <w:rFonts w:ascii="Calibri" w:hAnsi="Calibri"/>
                      <w:b/>
                      <w:spacing w:val="-2"/>
                      <w:sz w:val="20"/>
                    </w:rPr>
                    <w:t> </w:t>
                  </w:r>
                  <w:r>
                    <w:rPr>
                      <w:rFonts w:ascii="Calibri" w:hAnsi="Calibri"/>
                      <w:b/>
                      <w:spacing w:val="-1"/>
                      <w:w w:val="99"/>
                      <w:sz w:val="20"/>
                    </w:rPr>
                    <w:t>CP</w:t>
                  </w:r>
                  <w:r>
                    <w:rPr>
                      <w:rFonts w:ascii="Calibri" w:hAnsi="Calibri"/>
                      <w:b/>
                      <w:w w:val="99"/>
                      <w:sz w:val="20"/>
                    </w:rPr>
                    <w:t>S</w:t>
                  </w:r>
                  <w:r>
                    <w:rPr>
                      <w:rFonts w:ascii="Calibri" w:hAnsi="Calibri"/>
                      <w:b/>
                      <w:w w:val="103"/>
                      <w:position w:val="-4"/>
                      <w:sz w:val="13"/>
                    </w:rPr>
                    <w:t>P</w:t>
                  </w:r>
                  <w:r>
                    <w:rPr>
                      <w:rFonts w:ascii="Calibri" w:hAnsi="Calibri"/>
                      <w:b/>
                      <w:spacing w:val="-1"/>
                      <w:w w:val="103"/>
                      <w:position w:val="-4"/>
                      <w:sz w:val="13"/>
                    </w:rPr>
                    <w:t>b</w:t>
                  </w:r>
                  <w:r>
                    <w:rPr>
                      <w:rFonts w:ascii="Calibri" w:hAnsi="Calibri"/>
                      <w:b/>
                      <w:w w:val="99"/>
                      <w:sz w:val="20"/>
                    </w:rPr>
                    <w:t>/</w:t>
                  </w:r>
                  <w:r>
                    <w:rPr>
                      <w:rFonts w:ascii="Calibri" w:hAnsi="Calibri"/>
                      <w:b/>
                      <w:spacing w:val="-1"/>
                      <w:w w:val="99"/>
                      <w:sz w:val="20"/>
                    </w:rPr>
                    <w:t>CP</w:t>
                  </w:r>
                  <w:r>
                    <w:rPr>
                      <w:rFonts w:ascii="Calibri" w:hAnsi="Calibri"/>
                      <w:b/>
                      <w:w w:val="99"/>
                      <w:sz w:val="20"/>
                    </w:rPr>
                    <w:t>S</w:t>
                  </w:r>
                  <w:r>
                    <w:rPr>
                      <w:rFonts w:ascii="Calibri" w:hAnsi="Calibri"/>
                      <w:b/>
                      <w:w w:val="103"/>
                      <w:position w:val="-4"/>
                      <w:sz w:val="13"/>
                    </w:rPr>
                    <w:t>I</w:t>
                  </w:r>
                  <w:r>
                    <w:rPr>
                      <w:rFonts w:ascii="Calibri" w:hAnsi="Calibri"/>
                      <w:b/>
                      <w:spacing w:val="-1"/>
                      <w:w w:val="103"/>
                      <w:position w:val="-4"/>
                      <w:sz w:val="13"/>
                    </w:rPr>
                    <w:t>n</w:t>
                  </w:r>
                  <w:r>
                    <w:rPr>
                      <w:rFonts w:ascii="Calibri" w:hAnsi="Calibri"/>
                      <w:b/>
                      <w:w w:val="99"/>
                      <w:sz w:val="20"/>
                    </w:rPr>
                    <w:t>)</w:t>
                  </w:r>
                </w:p>
              </w:txbxContent>
            </v:textbox>
            <w10:wrap type="none"/>
          </v:shape>
        </w:pict>
      </w:r>
      <w:r>
        <w:rPr/>
        <w:t>Figura B.III.4. Resultados de la Linealidad de la respuesta para Pb</w:t>
      </w: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6"/>
        <w:rPr>
          <w:b/>
        </w:rPr>
      </w:pPr>
    </w:p>
    <w:tbl>
      <w:tblPr>
        <w:tblW w:w="0" w:type="auto"/>
        <w:jc w:val="left"/>
        <w:tblInd w:w="2908"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080"/>
        <w:gridCol w:w="2975"/>
      </w:tblGrid>
      <w:tr>
        <w:trPr>
          <w:trHeight w:val="420" w:hRule="exact"/>
        </w:trPr>
        <w:tc>
          <w:tcPr>
            <w:tcW w:w="2080" w:type="dxa"/>
            <w:tcBorders>
              <w:bottom w:val="single" w:sz="6" w:space="0" w:color="000000"/>
            </w:tcBorders>
          </w:tcPr>
          <w:p>
            <w:pPr>
              <w:pStyle w:val="TableParagraph"/>
              <w:spacing w:line="264" w:lineRule="exact"/>
              <w:ind w:left="84" w:right="-15"/>
              <w:jc w:val="left"/>
              <w:rPr>
                <w:rFonts w:ascii="Calibri" w:hAnsi="Calibri"/>
                <w:b/>
                <w:i/>
                <w:sz w:val="26"/>
              </w:rPr>
            </w:pPr>
            <w:r>
              <w:rPr>
                <w:rFonts w:ascii="Calibri" w:hAnsi="Calibri"/>
                <w:b/>
                <w:i/>
                <w:sz w:val="26"/>
              </w:rPr>
              <w:t>Regresión</w:t>
            </w:r>
          </w:p>
        </w:tc>
        <w:tc>
          <w:tcPr>
            <w:tcW w:w="2975" w:type="dxa"/>
            <w:tcBorders>
              <w:bottom w:val="single" w:sz="6" w:space="0" w:color="000000"/>
            </w:tcBorders>
          </w:tcPr>
          <w:p>
            <w:pPr/>
          </w:p>
        </w:tc>
      </w:tr>
      <w:tr>
        <w:trPr>
          <w:trHeight w:val="294" w:hRule="exact"/>
        </w:trPr>
        <w:tc>
          <w:tcPr>
            <w:tcW w:w="2080" w:type="dxa"/>
            <w:tcBorders>
              <w:top w:val="single" w:sz="6" w:space="0" w:color="000000"/>
            </w:tcBorders>
          </w:tcPr>
          <w:p>
            <w:pPr>
              <w:pStyle w:val="TableParagraph"/>
              <w:spacing w:line="274" w:lineRule="exact"/>
              <w:ind w:left="84" w:right="-15"/>
              <w:jc w:val="left"/>
              <w:rPr>
                <w:sz w:val="24"/>
              </w:rPr>
            </w:pPr>
            <w:r>
              <w:rPr>
                <w:sz w:val="24"/>
              </w:rPr>
              <w:t>Constante</w:t>
            </w:r>
          </w:p>
        </w:tc>
        <w:tc>
          <w:tcPr>
            <w:tcW w:w="2975" w:type="dxa"/>
            <w:tcBorders>
              <w:top w:val="single" w:sz="6" w:space="0" w:color="000000"/>
            </w:tcBorders>
          </w:tcPr>
          <w:p>
            <w:pPr>
              <w:pStyle w:val="TableParagraph"/>
              <w:spacing w:line="274" w:lineRule="exact"/>
              <w:ind w:left="392"/>
              <w:jc w:val="left"/>
              <w:rPr>
                <w:sz w:val="24"/>
              </w:rPr>
            </w:pPr>
            <w:r>
              <w:rPr>
                <w:sz w:val="24"/>
              </w:rPr>
              <w:t>0.0047</w:t>
            </w:r>
          </w:p>
        </w:tc>
      </w:tr>
      <w:tr>
        <w:trPr>
          <w:trHeight w:val="276" w:hRule="exact"/>
        </w:trPr>
        <w:tc>
          <w:tcPr>
            <w:tcW w:w="2080" w:type="dxa"/>
          </w:tcPr>
          <w:p>
            <w:pPr>
              <w:pStyle w:val="TableParagraph"/>
              <w:spacing w:line="263" w:lineRule="exact"/>
              <w:ind w:left="84" w:right="-15"/>
              <w:jc w:val="left"/>
              <w:rPr>
                <w:sz w:val="24"/>
              </w:rPr>
            </w:pPr>
            <w:r>
              <w:rPr>
                <w:sz w:val="24"/>
              </w:rPr>
              <w:t>Coeficiente X</w:t>
            </w:r>
          </w:p>
        </w:tc>
        <w:tc>
          <w:tcPr>
            <w:tcW w:w="2975" w:type="dxa"/>
          </w:tcPr>
          <w:p>
            <w:pPr>
              <w:pStyle w:val="TableParagraph"/>
              <w:spacing w:line="263" w:lineRule="exact"/>
              <w:ind w:left="392"/>
              <w:jc w:val="left"/>
              <w:rPr>
                <w:sz w:val="24"/>
              </w:rPr>
            </w:pPr>
            <w:r>
              <w:rPr>
                <w:sz w:val="24"/>
              </w:rPr>
              <w:t>0.0137</w:t>
            </w:r>
          </w:p>
        </w:tc>
      </w:tr>
      <w:tr>
        <w:trPr>
          <w:trHeight w:val="276" w:hRule="exact"/>
        </w:trPr>
        <w:tc>
          <w:tcPr>
            <w:tcW w:w="2080" w:type="dxa"/>
          </w:tcPr>
          <w:p>
            <w:pPr>
              <w:pStyle w:val="TableParagraph"/>
              <w:spacing w:line="263" w:lineRule="exact"/>
              <w:ind w:left="84" w:right="-15"/>
              <w:jc w:val="left"/>
              <w:rPr>
                <w:sz w:val="24"/>
              </w:rPr>
            </w:pPr>
            <w:r>
              <w:rPr>
                <w:sz w:val="24"/>
              </w:rPr>
              <w:t>R cuadrada</w:t>
            </w:r>
          </w:p>
        </w:tc>
        <w:tc>
          <w:tcPr>
            <w:tcW w:w="2975" w:type="dxa"/>
          </w:tcPr>
          <w:p>
            <w:pPr>
              <w:pStyle w:val="TableParagraph"/>
              <w:spacing w:line="263" w:lineRule="exact"/>
              <w:ind w:left="392"/>
              <w:jc w:val="left"/>
              <w:rPr>
                <w:sz w:val="24"/>
              </w:rPr>
            </w:pPr>
            <w:r>
              <w:rPr>
                <w:sz w:val="24"/>
              </w:rPr>
              <w:t>1.00</w:t>
            </w:r>
          </w:p>
        </w:tc>
      </w:tr>
      <w:tr>
        <w:trPr>
          <w:trHeight w:val="284" w:hRule="exact"/>
        </w:trPr>
        <w:tc>
          <w:tcPr>
            <w:tcW w:w="2080" w:type="dxa"/>
            <w:tcBorders>
              <w:bottom w:val="single" w:sz="12" w:space="0" w:color="000000"/>
            </w:tcBorders>
          </w:tcPr>
          <w:p>
            <w:pPr>
              <w:pStyle w:val="TableParagraph"/>
              <w:spacing w:line="263" w:lineRule="exact"/>
              <w:ind w:left="84" w:right="-15"/>
              <w:jc w:val="left"/>
              <w:rPr>
                <w:sz w:val="24"/>
              </w:rPr>
            </w:pPr>
            <w:r>
              <w:rPr>
                <w:sz w:val="24"/>
              </w:rPr>
              <w:t>Observaciones</w:t>
            </w:r>
          </w:p>
        </w:tc>
        <w:tc>
          <w:tcPr>
            <w:tcW w:w="2975" w:type="dxa"/>
            <w:tcBorders>
              <w:bottom w:val="single" w:sz="12" w:space="0" w:color="000000"/>
            </w:tcBorders>
          </w:tcPr>
          <w:p>
            <w:pPr>
              <w:pStyle w:val="TableParagraph"/>
              <w:spacing w:line="263" w:lineRule="exact"/>
              <w:ind w:left="392"/>
              <w:jc w:val="left"/>
              <w:rPr>
                <w:sz w:val="24"/>
              </w:rPr>
            </w:pPr>
            <w:r>
              <w:rPr>
                <w:w w:val="99"/>
                <w:sz w:val="24"/>
              </w:rPr>
              <w:t>8</w:t>
            </w:r>
          </w:p>
        </w:tc>
      </w:tr>
    </w:tbl>
    <w:p>
      <w:pPr>
        <w:pStyle w:val="BodyText"/>
        <w:rPr>
          <w:b/>
          <w:sz w:val="20"/>
        </w:rPr>
      </w:pPr>
    </w:p>
    <w:p>
      <w:pPr>
        <w:pStyle w:val="BodyText"/>
        <w:rPr>
          <w:b/>
          <w:sz w:val="20"/>
        </w:rPr>
      </w:pPr>
    </w:p>
    <w:p>
      <w:pPr>
        <w:pStyle w:val="BodyText"/>
        <w:rPr>
          <w:b/>
          <w:sz w:val="20"/>
        </w:rPr>
      </w:pPr>
    </w:p>
    <w:p>
      <w:pPr>
        <w:pStyle w:val="BodyText"/>
        <w:spacing w:before="5"/>
        <w:rPr>
          <w:b/>
          <w:sz w:val="16"/>
        </w:rPr>
      </w:pPr>
    </w:p>
    <w:p>
      <w:pPr>
        <w:pStyle w:val="ListParagraph"/>
        <w:numPr>
          <w:ilvl w:val="0"/>
          <w:numId w:val="9"/>
        </w:numPr>
        <w:tabs>
          <w:tab w:pos="761" w:val="left" w:leader="none"/>
          <w:tab w:pos="762" w:val="left" w:leader="none"/>
        </w:tabs>
        <w:spacing w:line="240" w:lineRule="auto" w:before="69" w:after="0"/>
        <w:ind w:left="762" w:right="0" w:hanging="653"/>
        <w:jc w:val="left"/>
        <w:rPr>
          <w:b/>
          <w:sz w:val="24"/>
        </w:rPr>
      </w:pPr>
      <w:r>
        <w:rPr>
          <w:b/>
          <w:sz w:val="24"/>
        </w:rPr>
        <w:t>Limite de</w:t>
      </w:r>
      <w:r>
        <w:rPr>
          <w:b/>
          <w:spacing w:val="-5"/>
          <w:sz w:val="24"/>
        </w:rPr>
        <w:t> </w:t>
      </w:r>
      <w:r>
        <w:rPr>
          <w:b/>
          <w:sz w:val="24"/>
        </w:rPr>
        <w:t>Cuantificación</w:t>
      </w:r>
    </w:p>
    <w:p>
      <w:pPr>
        <w:spacing w:after="0" w:line="240" w:lineRule="auto"/>
        <w:jc w:val="left"/>
        <w:rPr>
          <w:sz w:val="24"/>
        </w:rPr>
        <w:sectPr>
          <w:pgSz w:w="12240" w:h="15840"/>
          <w:pgMar w:header="0" w:footer="859" w:top="1420" w:bottom="1100" w:left="1660" w:right="1460"/>
        </w:sectPr>
      </w:pPr>
    </w:p>
    <w:p>
      <w:pPr>
        <w:pStyle w:val="BodyText"/>
        <w:spacing w:line="360" w:lineRule="auto" w:before="56"/>
        <w:ind w:left="690" w:right="217"/>
        <w:jc w:val="both"/>
      </w:pPr>
      <w:r>
        <w:rPr>
          <w:color w:val="212121"/>
        </w:rPr>
        <w:t>La solución al límite de cuantificación (LC) se midió en seis ocasiones. El promedio de la relación de respuesta, % DER de la relación de la  respuesta, la concentración en g/L y en ppm de la concentración de la muestra se presenta en la Tabla</w:t>
      </w:r>
      <w:r>
        <w:rPr>
          <w:color w:val="212121"/>
          <w:spacing w:val="-10"/>
        </w:rPr>
        <w:t> </w:t>
      </w:r>
      <w:r>
        <w:rPr>
          <w:color w:val="212121"/>
        </w:rPr>
        <w:t>B.IV.1.</w:t>
      </w:r>
    </w:p>
    <w:p>
      <w:pPr>
        <w:pStyle w:val="Heading1"/>
        <w:spacing w:before="204" w:after="44"/>
        <w:ind w:left="690"/>
      </w:pPr>
      <w:r>
        <w:rPr>
          <w:color w:val="212121"/>
        </w:rPr>
        <w:t>Tabla B.IV.1. Resultados del Límite de Cuantificación para la clase 1</w:t>
      </w:r>
    </w:p>
    <w:tbl>
      <w:tblPr>
        <w:tblW w:w="0" w:type="auto"/>
        <w:jc w:val="left"/>
        <w:tblInd w:w="639"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CellMar>
          <w:top w:w="0" w:type="dxa"/>
          <w:left w:w="0" w:type="dxa"/>
          <w:bottom w:w="0" w:type="dxa"/>
          <w:right w:w="0" w:type="dxa"/>
        </w:tblCellMar>
        <w:tblLook w:val="01E0"/>
      </w:tblPr>
      <w:tblGrid>
        <w:gridCol w:w="1364"/>
        <w:gridCol w:w="1651"/>
        <w:gridCol w:w="1558"/>
        <w:gridCol w:w="1844"/>
        <w:gridCol w:w="1822"/>
      </w:tblGrid>
      <w:tr>
        <w:trPr>
          <w:trHeight w:val="1040" w:hRule="exact"/>
        </w:trPr>
        <w:tc>
          <w:tcPr>
            <w:tcW w:w="1364" w:type="dxa"/>
            <w:shd w:val="clear" w:color="auto" w:fill="D9D9D9"/>
          </w:tcPr>
          <w:p>
            <w:pPr>
              <w:pStyle w:val="TableParagraph"/>
              <w:spacing w:before="7"/>
              <w:jc w:val="left"/>
              <w:rPr>
                <w:b/>
                <w:sz w:val="31"/>
              </w:rPr>
            </w:pPr>
          </w:p>
          <w:p>
            <w:pPr>
              <w:pStyle w:val="TableParagraph"/>
              <w:ind w:left="178" w:right="181"/>
              <w:rPr>
                <w:b/>
                <w:sz w:val="24"/>
              </w:rPr>
            </w:pPr>
            <w:r>
              <w:rPr>
                <w:b/>
                <w:sz w:val="24"/>
              </w:rPr>
              <w:t>Analito</w:t>
            </w:r>
          </w:p>
        </w:tc>
        <w:tc>
          <w:tcPr>
            <w:tcW w:w="1651" w:type="dxa"/>
            <w:shd w:val="clear" w:color="auto" w:fill="D9D9D9"/>
          </w:tcPr>
          <w:p>
            <w:pPr>
              <w:pStyle w:val="TableParagraph"/>
              <w:ind w:left="81" w:right="83"/>
              <w:rPr>
                <w:b/>
                <w:sz w:val="20"/>
              </w:rPr>
            </w:pPr>
            <w:r>
              <w:rPr>
                <w:b/>
                <w:sz w:val="24"/>
              </w:rPr>
              <w:t>Promedio de la respuesta </w:t>
            </w:r>
            <w:r>
              <w:rPr>
                <w:b/>
                <w:sz w:val="20"/>
              </w:rPr>
              <w:t>(Relación CPS</w:t>
            </w:r>
            <w:r>
              <w:rPr>
                <w:b/>
                <w:position w:val="-2"/>
                <w:sz w:val="13"/>
              </w:rPr>
              <w:t>X</w:t>
            </w:r>
            <w:r>
              <w:rPr>
                <w:b/>
                <w:sz w:val="20"/>
              </w:rPr>
              <w:t>/CPS</w:t>
            </w:r>
            <w:r>
              <w:rPr>
                <w:b/>
                <w:position w:val="-2"/>
                <w:sz w:val="13"/>
              </w:rPr>
              <w:t>EI</w:t>
            </w:r>
            <w:r>
              <w:rPr>
                <w:b/>
                <w:sz w:val="20"/>
              </w:rPr>
              <w:t>)</w:t>
            </w:r>
          </w:p>
        </w:tc>
        <w:tc>
          <w:tcPr>
            <w:tcW w:w="1558" w:type="dxa"/>
            <w:shd w:val="clear" w:color="auto" w:fill="D9D9D9"/>
          </w:tcPr>
          <w:p>
            <w:pPr>
              <w:pStyle w:val="TableParagraph"/>
              <w:ind w:left="95" w:right="98"/>
              <w:rPr>
                <w:b/>
                <w:sz w:val="20"/>
              </w:rPr>
            </w:pPr>
            <w:r>
              <w:rPr>
                <w:b/>
                <w:sz w:val="24"/>
              </w:rPr>
              <w:t>%DER de la respuesta </w:t>
            </w:r>
            <w:r>
              <w:rPr>
                <w:b/>
                <w:sz w:val="20"/>
              </w:rPr>
              <w:t>(Relación CPS</w:t>
            </w:r>
            <w:r>
              <w:rPr>
                <w:b/>
                <w:position w:val="-2"/>
                <w:sz w:val="13"/>
              </w:rPr>
              <w:t>X</w:t>
            </w:r>
            <w:r>
              <w:rPr>
                <w:b/>
                <w:sz w:val="20"/>
              </w:rPr>
              <w:t>/CPS</w:t>
            </w:r>
            <w:r>
              <w:rPr>
                <w:b/>
                <w:position w:val="-2"/>
                <w:sz w:val="13"/>
              </w:rPr>
              <w:t>EI</w:t>
            </w:r>
            <w:r>
              <w:rPr>
                <w:b/>
                <w:sz w:val="20"/>
              </w:rPr>
              <w:t>)</w:t>
            </w:r>
          </w:p>
        </w:tc>
        <w:tc>
          <w:tcPr>
            <w:tcW w:w="1844" w:type="dxa"/>
            <w:shd w:val="clear" w:color="auto" w:fill="D9D9D9"/>
          </w:tcPr>
          <w:p>
            <w:pPr>
              <w:pStyle w:val="TableParagraph"/>
              <w:spacing w:before="8"/>
              <w:jc w:val="left"/>
              <w:rPr>
                <w:b/>
                <w:sz w:val="19"/>
              </w:rPr>
            </w:pPr>
          </w:p>
          <w:p>
            <w:pPr>
              <w:pStyle w:val="TableParagraph"/>
              <w:spacing w:before="1"/>
              <w:ind w:left="578" w:right="48" w:hanging="512"/>
              <w:jc w:val="left"/>
              <w:rPr>
                <w:b/>
                <w:sz w:val="24"/>
              </w:rPr>
            </w:pPr>
            <w:r>
              <w:rPr>
                <w:b/>
                <w:sz w:val="24"/>
              </w:rPr>
              <w:t>Concentración (µg/L)</w:t>
            </w:r>
          </w:p>
        </w:tc>
        <w:tc>
          <w:tcPr>
            <w:tcW w:w="1822" w:type="dxa"/>
            <w:shd w:val="clear" w:color="auto" w:fill="D9D9D9"/>
          </w:tcPr>
          <w:p>
            <w:pPr>
              <w:pStyle w:val="TableParagraph"/>
              <w:spacing w:before="88"/>
              <w:ind w:left="74" w:right="75" w:hanging="1"/>
              <w:rPr>
                <w:b/>
                <w:sz w:val="24"/>
              </w:rPr>
            </w:pPr>
            <w:r>
              <w:rPr>
                <w:b/>
                <w:sz w:val="24"/>
              </w:rPr>
              <w:t>ppm de la </w:t>
            </w:r>
            <w:r>
              <w:rPr>
                <w:b/>
                <w:w w:val="95"/>
                <w:sz w:val="24"/>
              </w:rPr>
              <w:t>concentración </w:t>
            </w:r>
            <w:r>
              <w:rPr>
                <w:b/>
                <w:sz w:val="24"/>
              </w:rPr>
              <w:t>de la muestra</w:t>
            </w:r>
          </w:p>
        </w:tc>
      </w:tr>
      <w:tr>
        <w:trPr>
          <w:trHeight w:val="437" w:hRule="exact"/>
        </w:trPr>
        <w:tc>
          <w:tcPr>
            <w:tcW w:w="1364" w:type="dxa"/>
            <w:tcBorders>
              <w:bottom w:val="single" w:sz="8" w:space="0" w:color="000000"/>
            </w:tcBorders>
          </w:tcPr>
          <w:p>
            <w:pPr>
              <w:pStyle w:val="TableParagraph"/>
              <w:spacing w:before="94"/>
              <w:ind w:left="179" w:right="180"/>
              <w:rPr>
                <w:sz w:val="24"/>
              </w:rPr>
            </w:pPr>
            <w:r>
              <w:rPr>
                <w:sz w:val="24"/>
              </w:rPr>
              <w:t>Arsénico</w:t>
            </w:r>
          </w:p>
        </w:tc>
        <w:tc>
          <w:tcPr>
            <w:tcW w:w="1651" w:type="dxa"/>
            <w:tcBorders>
              <w:bottom w:val="single" w:sz="8" w:space="0" w:color="000000"/>
            </w:tcBorders>
          </w:tcPr>
          <w:p>
            <w:pPr>
              <w:pStyle w:val="TableParagraph"/>
              <w:spacing w:before="94"/>
              <w:ind w:left="81" w:right="83"/>
              <w:rPr>
                <w:sz w:val="24"/>
              </w:rPr>
            </w:pPr>
            <w:r>
              <w:rPr>
                <w:sz w:val="24"/>
              </w:rPr>
              <w:t>0.00128</w:t>
            </w:r>
          </w:p>
        </w:tc>
        <w:tc>
          <w:tcPr>
            <w:tcW w:w="1558" w:type="dxa"/>
            <w:tcBorders>
              <w:bottom w:val="single" w:sz="8" w:space="0" w:color="000000"/>
            </w:tcBorders>
          </w:tcPr>
          <w:p>
            <w:pPr>
              <w:pStyle w:val="TableParagraph"/>
              <w:spacing w:before="94"/>
              <w:rPr>
                <w:sz w:val="24"/>
              </w:rPr>
            </w:pPr>
            <w:r>
              <w:rPr>
                <w:w w:val="99"/>
                <w:sz w:val="24"/>
              </w:rPr>
              <w:t>2</w:t>
            </w:r>
          </w:p>
        </w:tc>
        <w:tc>
          <w:tcPr>
            <w:tcW w:w="1844" w:type="dxa"/>
            <w:tcBorders>
              <w:bottom w:val="single" w:sz="8" w:space="0" w:color="000000"/>
            </w:tcBorders>
          </w:tcPr>
          <w:p>
            <w:pPr>
              <w:pStyle w:val="TableParagraph"/>
              <w:spacing w:before="94"/>
              <w:ind w:left="739" w:right="48"/>
              <w:jc w:val="left"/>
              <w:rPr>
                <w:sz w:val="24"/>
              </w:rPr>
            </w:pPr>
            <w:r>
              <w:rPr>
                <w:sz w:val="24"/>
              </w:rPr>
              <w:t>1.5</w:t>
            </w:r>
          </w:p>
        </w:tc>
        <w:tc>
          <w:tcPr>
            <w:tcW w:w="1822" w:type="dxa"/>
            <w:tcBorders>
              <w:bottom w:val="single" w:sz="8" w:space="0" w:color="000000"/>
            </w:tcBorders>
          </w:tcPr>
          <w:p>
            <w:pPr>
              <w:pStyle w:val="TableParagraph"/>
              <w:spacing w:before="94"/>
              <w:ind w:left="575" w:right="576"/>
              <w:rPr>
                <w:sz w:val="24"/>
              </w:rPr>
            </w:pPr>
            <w:r>
              <w:rPr>
                <w:sz w:val="24"/>
              </w:rPr>
              <w:t>0.375</w:t>
            </w:r>
          </w:p>
        </w:tc>
      </w:tr>
      <w:tr>
        <w:trPr>
          <w:trHeight w:val="432" w:hRule="exact"/>
        </w:trPr>
        <w:tc>
          <w:tcPr>
            <w:tcW w:w="1364" w:type="dxa"/>
            <w:tcBorders>
              <w:top w:val="single" w:sz="8" w:space="0" w:color="000000"/>
              <w:bottom w:val="single" w:sz="8" w:space="0" w:color="000000"/>
            </w:tcBorders>
          </w:tcPr>
          <w:p>
            <w:pPr>
              <w:pStyle w:val="TableParagraph"/>
              <w:spacing w:before="94"/>
              <w:ind w:left="179" w:right="180"/>
              <w:rPr>
                <w:sz w:val="24"/>
              </w:rPr>
            </w:pPr>
            <w:r>
              <w:rPr>
                <w:sz w:val="24"/>
              </w:rPr>
              <w:t>Cadmio</w:t>
            </w:r>
          </w:p>
        </w:tc>
        <w:tc>
          <w:tcPr>
            <w:tcW w:w="1651" w:type="dxa"/>
            <w:tcBorders>
              <w:top w:val="single" w:sz="8" w:space="0" w:color="000000"/>
              <w:bottom w:val="single" w:sz="8" w:space="0" w:color="000000"/>
            </w:tcBorders>
          </w:tcPr>
          <w:p>
            <w:pPr>
              <w:pStyle w:val="TableParagraph"/>
              <w:spacing w:before="94"/>
              <w:ind w:left="81" w:right="83"/>
              <w:rPr>
                <w:sz w:val="24"/>
              </w:rPr>
            </w:pPr>
            <w:r>
              <w:rPr>
                <w:sz w:val="24"/>
              </w:rPr>
              <w:t>0.00170</w:t>
            </w:r>
          </w:p>
        </w:tc>
        <w:tc>
          <w:tcPr>
            <w:tcW w:w="1558" w:type="dxa"/>
            <w:tcBorders>
              <w:top w:val="single" w:sz="8" w:space="0" w:color="000000"/>
              <w:bottom w:val="single" w:sz="8" w:space="0" w:color="000000"/>
            </w:tcBorders>
          </w:tcPr>
          <w:p>
            <w:pPr>
              <w:pStyle w:val="TableParagraph"/>
              <w:spacing w:before="94"/>
              <w:rPr>
                <w:sz w:val="24"/>
              </w:rPr>
            </w:pPr>
            <w:r>
              <w:rPr>
                <w:w w:val="99"/>
                <w:sz w:val="24"/>
              </w:rPr>
              <w:t>3</w:t>
            </w:r>
          </w:p>
        </w:tc>
        <w:tc>
          <w:tcPr>
            <w:tcW w:w="1844" w:type="dxa"/>
            <w:tcBorders>
              <w:top w:val="single" w:sz="8" w:space="0" w:color="000000"/>
              <w:bottom w:val="single" w:sz="8" w:space="0" w:color="000000"/>
            </w:tcBorders>
          </w:tcPr>
          <w:p>
            <w:pPr>
              <w:pStyle w:val="TableParagraph"/>
              <w:spacing w:before="94"/>
              <w:ind w:left="739" w:right="48"/>
              <w:jc w:val="left"/>
              <w:rPr>
                <w:sz w:val="24"/>
              </w:rPr>
            </w:pPr>
            <w:r>
              <w:rPr>
                <w:sz w:val="24"/>
              </w:rPr>
              <w:t>0.5</w:t>
            </w:r>
          </w:p>
        </w:tc>
        <w:tc>
          <w:tcPr>
            <w:tcW w:w="1822" w:type="dxa"/>
            <w:tcBorders>
              <w:top w:val="single" w:sz="8" w:space="0" w:color="000000"/>
              <w:bottom w:val="single" w:sz="8" w:space="0" w:color="000000"/>
            </w:tcBorders>
          </w:tcPr>
          <w:p>
            <w:pPr>
              <w:pStyle w:val="TableParagraph"/>
              <w:spacing w:before="94"/>
              <w:ind w:left="575" w:right="576"/>
              <w:rPr>
                <w:sz w:val="24"/>
              </w:rPr>
            </w:pPr>
            <w:r>
              <w:rPr>
                <w:sz w:val="24"/>
              </w:rPr>
              <w:t>0.125</w:t>
            </w:r>
          </w:p>
        </w:tc>
      </w:tr>
      <w:tr>
        <w:trPr>
          <w:trHeight w:val="422" w:hRule="exact"/>
        </w:trPr>
        <w:tc>
          <w:tcPr>
            <w:tcW w:w="1364" w:type="dxa"/>
            <w:tcBorders>
              <w:top w:val="single" w:sz="8" w:space="0" w:color="000000"/>
              <w:bottom w:val="single" w:sz="8" w:space="0" w:color="000000"/>
            </w:tcBorders>
          </w:tcPr>
          <w:p>
            <w:pPr>
              <w:pStyle w:val="TableParagraph"/>
              <w:spacing w:before="89"/>
              <w:ind w:left="179" w:right="181"/>
              <w:rPr>
                <w:sz w:val="24"/>
              </w:rPr>
            </w:pPr>
            <w:r>
              <w:rPr>
                <w:sz w:val="24"/>
              </w:rPr>
              <w:t>Mercurio</w:t>
            </w:r>
          </w:p>
        </w:tc>
        <w:tc>
          <w:tcPr>
            <w:tcW w:w="1651" w:type="dxa"/>
            <w:tcBorders>
              <w:top w:val="single" w:sz="8" w:space="0" w:color="000000"/>
              <w:bottom w:val="single" w:sz="8" w:space="0" w:color="000000"/>
            </w:tcBorders>
          </w:tcPr>
          <w:p>
            <w:pPr>
              <w:pStyle w:val="TableParagraph"/>
              <w:spacing w:before="89"/>
              <w:ind w:left="81" w:right="83"/>
              <w:rPr>
                <w:sz w:val="24"/>
              </w:rPr>
            </w:pPr>
            <w:r>
              <w:rPr>
                <w:sz w:val="24"/>
              </w:rPr>
              <w:t>0.00923</w:t>
            </w:r>
          </w:p>
        </w:tc>
        <w:tc>
          <w:tcPr>
            <w:tcW w:w="1558" w:type="dxa"/>
            <w:tcBorders>
              <w:top w:val="single" w:sz="8" w:space="0" w:color="000000"/>
              <w:bottom w:val="single" w:sz="8" w:space="0" w:color="000000"/>
            </w:tcBorders>
          </w:tcPr>
          <w:p>
            <w:pPr>
              <w:pStyle w:val="TableParagraph"/>
              <w:spacing w:before="89"/>
              <w:rPr>
                <w:sz w:val="24"/>
              </w:rPr>
            </w:pPr>
            <w:r>
              <w:rPr>
                <w:w w:val="99"/>
                <w:sz w:val="24"/>
              </w:rPr>
              <w:t>0</w:t>
            </w:r>
          </w:p>
        </w:tc>
        <w:tc>
          <w:tcPr>
            <w:tcW w:w="1844" w:type="dxa"/>
            <w:tcBorders>
              <w:top w:val="single" w:sz="8" w:space="0" w:color="000000"/>
              <w:bottom w:val="single" w:sz="8" w:space="0" w:color="000000"/>
            </w:tcBorders>
          </w:tcPr>
          <w:p>
            <w:pPr>
              <w:pStyle w:val="TableParagraph"/>
              <w:spacing w:before="89"/>
              <w:ind w:left="739" w:right="48"/>
              <w:jc w:val="left"/>
              <w:rPr>
                <w:sz w:val="24"/>
              </w:rPr>
            </w:pPr>
            <w:r>
              <w:rPr>
                <w:sz w:val="24"/>
              </w:rPr>
              <w:t>3.0</w:t>
            </w:r>
          </w:p>
        </w:tc>
        <w:tc>
          <w:tcPr>
            <w:tcW w:w="1822" w:type="dxa"/>
            <w:tcBorders>
              <w:top w:val="single" w:sz="8" w:space="0" w:color="000000"/>
              <w:bottom w:val="single" w:sz="8" w:space="0" w:color="000000"/>
            </w:tcBorders>
          </w:tcPr>
          <w:p>
            <w:pPr>
              <w:pStyle w:val="TableParagraph"/>
              <w:spacing w:before="89"/>
              <w:ind w:left="575" w:right="576"/>
              <w:rPr>
                <w:sz w:val="24"/>
              </w:rPr>
            </w:pPr>
            <w:r>
              <w:rPr>
                <w:sz w:val="24"/>
              </w:rPr>
              <w:t>0.750</w:t>
            </w:r>
          </w:p>
        </w:tc>
      </w:tr>
      <w:tr>
        <w:trPr>
          <w:trHeight w:val="449" w:hRule="exact"/>
        </w:trPr>
        <w:tc>
          <w:tcPr>
            <w:tcW w:w="1364" w:type="dxa"/>
            <w:tcBorders>
              <w:top w:val="single" w:sz="8" w:space="0" w:color="000000"/>
            </w:tcBorders>
          </w:tcPr>
          <w:p>
            <w:pPr>
              <w:pStyle w:val="TableParagraph"/>
              <w:spacing w:before="101"/>
              <w:ind w:left="179" w:right="180"/>
              <w:rPr>
                <w:sz w:val="24"/>
              </w:rPr>
            </w:pPr>
            <w:r>
              <w:rPr>
                <w:sz w:val="24"/>
              </w:rPr>
              <w:t>Plomo</w:t>
            </w:r>
          </w:p>
        </w:tc>
        <w:tc>
          <w:tcPr>
            <w:tcW w:w="1651" w:type="dxa"/>
            <w:tcBorders>
              <w:top w:val="single" w:sz="8" w:space="0" w:color="000000"/>
            </w:tcBorders>
          </w:tcPr>
          <w:p>
            <w:pPr>
              <w:pStyle w:val="TableParagraph"/>
              <w:spacing w:before="101"/>
              <w:ind w:left="81" w:right="83"/>
              <w:rPr>
                <w:sz w:val="24"/>
              </w:rPr>
            </w:pPr>
            <w:r>
              <w:rPr>
                <w:sz w:val="24"/>
              </w:rPr>
              <w:t>0.01836</w:t>
            </w:r>
          </w:p>
        </w:tc>
        <w:tc>
          <w:tcPr>
            <w:tcW w:w="1558" w:type="dxa"/>
            <w:tcBorders>
              <w:top w:val="single" w:sz="8" w:space="0" w:color="000000"/>
            </w:tcBorders>
          </w:tcPr>
          <w:p>
            <w:pPr>
              <w:pStyle w:val="TableParagraph"/>
              <w:spacing w:before="101"/>
              <w:rPr>
                <w:sz w:val="24"/>
              </w:rPr>
            </w:pPr>
            <w:r>
              <w:rPr>
                <w:w w:val="99"/>
                <w:sz w:val="24"/>
              </w:rPr>
              <w:t>1</w:t>
            </w:r>
          </w:p>
        </w:tc>
        <w:tc>
          <w:tcPr>
            <w:tcW w:w="1844" w:type="dxa"/>
            <w:tcBorders>
              <w:top w:val="single" w:sz="8" w:space="0" w:color="000000"/>
            </w:tcBorders>
          </w:tcPr>
          <w:p>
            <w:pPr>
              <w:pStyle w:val="TableParagraph"/>
              <w:spacing w:before="101"/>
              <w:ind w:left="739" w:right="48"/>
              <w:jc w:val="left"/>
              <w:rPr>
                <w:sz w:val="24"/>
              </w:rPr>
            </w:pPr>
            <w:r>
              <w:rPr>
                <w:sz w:val="24"/>
              </w:rPr>
              <w:t>1.0</w:t>
            </w:r>
          </w:p>
        </w:tc>
        <w:tc>
          <w:tcPr>
            <w:tcW w:w="1822" w:type="dxa"/>
            <w:tcBorders>
              <w:top w:val="single" w:sz="8" w:space="0" w:color="000000"/>
            </w:tcBorders>
          </w:tcPr>
          <w:p>
            <w:pPr>
              <w:pStyle w:val="TableParagraph"/>
              <w:spacing w:before="101"/>
              <w:ind w:left="575" w:right="576"/>
              <w:rPr>
                <w:sz w:val="24"/>
              </w:rPr>
            </w:pPr>
            <w:r>
              <w:rPr>
                <w:sz w:val="24"/>
              </w:rPr>
              <w:t>0.250</w:t>
            </w:r>
          </w:p>
        </w:tc>
      </w:tr>
    </w:tbl>
    <w:p>
      <w:pPr>
        <w:spacing w:before="2"/>
        <w:ind w:left="690" w:right="0" w:firstLine="0"/>
        <w:jc w:val="both"/>
        <w:rPr>
          <w:sz w:val="20"/>
        </w:rPr>
      </w:pPr>
      <w:r>
        <w:rPr>
          <w:color w:val="212121"/>
          <w:sz w:val="20"/>
        </w:rPr>
        <w:t>Donde: X = analito, EI = Estándar Interno</w:t>
      </w:r>
    </w:p>
    <w:p>
      <w:pPr>
        <w:pStyle w:val="BodyText"/>
        <w:rPr>
          <w:sz w:val="20"/>
        </w:rPr>
      </w:pPr>
    </w:p>
    <w:p>
      <w:pPr>
        <w:pStyle w:val="BodyText"/>
        <w:rPr>
          <w:sz w:val="20"/>
        </w:rPr>
      </w:pPr>
    </w:p>
    <w:p>
      <w:pPr>
        <w:pStyle w:val="BodyText"/>
        <w:spacing w:before="1"/>
        <w:rPr>
          <w:sz w:val="18"/>
        </w:rPr>
      </w:pPr>
    </w:p>
    <w:p>
      <w:pPr>
        <w:pStyle w:val="Heading1"/>
        <w:numPr>
          <w:ilvl w:val="0"/>
          <w:numId w:val="9"/>
        </w:numPr>
        <w:tabs>
          <w:tab w:pos="701" w:val="left" w:leader="none"/>
          <w:tab w:pos="702" w:val="left" w:leader="none"/>
        </w:tabs>
        <w:spacing w:line="240" w:lineRule="auto" w:before="0" w:after="0"/>
        <w:ind w:left="702" w:right="0" w:hanging="586"/>
        <w:jc w:val="left"/>
      </w:pPr>
      <w:r>
        <w:rPr/>
        <w:t>Limite de</w:t>
      </w:r>
      <w:r>
        <w:rPr>
          <w:spacing w:val="-3"/>
        </w:rPr>
        <w:t> </w:t>
      </w:r>
      <w:r>
        <w:rPr/>
        <w:t>Detección</w:t>
      </w:r>
    </w:p>
    <w:p>
      <w:pPr>
        <w:pStyle w:val="BodyText"/>
        <w:rPr>
          <w:b/>
          <w:sz w:val="21"/>
        </w:rPr>
      </w:pPr>
    </w:p>
    <w:p>
      <w:pPr>
        <w:pStyle w:val="BodyText"/>
        <w:spacing w:line="360" w:lineRule="auto" w:before="1"/>
        <w:ind w:left="690" w:right="221"/>
        <w:jc w:val="both"/>
      </w:pPr>
      <w:r>
        <w:rPr>
          <w:color w:val="212121"/>
        </w:rPr>
        <w:t>La solución límite de detección (LD) se midió en seis ocasiones. La media de la respuesta, la concentración en µg/L y en ppm de la concentración de la muestra se presenta en la Tabla</w:t>
      </w:r>
      <w:r>
        <w:rPr>
          <w:color w:val="212121"/>
          <w:spacing w:val="-14"/>
        </w:rPr>
        <w:t> </w:t>
      </w:r>
      <w:r>
        <w:rPr>
          <w:color w:val="212121"/>
        </w:rPr>
        <w:t>B.V.1</w:t>
      </w:r>
    </w:p>
    <w:p>
      <w:pPr>
        <w:pStyle w:val="BodyText"/>
        <w:spacing w:before="2"/>
      </w:pPr>
    </w:p>
    <w:p>
      <w:pPr>
        <w:pStyle w:val="Heading1"/>
        <w:spacing w:after="44"/>
        <w:ind w:left="690"/>
      </w:pPr>
      <w:r>
        <w:rPr>
          <w:color w:val="212121"/>
        </w:rPr>
        <w:t>Tabla B.V.1. Resultados del Límite de Detección para la clase 1</w:t>
      </w:r>
    </w:p>
    <w:tbl>
      <w:tblPr>
        <w:tblW w:w="0" w:type="auto"/>
        <w:jc w:val="left"/>
        <w:tblInd w:w="586"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CellMar>
          <w:top w:w="0" w:type="dxa"/>
          <w:left w:w="0" w:type="dxa"/>
          <w:bottom w:w="0" w:type="dxa"/>
          <w:right w:w="0" w:type="dxa"/>
        </w:tblCellMar>
        <w:tblLook w:val="01E0"/>
      </w:tblPr>
      <w:tblGrid>
        <w:gridCol w:w="1688"/>
        <w:gridCol w:w="2072"/>
        <w:gridCol w:w="1925"/>
        <w:gridCol w:w="2607"/>
      </w:tblGrid>
      <w:tr>
        <w:trPr>
          <w:trHeight w:val="858" w:hRule="exact"/>
        </w:trPr>
        <w:tc>
          <w:tcPr>
            <w:tcW w:w="1688" w:type="dxa"/>
            <w:shd w:val="clear" w:color="auto" w:fill="D9D9D9"/>
          </w:tcPr>
          <w:p>
            <w:pPr>
              <w:pStyle w:val="TableParagraph"/>
              <w:spacing w:before="8"/>
              <w:jc w:val="left"/>
              <w:rPr>
                <w:b/>
                <w:sz w:val="23"/>
              </w:rPr>
            </w:pPr>
          </w:p>
          <w:p>
            <w:pPr>
              <w:pStyle w:val="TableParagraph"/>
              <w:ind w:left="342" w:right="342"/>
              <w:rPr>
                <w:b/>
                <w:sz w:val="24"/>
              </w:rPr>
            </w:pPr>
            <w:r>
              <w:rPr>
                <w:b/>
                <w:sz w:val="24"/>
              </w:rPr>
              <w:t>Analito</w:t>
            </w:r>
          </w:p>
        </w:tc>
        <w:tc>
          <w:tcPr>
            <w:tcW w:w="2072" w:type="dxa"/>
            <w:shd w:val="clear" w:color="auto" w:fill="D9D9D9"/>
          </w:tcPr>
          <w:p>
            <w:pPr>
              <w:pStyle w:val="TableParagraph"/>
              <w:ind w:left="158" w:right="160"/>
              <w:rPr>
                <w:b/>
                <w:bCs/>
                <w:sz w:val="24"/>
                <w:szCs w:val="24"/>
              </w:rPr>
            </w:pPr>
            <w:r>
              <w:rPr>
                <w:b/>
                <w:bCs/>
                <w:sz w:val="24"/>
                <w:szCs w:val="24"/>
              </w:rPr>
              <w:t>Promedio de la respuesta (CPSᵃ)</w:t>
            </w:r>
          </w:p>
        </w:tc>
        <w:tc>
          <w:tcPr>
            <w:tcW w:w="1925" w:type="dxa"/>
            <w:shd w:val="clear" w:color="auto" w:fill="D9D9D9"/>
          </w:tcPr>
          <w:p>
            <w:pPr>
              <w:pStyle w:val="TableParagraph"/>
              <w:spacing w:before="133"/>
              <w:ind w:left="619" w:right="88" w:hanging="512"/>
              <w:jc w:val="left"/>
              <w:rPr>
                <w:b/>
                <w:sz w:val="24"/>
              </w:rPr>
            </w:pPr>
            <w:r>
              <w:rPr>
                <w:b/>
                <w:sz w:val="24"/>
              </w:rPr>
              <w:t>Concentración (µg/L)</w:t>
            </w:r>
          </w:p>
        </w:tc>
        <w:tc>
          <w:tcPr>
            <w:tcW w:w="2607" w:type="dxa"/>
            <w:shd w:val="clear" w:color="auto" w:fill="D9D9D9"/>
          </w:tcPr>
          <w:p>
            <w:pPr>
              <w:pStyle w:val="TableParagraph"/>
              <w:ind w:left="161" w:right="161"/>
              <w:rPr>
                <w:b/>
                <w:sz w:val="24"/>
              </w:rPr>
            </w:pPr>
            <w:r>
              <w:rPr>
                <w:b/>
                <w:sz w:val="24"/>
              </w:rPr>
              <w:t>ppm de la concentración de la muestra</w:t>
            </w:r>
          </w:p>
        </w:tc>
      </w:tr>
      <w:tr>
        <w:trPr>
          <w:trHeight w:val="446" w:hRule="exact"/>
        </w:trPr>
        <w:tc>
          <w:tcPr>
            <w:tcW w:w="1688" w:type="dxa"/>
            <w:tcBorders>
              <w:bottom w:val="single" w:sz="8" w:space="0" w:color="000000"/>
            </w:tcBorders>
          </w:tcPr>
          <w:p>
            <w:pPr>
              <w:pStyle w:val="TableParagraph"/>
              <w:spacing w:before="99"/>
              <w:ind w:left="342" w:right="342"/>
              <w:rPr>
                <w:sz w:val="24"/>
              </w:rPr>
            </w:pPr>
            <w:r>
              <w:rPr>
                <w:sz w:val="24"/>
              </w:rPr>
              <w:t>Arsénico</w:t>
            </w:r>
          </w:p>
        </w:tc>
        <w:tc>
          <w:tcPr>
            <w:tcW w:w="2072" w:type="dxa"/>
            <w:tcBorders>
              <w:bottom w:val="single" w:sz="8" w:space="0" w:color="000000"/>
            </w:tcBorders>
          </w:tcPr>
          <w:p>
            <w:pPr>
              <w:pStyle w:val="TableParagraph"/>
              <w:spacing w:before="99"/>
              <w:ind w:left="158" w:right="158"/>
              <w:rPr>
                <w:sz w:val="24"/>
              </w:rPr>
            </w:pPr>
            <w:r>
              <w:rPr>
                <w:sz w:val="24"/>
              </w:rPr>
              <w:t>2258.03333</w:t>
            </w:r>
          </w:p>
        </w:tc>
        <w:tc>
          <w:tcPr>
            <w:tcW w:w="1925" w:type="dxa"/>
            <w:tcBorders>
              <w:bottom w:val="single" w:sz="8" w:space="0" w:color="000000"/>
            </w:tcBorders>
          </w:tcPr>
          <w:p>
            <w:pPr>
              <w:pStyle w:val="TableParagraph"/>
              <w:spacing w:before="99"/>
              <w:ind w:left="693" w:right="694"/>
              <w:rPr>
                <w:sz w:val="24"/>
              </w:rPr>
            </w:pPr>
            <w:r>
              <w:rPr>
                <w:sz w:val="24"/>
              </w:rPr>
              <w:t>0.75</w:t>
            </w:r>
          </w:p>
        </w:tc>
        <w:tc>
          <w:tcPr>
            <w:tcW w:w="2607" w:type="dxa"/>
            <w:tcBorders>
              <w:bottom w:val="single" w:sz="8" w:space="0" w:color="000000"/>
            </w:tcBorders>
          </w:tcPr>
          <w:p>
            <w:pPr>
              <w:pStyle w:val="TableParagraph"/>
              <w:spacing w:before="99"/>
              <w:ind w:left="161" w:right="161"/>
              <w:rPr>
                <w:sz w:val="24"/>
              </w:rPr>
            </w:pPr>
            <w:r>
              <w:rPr>
                <w:sz w:val="24"/>
              </w:rPr>
              <w:t>0.1875</w:t>
            </w:r>
          </w:p>
        </w:tc>
      </w:tr>
      <w:tr>
        <w:trPr>
          <w:trHeight w:val="444" w:hRule="exact"/>
        </w:trPr>
        <w:tc>
          <w:tcPr>
            <w:tcW w:w="1688" w:type="dxa"/>
            <w:tcBorders>
              <w:top w:val="single" w:sz="8" w:space="0" w:color="000000"/>
              <w:bottom w:val="single" w:sz="8" w:space="0" w:color="000000"/>
            </w:tcBorders>
          </w:tcPr>
          <w:p>
            <w:pPr>
              <w:pStyle w:val="TableParagraph"/>
              <w:spacing w:before="101"/>
              <w:ind w:left="342" w:right="342"/>
              <w:rPr>
                <w:sz w:val="24"/>
              </w:rPr>
            </w:pPr>
            <w:r>
              <w:rPr>
                <w:sz w:val="24"/>
              </w:rPr>
              <w:t>Cadmio</w:t>
            </w:r>
          </w:p>
        </w:tc>
        <w:tc>
          <w:tcPr>
            <w:tcW w:w="2072" w:type="dxa"/>
            <w:tcBorders>
              <w:top w:val="single" w:sz="8" w:space="0" w:color="000000"/>
              <w:bottom w:val="single" w:sz="8" w:space="0" w:color="000000"/>
            </w:tcBorders>
          </w:tcPr>
          <w:p>
            <w:pPr>
              <w:pStyle w:val="TableParagraph"/>
              <w:spacing w:before="101"/>
              <w:ind w:left="158" w:right="158"/>
              <w:rPr>
                <w:sz w:val="24"/>
              </w:rPr>
            </w:pPr>
            <w:r>
              <w:rPr>
                <w:sz w:val="24"/>
              </w:rPr>
              <w:t>3042.61667</w:t>
            </w:r>
          </w:p>
        </w:tc>
        <w:tc>
          <w:tcPr>
            <w:tcW w:w="1925" w:type="dxa"/>
            <w:tcBorders>
              <w:top w:val="single" w:sz="8" w:space="0" w:color="000000"/>
              <w:bottom w:val="single" w:sz="8" w:space="0" w:color="000000"/>
            </w:tcBorders>
          </w:tcPr>
          <w:p>
            <w:pPr>
              <w:pStyle w:val="TableParagraph"/>
              <w:spacing w:before="101"/>
              <w:ind w:left="693" w:right="694"/>
              <w:rPr>
                <w:sz w:val="24"/>
              </w:rPr>
            </w:pPr>
            <w:r>
              <w:rPr>
                <w:sz w:val="24"/>
              </w:rPr>
              <w:t>0.25</w:t>
            </w:r>
          </w:p>
        </w:tc>
        <w:tc>
          <w:tcPr>
            <w:tcW w:w="2607" w:type="dxa"/>
            <w:tcBorders>
              <w:top w:val="single" w:sz="8" w:space="0" w:color="000000"/>
              <w:bottom w:val="single" w:sz="8" w:space="0" w:color="000000"/>
            </w:tcBorders>
          </w:tcPr>
          <w:p>
            <w:pPr>
              <w:pStyle w:val="TableParagraph"/>
              <w:spacing w:before="101"/>
              <w:ind w:left="161" w:right="161"/>
              <w:rPr>
                <w:sz w:val="24"/>
              </w:rPr>
            </w:pPr>
            <w:r>
              <w:rPr>
                <w:sz w:val="24"/>
              </w:rPr>
              <w:t>0.0625</w:t>
            </w:r>
          </w:p>
        </w:tc>
      </w:tr>
      <w:tr>
        <w:trPr>
          <w:trHeight w:val="449" w:hRule="exact"/>
        </w:trPr>
        <w:tc>
          <w:tcPr>
            <w:tcW w:w="1688" w:type="dxa"/>
            <w:tcBorders>
              <w:top w:val="single" w:sz="8" w:space="0" w:color="000000"/>
              <w:bottom w:val="single" w:sz="8" w:space="0" w:color="000000"/>
            </w:tcBorders>
          </w:tcPr>
          <w:p>
            <w:pPr>
              <w:pStyle w:val="TableParagraph"/>
              <w:spacing w:before="103"/>
              <w:ind w:left="341" w:right="342"/>
              <w:rPr>
                <w:sz w:val="24"/>
              </w:rPr>
            </w:pPr>
            <w:r>
              <w:rPr>
                <w:sz w:val="24"/>
              </w:rPr>
              <w:t>Mercurio</w:t>
            </w:r>
          </w:p>
        </w:tc>
        <w:tc>
          <w:tcPr>
            <w:tcW w:w="2072" w:type="dxa"/>
            <w:tcBorders>
              <w:top w:val="single" w:sz="8" w:space="0" w:color="000000"/>
              <w:bottom w:val="single" w:sz="8" w:space="0" w:color="000000"/>
            </w:tcBorders>
          </w:tcPr>
          <w:p>
            <w:pPr>
              <w:pStyle w:val="TableParagraph"/>
              <w:spacing w:before="103"/>
              <w:ind w:left="158" w:right="158"/>
              <w:rPr>
                <w:sz w:val="24"/>
              </w:rPr>
            </w:pPr>
            <w:r>
              <w:rPr>
                <w:sz w:val="24"/>
              </w:rPr>
              <w:t>16046.06667</w:t>
            </w:r>
          </w:p>
        </w:tc>
        <w:tc>
          <w:tcPr>
            <w:tcW w:w="1925" w:type="dxa"/>
            <w:tcBorders>
              <w:top w:val="single" w:sz="8" w:space="0" w:color="000000"/>
              <w:bottom w:val="single" w:sz="8" w:space="0" w:color="000000"/>
            </w:tcBorders>
          </w:tcPr>
          <w:p>
            <w:pPr>
              <w:pStyle w:val="TableParagraph"/>
              <w:spacing w:before="103"/>
              <w:ind w:left="693" w:right="694"/>
              <w:rPr>
                <w:sz w:val="24"/>
              </w:rPr>
            </w:pPr>
            <w:r>
              <w:rPr>
                <w:sz w:val="24"/>
              </w:rPr>
              <w:t>1.50</w:t>
            </w:r>
          </w:p>
        </w:tc>
        <w:tc>
          <w:tcPr>
            <w:tcW w:w="2607" w:type="dxa"/>
            <w:tcBorders>
              <w:top w:val="single" w:sz="8" w:space="0" w:color="000000"/>
              <w:bottom w:val="single" w:sz="8" w:space="0" w:color="000000"/>
            </w:tcBorders>
          </w:tcPr>
          <w:p>
            <w:pPr>
              <w:pStyle w:val="TableParagraph"/>
              <w:spacing w:before="103"/>
              <w:ind w:left="161" w:right="161"/>
              <w:rPr>
                <w:sz w:val="24"/>
              </w:rPr>
            </w:pPr>
            <w:r>
              <w:rPr>
                <w:sz w:val="24"/>
              </w:rPr>
              <w:t>0.3750</w:t>
            </w:r>
          </w:p>
        </w:tc>
      </w:tr>
      <w:tr>
        <w:trPr>
          <w:trHeight w:val="432" w:hRule="exact"/>
        </w:trPr>
        <w:tc>
          <w:tcPr>
            <w:tcW w:w="1688" w:type="dxa"/>
            <w:tcBorders>
              <w:top w:val="single" w:sz="8" w:space="0" w:color="000000"/>
            </w:tcBorders>
          </w:tcPr>
          <w:p>
            <w:pPr>
              <w:pStyle w:val="TableParagraph"/>
              <w:spacing w:before="91"/>
              <w:ind w:left="342" w:right="342"/>
              <w:rPr>
                <w:sz w:val="24"/>
              </w:rPr>
            </w:pPr>
            <w:r>
              <w:rPr>
                <w:sz w:val="24"/>
              </w:rPr>
              <w:t>Plomo</w:t>
            </w:r>
          </w:p>
        </w:tc>
        <w:tc>
          <w:tcPr>
            <w:tcW w:w="2072" w:type="dxa"/>
            <w:tcBorders>
              <w:top w:val="single" w:sz="8" w:space="0" w:color="000000"/>
            </w:tcBorders>
          </w:tcPr>
          <w:p>
            <w:pPr>
              <w:pStyle w:val="TableParagraph"/>
              <w:spacing w:before="91"/>
              <w:ind w:left="158" w:right="158"/>
              <w:rPr>
                <w:sz w:val="24"/>
              </w:rPr>
            </w:pPr>
            <w:r>
              <w:rPr>
                <w:sz w:val="24"/>
              </w:rPr>
              <w:t>25732.58333</w:t>
            </w:r>
          </w:p>
        </w:tc>
        <w:tc>
          <w:tcPr>
            <w:tcW w:w="1925" w:type="dxa"/>
            <w:tcBorders>
              <w:top w:val="single" w:sz="8" w:space="0" w:color="000000"/>
            </w:tcBorders>
          </w:tcPr>
          <w:p>
            <w:pPr>
              <w:pStyle w:val="TableParagraph"/>
              <w:spacing w:before="91"/>
              <w:ind w:left="693" w:right="694"/>
              <w:rPr>
                <w:sz w:val="24"/>
              </w:rPr>
            </w:pPr>
            <w:r>
              <w:rPr>
                <w:sz w:val="24"/>
              </w:rPr>
              <w:t>0.25</w:t>
            </w:r>
          </w:p>
        </w:tc>
        <w:tc>
          <w:tcPr>
            <w:tcW w:w="2607" w:type="dxa"/>
            <w:tcBorders>
              <w:top w:val="single" w:sz="8" w:space="0" w:color="000000"/>
            </w:tcBorders>
          </w:tcPr>
          <w:p>
            <w:pPr>
              <w:pStyle w:val="TableParagraph"/>
              <w:spacing w:before="91"/>
              <w:ind w:left="161" w:right="161"/>
              <w:rPr>
                <w:sz w:val="24"/>
              </w:rPr>
            </w:pPr>
            <w:r>
              <w:rPr>
                <w:sz w:val="24"/>
              </w:rPr>
              <w:t>0.0625</w:t>
            </w:r>
          </w:p>
        </w:tc>
      </w:tr>
    </w:tbl>
    <w:p>
      <w:pPr>
        <w:spacing w:before="0"/>
        <w:ind w:left="690" w:right="380" w:firstLine="0"/>
        <w:jc w:val="left"/>
        <w:rPr>
          <w:sz w:val="20"/>
          <w:szCs w:val="20"/>
        </w:rPr>
      </w:pPr>
      <w:r>
        <w:rPr>
          <w:b/>
          <w:bCs/>
          <w:color w:val="212121"/>
          <w:sz w:val="24"/>
          <w:szCs w:val="24"/>
        </w:rPr>
        <w:t>ᵃ </w:t>
      </w:r>
      <w:r>
        <w:rPr>
          <w:color w:val="212121"/>
          <w:sz w:val="20"/>
          <w:szCs w:val="20"/>
        </w:rPr>
        <w:t>CPS: Cuentas por Segundo del analito</w:t>
      </w:r>
    </w:p>
    <w:p>
      <w:pPr>
        <w:spacing w:after="0"/>
        <w:jc w:val="left"/>
        <w:rPr>
          <w:sz w:val="20"/>
          <w:szCs w:val="20"/>
        </w:rPr>
        <w:sectPr>
          <w:pgSz w:w="12240" w:h="15840"/>
          <w:pgMar w:header="0" w:footer="859" w:top="1360" w:bottom="1100" w:left="1720" w:right="1480"/>
        </w:sectPr>
      </w:pPr>
    </w:p>
    <w:p>
      <w:pPr>
        <w:pStyle w:val="Heading1"/>
        <w:numPr>
          <w:ilvl w:val="0"/>
          <w:numId w:val="9"/>
        </w:numPr>
        <w:tabs>
          <w:tab w:pos="921" w:val="left" w:leader="none"/>
          <w:tab w:pos="922" w:val="left" w:leader="none"/>
        </w:tabs>
        <w:spacing w:line="240" w:lineRule="auto" w:before="56" w:after="0"/>
        <w:ind w:left="922" w:right="0" w:hanging="653"/>
        <w:jc w:val="left"/>
      </w:pPr>
      <w:r>
        <w:rPr/>
        <w:t>Exactitud</w:t>
      </w:r>
    </w:p>
    <w:p>
      <w:pPr>
        <w:pStyle w:val="BodyText"/>
        <w:spacing w:before="10"/>
        <w:rPr>
          <w:b/>
          <w:sz w:val="20"/>
        </w:rPr>
      </w:pPr>
    </w:p>
    <w:p>
      <w:pPr>
        <w:pStyle w:val="BodyText"/>
        <w:ind w:left="910"/>
        <w:jc w:val="both"/>
      </w:pPr>
      <w:r>
        <w:rPr>
          <w:color w:val="212121"/>
        </w:rPr>
        <w:t>Las soluciones muestra fueron adicionadas con As, Cd, Hg y Pb al LC,  100</w:t>
      </w:r>
    </w:p>
    <w:p>
      <w:pPr>
        <w:pStyle w:val="BodyText"/>
        <w:spacing w:line="360" w:lineRule="auto" w:before="139"/>
        <w:ind w:left="910" w:right="216"/>
        <w:jc w:val="both"/>
      </w:pPr>
      <w:r>
        <w:rPr>
          <w:color w:val="212121"/>
        </w:rPr>
        <w:t>% y 120 % de la concentración objetivo. En cada nivel de estudio, se evaluaron 3 muestras. Estas soluciones se analizaron junto con </w:t>
      </w:r>
      <w:r>
        <w:rPr>
          <w:color w:val="212121"/>
          <w:spacing w:val="-2"/>
        </w:rPr>
        <w:t>una</w:t>
      </w:r>
      <w:r>
        <w:rPr>
          <w:color w:val="212121"/>
          <w:spacing w:val="62"/>
        </w:rPr>
        <w:t> </w:t>
      </w:r>
      <w:r>
        <w:rPr>
          <w:color w:val="212121"/>
        </w:rPr>
        <w:t>solución de muestra no adicionada y cada % de recobro individual  se calculó en base a la cantidad del analito adicionado. También se calculó la media del % de recuperación para cada</w:t>
      </w:r>
      <w:r>
        <w:rPr>
          <w:color w:val="212121"/>
          <w:spacing w:val="-15"/>
        </w:rPr>
        <w:t> </w:t>
      </w:r>
      <w:r>
        <w:rPr>
          <w:color w:val="212121"/>
        </w:rPr>
        <w:t>nivel.</w:t>
      </w:r>
    </w:p>
    <w:p>
      <w:pPr>
        <w:pStyle w:val="BodyText"/>
        <w:spacing w:before="1"/>
        <w:rPr>
          <w:sz w:val="21"/>
        </w:rPr>
      </w:pPr>
    </w:p>
    <w:p>
      <w:pPr>
        <w:pStyle w:val="BodyText"/>
        <w:spacing w:line="360" w:lineRule="auto"/>
        <w:ind w:left="910" w:right="217"/>
        <w:jc w:val="both"/>
      </w:pPr>
      <w:r>
        <w:rPr>
          <w:color w:val="212121"/>
        </w:rPr>
        <w:t>Los resultados, presentados en la Tabla B.VI.1, indican que la concentración de As, Cd, Hg y Pb en la muestra se puede determinar con precisión sobre un intervalo de concentración que varía desde el LC hasta  el 120 % de la concentración objetivo. El As, Cd, Hg y Pb cumplen con la especificación para % de recuperación de 70 a 150 % ya que los resultados varían desde 89 % -146</w:t>
      </w:r>
      <w:r>
        <w:rPr>
          <w:color w:val="212121"/>
          <w:spacing w:val="-9"/>
        </w:rPr>
        <w:t> </w:t>
      </w:r>
      <w:r>
        <w:rPr>
          <w:color w:val="212121"/>
        </w:rPr>
        <w:t>%.</w:t>
      </w:r>
    </w:p>
    <w:p>
      <w:pPr>
        <w:pStyle w:val="BodyText"/>
        <w:spacing w:before="1"/>
        <w:rPr>
          <w:sz w:val="21"/>
        </w:rPr>
      </w:pPr>
    </w:p>
    <w:p>
      <w:pPr>
        <w:pStyle w:val="Heading1"/>
        <w:ind w:left="895"/>
      </w:pPr>
      <w:r>
        <w:rPr/>
        <w:t>Tabla B.VI.1. Resultados de la prueba de exactitud para la clase 1</w:t>
      </w:r>
    </w:p>
    <w:p>
      <w:pPr>
        <w:pStyle w:val="BodyText"/>
        <w:spacing w:before="4"/>
        <w:rPr>
          <w:b/>
        </w:rPr>
      </w:pPr>
    </w:p>
    <w:p>
      <w:pPr>
        <w:pStyle w:val="BodyText"/>
        <w:spacing w:before="1" w:after="45"/>
        <w:ind w:left="202"/>
      </w:pPr>
      <w:r>
        <w:rPr/>
        <w:t>A: Límite de cuantificación</w:t>
      </w:r>
    </w:p>
    <w:tbl>
      <w:tblPr>
        <w:tblW w:w="0" w:type="auto"/>
        <w:jc w:val="left"/>
        <w:tblInd w:w="106"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CellMar>
          <w:top w:w="0" w:type="dxa"/>
          <w:left w:w="0" w:type="dxa"/>
          <w:bottom w:w="0" w:type="dxa"/>
          <w:right w:w="0" w:type="dxa"/>
        </w:tblCellMar>
        <w:tblLook w:val="01E0"/>
      </w:tblPr>
      <w:tblGrid>
        <w:gridCol w:w="1981"/>
        <w:gridCol w:w="2160"/>
        <w:gridCol w:w="2341"/>
        <w:gridCol w:w="2520"/>
      </w:tblGrid>
      <w:tr>
        <w:trPr>
          <w:trHeight w:val="425" w:hRule="exact"/>
        </w:trPr>
        <w:tc>
          <w:tcPr>
            <w:tcW w:w="1981" w:type="dxa"/>
            <w:shd w:val="clear" w:color="auto" w:fill="D9D9D9"/>
          </w:tcPr>
          <w:p>
            <w:pPr>
              <w:pStyle w:val="TableParagraph"/>
              <w:spacing w:before="116"/>
              <w:ind w:left="568"/>
              <w:jc w:val="left"/>
              <w:rPr>
                <w:b/>
                <w:sz w:val="24"/>
              </w:rPr>
            </w:pPr>
            <w:r>
              <w:rPr>
                <w:b/>
                <w:sz w:val="24"/>
              </w:rPr>
              <w:t>Analito</w:t>
            </w:r>
          </w:p>
        </w:tc>
        <w:tc>
          <w:tcPr>
            <w:tcW w:w="7021" w:type="dxa"/>
            <w:gridSpan w:val="3"/>
            <w:shd w:val="clear" w:color="auto" w:fill="D9D9D9"/>
          </w:tcPr>
          <w:p>
            <w:pPr>
              <w:pStyle w:val="TableParagraph"/>
              <w:spacing w:before="116"/>
              <w:ind w:left="2849" w:right="2849"/>
              <w:rPr>
                <w:b/>
                <w:sz w:val="24"/>
              </w:rPr>
            </w:pPr>
            <w:r>
              <w:rPr>
                <w:b/>
                <w:sz w:val="24"/>
              </w:rPr>
              <w:t>% Recobro</w:t>
            </w:r>
          </w:p>
        </w:tc>
      </w:tr>
      <w:tr>
        <w:trPr>
          <w:trHeight w:val="302" w:hRule="exact"/>
        </w:trPr>
        <w:tc>
          <w:tcPr>
            <w:tcW w:w="1981" w:type="dxa"/>
            <w:vMerge w:val="restart"/>
          </w:tcPr>
          <w:p>
            <w:pPr>
              <w:pStyle w:val="TableParagraph"/>
              <w:jc w:val="left"/>
              <w:rPr>
                <w:sz w:val="29"/>
              </w:rPr>
            </w:pPr>
          </w:p>
          <w:p>
            <w:pPr>
              <w:pStyle w:val="TableParagraph"/>
              <w:ind w:left="508"/>
              <w:jc w:val="left"/>
              <w:rPr>
                <w:sz w:val="24"/>
              </w:rPr>
            </w:pPr>
            <w:r>
              <w:rPr>
                <w:sz w:val="24"/>
              </w:rPr>
              <w:t>Arsénico</w:t>
            </w:r>
          </w:p>
        </w:tc>
        <w:tc>
          <w:tcPr>
            <w:tcW w:w="2160" w:type="dxa"/>
            <w:tcBorders>
              <w:bottom w:val="single" w:sz="8" w:space="0" w:color="000000"/>
              <w:right w:val="single" w:sz="12" w:space="0" w:color="000000"/>
            </w:tcBorders>
          </w:tcPr>
          <w:p>
            <w:pPr>
              <w:pStyle w:val="TableParagraph"/>
              <w:spacing w:line="274" w:lineRule="exact"/>
              <w:ind w:left="845" w:right="845"/>
              <w:rPr>
                <w:sz w:val="24"/>
              </w:rPr>
            </w:pPr>
            <w:r>
              <w:rPr>
                <w:sz w:val="24"/>
              </w:rPr>
              <w:t>118</w:t>
            </w:r>
          </w:p>
        </w:tc>
        <w:tc>
          <w:tcPr>
            <w:tcW w:w="2341" w:type="dxa"/>
            <w:vMerge w:val="restart"/>
            <w:tcBorders>
              <w:left w:val="single" w:sz="12" w:space="0" w:color="000000"/>
            </w:tcBorders>
          </w:tcPr>
          <w:p>
            <w:pPr>
              <w:pStyle w:val="TableParagraph"/>
              <w:spacing w:before="3"/>
              <w:jc w:val="left"/>
              <w:rPr>
                <w:sz w:val="26"/>
              </w:rPr>
            </w:pPr>
          </w:p>
          <w:p>
            <w:pPr>
              <w:pStyle w:val="TableParagraph"/>
              <w:spacing w:before="1"/>
              <w:ind w:left="640"/>
              <w:jc w:val="left"/>
              <w:rPr>
                <w:sz w:val="24"/>
              </w:rPr>
            </w:pPr>
            <w:r>
              <w:rPr>
                <w:sz w:val="24"/>
              </w:rPr>
              <w:t>Promedio</w:t>
            </w:r>
          </w:p>
        </w:tc>
        <w:tc>
          <w:tcPr>
            <w:tcW w:w="2520" w:type="dxa"/>
            <w:vMerge w:val="restart"/>
          </w:tcPr>
          <w:p>
            <w:pPr>
              <w:pStyle w:val="TableParagraph"/>
              <w:spacing w:before="3"/>
              <w:jc w:val="left"/>
              <w:rPr>
                <w:sz w:val="26"/>
              </w:rPr>
            </w:pPr>
          </w:p>
          <w:p>
            <w:pPr>
              <w:pStyle w:val="TableParagraph"/>
              <w:spacing w:before="1"/>
              <w:ind w:left="1025" w:right="1025"/>
              <w:rPr>
                <w:sz w:val="24"/>
              </w:rPr>
            </w:pPr>
            <w:r>
              <w:rPr>
                <w:sz w:val="24"/>
              </w:rPr>
              <w:t>114</w:t>
            </w:r>
          </w:p>
        </w:tc>
      </w:tr>
      <w:tr>
        <w:trPr>
          <w:trHeight w:val="305" w:hRule="exact"/>
        </w:trPr>
        <w:tc>
          <w:tcPr>
            <w:tcW w:w="1981" w:type="dxa"/>
            <w:vMerge/>
          </w:tcPr>
          <w:p>
            <w:pPr/>
          </w:p>
        </w:tc>
        <w:tc>
          <w:tcPr>
            <w:tcW w:w="2160" w:type="dxa"/>
            <w:tcBorders>
              <w:top w:val="single" w:sz="8" w:space="0" w:color="000000"/>
              <w:bottom w:val="single" w:sz="8" w:space="0" w:color="000000"/>
              <w:right w:val="single" w:sz="12" w:space="0" w:color="000000"/>
            </w:tcBorders>
          </w:tcPr>
          <w:p>
            <w:pPr>
              <w:pStyle w:val="TableParagraph"/>
              <w:spacing w:before="5"/>
              <w:ind w:left="845" w:right="845"/>
              <w:rPr>
                <w:sz w:val="24"/>
              </w:rPr>
            </w:pPr>
            <w:r>
              <w:rPr>
                <w:sz w:val="24"/>
              </w:rPr>
              <w:t>108</w:t>
            </w:r>
          </w:p>
        </w:tc>
        <w:tc>
          <w:tcPr>
            <w:tcW w:w="2341" w:type="dxa"/>
            <w:vMerge/>
            <w:tcBorders>
              <w:left w:val="single" w:sz="12" w:space="0" w:color="000000"/>
            </w:tcBorders>
          </w:tcPr>
          <w:p>
            <w:pPr/>
          </w:p>
        </w:tc>
        <w:tc>
          <w:tcPr>
            <w:tcW w:w="2520" w:type="dxa"/>
            <w:vMerge/>
          </w:tcPr>
          <w:p>
            <w:pPr/>
          </w:p>
        </w:tc>
      </w:tr>
      <w:tr>
        <w:trPr>
          <w:trHeight w:val="312" w:hRule="exact"/>
        </w:trPr>
        <w:tc>
          <w:tcPr>
            <w:tcW w:w="1981" w:type="dxa"/>
            <w:vMerge/>
          </w:tcPr>
          <w:p>
            <w:pPr/>
          </w:p>
        </w:tc>
        <w:tc>
          <w:tcPr>
            <w:tcW w:w="2160" w:type="dxa"/>
            <w:tcBorders>
              <w:top w:val="single" w:sz="8" w:space="0" w:color="000000"/>
              <w:right w:val="single" w:sz="12" w:space="0" w:color="000000"/>
            </w:tcBorders>
          </w:tcPr>
          <w:p>
            <w:pPr>
              <w:pStyle w:val="TableParagraph"/>
              <w:spacing w:before="7"/>
              <w:ind w:left="845" w:right="845"/>
              <w:rPr>
                <w:sz w:val="24"/>
              </w:rPr>
            </w:pPr>
            <w:r>
              <w:rPr>
                <w:sz w:val="24"/>
              </w:rPr>
              <w:t>115</w:t>
            </w:r>
          </w:p>
        </w:tc>
        <w:tc>
          <w:tcPr>
            <w:tcW w:w="2341" w:type="dxa"/>
            <w:vMerge/>
            <w:tcBorders>
              <w:left w:val="single" w:sz="12" w:space="0" w:color="000000"/>
            </w:tcBorders>
          </w:tcPr>
          <w:p>
            <w:pPr/>
          </w:p>
        </w:tc>
        <w:tc>
          <w:tcPr>
            <w:tcW w:w="2520" w:type="dxa"/>
            <w:vMerge/>
          </w:tcPr>
          <w:p>
            <w:pPr/>
          </w:p>
        </w:tc>
      </w:tr>
      <w:tr>
        <w:trPr>
          <w:trHeight w:val="300" w:hRule="exact"/>
        </w:trPr>
        <w:tc>
          <w:tcPr>
            <w:tcW w:w="1981" w:type="dxa"/>
            <w:vMerge w:val="restart"/>
          </w:tcPr>
          <w:p>
            <w:pPr>
              <w:pStyle w:val="TableParagraph"/>
              <w:spacing w:before="9"/>
              <w:jc w:val="left"/>
              <w:rPr>
                <w:sz w:val="28"/>
              </w:rPr>
            </w:pPr>
          </w:p>
          <w:p>
            <w:pPr>
              <w:pStyle w:val="TableParagraph"/>
              <w:ind w:left="561"/>
              <w:jc w:val="left"/>
              <w:rPr>
                <w:sz w:val="24"/>
              </w:rPr>
            </w:pPr>
            <w:r>
              <w:rPr>
                <w:sz w:val="24"/>
              </w:rPr>
              <w:t>Cadmio</w:t>
            </w:r>
          </w:p>
        </w:tc>
        <w:tc>
          <w:tcPr>
            <w:tcW w:w="2160" w:type="dxa"/>
            <w:tcBorders>
              <w:bottom w:val="single" w:sz="8" w:space="0" w:color="000000"/>
              <w:right w:val="single" w:sz="12" w:space="0" w:color="000000"/>
            </w:tcBorders>
          </w:tcPr>
          <w:p>
            <w:pPr>
              <w:pStyle w:val="TableParagraph"/>
              <w:spacing w:line="272" w:lineRule="exact"/>
              <w:ind w:left="845" w:right="845"/>
              <w:rPr>
                <w:sz w:val="24"/>
              </w:rPr>
            </w:pPr>
            <w:r>
              <w:rPr>
                <w:sz w:val="24"/>
              </w:rPr>
              <w:t>100</w:t>
            </w:r>
          </w:p>
        </w:tc>
        <w:tc>
          <w:tcPr>
            <w:tcW w:w="2341" w:type="dxa"/>
            <w:vMerge w:val="restart"/>
            <w:tcBorders>
              <w:left w:val="single" w:sz="12" w:space="0" w:color="000000"/>
            </w:tcBorders>
          </w:tcPr>
          <w:p>
            <w:pPr>
              <w:pStyle w:val="TableParagraph"/>
              <w:spacing w:before="3"/>
              <w:jc w:val="left"/>
              <w:rPr>
                <w:sz w:val="26"/>
              </w:rPr>
            </w:pPr>
          </w:p>
          <w:p>
            <w:pPr>
              <w:pStyle w:val="TableParagraph"/>
              <w:spacing w:before="1"/>
              <w:ind w:left="640"/>
              <w:jc w:val="left"/>
              <w:rPr>
                <w:sz w:val="24"/>
              </w:rPr>
            </w:pPr>
            <w:r>
              <w:rPr>
                <w:sz w:val="24"/>
              </w:rPr>
              <w:t>Promedio</w:t>
            </w:r>
          </w:p>
        </w:tc>
        <w:tc>
          <w:tcPr>
            <w:tcW w:w="2520" w:type="dxa"/>
            <w:vMerge w:val="restart"/>
          </w:tcPr>
          <w:p>
            <w:pPr>
              <w:pStyle w:val="TableParagraph"/>
              <w:spacing w:before="3"/>
              <w:jc w:val="left"/>
              <w:rPr>
                <w:sz w:val="26"/>
              </w:rPr>
            </w:pPr>
          </w:p>
          <w:p>
            <w:pPr>
              <w:pStyle w:val="TableParagraph"/>
              <w:spacing w:before="1"/>
              <w:ind w:left="1025" w:right="1025"/>
              <w:rPr>
                <w:sz w:val="24"/>
              </w:rPr>
            </w:pPr>
            <w:r>
              <w:rPr>
                <w:sz w:val="24"/>
              </w:rPr>
              <w:t>99</w:t>
            </w:r>
          </w:p>
        </w:tc>
      </w:tr>
      <w:tr>
        <w:trPr>
          <w:trHeight w:val="307" w:hRule="exact"/>
        </w:trPr>
        <w:tc>
          <w:tcPr>
            <w:tcW w:w="1981" w:type="dxa"/>
            <w:vMerge/>
          </w:tcPr>
          <w:p>
            <w:pPr/>
          </w:p>
        </w:tc>
        <w:tc>
          <w:tcPr>
            <w:tcW w:w="2160" w:type="dxa"/>
            <w:tcBorders>
              <w:top w:val="single" w:sz="8" w:space="0" w:color="000000"/>
              <w:bottom w:val="single" w:sz="8" w:space="0" w:color="000000"/>
              <w:right w:val="single" w:sz="12" w:space="0" w:color="000000"/>
            </w:tcBorders>
          </w:tcPr>
          <w:p>
            <w:pPr>
              <w:pStyle w:val="TableParagraph"/>
              <w:spacing w:before="7"/>
              <w:ind w:left="845" w:right="845"/>
              <w:rPr>
                <w:sz w:val="24"/>
              </w:rPr>
            </w:pPr>
            <w:r>
              <w:rPr>
                <w:sz w:val="24"/>
              </w:rPr>
              <w:t>102</w:t>
            </w:r>
          </w:p>
        </w:tc>
        <w:tc>
          <w:tcPr>
            <w:tcW w:w="2341" w:type="dxa"/>
            <w:vMerge/>
            <w:tcBorders>
              <w:left w:val="single" w:sz="12" w:space="0" w:color="000000"/>
            </w:tcBorders>
          </w:tcPr>
          <w:p>
            <w:pPr/>
          </w:p>
        </w:tc>
        <w:tc>
          <w:tcPr>
            <w:tcW w:w="2520" w:type="dxa"/>
            <w:vMerge/>
          </w:tcPr>
          <w:p>
            <w:pPr/>
          </w:p>
        </w:tc>
      </w:tr>
      <w:tr>
        <w:trPr>
          <w:trHeight w:val="310" w:hRule="exact"/>
        </w:trPr>
        <w:tc>
          <w:tcPr>
            <w:tcW w:w="1981" w:type="dxa"/>
            <w:vMerge/>
          </w:tcPr>
          <w:p>
            <w:pPr/>
          </w:p>
        </w:tc>
        <w:tc>
          <w:tcPr>
            <w:tcW w:w="2160" w:type="dxa"/>
            <w:tcBorders>
              <w:top w:val="single" w:sz="8" w:space="0" w:color="000000"/>
              <w:right w:val="single" w:sz="12" w:space="0" w:color="000000"/>
            </w:tcBorders>
          </w:tcPr>
          <w:p>
            <w:pPr>
              <w:pStyle w:val="TableParagraph"/>
              <w:spacing w:before="5"/>
              <w:ind w:left="845" w:right="845"/>
              <w:rPr>
                <w:sz w:val="24"/>
              </w:rPr>
            </w:pPr>
            <w:r>
              <w:rPr>
                <w:sz w:val="24"/>
              </w:rPr>
              <w:t>95</w:t>
            </w:r>
          </w:p>
        </w:tc>
        <w:tc>
          <w:tcPr>
            <w:tcW w:w="2341" w:type="dxa"/>
            <w:vMerge/>
            <w:tcBorders>
              <w:left w:val="single" w:sz="12" w:space="0" w:color="000000"/>
            </w:tcBorders>
          </w:tcPr>
          <w:p>
            <w:pPr/>
          </w:p>
        </w:tc>
        <w:tc>
          <w:tcPr>
            <w:tcW w:w="2520" w:type="dxa"/>
            <w:vMerge/>
          </w:tcPr>
          <w:p>
            <w:pPr/>
          </w:p>
        </w:tc>
      </w:tr>
      <w:tr>
        <w:trPr>
          <w:trHeight w:val="300" w:hRule="exact"/>
        </w:trPr>
        <w:tc>
          <w:tcPr>
            <w:tcW w:w="1981" w:type="dxa"/>
            <w:vMerge w:val="restart"/>
          </w:tcPr>
          <w:p>
            <w:pPr>
              <w:pStyle w:val="TableParagraph"/>
              <w:jc w:val="left"/>
              <w:rPr>
                <w:sz w:val="28"/>
              </w:rPr>
            </w:pPr>
          </w:p>
          <w:p>
            <w:pPr>
              <w:pStyle w:val="TableParagraph"/>
              <w:ind w:left="508"/>
              <w:jc w:val="left"/>
              <w:rPr>
                <w:sz w:val="24"/>
              </w:rPr>
            </w:pPr>
            <w:r>
              <w:rPr>
                <w:sz w:val="24"/>
              </w:rPr>
              <w:t>Mercurio</w:t>
            </w:r>
          </w:p>
        </w:tc>
        <w:tc>
          <w:tcPr>
            <w:tcW w:w="2160" w:type="dxa"/>
            <w:tcBorders>
              <w:bottom w:val="single" w:sz="6" w:space="0" w:color="000000"/>
              <w:right w:val="single" w:sz="12" w:space="0" w:color="000000"/>
            </w:tcBorders>
          </w:tcPr>
          <w:p>
            <w:pPr>
              <w:pStyle w:val="TableParagraph"/>
              <w:spacing w:line="274" w:lineRule="exact"/>
              <w:ind w:left="845" w:right="845"/>
              <w:rPr>
                <w:sz w:val="24"/>
              </w:rPr>
            </w:pPr>
            <w:r>
              <w:rPr>
                <w:sz w:val="24"/>
              </w:rPr>
              <w:t>93</w:t>
            </w:r>
          </w:p>
        </w:tc>
        <w:tc>
          <w:tcPr>
            <w:tcW w:w="2341" w:type="dxa"/>
            <w:vMerge w:val="restart"/>
            <w:tcBorders>
              <w:left w:val="single" w:sz="12" w:space="0" w:color="000000"/>
            </w:tcBorders>
          </w:tcPr>
          <w:p>
            <w:pPr>
              <w:pStyle w:val="TableParagraph"/>
              <w:spacing w:before="5"/>
              <w:jc w:val="left"/>
              <w:rPr>
                <w:sz w:val="25"/>
              </w:rPr>
            </w:pPr>
          </w:p>
          <w:p>
            <w:pPr>
              <w:pStyle w:val="TableParagraph"/>
              <w:spacing w:before="1"/>
              <w:ind w:left="640"/>
              <w:jc w:val="left"/>
              <w:rPr>
                <w:sz w:val="24"/>
              </w:rPr>
            </w:pPr>
            <w:r>
              <w:rPr>
                <w:sz w:val="24"/>
              </w:rPr>
              <w:t>Promedio</w:t>
            </w:r>
          </w:p>
        </w:tc>
        <w:tc>
          <w:tcPr>
            <w:tcW w:w="2520" w:type="dxa"/>
            <w:vMerge w:val="restart"/>
          </w:tcPr>
          <w:p>
            <w:pPr>
              <w:pStyle w:val="TableParagraph"/>
              <w:spacing w:before="5"/>
              <w:jc w:val="left"/>
              <w:rPr>
                <w:sz w:val="25"/>
              </w:rPr>
            </w:pPr>
          </w:p>
          <w:p>
            <w:pPr>
              <w:pStyle w:val="TableParagraph"/>
              <w:spacing w:before="1"/>
              <w:ind w:left="1025" w:right="1025"/>
              <w:rPr>
                <w:sz w:val="24"/>
              </w:rPr>
            </w:pPr>
            <w:r>
              <w:rPr>
                <w:sz w:val="24"/>
              </w:rPr>
              <w:t>95</w:t>
            </w:r>
          </w:p>
        </w:tc>
      </w:tr>
      <w:tr>
        <w:trPr>
          <w:trHeight w:val="295" w:hRule="exact"/>
        </w:trPr>
        <w:tc>
          <w:tcPr>
            <w:tcW w:w="1981" w:type="dxa"/>
            <w:vMerge/>
          </w:tcPr>
          <w:p>
            <w:pPr/>
          </w:p>
        </w:tc>
        <w:tc>
          <w:tcPr>
            <w:tcW w:w="2160" w:type="dxa"/>
            <w:tcBorders>
              <w:top w:val="single" w:sz="6" w:space="0" w:color="000000"/>
              <w:bottom w:val="single" w:sz="6" w:space="0" w:color="000000"/>
              <w:right w:val="single" w:sz="12" w:space="0" w:color="000000"/>
            </w:tcBorders>
          </w:tcPr>
          <w:p>
            <w:pPr>
              <w:pStyle w:val="TableParagraph"/>
              <w:ind w:left="845" w:right="845"/>
              <w:rPr>
                <w:sz w:val="24"/>
              </w:rPr>
            </w:pPr>
            <w:r>
              <w:rPr>
                <w:sz w:val="24"/>
              </w:rPr>
              <w:t>93</w:t>
            </w:r>
          </w:p>
        </w:tc>
        <w:tc>
          <w:tcPr>
            <w:tcW w:w="2341" w:type="dxa"/>
            <w:vMerge/>
            <w:tcBorders>
              <w:left w:val="single" w:sz="12" w:space="0" w:color="000000"/>
            </w:tcBorders>
          </w:tcPr>
          <w:p>
            <w:pPr/>
          </w:p>
        </w:tc>
        <w:tc>
          <w:tcPr>
            <w:tcW w:w="2520" w:type="dxa"/>
            <w:vMerge/>
          </w:tcPr>
          <w:p>
            <w:pPr/>
          </w:p>
        </w:tc>
      </w:tr>
      <w:tr>
        <w:trPr>
          <w:trHeight w:val="302" w:hRule="exact"/>
        </w:trPr>
        <w:tc>
          <w:tcPr>
            <w:tcW w:w="1981" w:type="dxa"/>
            <w:vMerge/>
          </w:tcPr>
          <w:p>
            <w:pPr/>
          </w:p>
        </w:tc>
        <w:tc>
          <w:tcPr>
            <w:tcW w:w="2160" w:type="dxa"/>
            <w:tcBorders>
              <w:top w:val="single" w:sz="6" w:space="0" w:color="000000"/>
              <w:right w:val="single" w:sz="12" w:space="0" w:color="000000"/>
            </w:tcBorders>
          </w:tcPr>
          <w:p>
            <w:pPr>
              <w:pStyle w:val="TableParagraph"/>
              <w:ind w:left="845" w:right="845"/>
              <w:rPr>
                <w:sz w:val="24"/>
              </w:rPr>
            </w:pPr>
            <w:r>
              <w:rPr>
                <w:sz w:val="24"/>
              </w:rPr>
              <w:t>100</w:t>
            </w:r>
          </w:p>
        </w:tc>
        <w:tc>
          <w:tcPr>
            <w:tcW w:w="2341" w:type="dxa"/>
            <w:vMerge/>
            <w:tcBorders>
              <w:left w:val="single" w:sz="12" w:space="0" w:color="000000"/>
            </w:tcBorders>
          </w:tcPr>
          <w:p>
            <w:pPr/>
          </w:p>
        </w:tc>
        <w:tc>
          <w:tcPr>
            <w:tcW w:w="2520" w:type="dxa"/>
            <w:vMerge/>
          </w:tcPr>
          <w:p>
            <w:pPr/>
          </w:p>
        </w:tc>
      </w:tr>
      <w:tr>
        <w:trPr>
          <w:trHeight w:val="302" w:hRule="exact"/>
        </w:trPr>
        <w:tc>
          <w:tcPr>
            <w:tcW w:w="1981" w:type="dxa"/>
            <w:vMerge w:val="restart"/>
          </w:tcPr>
          <w:p>
            <w:pPr>
              <w:pStyle w:val="TableParagraph"/>
              <w:spacing w:before="3"/>
              <w:jc w:val="left"/>
              <w:rPr>
                <w:sz w:val="28"/>
              </w:rPr>
            </w:pPr>
          </w:p>
          <w:p>
            <w:pPr>
              <w:pStyle w:val="TableParagraph"/>
              <w:ind w:left="635"/>
              <w:jc w:val="left"/>
              <w:rPr>
                <w:sz w:val="24"/>
              </w:rPr>
            </w:pPr>
            <w:r>
              <w:rPr>
                <w:sz w:val="24"/>
              </w:rPr>
              <w:t>Plomo</w:t>
            </w:r>
          </w:p>
        </w:tc>
        <w:tc>
          <w:tcPr>
            <w:tcW w:w="2160" w:type="dxa"/>
            <w:tcBorders>
              <w:bottom w:val="single" w:sz="8" w:space="0" w:color="000000"/>
              <w:right w:val="single" w:sz="12" w:space="0" w:color="000000"/>
            </w:tcBorders>
          </w:tcPr>
          <w:p>
            <w:pPr>
              <w:pStyle w:val="TableParagraph"/>
              <w:spacing w:line="274" w:lineRule="exact"/>
              <w:ind w:left="845" w:right="845"/>
              <w:rPr>
                <w:sz w:val="24"/>
              </w:rPr>
            </w:pPr>
            <w:r>
              <w:rPr>
                <w:sz w:val="24"/>
              </w:rPr>
              <w:t>97</w:t>
            </w:r>
          </w:p>
        </w:tc>
        <w:tc>
          <w:tcPr>
            <w:tcW w:w="2341" w:type="dxa"/>
            <w:vMerge w:val="restart"/>
            <w:tcBorders>
              <w:left w:val="single" w:sz="12" w:space="0" w:color="000000"/>
            </w:tcBorders>
          </w:tcPr>
          <w:p>
            <w:pPr>
              <w:pStyle w:val="TableParagraph"/>
              <w:spacing w:before="6"/>
              <w:jc w:val="left"/>
              <w:rPr>
                <w:sz w:val="25"/>
              </w:rPr>
            </w:pPr>
          </w:p>
          <w:p>
            <w:pPr>
              <w:pStyle w:val="TableParagraph"/>
              <w:ind w:left="640"/>
              <w:jc w:val="left"/>
              <w:rPr>
                <w:sz w:val="24"/>
              </w:rPr>
            </w:pPr>
            <w:r>
              <w:rPr>
                <w:sz w:val="24"/>
              </w:rPr>
              <w:t>Promedio</w:t>
            </w:r>
          </w:p>
        </w:tc>
        <w:tc>
          <w:tcPr>
            <w:tcW w:w="2520" w:type="dxa"/>
            <w:vMerge w:val="restart"/>
          </w:tcPr>
          <w:p>
            <w:pPr>
              <w:pStyle w:val="TableParagraph"/>
              <w:spacing w:before="6"/>
              <w:jc w:val="left"/>
              <w:rPr>
                <w:sz w:val="25"/>
              </w:rPr>
            </w:pPr>
          </w:p>
          <w:p>
            <w:pPr>
              <w:pStyle w:val="TableParagraph"/>
              <w:ind w:left="1025" w:right="1025"/>
              <w:rPr>
                <w:sz w:val="24"/>
              </w:rPr>
            </w:pPr>
            <w:r>
              <w:rPr>
                <w:sz w:val="24"/>
              </w:rPr>
              <w:t>86</w:t>
            </w:r>
          </w:p>
        </w:tc>
      </w:tr>
      <w:tr>
        <w:trPr>
          <w:trHeight w:val="296" w:hRule="exact"/>
        </w:trPr>
        <w:tc>
          <w:tcPr>
            <w:tcW w:w="1981" w:type="dxa"/>
            <w:vMerge/>
          </w:tcPr>
          <w:p>
            <w:pPr/>
          </w:p>
        </w:tc>
        <w:tc>
          <w:tcPr>
            <w:tcW w:w="2160" w:type="dxa"/>
            <w:tcBorders>
              <w:top w:val="single" w:sz="8" w:space="0" w:color="000000"/>
              <w:bottom w:val="single" w:sz="8" w:space="0" w:color="000000"/>
              <w:right w:val="single" w:sz="12" w:space="0" w:color="000000"/>
            </w:tcBorders>
          </w:tcPr>
          <w:p>
            <w:pPr>
              <w:pStyle w:val="TableParagraph"/>
              <w:spacing w:line="272" w:lineRule="exact"/>
              <w:ind w:left="845" w:right="845"/>
              <w:rPr>
                <w:sz w:val="24"/>
              </w:rPr>
            </w:pPr>
            <w:r>
              <w:rPr>
                <w:sz w:val="24"/>
              </w:rPr>
              <w:t>80</w:t>
            </w:r>
          </w:p>
        </w:tc>
        <w:tc>
          <w:tcPr>
            <w:tcW w:w="2341" w:type="dxa"/>
            <w:vMerge/>
            <w:tcBorders>
              <w:left w:val="single" w:sz="12" w:space="0" w:color="000000"/>
            </w:tcBorders>
          </w:tcPr>
          <w:p>
            <w:pPr/>
          </w:p>
        </w:tc>
        <w:tc>
          <w:tcPr>
            <w:tcW w:w="2520" w:type="dxa"/>
            <w:vMerge/>
          </w:tcPr>
          <w:p>
            <w:pPr/>
          </w:p>
        </w:tc>
      </w:tr>
      <w:tr>
        <w:trPr>
          <w:trHeight w:val="300" w:hRule="exact"/>
        </w:trPr>
        <w:tc>
          <w:tcPr>
            <w:tcW w:w="1981" w:type="dxa"/>
            <w:vMerge/>
          </w:tcPr>
          <w:p>
            <w:pPr/>
          </w:p>
        </w:tc>
        <w:tc>
          <w:tcPr>
            <w:tcW w:w="2160" w:type="dxa"/>
            <w:tcBorders>
              <w:top w:val="single" w:sz="8" w:space="0" w:color="000000"/>
              <w:right w:val="single" w:sz="12" w:space="0" w:color="000000"/>
            </w:tcBorders>
          </w:tcPr>
          <w:p>
            <w:pPr>
              <w:pStyle w:val="TableParagraph"/>
              <w:spacing w:line="272" w:lineRule="exact"/>
              <w:ind w:left="845" w:right="845"/>
              <w:rPr>
                <w:sz w:val="24"/>
              </w:rPr>
            </w:pPr>
            <w:r>
              <w:rPr>
                <w:sz w:val="24"/>
              </w:rPr>
              <w:t>81</w:t>
            </w:r>
          </w:p>
        </w:tc>
        <w:tc>
          <w:tcPr>
            <w:tcW w:w="2341" w:type="dxa"/>
            <w:vMerge/>
            <w:tcBorders>
              <w:left w:val="single" w:sz="12" w:space="0" w:color="000000"/>
            </w:tcBorders>
          </w:tcPr>
          <w:p>
            <w:pPr/>
          </w:p>
        </w:tc>
        <w:tc>
          <w:tcPr>
            <w:tcW w:w="2520" w:type="dxa"/>
            <w:vMerge/>
          </w:tcPr>
          <w:p>
            <w:pPr/>
          </w:p>
        </w:tc>
      </w:tr>
    </w:tbl>
    <w:p>
      <w:pPr>
        <w:spacing w:after="0"/>
        <w:sectPr>
          <w:pgSz w:w="12240" w:h="15840"/>
          <w:pgMar w:header="0" w:footer="859" w:top="1360" w:bottom="1100" w:left="1500" w:right="1480"/>
        </w:sectPr>
      </w:pPr>
    </w:p>
    <w:p>
      <w:pPr>
        <w:pStyle w:val="BodyText"/>
        <w:spacing w:before="56" w:after="44"/>
        <w:ind w:left="202"/>
      </w:pPr>
      <w:r>
        <w:rPr/>
        <w:t>B: 100%</w:t>
      </w:r>
    </w:p>
    <w:tbl>
      <w:tblPr>
        <w:tblW w:w="0" w:type="auto"/>
        <w:jc w:val="left"/>
        <w:tblInd w:w="106"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CellMar>
          <w:top w:w="0" w:type="dxa"/>
          <w:left w:w="0" w:type="dxa"/>
          <w:bottom w:w="0" w:type="dxa"/>
          <w:right w:w="0" w:type="dxa"/>
        </w:tblCellMar>
        <w:tblLook w:val="01E0"/>
      </w:tblPr>
      <w:tblGrid>
        <w:gridCol w:w="1981"/>
        <w:gridCol w:w="2160"/>
        <w:gridCol w:w="2341"/>
        <w:gridCol w:w="2520"/>
      </w:tblGrid>
      <w:tr>
        <w:trPr>
          <w:trHeight w:val="426" w:hRule="exact"/>
        </w:trPr>
        <w:tc>
          <w:tcPr>
            <w:tcW w:w="1981" w:type="dxa"/>
            <w:shd w:val="clear" w:color="auto" w:fill="D9D9D9"/>
          </w:tcPr>
          <w:p>
            <w:pPr>
              <w:pStyle w:val="TableParagraph"/>
              <w:spacing w:before="117"/>
              <w:ind w:left="568"/>
              <w:jc w:val="left"/>
              <w:rPr>
                <w:b/>
                <w:sz w:val="24"/>
              </w:rPr>
            </w:pPr>
            <w:r>
              <w:rPr>
                <w:b/>
                <w:sz w:val="24"/>
              </w:rPr>
              <w:t>Analito</w:t>
            </w:r>
          </w:p>
        </w:tc>
        <w:tc>
          <w:tcPr>
            <w:tcW w:w="7021" w:type="dxa"/>
            <w:gridSpan w:val="3"/>
            <w:shd w:val="clear" w:color="auto" w:fill="D9D9D9"/>
          </w:tcPr>
          <w:p>
            <w:pPr>
              <w:pStyle w:val="TableParagraph"/>
              <w:spacing w:before="117"/>
              <w:ind w:left="2849" w:right="2849"/>
              <w:rPr>
                <w:b/>
                <w:sz w:val="24"/>
              </w:rPr>
            </w:pPr>
            <w:r>
              <w:rPr>
                <w:b/>
                <w:sz w:val="24"/>
              </w:rPr>
              <w:t>% Recobro</w:t>
            </w:r>
          </w:p>
        </w:tc>
      </w:tr>
      <w:tr>
        <w:trPr>
          <w:trHeight w:val="300" w:hRule="exact"/>
        </w:trPr>
        <w:tc>
          <w:tcPr>
            <w:tcW w:w="1981" w:type="dxa"/>
            <w:vMerge w:val="restart"/>
          </w:tcPr>
          <w:p>
            <w:pPr>
              <w:pStyle w:val="TableParagraph"/>
              <w:spacing w:before="9"/>
              <w:jc w:val="left"/>
              <w:rPr>
                <w:sz w:val="28"/>
              </w:rPr>
            </w:pPr>
          </w:p>
          <w:p>
            <w:pPr>
              <w:pStyle w:val="TableParagraph"/>
              <w:ind w:left="508"/>
              <w:jc w:val="left"/>
              <w:rPr>
                <w:sz w:val="24"/>
              </w:rPr>
            </w:pPr>
            <w:r>
              <w:rPr>
                <w:sz w:val="24"/>
              </w:rPr>
              <w:t>Arsénico</w:t>
            </w:r>
          </w:p>
        </w:tc>
        <w:tc>
          <w:tcPr>
            <w:tcW w:w="2160" w:type="dxa"/>
            <w:tcBorders>
              <w:bottom w:val="single" w:sz="8" w:space="0" w:color="000000"/>
              <w:right w:val="single" w:sz="12" w:space="0" w:color="000000"/>
            </w:tcBorders>
          </w:tcPr>
          <w:p>
            <w:pPr>
              <w:pStyle w:val="TableParagraph"/>
              <w:spacing w:line="272" w:lineRule="exact"/>
              <w:ind w:left="845" w:right="845"/>
              <w:rPr>
                <w:sz w:val="24"/>
              </w:rPr>
            </w:pPr>
            <w:r>
              <w:rPr>
                <w:sz w:val="24"/>
              </w:rPr>
              <w:t>122</w:t>
            </w:r>
          </w:p>
        </w:tc>
        <w:tc>
          <w:tcPr>
            <w:tcW w:w="2341" w:type="dxa"/>
            <w:vMerge w:val="restart"/>
            <w:tcBorders>
              <w:left w:val="single" w:sz="12" w:space="0" w:color="000000"/>
            </w:tcBorders>
          </w:tcPr>
          <w:p>
            <w:pPr>
              <w:pStyle w:val="TableParagraph"/>
              <w:spacing w:before="3"/>
              <w:jc w:val="left"/>
              <w:rPr>
                <w:sz w:val="26"/>
              </w:rPr>
            </w:pPr>
          </w:p>
          <w:p>
            <w:pPr>
              <w:pStyle w:val="TableParagraph"/>
              <w:spacing w:before="1"/>
              <w:ind w:left="640"/>
              <w:jc w:val="left"/>
              <w:rPr>
                <w:sz w:val="24"/>
              </w:rPr>
            </w:pPr>
            <w:r>
              <w:rPr>
                <w:sz w:val="24"/>
              </w:rPr>
              <w:t>Promedio</w:t>
            </w:r>
          </w:p>
        </w:tc>
        <w:tc>
          <w:tcPr>
            <w:tcW w:w="2520" w:type="dxa"/>
            <w:vMerge w:val="restart"/>
          </w:tcPr>
          <w:p>
            <w:pPr>
              <w:pStyle w:val="TableParagraph"/>
              <w:spacing w:before="3"/>
              <w:jc w:val="left"/>
              <w:rPr>
                <w:sz w:val="26"/>
              </w:rPr>
            </w:pPr>
          </w:p>
          <w:p>
            <w:pPr>
              <w:pStyle w:val="TableParagraph"/>
              <w:spacing w:before="1"/>
              <w:ind w:left="1025" w:right="1025"/>
              <w:rPr>
                <w:sz w:val="24"/>
              </w:rPr>
            </w:pPr>
            <w:r>
              <w:rPr>
                <w:sz w:val="24"/>
              </w:rPr>
              <w:t>121</w:t>
            </w:r>
          </w:p>
        </w:tc>
      </w:tr>
      <w:tr>
        <w:trPr>
          <w:trHeight w:val="307" w:hRule="exact"/>
        </w:trPr>
        <w:tc>
          <w:tcPr>
            <w:tcW w:w="1981" w:type="dxa"/>
            <w:vMerge/>
          </w:tcPr>
          <w:p>
            <w:pPr/>
          </w:p>
        </w:tc>
        <w:tc>
          <w:tcPr>
            <w:tcW w:w="2160" w:type="dxa"/>
            <w:tcBorders>
              <w:top w:val="single" w:sz="8" w:space="0" w:color="000000"/>
              <w:bottom w:val="single" w:sz="8" w:space="0" w:color="000000"/>
              <w:right w:val="single" w:sz="12" w:space="0" w:color="000000"/>
            </w:tcBorders>
          </w:tcPr>
          <w:p>
            <w:pPr>
              <w:pStyle w:val="TableParagraph"/>
              <w:spacing w:before="7"/>
              <w:ind w:left="845" w:right="845"/>
              <w:rPr>
                <w:sz w:val="24"/>
              </w:rPr>
            </w:pPr>
            <w:r>
              <w:rPr>
                <w:sz w:val="24"/>
              </w:rPr>
              <w:t>120</w:t>
            </w:r>
          </w:p>
        </w:tc>
        <w:tc>
          <w:tcPr>
            <w:tcW w:w="2341" w:type="dxa"/>
            <w:vMerge/>
            <w:tcBorders>
              <w:left w:val="single" w:sz="12" w:space="0" w:color="000000"/>
            </w:tcBorders>
          </w:tcPr>
          <w:p>
            <w:pPr/>
          </w:p>
        </w:tc>
        <w:tc>
          <w:tcPr>
            <w:tcW w:w="2520" w:type="dxa"/>
            <w:vMerge/>
          </w:tcPr>
          <w:p>
            <w:pPr/>
          </w:p>
        </w:tc>
      </w:tr>
      <w:tr>
        <w:trPr>
          <w:trHeight w:val="310" w:hRule="exact"/>
        </w:trPr>
        <w:tc>
          <w:tcPr>
            <w:tcW w:w="1981" w:type="dxa"/>
            <w:vMerge/>
          </w:tcPr>
          <w:p>
            <w:pPr/>
          </w:p>
        </w:tc>
        <w:tc>
          <w:tcPr>
            <w:tcW w:w="2160" w:type="dxa"/>
            <w:tcBorders>
              <w:top w:val="single" w:sz="8" w:space="0" w:color="000000"/>
              <w:right w:val="single" w:sz="12" w:space="0" w:color="000000"/>
            </w:tcBorders>
          </w:tcPr>
          <w:p>
            <w:pPr>
              <w:pStyle w:val="TableParagraph"/>
              <w:spacing w:before="5"/>
              <w:ind w:left="845" w:right="845"/>
              <w:rPr>
                <w:sz w:val="24"/>
              </w:rPr>
            </w:pPr>
            <w:r>
              <w:rPr>
                <w:sz w:val="24"/>
              </w:rPr>
              <w:t>120</w:t>
            </w:r>
          </w:p>
        </w:tc>
        <w:tc>
          <w:tcPr>
            <w:tcW w:w="2341" w:type="dxa"/>
            <w:vMerge/>
            <w:tcBorders>
              <w:left w:val="single" w:sz="12" w:space="0" w:color="000000"/>
            </w:tcBorders>
          </w:tcPr>
          <w:p>
            <w:pPr/>
          </w:p>
        </w:tc>
        <w:tc>
          <w:tcPr>
            <w:tcW w:w="2520" w:type="dxa"/>
            <w:vMerge/>
          </w:tcPr>
          <w:p>
            <w:pPr/>
          </w:p>
        </w:tc>
      </w:tr>
      <w:tr>
        <w:trPr>
          <w:trHeight w:val="302" w:hRule="exact"/>
        </w:trPr>
        <w:tc>
          <w:tcPr>
            <w:tcW w:w="1981" w:type="dxa"/>
            <w:vMerge w:val="restart"/>
          </w:tcPr>
          <w:p>
            <w:pPr>
              <w:pStyle w:val="TableParagraph"/>
              <w:jc w:val="left"/>
              <w:rPr>
                <w:sz w:val="29"/>
              </w:rPr>
            </w:pPr>
          </w:p>
          <w:p>
            <w:pPr>
              <w:pStyle w:val="TableParagraph"/>
              <w:ind w:left="561"/>
              <w:jc w:val="left"/>
              <w:rPr>
                <w:sz w:val="24"/>
              </w:rPr>
            </w:pPr>
            <w:r>
              <w:rPr>
                <w:sz w:val="24"/>
              </w:rPr>
              <w:t>Cadmio</w:t>
            </w:r>
          </w:p>
        </w:tc>
        <w:tc>
          <w:tcPr>
            <w:tcW w:w="2160" w:type="dxa"/>
            <w:tcBorders>
              <w:bottom w:val="single" w:sz="8" w:space="0" w:color="000000"/>
              <w:right w:val="single" w:sz="12" w:space="0" w:color="000000"/>
            </w:tcBorders>
          </w:tcPr>
          <w:p>
            <w:pPr>
              <w:pStyle w:val="TableParagraph"/>
              <w:spacing w:line="274" w:lineRule="exact"/>
              <w:ind w:left="845" w:right="845"/>
              <w:rPr>
                <w:sz w:val="24"/>
              </w:rPr>
            </w:pPr>
            <w:r>
              <w:rPr>
                <w:sz w:val="24"/>
              </w:rPr>
              <w:t>96</w:t>
            </w:r>
          </w:p>
        </w:tc>
        <w:tc>
          <w:tcPr>
            <w:tcW w:w="2341" w:type="dxa"/>
            <w:vMerge w:val="restart"/>
            <w:tcBorders>
              <w:left w:val="single" w:sz="12" w:space="0" w:color="000000"/>
            </w:tcBorders>
          </w:tcPr>
          <w:p>
            <w:pPr>
              <w:pStyle w:val="TableParagraph"/>
              <w:spacing w:before="3"/>
              <w:jc w:val="left"/>
              <w:rPr>
                <w:sz w:val="26"/>
              </w:rPr>
            </w:pPr>
          </w:p>
          <w:p>
            <w:pPr>
              <w:pStyle w:val="TableParagraph"/>
              <w:spacing w:before="1"/>
              <w:ind w:left="640"/>
              <w:jc w:val="left"/>
              <w:rPr>
                <w:sz w:val="24"/>
              </w:rPr>
            </w:pPr>
            <w:r>
              <w:rPr>
                <w:sz w:val="24"/>
              </w:rPr>
              <w:t>Promedio</w:t>
            </w:r>
          </w:p>
        </w:tc>
        <w:tc>
          <w:tcPr>
            <w:tcW w:w="2520" w:type="dxa"/>
            <w:vMerge w:val="restart"/>
          </w:tcPr>
          <w:p>
            <w:pPr>
              <w:pStyle w:val="TableParagraph"/>
              <w:spacing w:before="3"/>
              <w:jc w:val="left"/>
              <w:rPr>
                <w:sz w:val="26"/>
              </w:rPr>
            </w:pPr>
          </w:p>
          <w:p>
            <w:pPr>
              <w:pStyle w:val="TableParagraph"/>
              <w:spacing w:before="1"/>
              <w:ind w:left="1025" w:right="1025"/>
              <w:rPr>
                <w:sz w:val="24"/>
              </w:rPr>
            </w:pPr>
            <w:r>
              <w:rPr>
                <w:sz w:val="24"/>
              </w:rPr>
              <w:t>97</w:t>
            </w:r>
          </w:p>
        </w:tc>
      </w:tr>
      <w:tr>
        <w:trPr>
          <w:trHeight w:val="305" w:hRule="exact"/>
        </w:trPr>
        <w:tc>
          <w:tcPr>
            <w:tcW w:w="1981" w:type="dxa"/>
            <w:vMerge/>
          </w:tcPr>
          <w:p>
            <w:pPr/>
          </w:p>
        </w:tc>
        <w:tc>
          <w:tcPr>
            <w:tcW w:w="2160" w:type="dxa"/>
            <w:tcBorders>
              <w:top w:val="single" w:sz="8" w:space="0" w:color="000000"/>
              <w:bottom w:val="single" w:sz="8" w:space="0" w:color="000000"/>
              <w:right w:val="single" w:sz="12" w:space="0" w:color="000000"/>
            </w:tcBorders>
          </w:tcPr>
          <w:p>
            <w:pPr>
              <w:pStyle w:val="TableParagraph"/>
              <w:spacing w:before="5"/>
              <w:ind w:left="845" w:right="845"/>
              <w:rPr>
                <w:sz w:val="24"/>
              </w:rPr>
            </w:pPr>
            <w:r>
              <w:rPr>
                <w:sz w:val="24"/>
              </w:rPr>
              <w:t>99</w:t>
            </w:r>
          </w:p>
        </w:tc>
        <w:tc>
          <w:tcPr>
            <w:tcW w:w="2341" w:type="dxa"/>
            <w:vMerge/>
            <w:tcBorders>
              <w:left w:val="single" w:sz="12" w:space="0" w:color="000000"/>
            </w:tcBorders>
          </w:tcPr>
          <w:p>
            <w:pPr/>
          </w:p>
        </w:tc>
        <w:tc>
          <w:tcPr>
            <w:tcW w:w="2520" w:type="dxa"/>
            <w:vMerge/>
          </w:tcPr>
          <w:p>
            <w:pPr/>
          </w:p>
        </w:tc>
      </w:tr>
      <w:tr>
        <w:trPr>
          <w:trHeight w:val="312" w:hRule="exact"/>
        </w:trPr>
        <w:tc>
          <w:tcPr>
            <w:tcW w:w="1981" w:type="dxa"/>
            <w:vMerge/>
          </w:tcPr>
          <w:p>
            <w:pPr/>
          </w:p>
        </w:tc>
        <w:tc>
          <w:tcPr>
            <w:tcW w:w="2160" w:type="dxa"/>
            <w:tcBorders>
              <w:top w:val="single" w:sz="8" w:space="0" w:color="000000"/>
              <w:right w:val="single" w:sz="12" w:space="0" w:color="000000"/>
            </w:tcBorders>
          </w:tcPr>
          <w:p>
            <w:pPr>
              <w:pStyle w:val="TableParagraph"/>
              <w:spacing w:before="7"/>
              <w:ind w:left="845" w:right="845"/>
              <w:rPr>
                <w:sz w:val="24"/>
              </w:rPr>
            </w:pPr>
            <w:r>
              <w:rPr>
                <w:sz w:val="24"/>
              </w:rPr>
              <w:t>96</w:t>
            </w:r>
          </w:p>
        </w:tc>
        <w:tc>
          <w:tcPr>
            <w:tcW w:w="2341" w:type="dxa"/>
            <w:vMerge/>
            <w:tcBorders>
              <w:left w:val="single" w:sz="12" w:space="0" w:color="000000"/>
            </w:tcBorders>
          </w:tcPr>
          <w:p>
            <w:pPr/>
          </w:p>
        </w:tc>
        <w:tc>
          <w:tcPr>
            <w:tcW w:w="2520" w:type="dxa"/>
            <w:vMerge/>
          </w:tcPr>
          <w:p>
            <w:pPr/>
          </w:p>
        </w:tc>
      </w:tr>
      <w:tr>
        <w:trPr>
          <w:trHeight w:val="298" w:hRule="exact"/>
        </w:trPr>
        <w:tc>
          <w:tcPr>
            <w:tcW w:w="1981" w:type="dxa"/>
            <w:vMerge w:val="restart"/>
          </w:tcPr>
          <w:p>
            <w:pPr>
              <w:pStyle w:val="TableParagraph"/>
              <w:jc w:val="left"/>
              <w:rPr>
                <w:sz w:val="28"/>
              </w:rPr>
            </w:pPr>
          </w:p>
          <w:p>
            <w:pPr>
              <w:pStyle w:val="TableParagraph"/>
              <w:ind w:left="508"/>
              <w:jc w:val="left"/>
              <w:rPr>
                <w:sz w:val="24"/>
              </w:rPr>
            </w:pPr>
            <w:r>
              <w:rPr>
                <w:sz w:val="24"/>
              </w:rPr>
              <w:t>Mercurio</w:t>
            </w:r>
          </w:p>
        </w:tc>
        <w:tc>
          <w:tcPr>
            <w:tcW w:w="2160" w:type="dxa"/>
            <w:tcBorders>
              <w:bottom w:val="single" w:sz="6" w:space="0" w:color="000000"/>
              <w:right w:val="single" w:sz="12" w:space="0" w:color="000000"/>
            </w:tcBorders>
          </w:tcPr>
          <w:p>
            <w:pPr>
              <w:pStyle w:val="TableParagraph"/>
              <w:spacing w:line="272" w:lineRule="exact"/>
              <w:ind w:left="845" w:right="845"/>
              <w:rPr>
                <w:sz w:val="24"/>
              </w:rPr>
            </w:pPr>
            <w:r>
              <w:rPr>
                <w:sz w:val="24"/>
              </w:rPr>
              <w:t>100</w:t>
            </w:r>
          </w:p>
        </w:tc>
        <w:tc>
          <w:tcPr>
            <w:tcW w:w="2341" w:type="dxa"/>
            <w:vMerge w:val="restart"/>
            <w:tcBorders>
              <w:left w:val="single" w:sz="12" w:space="0" w:color="000000"/>
            </w:tcBorders>
          </w:tcPr>
          <w:p>
            <w:pPr>
              <w:pStyle w:val="TableParagraph"/>
              <w:spacing w:before="3"/>
              <w:jc w:val="left"/>
              <w:rPr>
                <w:sz w:val="25"/>
              </w:rPr>
            </w:pPr>
          </w:p>
          <w:p>
            <w:pPr>
              <w:pStyle w:val="TableParagraph"/>
              <w:ind w:left="640"/>
              <w:jc w:val="left"/>
              <w:rPr>
                <w:sz w:val="24"/>
              </w:rPr>
            </w:pPr>
            <w:r>
              <w:rPr>
                <w:sz w:val="24"/>
              </w:rPr>
              <w:t>Promedio</w:t>
            </w:r>
          </w:p>
        </w:tc>
        <w:tc>
          <w:tcPr>
            <w:tcW w:w="2520" w:type="dxa"/>
            <w:vMerge w:val="restart"/>
          </w:tcPr>
          <w:p>
            <w:pPr>
              <w:pStyle w:val="TableParagraph"/>
              <w:spacing w:before="3"/>
              <w:jc w:val="left"/>
              <w:rPr>
                <w:sz w:val="25"/>
              </w:rPr>
            </w:pPr>
          </w:p>
          <w:p>
            <w:pPr>
              <w:pStyle w:val="TableParagraph"/>
              <w:ind w:left="1025" w:right="1025"/>
              <w:rPr>
                <w:sz w:val="24"/>
              </w:rPr>
            </w:pPr>
            <w:r>
              <w:rPr>
                <w:sz w:val="24"/>
              </w:rPr>
              <w:t>97</w:t>
            </w:r>
          </w:p>
        </w:tc>
      </w:tr>
      <w:tr>
        <w:trPr>
          <w:trHeight w:val="295" w:hRule="exact"/>
        </w:trPr>
        <w:tc>
          <w:tcPr>
            <w:tcW w:w="1981" w:type="dxa"/>
            <w:vMerge/>
          </w:tcPr>
          <w:p>
            <w:pPr/>
          </w:p>
        </w:tc>
        <w:tc>
          <w:tcPr>
            <w:tcW w:w="2160" w:type="dxa"/>
            <w:tcBorders>
              <w:top w:val="single" w:sz="6" w:space="0" w:color="000000"/>
              <w:bottom w:val="single" w:sz="6" w:space="0" w:color="000000"/>
              <w:right w:val="single" w:sz="12" w:space="0" w:color="000000"/>
            </w:tcBorders>
          </w:tcPr>
          <w:p>
            <w:pPr>
              <w:pStyle w:val="TableParagraph"/>
              <w:ind w:left="845" w:right="845"/>
              <w:rPr>
                <w:sz w:val="24"/>
              </w:rPr>
            </w:pPr>
            <w:r>
              <w:rPr>
                <w:sz w:val="24"/>
              </w:rPr>
              <w:t>92</w:t>
            </w:r>
          </w:p>
        </w:tc>
        <w:tc>
          <w:tcPr>
            <w:tcW w:w="2341" w:type="dxa"/>
            <w:vMerge/>
            <w:tcBorders>
              <w:left w:val="single" w:sz="12" w:space="0" w:color="000000"/>
            </w:tcBorders>
          </w:tcPr>
          <w:p>
            <w:pPr/>
          </w:p>
        </w:tc>
        <w:tc>
          <w:tcPr>
            <w:tcW w:w="2520" w:type="dxa"/>
            <w:vMerge/>
          </w:tcPr>
          <w:p>
            <w:pPr/>
          </w:p>
        </w:tc>
      </w:tr>
      <w:tr>
        <w:trPr>
          <w:trHeight w:val="305" w:hRule="exact"/>
        </w:trPr>
        <w:tc>
          <w:tcPr>
            <w:tcW w:w="1981" w:type="dxa"/>
            <w:vMerge/>
          </w:tcPr>
          <w:p>
            <w:pPr/>
          </w:p>
        </w:tc>
        <w:tc>
          <w:tcPr>
            <w:tcW w:w="2160" w:type="dxa"/>
            <w:tcBorders>
              <w:top w:val="single" w:sz="6" w:space="0" w:color="000000"/>
              <w:right w:val="single" w:sz="12" w:space="0" w:color="000000"/>
            </w:tcBorders>
          </w:tcPr>
          <w:p>
            <w:pPr>
              <w:pStyle w:val="TableParagraph"/>
              <w:spacing w:before="3"/>
              <w:ind w:left="845" w:right="845"/>
              <w:rPr>
                <w:sz w:val="24"/>
              </w:rPr>
            </w:pPr>
            <w:r>
              <w:rPr>
                <w:sz w:val="24"/>
              </w:rPr>
              <w:t>100</w:t>
            </w:r>
          </w:p>
        </w:tc>
        <w:tc>
          <w:tcPr>
            <w:tcW w:w="2341" w:type="dxa"/>
            <w:vMerge/>
            <w:tcBorders>
              <w:left w:val="single" w:sz="12" w:space="0" w:color="000000"/>
            </w:tcBorders>
          </w:tcPr>
          <w:p>
            <w:pPr/>
          </w:p>
        </w:tc>
        <w:tc>
          <w:tcPr>
            <w:tcW w:w="2520" w:type="dxa"/>
            <w:vMerge/>
          </w:tcPr>
          <w:p>
            <w:pPr/>
          </w:p>
        </w:tc>
      </w:tr>
      <w:tr>
        <w:trPr>
          <w:trHeight w:val="301" w:hRule="exact"/>
        </w:trPr>
        <w:tc>
          <w:tcPr>
            <w:tcW w:w="1981" w:type="dxa"/>
            <w:vMerge w:val="restart"/>
          </w:tcPr>
          <w:p>
            <w:pPr>
              <w:pStyle w:val="TableParagraph"/>
              <w:jc w:val="left"/>
              <w:rPr>
                <w:sz w:val="28"/>
              </w:rPr>
            </w:pPr>
          </w:p>
          <w:p>
            <w:pPr>
              <w:pStyle w:val="TableParagraph"/>
              <w:ind w:left="635"/>
              <w:jc w:val="left"/>
              <w:rPr>
                <w:sz w:val="24"/>
              </w:rPr>
            </w:pPr>
            <w:r>
              <w:rPr>
                <w:sz w:val="24"/>
              </w:rPr>
              <w:t>Plomo</w:t>
            </w:r>
          </w:p>
        </w:tc>
        <w:tc>
          <w:tcPr>
            <w:tcW w:w="2160" w:type="dxa"/>
            <w:tcBorders>
              <w:bottom w:val="single" w:sz="8" w:space="0" w:color="000000"/>
              <w:right w:val="single" w:sz="12" w:space="0" w:color="000000"/>
            </w:tcBorders>
          </w:tcPr>
          <w:p>
            <w:pPr>
              <w:pStyle w:val="TableParagraph"/>
              <w:spacing w:line="272" w:lineRule="exact"/>
              <w:ind w:left="845" w:right="845"/>
              <w:rPr>
                <w:sz w:val="24"/>
              </w:rPr>
            </w:pPr>
            <w:r>
              <w:rPr>
                <w:sz w:val="24"/>
              </w:rPr>
              <w:t>82</w:t>
            </w:r>
          </w:p>
        </w:tc>
        <w:tc>
          <w:tcPr>
            <w:tcW w:w="2341" w:type="dxa"/>
            <w:vMerge w:val="restart"/>
            <w:tcBorders>
              <w:left w:val="single" w:sz="12" w:space="0" w:color="000000"/>
            </w:tcBorders>
          </w:tcPr>
          <w:p>
            <w:pPr>
              <w:pStyle w:val="TableParagraph"/>
              <w:spacing w:before="4"/>
              <w:jc w:val="left"/>
              <w:rPr>
                <w:sz w:val="25"/>
              </w:rPr>
            </w:pPr>
          </w:p>
          <w:p>
            <w:pPr>
              <w:pStyle w:val="TableParagraph"/>
              <w:ind w:left="640"/>
              <w:jc w:val="left"/>
              <w:rPr>
                <w:sz w:val="24"/>
              </w:rPr>
            </w:pPr>
            <w:r>
              <w:rPr>
                <w:sz w:val="24"/>
              </w:rPr>
              <w:t>Promedio</w:t>
            </w:r>
          </w:p>
        </w:tc>
        <w:tc>
          <w:tcPr>
            <w:tcW w:w="2520" w:type="dxa"/>
            <w:vMerge w:val="restart"/>
          </w:tcPr>
          <w:p>
            <w:pPr>
              <w:pStyle w:val="TableParagraph"/>
              <w:spacing w:before="4"/>
              <w:jc w:val="left"/>
              <w:rPr>
                <w:sz w:val="25"/>
              </w:rPr>
            </w:pPr>
          </w:p>
          <w:p>
            <w:pPr>
              <w:pStyle w:val="TableParagraph"/>
              <w:ind w:left="1025" w:right="1025"/>
              <w:rPr>
                <w:sz w:val="24"/>
              </w:rPr>
            </w:pPr>
            <w:r>
              <w:rPr>
                <w:sz w:val="24"/>
              </w:rPr>
              <w:t>86</w:t>
            </w:r>
          </w:p>
        </w:tc>
      </w:tr>
      <w:tr>
        <w:trPr>
          <w:trHeight w:val="295" w:hRule="exact"/>
        </w:trPr>
        <w:tc>
          <w:tcPr>
            <w:tcW w:w="1981" w:type="dxa"/>
            <w:vMerge/>
          </w:tcPr>
          <w:p>
            <w:pPr/>
          </w:p>
        </w:tc>
        <w:tc>
          <w:tcPr>
            <w:tcW w:w="2160" w:type="dxa"/>
            <w:tcBorders>
              <w:top w:val="single" w:sz="8" w:space="0" w:color="000000"/>
              <w:bottom w:val="single" w:sz="8" w:space="0" w:color="000000"/>
              <w:right w:val="single" w:sz="12" w:space="0" w:color="000000"/>
            </w:tcBorders>
          </w:tcPr>
          <w:p>
            <w:pPr>
              <w:pStyle w:val="TableParagraph"/>
              <w:spacing w:line="272" w:lineRule="exact"/>
              <w:ind w:left="845" w:right="845"/>
              <w:rPr>
                <w:sz w:val="24"/>
              </w:rPr>
            </w:pPr>
            <w:r>
              <w:rPr>
                <w:sz w:val="24"/>
              </w:rPr>
              <w:t>93</w:t>
            </w:r>
          </w:p>
        </w:tc>
        <w:tc>
          <w:tcPr>
            <w:tcW w:w="2341" w:type="dxa"/>
            <w:vMerge/>
            <w:tcBorders>
              <w:left w:val="single" w:sz="12" w:space="0" w:color="000000"/>
            </w:tcBorders>
          </w:tcPr>
          <w:p>
            <w:pPr/>
          </w:p>
        </w:tc>
        <w:tc>
          <w:tcPr>
            <w:tcW w:w="2520" w:type="dxa"/>
            <w:vMerge/>
          </w:tcPr>
          <w:p>
            <w:pPr/>
          </w:p>
        </w:tc>
      </w:tr>
      <w:tr>
        <w:trPr>
          <w:trHeight w:val="300" w:hRule="exact"/>
        </w:trPr>
        <w:tc>
          <w:tcPr>
            <w:tcW w:w="1981" w:type="dxa"/>
            <w:vMerge/>
          </w:tcPr>
          <w:p>
            <w:pPr/>
          </w:p>
        </w:tc>
        <w:tc>
          <w:tcPr>
            <w:tcW w:w="2160" w:type="dxa"/>
            <w:tcBorders>
              <w:top w:val="single" w:sz="8" w:space="0" w:color="000000"/>
              <w:right w:val="single" w:sz="12" w:space="0" w:color="000000"/>
            </w:tcBorders>
          </w:tcPr>
          <w:p>
            <w:pPr>
              <w:pStyle w:val="TableParagraph"/>
              <w:spacing w:line="274" w:lineRule="exact"/>
              <w:ind w:left="845" w:right="845"/>
              <w:rPr>
                <w:sz w:val="24"/>
              </w:rPr>
            </w:pPr>
            <w:r>
              <w:rPr>
                <w:sz w:val="24"/>
              </w:rPr>
              <w:t>83</w:t>
            </w:r>
          </w:p>
        </w:tc>
        <w:tc>
          <w:tcPr>
            <w:tcW w:w="2341" w:type="dxa"/>
            <w:vMerge/>
            <w:tcBorders>
              <w:left w:val="single" w:sz="12" w:space="0" w:color="000000"/>
            </w:tcBorders>
          </w:tcPr>
          <w:p>
            <w:pPr/>
          </w:p>
        </w:tc>
        <w:tc>
          <w:tcPr>
            <w:tcW w:w="2520" w:type="dxa"/>
            <w:vMerge/>
          </w:tcPr>
          <w:p>
            <w:pPr/>
          </w:p>
        </w:tc>
      </w:tr>
    </w:tbl>
    <w:p>
      <w:pPr>
        <w:pStyle w:val="BodyText"/>
        <w:rPr>
          <w:sz w:val="20"/>
        </w:rPr>
      </w:pPr>
    </w:p>
    <w:p>
      <w:pPr>
        <w:pStyle w:val="BodyText"/>
        <w:spacing w:before="5"/>
        <w:rPr>
          <w:sz w:val="28"/>
        </w:rPr>
      </w:pPr>
    </w:p>
    <w:p>
      <w:pPr>
        <w:pStyle w:val="BodyText"/>
        <w:spacing w:before="70" w:after="44"/>
        <w:ind w:left="202"/>
      </w:pPr>
      <w:r>
        <w:rPr/>
        <w:t>C: 120%</w:t>
      </w:r>
    </w:p>
    <w:tbl>
      <w:tblPr>
        <w:tblW w:w="0" w:type="auto"/>
        <w:jc w:val="left"/>
        <w:tblInd w:w="106"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CellMar>
          <w:top w:w="0" w:type="dxa"/>
          <w:left w:w="0" w:type="dxa"/>
          <w:bottom w:w="0" w:type="dxa"/>
          <w:right w:w="0" w:type="dxa"/>
        </w:tblCellMar>
        <w:tblLook w:val="01E0"/>
      </w:tblPr>
      <w:tblGrid>
        <w:gridCol w:w="1981"/>
        <w:gridCol w:w="2160"/>
        <w:gridCol w:w="2341"/>
        <w:gridCol w:w="2520"/>
      </w:tblGrid>
      <w:tr>
        <w:trPr>
          <w:trHeight w:val="426" w:hRule="exact"/>
        </w:trPr>
        <w:tc>
          <w:tcPr>
            <w:tcW w:w="1981" w:type="dxa"/>
            <w:shd w:val="clear" w:color="auto" w:fill="D9D9D9"/>
          </w:tcPr>
          <w:p>
            <w:pPr>
              <w:pStyle w:val="TableParagraph"/>
              <w:spacing w:before="117"/>
              <w:ind w:left="568"/>
              <w:jc w:val="left"/>
              <w:rPr>
                <w:b/>
                <w:sz w:val="24"/>
              </w:rPr>
            </w:pPr>
            <w:r>
              <w:rPr>
                <w:b/>
                <w:sz w:val="24"/>
              </w:rPr>
              <w:t>Analito</w:t>
            </w:r>
          </w:p>
        </w:tc>
        <w:tc>
          <w:tcPr>
            <w:tcW w:w="7021" w:type="dxa"/>
            <w:gridSpan w:val="3"/>
            <w:shd w:val="clear" w:color="auto" w:fill="D9D9D9"/>
          </w:tcPr>
          <w:p>
            <w:pPr>
              <w:pStyle w:val="TableParagraph"/>
              <w:spacing w:before="117"/>
              <w:ind w:left="2849" w:right="2849"/>
              <w:rPr>
                <w:b/>
                <w:sz w:val="24"/>
              </w:rPr>
            </w:pPr>
            <w:r>
              <w:rPr>
                <w:b/>
                <w:sz w:val="24"/>
              </w:rPr>
              <w:t>% Recobro</w:t>
            </w:r>
          </w:p>
        </w:tc>
      </w:tr>
      <w:tr>
        <w:trPr>
          <w:trHeight w:val="300" w:hRule="exact"/>
        </w:trPr>
        <w:tc>
          <w:tcPr>
            <w:tcW w:w="1981" w:type="dxa"/>
            <w:vMerge w:val="restart"/>
          </w:tcPr>
          <w:p>
            <w:pPr>
              <w:pStyle w:val="TableParagraph"/>
              <w:spacing w:before="9"/>
              <w:jc w:val="left"/>
              <w:rPr>
                <w:sz w:val="28"/>
              </w:rPr>
            </w:pPr>
          </w:p>
          <w:p>
            <w:pPr>
              <w:pStyle w:val="TableParagraph"/>
              <w:ind w:left="508"/>
              <w:jc w:val="left"/>
              <w:rPr>
                <w:sz w:val="24"/>
              </w:rPr>
            </w:pPr>
            <w:r>
              <w:rPr>
                <w:sz w:val="24"/>
              </w:rPr>
              <w:t>Arsénico</w:t>
            </w:r>
          </w:p>
        </w:tc>
        <w:tc>
          <w:tcPr>
            <w:tcW w:w="2160" w:type="dxa"/>
            <w:tcBorders>
              <w:bottom w:val="single" w:sz="8" w:space="0" w:color="000000"/>
              <w:right w:val="single" w:sz="12" w:space="0" w:color="000000"/>
            </w:tcBorders>
          </w:tcPr>
          <w:p>
            <w:pPr>
              <w:pStyle w:val="TableParagraph"/>
              <w:spacing w:line="272" w:lineRule="exact"/>
              <w:ind w:left="845" w:right="845"/>
              <w:rPr>
                <w:sz w:val="24"/>
              </w:rPr>
            </w:pPr>
            <w:r>
              <w:rPr>
                <w:sz w:val="24"/>
              </w:rPr>
              <w:t>119</w:t>
            </w:r>
          </w:p>
        </w:tc>
        <w:tc>
          <w:tcPr>
            <w:tcW w:w="2341" w:type="dxa"/>
            <w:vMerge w:val="restart"/>
            <w:tcBorders>
              <w:left w:val="single" w:sz="12" w:space="0" w:color="000000"/>
            </w:tcBorders>
          </w:tcPr>
          <w:p>
            <w:pPr>
              <w:pStyle w:val="TableParagraph"/>
              <w:spacing w:before="3"/>
              <w:jc w:val="left"/>
              <w:rPr>
                <w:sz w:val="26"/>
              </w:rPr>
            </w:pPr>
          </w:p>
          <w:p>
            <w:pPr>
              <w:pStyle w:val="TableParagraph"/>
              <w:spacing w:before="1"/>
              <w:ind w:left="640"/>
              <w:jc w:val="left"/>
              <w:rPr>
                <w:sz w:val="24"/>
              </w:rPr>
            </w:pPr>
            <w:r>
              <w:rPr>
                <w:sz w:val="24"/>
              </w:rPr>
              <w:t>Promedio</w:t>
            </w:r>
          </w:p>
        </w:tc>
        <w:tc>
          <w:tcPr>
            <w:tcW w:w="2520" w:type="dxa"/>
            <w:vMerge w:val="restart"/>
          </w:tcPr>
          <w:p>
            <w:pPr>
              <w:pStyle w:val="TableParagraph"/>
              <w:spacing w:before="3"/>
              <w:jc w:val="left"/>
              <w:rPr>
                <w:sz w:val="26"/>
              </w:rPr>
            </w:pPr>
          </w:p>
          <w:p>
            <w:pPr>
              <w:pStyle w:val="TableParagraph"/>
              <w:spacing w:before="1"/>
              <w:ind w:left="1025" w:right="1025"/>
              <w:rPr>
                <w:sz w:val="24"/>
              </w:rPr>
            </w:pPr>
            <w:r>
              <w:rPr>
                <w:sz w:val="24"/>
              </w:rPr>
              <w:t>120</w:t>
            </w:r>
          </w:p>
        </w:tc>
      </w:tr>
      <w:tr>
        <w:trPr>
          <w:trHeight w:val="307" w:hRule="exact"/>
        </w:trPr>
        <w:tc>
          <w:tcPr>
            <w:tcW w:w="1981" w:type="dxa"/>
            <w:vMerge/>
          </w:tcPr>
          <w:p>
            <w:pPr/>
          </w:p>
        </w:tc>
        <w:tc>
          <w:tcPr>
            <w:tcW w:w="2160" w:type="dxa"/>
            <w:tcBorders>
              <w:top w:val="single" w:sz="8" w:space="0" w:color="000000"/>
              <w:bottom w:val="single" w:sz="8" w:space="0" w:color="000000"/>
              <w:right w:val="single" w:sz="12" w:space="0" w:color="000000"/>
            </w:tcBorders>
          </w:tcPr>
          <w:p>
            <w:pPr>
              <w:pStyle w:val="TableParagraph"/>
              <w:spacing w:before="7"/>
              <w:ind w:left="845" w:right="845"/>
              <w:rPr>
                <w:sz w:val="24"/>
              </w:rPr>
            </w:pPr>
            <w:r>
              <w:rPr>
                <w:sz w:val="24"/>
              </w:rPr>
              <w:t>116</w:t>
            </w:r>
          </w:p>
        </w:tc>
        <w:tc>
          <w:tcPr>
            <w:tcW w:w="2341" w:type="dxa"/>
            <w:vMerge/>
            <w:tcBorders>
              <w:left w:val="single" w:sz="12" w:space="0" w:color="000000"/>
            </w:tcBorders>
          </w:tcPr>
          <w:p>
            <w:pPr/>
          </w:p>
        </w:tc>
        <w:tc>
          <w:tcPr>
            <w:tcW w:w="2520" w:type="dxa"/>
            <w:vMerge/>
          </w:tcPr>
          <w:p>
            <w:pPr/>
          </w:p>
        </w:tc>
      </w:tr>
      <w:tr>
        <w:trPr>
          <w:trHeight w:val="310" w:hRule="exact"/>
        </w:trPr>
        <w:tc>
          <w:tcPr>
            <w:tcW w:w="1981" w:type="dxa"/>
            <w:vMerge/>
          </w:tcPr>
          <w:p>
            <w:pPr/>
          </w:p>
        </w:tc>
        <w:tc>
          <w:tcPr>
            <w:tcW w:w="2160" w:type="dxa"/>
            <w:tcBorders>
              <w:top w:val="single" w:sz="8" w:space="0" w:color="000000"/>
              <w:right w:val="single" w:sz="12" w:space="0" w:color="000000"/>
            </w:tcBorders>
          </w:tcPr>
          <w:p>
            <w:pPr>
              <w:pStyle w:val="TableParagraph"/>
              <w:spacing w:before="5"/>
              <w:ind w:left="845" w:right="845"/>
              <w:rPr>
                <w:sz w:val="24"/>
              </w:rPr>
            </w:pPr>
            <w:r>
              <w:rPr>
                <w:sz w:val="24"/>
              </w:rPr>
              <w:t>126</w:t>
            </w:r>
          </w:p>
        </w:tc>
        <w:tc>
          <w:tcPr>
            <w:tcW w:w="2341" w:type="dxa"/>
            <w:vMerge/>
            <w:tcBorders>
              <w:left w:val="single" w:sz="12" w:space="0" w:color="000000"/>
            </w:tcBorders>
          </w:tcPr>
          <w:p>
            <w:pPr/>
          </w:p>
        </w:tc>
        <w:tc>
          <w:tcPr>
            <w:tcW w:w="2520" w:type="dxa"/>
            <w:vMerge/>
          </w:tcPr>
          <w:p>
            <w:pPr/>
          </w:p>
        </w:tc>
      </w:tr>
      <w:tr>
        <w:trPr>
          <w:trHeight w:val="303" w:hRule="exact"/>
        </w:trPr>
        <w:tc>
          <w:tcPr>
            <w:tcW w:w="1981" w:type="dxa"/>
            <w:vMerge w:val="restart"/>
          </w:tcPr>
          <w:p>
            <w:pPr>
              <w:pStyle w:val="TableParagraph"/>
              <w:spacing w:before="1"/>
              <w:jc w:val="left"/>
              <w:rPr>
                <w:sz w:val="29"/>
              </w:rPr>
            </w:pPr>
          </w:p>
          <w:p>
            <w:pPr>
              <w:pStyle w:val="TableParagraph"/>
              <w:ind w:left="561"/>
              <w:jc w:val="left"/>
              <w:rPr>
                <w:sz w:val="24"/>
              </w:rPr>
            </w:pPr>
            <w:r>
              <w:rPr>
                <w:sz w:val="24"/>
              </w:rPr>
              <w:t>Cadmio</w:t>
            </w:r>
          </w:p>
        </w:tc>
        <w:tc>
          <w:tcPr>
            <w:tcW w:w="2160" w:type="dxa"/>
            <w:tcBorders>
              <w:bottom w:val="single" w:sz="8" w:space="0" w:color="000000"/>
              <w:right w:val="single" w:sz="12" w:space="0" w:color="000000"/>
            </w:tcBorders>
          </w:tcPr>
          <w:p>
            <w:pPr>
              <w:pStyle w:val="TableParagraph"/>
              <w:spacing w:line="274" w:lineRule="exact"/>
              <w:ind w:left="845" w:right="845"/>
              <w:rPr>
                <w:sz w:val="24"/>
              </w:rPr>
            </w:pPr>
            <w:r>
              <w:rPr>
                <w:sz w:val="24"/>
              </w:rPr>
              <w:t>95</w:t>
            </w:r>
          </w:p>
        </w:tc>
        <w:tc>
          <w:tcPr>
            <w:tcW w:w="2341" w:type="dxa"/>
            <w:vMerge w:val="restart"/>
            <w:tcBorders>
              <w:left w:val="single" w:sz="12" w:space="0" w:color="000000"/>
            </w:tcBorders>
          </w:tcPr>
          <w:p>
            <w:pPr>
              <w:pStyle w:val="TableParagraph"/>
              <w:spacing w:before="4"/>
              <w:jc w:val="left"/>
              <w:rPr>
                <w:sz w:val="26"/>
              </w:rPr>
            </w:pPr>
          </w:p>
          <w:p>
            <w:pPr>
              <w:pStyle w:val="TableParagraph"/>
              <w:ind w:left="640"/>
              <w:jc w:val="left"/>
              <w:rPr>
                <w:sz w:val="24"/>
              </w:rPr>
            </w:pPr>
            <w:r>
              <w:rPr>
                <w:sz w:val="24"/>
              </w:rPr>
              <w:t>Promedio</w:t>
            </w:r>
          </w:p>
        </w:tc>
        <w:tc>
          <w:tcPr>
            <w:tcW w:w="2520" w:type="dxa"/>
            <w:vMerge w:val="restart"/>
          </w:tcPr>
          <w:p>
            <w:pPr>
              <w:pStyle w:val="TableParagraph"/>
              <w:spacing w:before="4"/>
              <w:jc w:val="left"/>
              <w:rPr>
                <w:sz w:val="26"/>
              </w:rPr>
            </w:pPr>
          </w:p>
          <w:p>
            <w:pPr>
              <w:pStyle w:val="TableParagraph"/>
              <w:ind w:left="1025" w:right="1025"/>
              <w:rPr>
                <w:sz w:val="24"/>
              </w:rPr>
            </w:pPr>
            <w:r>
              <w:rPr>
                <w:sz w:val="24"/>
              </w:rPr>
              <w:t>93</w:t>
            </w:r>
          </w:p>
        </w:tc>
      </w:tr>
      <w:tr>
        <w:trPr>
          <w:trHeight w:val="305" w:hRule="exact"/>
        </w:trPr>
        <w:tc>
          <w:tcPr>
            <w:tcW w:w="1981" w:type="dxa"/>
            <w:vMerge/>
          </w:tcPr>
          <w:p>
            <w:pPr/>
          </w:p>
        </w:tc>
        <w:tc>
          <w:tcPr>
            <w:tcW w:w="2160" w:type="dxa"/>
            <w:tcBorders>
              <w:top w:val="single" w:sz="8" w:space="0" w:color="000000"/>
              <w:bottom w:val="single" w:sz="8" w:space="0" w:color="000000"/>
              <w:right w:val="single" w:sz="12" w:space="0" w:color="000000"/>
            </w:tcBorders>
          </w:tcPr>
          <w:p>
            <w:pPr>
              <w:pStyle w:val="TableParagraph"/>
              <w:spacing w:before="5"/>
              <w:ind w:left="845" w:right="845"/>
              <w:rPr>
                <w:sz w:val="24"/>
              </w:rPr>
            </w:pPr>
            <w:r>
              <w:rPr>
                <w:sz w:val="24"/>
              </w:rPr>
              <w:t>92</w:t>
            </w:r>
          </w:p>
        </w:tc>
        <w:tc>
          <w:tcPr>
            <w:tcW w:w="2341" w:type="dxa"/>
            <w:vMerge/>
            <w:tcBorders>
              <w:left w:val="single" w:sz="12" w:space="0" w:color="000000"/>
            </w:tcBorders>
          </w:tcPr>
          <w:p>
            <w:pPr/>
          </w:p>
        </w:tc>
        <w:tc>
          <w:tcPr>
            <w:tcW w:w="2520" w:type="dxa"/>
            <w:vMerge/>
          </w:tcPr>
          <w:p>
            <w:pPr/>
          </w:p>
        </w:tc>
      </w:tr>
      <w:tr>
        <w:trPr>
          <w:trHeight w:val="312" w:hRule="exact"/>
        </w:trPr>
        <w:tc>
          <w:tcPr>
            <w:tcW w:w="1981" w:type="dxa"/>
            <w:vMerge/>
          </w:tcPr>
          <w:p>
            <w:pPr/>
          </w:p>
        </w:tc>
        <w:tc>
          <w:tcPr>
            <w:tcW w:w="2160" w:type="dxa"/>
            <w:tcBorders>
              <w:top w:val="single" w:sz="8" w:space="0" w:color="000000"/>
              <w:right w:val="single" w:sz="12" w:space="0" w:color="000000"/>
            </w:tcBorders>
          </w:tcPr>
          <w:p>
            <w:pPr>
              <w:pStyle w:val="TableParagraph"/>
              <w:spacing w:before="7"/>
              <w:ind w:left="845" w:right="845"/>
              <w:rPr>
                <w:sz w:val="24"/>
              </w:rPr>
            </w:pPr>
            <w:r>
              <w:rPr>
                <w:sz w:val="24"/>
              </w:rPr>
              <w:t>93</w:t>
            </w:r>
          </w:p>
        </w:tc>
        <w:tc>
          <w:tcPr>
            <w:tcW w:w="2341" w:type="dxa"/>
            <w:vMerge/>
            <w:tcBorders>
              <w:left w:val="single" w:sz="12" w:space="0" w:color="000000"/>
            </w:tcBorders>
          </w:tcPr>
          <w:p>
            <w:pPr/>
          </w:p>
        </w:tc>
        <w:tc>
          <w:tcPr>
            <w:tcW w:w="2520" w:type="dxa"/>
            <w:vMerge/>
          </w:tcPr>
          <w:p>
            <w:pPr/>
          </w:p>
        </w:tc>
      </w:tr>
      <w:tr>
        <w:trPr>
          <w:trHeight w:val="298" w:hRule="exact"/>
        </w:trPr>
        <w:tc>
          <w:tcPr>
            <w:tcW w:w="1981" w:type="dxa"/>
            <w:vMerge w:val="restart"/>
          </w:tcPr>
          <w:p>
            <w:pPr>
              <w:pStyle w:val="TableParagraph"/>
              <w:jc w:val="left"/>
              <w:rPr>
                <w:sz w:val="28"/>
              </w:rPr>
            </w:pPr>
          </w:p>
          <w:p>
            <w:pPr>
              <w:pStyle w:val="TableParagraph"/>
              <w:ind w:left="508"/>
              <w:jc w:val="left"/>
              <w:rPr>
                <w:sz w:val="24"/>
              </w:rPr>
            </w:pPr>
            <w:r>
              <w:rPr>
                <w:sz w:val="24"/>
              </w:rPr>
              <w:t>Mercurio</w:t>
            </w:r>
          </w:p>
        </w:tc>
        <w:tc>
          <w:tcPr>
            <w:tcW w:w="2160" w:type="dxa"/>
            <w:tcBorders>
              <w:bottom w:val="single" w:sz="6" w:space="0" w:color="000000"/>
              <w:right w:val="single" w:sz="12" w:space="0" w:color="000000"/>
            </w:tcBorders>
          </w:tcPr>
          <w:p>
            <w:pPr>
              <w:pStyle w:val="TableParagraph"/>
              <w:spacing w:line="272" w:lineRule="exact"/>
              <w:ind w:left="845" w:right="845"/>
              <w:rPr>
                <w:sz w:val="24"/>
              </w:rPr>
            </w:pPr>
            <w:r>
              <w:rPr>
                <w:sz w:val="24"/>
              </w:rPr>
              <w:t>89</w:t>
            </w:r>
          </w:p>
        </w:tc>
        <w:tc>
          <w:tcPr>
            <w:tcW w:w="2341" w:type="dxa"/>
            <w:vMerge w:val="restart"/>
            <w:tcBorders>
              <w:left w:val="single" w:sz="12" w:space="0" w:color="000000"/>
            </w:tcBorders>
          </w:tcPr>
          <w:p>
            <w:pPr>
              <w:pStyle w:val="TableParagraph"/>
              <w:spacing w:before="5"/>
              <w:jc w:val="left"/>
              <w:rPr>
                <w:sz w:val="25"/>
              </w:rPr>
            </w:pPr>
          </w:p>
          <w:p>
            <w:pPr>
              <w:pStyle w:val="TableParagraph"/>
              <w:spacing w:before="1"/>
              <w:ind w:left="640"/>
              <w:jc w:val="left"/>
              <w:rPr>
                <w:sz w:val="24"/>
              </w:rPr>
            </w:pPr>
            <w:r>
              <w:rPr>
                <w:sz w:val="24"/>
              </w:rPr>
              <w:t>Promedio</w:t>
            </w:r>
          </w:p>
        </w:tc>
        <w:tc>
          <w:tcPr>
            <w:tcW w:w="2520" w:type="dxa"/>
            <w:vMerge w:val="restart"/>
          </w:tcPr>
          <w:p>
            <w:pPr>
              <w:pStyle w:val="TableParagraph"/>
              <w:spacing w:before="5"/>
              <w:jc w:val="left"/>
              <w:rPr>
                <w:sz w:val="25"/>
              </w:rPr>
            </w:pPr>
          </w:p>
          <w:p>
            <w:pPr>
              <w:pStyle w:val="TableParagraph"/>
              <w:spacing w:before="1"/>
              <w:ind w:left="1025" w:right="1025"/>
              <w:rPr>
                <w:sz w:val="24"/>
              </w:rPr>
            </w:pPr>
            <w:r>
              <w:rPr>
                <w:sz w:val="24"/>
              </w:rPr>
              <w:t>89</w:t>
            </w:r>
          </w:p>
        </w:tc>
      </w:tr>
      <w:tr>
        <w:trPr>
          <w:trHeight w:val="298" w:hRule="exact"/>
        </w:trPr>
        <w:tc>
          <w:tcPr>
            <w:tcW w:w="1981" w:type="dxa"/>
            <w:vMerge/>
          </w:tcPr>
          <w:p>
            <w:pPr/>
          </w:p>
        </w:tc>
        <w:tc>
          <w:tcPr>
            <w:tcW w:w="2160" w:type="dxa"/>
            <w:tcBorders>
              <w:top w:val="single" w:sz="6" w:space="0" w:color="000000"/>
              <w:bottom w:val="single" w:sz="6" w:space="0" w:color="000000"/>
              <w:right w:val="single" w:sz="12" w:space="0" w:color="000000"/>
            </w:tcBorders>
          </w:tcPr>
          <w:p>
            <w:pPr>
              <w:pStyle w:val="TableParagraph"/>
              <w:spacing w:before="3"/>
              <w:ind w:left="845" w:right="845"/>
              <w:rPr>
                <w:sz w:val="24"/>
              </w:rPr>
            </w:pPr>
            <w:r>
              <w:rPr>
                <w:sz w:val="24"/>
              </w:rPr>
              <w:t>88</w:t>
            </w:r>
          </w:p>
        </w:tc>
        <w:tc>
          <w:tcPr>
            <w:tcW w:w="2341" w:type="dxa"/>
            <w:vMerge/>
            <w:tcBorders>
              <w:left w:val="single" w:sz="12" w:space="0" w:color="000000"/>
            </w:tcBorders>
          </w:tcPr>
          <w:p>
            <w:pPr/>
          </w:p>
        </w:tc>
        <w:tc>
          <w:tcPr>
            <w:tcW w:w="2520" w:type="dxa"/>
            <w:vMerge/>
          </w:tcPr>
          <w:p>
            <w:pPr/>
          </w:p>
        </w:tc>
      </w:tr>
      <w:tr>
        <w:trPr>
          <w:trHeight w:val="302" w:hRule="exact"/>
        </w:trPr>
        <w:tc>
          <w:tcPr>
            <w:tcW w:w="1981" w:type="dxa"/>
            <w:vMerge/>
          </w:tcPr>
          <w:p>
            <w:pPr/>
          </w:p>
        </w:tc>
        <w:tc>
          <w:tcPr>
            <w:tcW w:w="2160" w:type="dxa"/>
            <w:tcBorders>
              <w:top w:val="single" w:sz="6" w:space="0" w:color="000000"/>
              <w:right w:val="single" w:sz="12" w:space="0" w:color="000000"/>
            </w:tcBorders>
          </w:tcPr>
          <w:p>
            <w:pPr>
              <w:pStyle w:val="TableParagraph"/>
              <w:ind w:left="845" w:right="845"/>
              <w:rPr>
                <w:sz w:val="24"/>
              </w:rPr>
            </w:pPr>
            <w:r>
              <w:rPr>
                <w:sz w:val="24"/>
              </w:rPr>
              <w:t>89</w:t>
            </w:r>
          </w:p>
        </w:tc>
        <w:tc>
          <w:tcPr>
            <w:tcW w:w="2341" w:type="dxa"/>
            <w:vMerge/>
            <w:tcBorders>
              <w:left w:val="single" w:sz="12" w:space="0" w:color="000000"/>
            </w:tcBorders>
          </w:tcPr>
          <w:p>
            <w:pPr/>
          </w:p>
        </w:tc>
        <w:tc>
          <w:tcPr>
            <w:tcW w:w="2520" w:type="dxa"/>
            <w:vMerge/>
          </w:tcPr>
          <w:p>
            <w:pPr/>
          </w:p>
        </w:tc>
      </w:tr>
      <w:tr>
        <w:trPr>
          <w:trHeight w:val="300" w:hRule="exact"/>
        </w:trPr>
        <w:tc>
          <w:tcPr>
            <w:tcW w:w="1981" w:type="dxa"/>
            <w:vMerge w:val="restart"/>
          </w:tcPr>
          <w:p>
            <w:pPr>
              <w:pStyle w:val="TableParagraph"/>
              <w:jc w:val="left"/>
              <w:rPr>
                <w:sz w:val="28"/>
              </w:rPr>
            </w:pPr>
          </w:p>
          <w:p>
            <w:pPr>
              <w:pStyle w:val="TableParagraph"/>
              <w:ind w:left="635"/>
              <w:jc w:val="left"/>
              <w:rPr>
                <w:sz w:val="24"/>
              </w:rPr>
            </w:pPr>
            <w:r>
              <w:rPr>
                <w:sz w:val="24"/>
              </w:rPr>
              <w:t>Plomo</w:t>
            </w:r>
          </w:p>
        </w:tc>
        <w:tc>
          <w:tcPr>
            <w:tcW w:w="2160" w:type="dxa"/>
            <w:tcBorders>
              <w:bottom w:val="single" w:sz="8" w:space="0" w:color="000000"/>
              <w:right w:val="single" w:sz="12" w:space="0" w:color="000000"/>
            </w:tcBorders>
          </w:tcPr>
          <w:p>
            <w:pPr>
              <w:pStyle w:val="TableParagraph"/>
              <w:spacing w:line="274" w:lineRule="exact"/>
              <w:ind w:left="845" w:right="845"/>
              <w:rPr>
                <w:sz w:val="24"/>
              </w:rPr>
            </w:pPr>
            <w:r>
              <w:rPr>
                <w:sz w:val="24"/>
              </w:rPr>
              <w:t>85</w:t>
            </w:r>
          </w:p>
        </w:tc>
        <w:tc>
          <w:tcPr>
            <w:tcW w:w="2341" w:type="dxa"/>
            <w:vMerge w:val="restart"/>
            <w:tcBorders>
              <w:left w:val="single" w:sz="12" w:space="0" w:color="000000"/>
            </w:tcBorders>
          </w:tcPr>
          <w:p>
            <w:pPr>
              <w:pStyle w:val="TableParagraph"/>
              <w:spacing w:before="5"/>
              <w:jc w:val="left"/>
              <w:rPr>
                <w:sz w:val="25"/>
              </w:rPr>
            </w:pPr>
          </w:p>
          <w:p>
            <w:pPr>
              <w:pStyle w:val="TableParagraph"/>
              <w:spacing w:before="1"/>
              <w:ind w:left="640"/>
              <w:jc w:val="left"/>
              <w:rPr>
                <w:sz w:val="24"/>
              </w:rPr>
            </w:pPr>
            <w:r>
              <w:rPr>
                <w:sz w:val="24"/>
              </w:rPr>
              <w:t>Promedio</w:t>
            </w:r>
          </w:p>
        </w:tc>
        <w:tc>
          <w:tcPr>
            <w:tcW w:w="2520" w:type="dxa"/>
            <w:vMerge w:val="restart"/>
          </w:tcPr>
          <w:p>
            <w:pPr>
              <w:pStyle w:val="TableParagraph"/>
              <w:spacing w:before="5"/>
              <w:jc w:val="left"/>
              <w:rPr>
                <w:sz w:val="25"/>
              </w:rPr>
            </w:pPr>
          </w:p>
          <w:p>
            <w:pPr>
              <w:pStyle w:val="TableParagraph"/>
              <w:spacing w:before="1"/>
              <w:ind w:left="1025" w:right="1025"/>
              <w:rPr>
                <w:sz w:val="24"/>
              </w:rPr>
            </w:pPr>
            <w:r>
              <w:rPr>
                <w:sz w:val="24"/>
              </w:rPr>
              <w:t>84</w:t>
            </w:r>
          </w:p>
        </w:tc>
      </w:tr>
      <w:tr>
        <w:trPr>
          <w:trHeight w:val="298" w:hRule="exact"/>
        </w:trPr>
        <w:tc>
          <w:tcPr>
            <w:tcW w:w="1981" w:type="dxa"/>
            <w:vMerge/>
          </w:tcPr>
          <w:p>
            <w:pPr/>
          </w:p>
        </w:tc>
        <w:tc>
          <w:tcPr>
            <w:tcW w:w="2160" w:type="dxa"/>
            <w:tcBorders>
              <w:top w:val="single" w:sz="8" w:space="0" w:color="000000"/>
              <w:bottom w:val="single" w:sz="8" w:space="0" w:color="000000"/>
              <w:right w:val="single" w:sz="12" w:space="0" w:color="000000"/>
            </w:tcBorders>
          </w:tcPr>
          <w:p>
            <w:pPr>
              <w:pStyle w:val="TableParagraph"/>
              <w:spacing w:line="274" w:lineRule="exact"/>
              <w:ind w:left="845" w:right="845"/>
              <w:rPr>
                <w:sz w:val="24"/>
              </w:rPr>
            </w:pPr>
            <w:r>
              <w:rPr>
                <w:sz w:val="24"/>
              </w:rPr>
              <w:t>84</w:t>
            </w:r>
          </w:p>
        </w:tc>
        <w:tc>
          <w:tcPr>
            <w:tcW w:w="2341" w:type="dxa"/>
            <w:vMerge/>
            <w:tcBorders>
              <w:left w:val="single" w:sz="12" w:space="0" w:color="000000"/>
            </w:tcBorders>
          </w:tcPr>
          <w:p>
            <w:pPr/>
          </w:p>
        </w:tc>
        <w:tc>
          <w:tcPr>
            <w:tcW w:w="2520" w:type="dxa"/>
            <w:vMerge/>
          </w:tcPr>
          <w:p>
            <w:pPr/>
          </w:p>
        </w:tc>
      </w:tr>
      <w:tr>
        <w:trPr>
          <w:trHeight w:val="300" w:hRule="exact"/>
        </w:trPr>
        <w:tc>
          <w:tcPr>
            <w:tcW w:w="1981" w:type="dxa"/>
            <w:vMerge/>
          </w:tcPr>
          <w:p>
            <w:pPr/>
          </w:p>
        </w:tc>
        <w:tc>
          <w:tcPr>
            <w:tcW w:w="2160" w:type="dxa"/>
            <w:tcBorders>
              <w:top w:val="single" w:sz="8" w:space="0" w:color="000000"/>
              <w:right w:val="single" w:sz="12" w:space="0" w:color="000000"/>
            </w:tcBorders>
          </w:tcPr>
          <w:p>
            <w:pPr>
              <w:pStyle w:val="TableParagraph"/>
              <w:spacing w:line="272" w:lineRule="exact"/>
              <w:ind w:left="845" w:right="845"/>
              <w:rPr>
                <w:sz w:val="24"/>
              </w:rPr>
            </w:pPr>
            <w:r>
              <w:rPr>
                <w:sz w:val="24"/>
              </w:rPr>
              <w:t>82</w:t>
            </w:r>
          </w:p>
        </w:tc>
        <w:tc>
          <w:tcPr>
            <w:tcW w:w="2341" w:type="dxa"/>
            <w:vMerge/>
            <w:tcBorders>
              <w:left w:val="single" w:sz="12" w:space="0" w:color="000000"/>
            </w:tcBorders>
          </w:tcPr>
          <w:p>
            <w:pPr/>
          </w:p>
        </w:tc>
        <w:tc>
          <w:tcPr>
            <w:tcW w:w="2520" w:type="dxa"/>
            <w:vMerge/>
          </w:tcPr>
          <w:p>
            <w:pPr/>
          </w:p>
        </w:tc>
      </w:tr>
    </w:tbl>
    <w:p>
      <w:pPr>
        <w:spacing w:after="0"/>
        <w:sectPr>
          <w:footerReference w:type="default" r:id="rId75"/>
          <w:pgSz w:w="12240" w:h="15840"/>
          <w:pgMar w:footer="919" w:header="0" w:top="1360" w:bottom="1100" w:left="1500" w:right="1480"/>
        </w:sectPr>
      </w:pPr>
    </w:p>
    <w:p>
      <w:pPr>
        <w:pStyle w:val="Heading1"/>
        <w:numPr>
          <w:ilvl w:val="0"/>
          <w:numId w:val="9"/>
        </w:numPr>
        <w:tabs>
          <w:tab w:pos="821" w:val="left" w:leader="none"/>
          <w:tab w:pos="822" w:val="left" w:leader="none"/>
        </w:tabs>
        <w:spacing w:line="240" w:lineRule="auto" w:before="56" w:after="0"/>
        <w:ind w:left="822" w:right="0" w:hanging="720"/>
        <w:jc w:val="left"/>
      </w:pPr>
      <w:r>
        <w:rPr/>
        <w:t>Precisión</w:t>
      </w:r>
    </w:p>
    <w:p>
      <w:pPr>
        <w:pStyle w:val="BodyText"/>
        <w:spacing w:before="1"/>
        <w:rPr>
          <w:b/>
          <w:sz w:val="31"/>
        </w:rPr>
      </w:pPr>
    </w:p>
    <w:p>
      <w:pPr>
        <w:spacing w:before="0"/>
        <w:ind w:left="821" w:right="0" w:firstLine="0"/>
        <w:jc w:val="both"/>
        <w:rPr>
          <w:b/>
          <w:sz w:val="24"/>
        </w:rPr>
      </w:pPr>
      <w:r>
        <w:rPr>
          <w:b/>
          <w:color w:val="212121"/>
          <w:sz w:val="24"/>
        </w:rPr>
        <w:t>Repetibilidad (Analista 1), Día 1, Instrumento 1</w:t>
      </w:r>
    </w:p>
    <w:p>
      <w:pPr>
        <w:pStyle w:val="BodyText"/>
        <w:spacing w:line="360" w:lineRule="auto" w:before="139"/>
        <w:ind w:left="821" w:right="118"/>
        <w:jc w:val="both"/>
      </w:pPr>
      <w:r>
        <w:rPr>
          <w:color w:val="212121"/>
        </w:rPr>
        <w:t>El analista 1 preparó y analizó 6 muestras independientes, las preparaciones fueron adicionadas con As, Cd, Hg y Pb al 100 % de la concentración como se define en el método. Se calculó el % de recobro y el</w:t>
      </w:r>
    </w:p>
    <w:p>
      <w:pPr>
        <w:pStyle w:val="BodyText"/>
        <w:spacing w:line="360" w:lineRule="auto" w:before="2"/>
        <w:ind w:left="821" w:right="120"/>
        <w:jc w:val="both"/>
      </w:pPr>
      <w:r>
        <w:rPr>
          <w:color w:val="212121"/>
        </w:rPr>
        <w:t>% DER (Desviación Estándar Relativa) de las 6 muestras que se utilizaron para la evaluación de la precisión. Los resultados se presentan en la </w:t>
      </w:r>
      <w:r>
        <w:rPr>
          <w:color w:val="212121"/>
          <w:spacing w:val="57"/>
        </w:rPr>
        <w:t> </w:t>
      </w:r>
      <w:r>
        <w:rPr>
          <w:color w:val="212121"/>
        </w:rPr>
        <w:t>Tabla</w:t>
      </w:r>
    </w:p>
    <w:p>
      <w:pPr>
        <w:pStyle w:val="BodyText"/>
        <w:spacing w:line="362" w:lineRule="auto" w:before="2"/>
        <w:ind w:left="821" w:right="116"/>
        <w:jc w:val="both"/>
      </w:pPr>
      <w:r>
        <w:rPr>
          <w:color w:val="212121"/>
        </w:rPr>
        <w:t>B.VII.1. El valor de % de DER para el recobro de As, Cd, Hg y Pb cumple con el requisito de NMT 20 %.</w:t>
      </w:r>
    </w:p>
    <w:p>
      <w:pPr>
        <w:pStyle w:val="BodyText"/>
      </w:pPr>
    </w:p>
    <w:p>
      <w:pPr>
        <w:pStyle w:val="Heading1"/>
        <w:spacing w:before="139"/>
        <w:ind w:left="821"/>
      </w:pPr>
      <w:r>
        <w:rPr>
          <w:color w:val="212121"/>
        </w:rPr>
        <w:t>Repetibilidad (Analista 2), Día 2, Instrumento 1</w:t>
      </w:r>
    </w:p>
    <w:p>
      <w:pPr>
        <w:pStyle w:val="BodyText"/>
        <w:rPr>
          <w:b/>
        </w:rPr>
      </w:pPr>
    </w:p>
    <w:p>
      <w:pPr>
        <w:pStyle w:val="BodyText"/>
        <w:rPr>
          <w:b/>
        </w:rPr>
      </w:pPr>
    </w:p>
    <w:p>
      <w:pPr>
        <w:pStyle w:val="BodyText"/>
        <w:spacing w:line="360" w:lineRule="auto"/>
        <w:ind w:left="821" w:right="119"/>
        <w:jc w:val="both"/>
      </w:pPr>
      <w:r>
        <w:rPr>
          <w:color w:val="212121"/>
        </w:rPr>
        <w:t>Con el fin de determinar la robustez del método, se realizaron pruebas en días diferentes y por diferentes analistas.</w:t>
      </w:r>
    </w:p>
    <w:p>
      <w:pPr>
        <w:pStyle w:val="BodyText"/>
      </w:pPr>
    </w:p>
    <w:p>
      <w:pPr>
        <w:pStyle w:val="BodyText"/>
        <w:spacing w:line="360" w:lineRule="auto" w:before="142"/>
        <w:ind w:left="821" w:right="116"/>
        <w:jc w:val="both"/>
      </w:pPr>
      <w:r>
        <w:rPr>
          <w:color w:val="212121"/>
        </w:rPr>
        <w:t>De acuerdo al método se prepararon seis muestras adicionadas con As,  Cd, Hg y Pb al 100 % de la concentración objetivo y se analizaron por un segundo analista en un día diferente; en ausencia de un segundo instrumento, se utilizó mismo instrumento usado en la prueba de repetibilidad. Se calculó el % de recuperación y el % DER de las 6 muestras que se utilizaron para la evaluación de la precisión. Los resultados se presentan en la Tabla B.VII.2. El % DER del recobro cumple con el requisito de NMT 20</w:t>
      </w:r>
      <w:r>
        <w:rPr>
          <w:color w:val="212121"/>
          <w:spacing w:val="-3"/>
        </w:rPr>
        <w:t> </w:t>
      </w:r>
      <w:r>
        <w:rPr>
          <w:color w:val="212121"/>
        </w:rPr>
        <w:t>%.</w:t>
      </w:r>
    </w:p>
    <w:p>
      <w:pPr>
        <w:pStyle w:val="BodyText"/>
      </w:pPr>
    </w:p>
    <w:p>
      <w:pPr>
        <w:pStyle w:val="BodyText"/>
        <w:spacing w:line="360" w:lineRule="auto" w:before="140"/>
        <w:ind w:left="821" w:right="116"/>
        <w:jc w:val="both"/>
      </w:pPr>
      <w:r>
        <w:rPr>
          <w:color w:val="212121"/>
        </w:rPr>
        <w:t>Se calculó la diferencia absoluta de la media del % de recobro de As, Cd, Hg y Pb obtenidos por los dos analistas para la evaluación de la precisión. Los datos mostrados en la Tabla B.VII.3 demuestran que diferencia absoluta cumple con el requisito de NMT 15 %, lo que demuestra que el método es</w:t>
      </w:r>
      <w:r>
        <w:rPr>
          <w:color w:val="212121"/>
          <w:spacing w:val="-4"/>
        </w:rPr>
        <w:t> </w:t>
      </w:r>
      <w:r>
        <w:rPr>
          <w:color w:val="212121"/>
        </w:rPr>
        <w:t>preciso.</w:t>
      </w:r>
    </w:p>
    <w:p>
      <w:pPr>
        <w:spacing w:after="0" w:line="360" w:lineRule="auto"/>
        <w:jc w:val="both"/>
        <w:sectPr>
          <w:footerReference w:type="default" r:id="rId76"/>
          <w:pgSz w:w="12240" w:h="15840"/>
          <w:pgMar w:footer="919" w:header="0" w:top="1360" w:bottom="1100" w:left="1600" w:right="1580"/>
          <w:pgNumType w:start="61"/>
        </w:sectPr>
      </w:pPr>
    </w:p>
    <w:p>
      <w:pPr>
        <w:pStyle w:val="Heading1"/>
        <w:spacing w:before="54"/>
        <w:ind w:left="602"/>
        <w:jc w:val="left"/>
      </w:pPr>
      <w:r>
        <w:rPr/>
        <w:t>Tabla B.VII.1. Resultados de la prueba de Repetibilidad para la clase 1</w:t>
      </w:r>
    </w:p>
    <w:p>
      <w:pPr>
        <w:pStyle w:val="BodyText"/>
        <w:spacing w:before="9"/>
        <w:rPr>
          <w:b/>
          <w:sz w:val="10"/>
        </w:rPr>
      </w:pPr>
    </w:p>
    <w:tbl>
      <w:tblPr>
        <w:tblW w:w="0" w:type="auto"/>
        <w:jc w:val="left"/>
        <w:tblInd w:w="119"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CellMar>
          <w:top w:w="0" w:type="dxa"/>
          <w:left w:w="0" w:type="dxa"/>
          <w:bottom w:w="0" w:type="dxa"/>
          <w:right w:w="0" w:type="dxa"/>
        </w:tblCellMar>
        <w:tblLook w:val="01E0"/>
      </w:tblPr>
      <w:tblGrid>
        <w:gridCol w:w="1956"/>
        <w:gridCol w:w="1954"/>
        <w:gridCol w:w="1954"/>
        <w:gridCol w:w="1957"/>
        <w:gridCol w:w="1956"/>
      </w:tblGrid>
      <w:tr>
        <w:trPr>
          <w:trHeight w:val="426" w:hRule="exact"/>
        </w:trPr>
        <w:tc>
          <w:tcPr>
            <w:tcW w:w="1956" w:type="dxa"/>
            <w:shd w:val="clear" w:color="auto" w:fill="D9D9D9"/>
          </w:tcPr>
          <w:p>
            <w:pPr/>
          </w:p>
        </w:tc>
        <w:tc>
          <w:tcPr>
            <w:tcW w:w="7821" w:type="dxa"/>
            <w:gridSpan w:val="4"/>
            <w:shd w:val="clear" w:color="auto" w:fill="D9D9D9"/>
          </w:tcPr>
          <w:p>
            <w:pPr>
              <w:pStyle w:val="TableParagraph"/>
              <w:spacing w:before="115"/>
              <w:ind w:left="3248" w:right="3248"/>
              <w:rPr>
                <w:b/>
                <w:sz w:val="24"/>
              </w:rPr>
            </w:pPr>
            <w:r>
              <w:rPr>
                <w:b/>
                <w:sz w:val="24"/>
              </w:rPr>
              <w:t>% Recobro</w:t>
            </w:r>
          </w:p>
        </w:tc>
      </w:tr>
      <w:tr>
        <w:trPr>
          <w:trHeight w:val="582" w:hRule="exact"/>
        </w:trPr>
        <w:tc>
          <w:tcPr>
            <w:tcW w:w="1956" w:type="dxa"/>
            <w:shd w:val="clear" w:color="auto" w:fill="D9D9D9"/>
          </w:tcPr>
          <w:p>
            <w:pPr>
              <w:pStyle w:val="TableParagraph"/>
              <w:ind w:left="494" w:right="320" w:hanging="161"/>
              <w:jc w:val="left"/>
              <w:rPr>
                <w:b/>
                <w:sz w:val="24"/>
              </w:rPr>
            </w:pPr>
            <w:r>
              <w:rPr>
                <w:b/>
                <w:sz w:val="24"/>
              </w:rPr>
              <w:t>Número de muestra</w:t>
            </w:r>
          </w:p>
        </w:tc>
        <w:tc>
          <w:tcPr>
            <w:tcW w:w="1954" w:type="dxa"/>
            <w:shd w:val="clear" w:color="auto" w:fill="D9D9D9"/>
          </w:tcPr>
          <w:p>
            <w:pPr>
              <w:pStyle w:val="TableParagraph"/>
              <w:spacing w:before="193"/>
              <w:ind w:left="229" w:right="229"/>
              <w:rPr>
                <w:b/>
                <w:sz w:val="24"/>
              </w:rPr>
            </w:pPr>
            <w:r>
              <w:rPr>
                <w:b/>
                <w:sz w:val="24"/>
              </w:rPr>
              <w:t>Arsénico</w:t>
            </w:r>
          </w:p>
        </w:tc>
        <w:tc>
          <w:tcPr>
            <w:tcW w:w="1954" w:type="dxa"/>
            <w:shd w:val="clear" w:color="auto" w:fill="D9D9D9"/>
          </w:tcPr>
          <w:p>
            <w:pPr>
              <w:pStyle w:val="TableParagraph"/>
              <w:spacing w:before="193"/>
              <w:ind w:left="422" w:right="422"/>
              <w:rPr>
                <w:b/>
                <w:sz w:val="24"/>
              </w:rPr>
            </w:pPr>
            <w:r>
              <w:rPr>
                <w:b/>
                <w:sz w:val="24"/>
              </w:rPr>
              <w:t>Cadmio</w:t>
            </w:r>
          </w:p>
        </w:tc>
        <w:tc>
          <w:tcPr>
            <w:tcW w:w="1957" w:type="dxa"/>
            <w:shd w:val="clear" w:color="auto" w:fill="D9D9D9"/>
          </w:tcPr>
          <w:p>
            <w:pPr>
              <w:pStyle w:val="TableParagraph"/>
              <w:spacing w:before="193"/>
              <w:ind w:left="437" w:right="437"/>
              <w:rPr>
                <w:b/>
                <w:sz w:val="24"/>
              </w:rPr>
            </w:pPr>
            <w:r>
              <w:rPr>
                <w:b/>
                <w:sz w:val="24"/>
              </w:rPr>
              <w:t>Mercurio</w:t>
            </w:r>
          </w:p>
        </w:tc>
        <w:tc>
          <w:tcPr>
            <w:tcW w:w="1956" w:type="dxa"/>
            <w:shd w:val="clear" w:color="auto" w:fill="D9D9D9"/>
          </w:tcPr>
          <w:p>
            <w:pPr>
              <w:pStyle w:val="TableParagraph"/>
              <w:spacing w:before="193"/>
              <w:ind w:right="596"/>
              <w:jc w:val="right"/>
              <w:rPr>
                <w:b/>
                <w:sz w:val="24"/>
              </w:rPr>
            </w:pPr>
            <w:r>
              <w:rPr>
                <w:b/>
                <w:sz w:val="24"/>
              </w:rPr>
              <w:t>Plomo</w:t>
            </w:r>
          </w:p>
        </w:tc>
      </w:tr>
      <w:tr>
        <w:trPr>
          <w:trHeight w:val="360" w:hRule="exact"/>
        </w:trPr>
        <w:tc>
          <w:tcPr>
            <w:tcW w:w="1956" w:type="dxa"/>
            <w:tcBorders>
              <w:bottom w:val="single" w:sz="8" w:space="0" w:color="000000"/>
            </w:tcBorders>
          </w:tcPr>
          <w:p>
            <w:pPr>
              <w:pStyle w:val="TableParagraph"/>
              <w:spacing w:before="55"/>
              <w:ind w:right="1"/>
              <w:rPr>
                <w:sz w:val="24"/>
              </w:rPr>
            </w:pPr>
            <w:r>
              <w:rPr>
                <w:w w:val="99"/>
                <w:sz w:val="24"/>
              </w:rPr>
              <w:t>1</w:t>
            </w:r>
          </w:p>
        </w:tc>
        <w:tc>
          <w:tcPr>
            <w:tcW w:w="1954" w:type="dxa"/>
            <w:tcBorders>
              <w:bottom w:val="single" w:sz="8" w:space="0" w:color="000000"/>
            </w:tcBorders>
          </w:tcPr>
          <w:p>
            <w:pPr>
              <w:pStyle w:val="TableParagraph"/>
              <w:spacing w:before="27"/>
              <w:ind w:left="229" w:right="228"/>
              <w:rPr>
                <w:sz w:val="24"/>
              </w:rPr>
            </w:pPr>
            <w:r>
              <w:rPr>
                <w:sz w:val="24"/>
              </w:rPr>
              <w:t>121.55</w:t>
            </w:r>
          </w:p>
        </w:tc>
        <w:tc>
          <w:tcPr>
            <w:tcW w:w="1954" w:type="dxa"/>
            <w:tcBorders>
              <w:bottom w:val="single" w:sz="8" w:space="0" w:color="000000"/>
            </w:tcBorders>
          </w:tcPr>
          <w:p>
            <w:pPr>
              <w:pStyle w:val="TableParagraph"/>
              <w:spacing w:before="27"/>
              <w:ind w:left="422" w:right="421"/>
              <w:rPr>
                <w:sz w:val="24"/>
              </w:rPr>
            </w:pPr>
            <w:r>
              <w:rPr>
                <w:sz w:val="24"/>
              </w:rPr>
              <w:t>95.64</w:t>
            </w:r>
          </w:p>
        </w:tc>
        <w:tc>
          <w:tcPr>
            <w:tcW w:w="1957" w:type="dxa"/>
            <w:tcBorders>
              <w:bottom w:val="single" w:sz="8" w:space="0" w:color="000000"/>
            </w:tcBorders>
          </w:tcPr>
          <w:p>
            <w:pPr>
              <w:pStyle w:val="TableParagraph"/>
              <w:spacing w:before="27"/>
              <w:ind w:left="437" w:right="437"/>
              <w:rPr>
                <w:sz w:val="24"/>
              </w:rPr>
            </w:pPr>
            <w:r>
              <w:rPr>
                <w:sz w:val="24"/>
              </w:rPr>
              <w:t>100.11</w:t>
            </w:r>
          </w:p>
        </w:tc>
        <w:tc>
          <w:tcPr>
            <w:tcW w:w="1956" w:type="dxa"/>
            <w:tcBorders>
              <w:bottom w:val="single" w:sz="8" w:space="0" w:color="000000"/>
            </w:tcBorders>
          </w:tcPr>
          <w:p>
            <w:pPr>
              <w:pStyle w:val="TableParagraph"/>
              <w:spacing w:before="27"/>
              <w:ind w:right="662"/>
              <w:jc w:val="right"/>
              <w:rPr>
                <w:sz w:val="24"/>
              </w:rPr>
            </w:pPr>
            <w:r>
              <w:rPr>
                <w:sz w:val="24"/>
              </w:rPr>
              <w:t>82.24</w:t>
            </w:r>
          </w:p>
        </w:tc>
      </w:tr>
      <w:tr>
        <w:trPr>
          <w:trHeight w:val="358" w:hRule="exact"/>
        </w:trPr>
        <w:tc>
          <w:tcPr>
            <w:tcW w:w="1956" w:type="dxa"/>
            <w:tcBorders>
              <w:top w:val="single" w:sz="8" w:space="0" w:color="000000"/>
              <w:bottom w:val="single" w:sz="8" w:space="0" w:color="000000"/>
            </w:tcBorders>
          </w:tcPr>
          <w:p>
            <w:pPr>
              <w:pStyle w:val="TableParagraph"/>
              <w:spacing w:before="58"/>
              <w:ind w:right="1"/>
              <w:rPr>
                <w:sz w:val="24"/>
              </w:rPr>
            </w:pPr>
            <w:r>
              <w:rPr>
                <w:w w:val="99"/>
                <w:sz w:val="24"/>
              </w:rPr>
              <w:t>2</w:t>
            </w:r>
          </w:p>
        </w:tc>
        <w:tc>
          <w:tcPr>
            <w:tcW w:w="1954" w:type="dxa"/>
            <w:tcBorders>
              <w:top w:val="single" w:sz="8" w:space="0" w:color="000000"/>
              <w:bottom w:val="single" w:sz="8" w:space="0" w:color="000000"/>
            </w:tcBorders>
          </w:tcPr>
          <w:p>
            <w:pPr>
              <w:pStyle w:val="TableParagraph"/>
              <w:spacing w:before="27"/>
              <w:ind w:left="229" w:right="228"/>
              <w:rPr>
                <w:sz w:val="24"/>
              </w:rPr>
            </w:pPr>
            <w:r>
              <w:rPr>
                <w:sz w:val="24"/>
              </w:rPr>
              <w:t>120.38</w:t>
            </w:r>
          </w:p>
        </w:tc>
        <w:tc>
          <w:tcPr>
            <w:tcW w:w="1954" w:type="dxa"/>
            <w:tcBorders>
              <w:top w:val="single" w:sz="8" w:space="0" w:color="000000"/>
              <w:bottom w:val="single" w:sz="8" w:space="0" w:color="000000"/>
            </w:tcBorders>
          </w:tcPr>
          <w:p>
            <w:pPr>
              <w:pStyle w:val="TableParagraph"/>
              <w:spacing w:before="27"/>
              <w:ind w:left="422" w:right="421"/>
              <w:rPr>
                <w:sz w:val="24"/>
              </w:rPr>
            </w:pPr>
            <w:r>
              <w:rPr>
                <w:sz w:val="24"/>
              </w:rPr>
              <w:t>98.91</w:t>
            </w:r>
          </w:p>
        </w:tc>
        <w:tc>
          <w:tcPr>
            <w:tcW w:w="1957" w:type="dxa"/>
            <w:tcBorders>
              <w:top w:val="single" w:sz="8" w:space="0" w:color="000000"/>
              <w:bottom w:val="single" w:sz="8" w:space="0" w:color="000000"/>
            </w:tcBorders>
          </w:tcPr>
          <w:p>
            <w:pPr>
              <w:pStyle w:val="TableParagraph"/>
              <w:spacing w:before="27"/>
              <w:ind w:left="437" w:right="437"/>
              <w:rPr>
                <w:sz w:val="24"/>
              </w:rPr>
            </w:pPr>
            <w:r>
              <w:rPr>
                <w:sz w:val="24"/>
              </w:rPr>
              <w:t>92.04</w:t>
            </w:r>
          </w:p>
        </w:tc>
        <w:tc>
          <w:tcPr>
            <w:tcW w:w="1956" w:type="dxa"/>
            <w:tcBorders>
              <w:top w:val="single" w:sz="8" w:space="0" w:color="000000"/>
              <w:bottom w:val="single" w:sz="8" w:space="0" w:color="000000"/>
            </w:tcBorders>
          </w:tcPr>
          <w:p>
            <w:pPr>
              <w:pStyle w:val="TableParagraph"/>
              <w:spacing w:before="27"/>
              <w:ind w:right="662"/>
              <w:jc w:val="right"/>
              <w:rPr>
                <w:sz w:val="24"/>
              </w:rPr>
            </w:pPr>
            <w:r>
              <w:rPr>
                <w:sz w:val="24"/>
              </w:rPr>
              <w:t>93.27</w:t>
            </w:r>
          </w:p>
        </w:tc>
      </w:tr>
      <w:tr>
        <w:trPr>
          <w:trHeight w:val="355" w:hRule="exact"/>
        </w:trPr>
        <w:tc>
          <w:tcPr>
            <w:tcW w:w="1956" w:type="dxa"/>
            <w:tcBorders>
              <w:top w:val="single" w:sz="8" w:space="0" w:color="000000"/>
              <w:bottom w:val="single" w:sz="8" w:space="0" w:color="000000"/>
            </w:tcBorders>
          </w:tcPr>
          <w:p>
            <w:pPr>
              <w:pStyle w:val="TableParagraph"/>
              <w:spacing w:before="55"/>
              <w:ind w:right="1"/>
              <w:rPr>
                <w:sz w:val="24"/>
              </w:rPr>
            </w:pPr>
            <w:r>
              <w:rPr>
                <w:w w:val="99"/>
                <w:sz w:val="24"/>
              </w:rPr>
              <w:t>3</w:t>
            </w:r>
          </w:p>
        </w:tc>
        <w:tc>
          <w:tcPr>
            <w:tcW w:w="1954" w:type="dxa"/>
            <w:tcBorders>
              <w:top w:val="single" w:sz="8" w:space="0" w:color="000000"/>
              <w:bottom w:val="single" w:sz="8" w:space="0" w:color="000000"/>
            </w:tcBorders>
          </w:tcPr>
          <w:p>
            <w:pPr>
              <w:pStyle w:val="TableParagraph"/>
              <w:spacing w:before="24"/>
              <w:ind w:left="229" w:right="228"/>
              <w:rPr>
                <w:sz w:val="24"/>
              </w:rPr>
            </w:pPr>
            <w:r>
              <w:rPr>
                <w:sz w:val="24"/>
              </w:rPr>
              <w:t>120.11</w:t>
            </w:r>
          </w:p>
        </w:tc>
        <w:tc>
          <w:tcPr>
            <w:tcW w:w="1954" w:type="dxa"/>
            <w:tcBorders>
              <w:top w:val="single" w:sz="8" w:space="0" w:color="000000"/>
              <w:bottom w:val="single" w:sz="8" w:space="0" w:color="000000"/>
            </w:tcBorders>
          </w:tcPr>
          <w:p>
            <w:pPr>
              <w:pStyle w:val="TableParagraph"/>
              <w:spacing w:before="24"/>
              <w:ind w:left="422" w:right="421"/>
              <w:rPr>
                <w:sz w:val="24"/>
              </w:rPr>
            </w:pPr>
            <w:r>
              <w:rPr>
                <w:sz w:val="24"/>
              </w:rPr>
              <w:t>96.20</w:t>
            </w:r>
          </w:p>
        </w:tc>
        <w:tc>
          <w:tcPr>
            <w:tcW w:w="1957" w:type="dxa"/>
            <w:tcBorders>
              <w:top w:val="single" w:sz="8" w:space="0" w:color="000000"/>
              <w:bottom w:val="single" w:sz="8" w:space="0" w:color="000000"/>
            </w:tcBorders>
          </w:tcPr>
          <w:p>
            <w:pPr>
              <w:pStyle w:val="TableParagraph"/>
              <w:spacing w:before="24"/>
              <w:ind w:left="437" w:right="437"/>
              <w:rPr>
                <w:sz w:val="24"/>
              </w:rPr>
            </w:pPr>
            <w:r>
              <w:rPr>
                <w:sz w:val="24"/>
              </w:rPr>
              <w:t>100.41</w:t>
            </w:r>
          </w:p>
        </w:tc>
        <w:tc>
          <w:tcPr>
            <w:tcW w:w="1956" w:type="dxa"/>
            <w:tcBorders>
              <w:top w:val="single" w:sz="8" w:space="0" w:color="000000"/>
              <w:bottom w:val="single" w:sz="8" w:space="0" w:color="000000"/>
            </w:tcBorders>
          </w:tcPr>
          <w:p>
            <w:pPr>
              <w:pStyle w:val="TableParagraph"/>
              <w:spacing w:before="24"/>
              <w:ind w:right="662"/>
              <w:jc w:val="right"/>
              <w:rPr>
                <w:sz w:val="24"/>
              </w:rPr>
            </w:pPr>
            <w:r>
              <w:rPr>
                <w:sz w:val="24"/>
              </w:rPr>
              <w:t>83.38</w:t>
            </w:r>
          </w:p>
        </w:tc>
      </w:tr>
      <w:tr>
        <w:trPr>
          <w:trHeight w:val="355" w:hRule="exact"/>
        </w:trPr>
        <w:tc>
          <w:tcPr>
            <w:tcW w:w="1956" w:type="dxa"/>
            <w:tcBorders>
              <w:top w:val="single" w:sz="8" w:space="0" w:color="000000"/>
              <w:bottom w:val="single" w:sz="8" w:space="0" w:color="000000"/>
            </w:tcBorders>
          </w:tcPr>
          <w:p>
            <w:pPr>
              <w:pStyle w:val="TableParagraph"/>
              <w:spacing w:before="55"/>
              <w:ind w:right="1"/>
              <w:rPr>
                <w:sz w:val="24"/>
              </w:rPr>
            </w:pPr>
            <w:r>
              <w:rPr>
                <w:w w:val="99"/>
                <w:sz w:val="24"/>
              </w:rPr>
              <w:t>4</w:t>
            </w:r>
          </w:p>
        </w:tc>
        <w:tc>
          <w:tcPr>
            <w:tcW w:w="1954" w:type="dxa"/>
            <w:tcBorders>
              <w:top w:val="single" w:sz="8" w:space="0" w:color="000000"/>
              <w:bottom w:val="single" w:sz="8" w:space="0" w:color="000000"/>
            </w:tcBorders>
          </w:tcPr>
          <w:p>
            <w:pPr>
              <w:pStyle w:val="TableParagraph"/>
              <w:spacing w:before="27"/>
              <w:ind w:left="229" w:right="228"/>
              <w:rPr>
                <w:sz w:val="24"/>
              </w:rPr>
            </w:pPr>
            <w:r>
              <w:rPr>
                <w:sz w:val="24"/>
              </w:rPr>
              <w:t>119.96</w:t>
            </w:r>
          </w:p>
        </w:tc>
        <w:tc>
          <w:tcPr>
            <w:tcW w:w="1954" w:type="dxa"/>
            <w:tcBorders>
              <w:top w:val="single" w:sz="8" w:space="0" w:color="000000"/>
              <w:bottom w:val="single" w:sz="8" w:space="0" w:color="000000"/>
            </w:tcBorders>
          </w:tcPr>
          <w:p>
            <w:pPr>
              <w:pStyle w:val="TableParagraph"/>
              <w:spacing w:before="27"/>
              <w:ind w:left="422" w:right="421"/>
              <w:rPr>
                <w:sz w:val="24"/>
              </w:rPr>
            </w:pPr>
            <w:r>
              <w:rPr>
                <w:sz w:val="24"/>
              </w:rPr>
              <w:t>98.46</w:t>
            </w:r>
          </w:p>
        </w:tc>
        <w:tc>
          <w:tcPr>
            <w:tcW w:w="1957" w:type="dxa"/>
            <w:tcBorders>
              <w:top w:val="single" w:sz="8" w:space="0" w:color="000000"/>
              <w:bottom w:val="single" w:sz="8" w:space="0" w:color="000000"/>
            </w:tcBorders>
          </w:tcPr>
          <w:p>
            <w:pPr>
              <w:pStyle w:val="TableParagraph"/>
              <w:spacing w:before="27"/>
              <w:ind w:left="437" w:right="437"/>
              <w:rPr>
                <w:sz w:val="24"/>
              </w:rPr>
            </w:pPr>
            <w:r>
              <w:rPr>
                <w:sz w:val="24"/>
              </w:rPr>
              <w:t>92.30</w:t>
            </w:r>
          </w:p>
        </w:tc>
        <w:tc>
          <w:tcPr>
            <w:tcW w:w="1956" w:type="dxa"/>
            <w:tcBorders>
              <w:top w:val="single" w:sz="8" w:space="0" w:color="000000"/>
              <w:bottom w:val="single" w:sz="8" w:space="0" w:color="000000"/>
            </w:tcBorders>
          </w:tcPr>
          <w:p>
            <w:pPr>
              <w:pStyle w:val="TableParagraph"/>
              <w:spacing w:before="27"/>
              <w:ind w:right="662"/>
              <w:jc w:val="right"/>
              <w:rPr>
                <w:sz w:val="24"/>
              </w:rPr>
            </w:pPr>
            <w:r>
              <w:rPr>
                <w:sz w:val="24"/>
              </w:rPr>
              <w:t>82.67</w:t>
            </w:r>
          </w:p>
        </w:tc>
      </w:tr>
      <w:tr>
        <w:trPr>
          <w:trHeight w:val="358" w:hRule="exact"/>
        </w:trPr>
        <w:tc>
          <w:tcPr>
            <w:tcW w:w="1956" w:type="dxa"/>
            <w:tcBorders>
              <w:top w:val="single" w:sz="8" w:space="0" w:color="000000"/>
              <w:bottom w:val="single" w:sz="8" w:space="0" w:color="000000"/>
            </w:tcBorders>
          </w:tcPr>
          <w:p>
            <w:pPr>
              <w:pStyle w:val="TableParagraph"/>
              <w:spacing w:before="58"/>
              <w:ind w:right="1"/>
              <w:rPr>
                <w:sz w:val="24"/>
              </w:rPr>
            </w:pPr>
            <w:r>
              <w:rPr>
                <w:w w:val="99"/>
                <w:sz w:val="24"/>
              </w:rPr>
              <w:t>5</w:t>
            </w:r>
          </w:p>
        </w:tc>
        <w:tc>
          <w:tcPr>
            <w:tcW w:w="1954" w:type="dxa"/>
            <w:tcBorders>
              <w:top w:val="single" w:sz="8" w:space="0" w:color="000000"/>
              <w:bottom w:val="single" w:sz="8" w:space="0" w:color="000000"/>
            </w:tcBorders>
          </w:tcPr>
          <w:p>
            <w:pPr>
              <w:pStyle w:val="TableParagraph"/>
              <w:spacing w:before="27"/>
              <w:ind w:left="229" w:right="228"/>
              <w:rPr>
                <w:sz w:val="24"/>
              </w:rPr>
            </w:pPr>
            <w:r>
              <w:rPr>
                <w:sz w:val="24"/>
              </w:rPr>
              <w:t>120.96</w:t>
            </w:r>
          </w:p>
        </w:tc>
        <w:tc>
          <w:tcPr>
            <w:tcW w:w="1954" w:type="dxa"/>
            <w:tcBorders>
              <w:top w:val="single" w:sz="8" w:space="0" w:color="000000"/>
              <w:bottom w:val="single" w:sz="8" w:space="0" w:color="000000"/>
            </w:tcBorders>
          </w:tcPr>
          <w:p>
            <w:pPr>
              <w:pStyle w:val="TableParagraph"/>
              <w:spacing w:before="27"/>
              <w:ind w:left="422" w:right="421"/>
              <w:rPr>
                <w:sz w:val="24"/>
              </w:rPr>
            </w:pPr>
            <w:r>
              <w:rPr>
                <w:sz w:val="24"/>
              </w:rPr>
              <w:t>97.95</w:t>
            </w:r>
          </w:p>
        </w:tc>
        <w:tc>
          <w:tcPr>
            <w:tcW w:w="1957" w:type="dxa"/>
            <w:tcBorders>
              <w:top w:val="single" w:sz="8" w:space="0" w:color="000000"/>
              <w:bottom w:val="single" w:sz="8" w:space="0" w:color="000000"/>
            </w:tcBorders>
          </w:tcPr>
          <w:p>
            <w:pPr>
              <w:pStyle w:val="TableParagraph"/>
              <w:spacing w:before="27"/>
              <w:ind w:left="437" w:right="437"/>
              <w:rPr>
                <w:sz w:val="24"/>
              </w:rPr>
            </w:pPr>
            <w:r>
              <w:rPr>
                <w:sz w:val="24"/>
              </w:rPr>
              <w:t>101.06</w:t>
            </w:r>
          </w:p>
        </w:tc>
        <w:tc>
          <w:tcPr>
            <w:tcW w:w="1956" w:type="dxa"/>
            <w:tcBorders>
              <w:top w:val="single" w:sz="8" w:space="0" w:color="000000"/>
              <w:bottom w:val="single" w:sz="8" w:space="0" w:color="000000"/>
            </w:tcBorders>
          </w:tcPr>
          <w:p>
            <w:pPr>
              <w:pStyle w:val="TableParagraph"/>
              <w:spacing w:before="27"/>
              <w:ind w:right="662"/>
              <w:jc w:val="right"/>
              <w:rPr>
                <w:sz w:val="24"/>
              </w:rPr>
            </w:pPr>
            <w:r>
              <w:rPr>
                <w:sz w:val="24"/>
              </w:rPr>
              <w:t>85.70</w:t>
            </w:r>
          </w:p>
        </w:tc>
      </w:tr>
      <w:tr>
        <w:trPr>
          <w:trHeight w:val="360" w:hRule="exact"/>
        </w:trPr>
        <w:tc>
          <w:tcPr>
            <w:tcW w:w="1956" w:type="dxa"/>
            <w:tcBorders>
              <w:top w:val="single" w:sz="8" w:space="0" w:color="000000"/>
            </w:tcBorders>
          </w:tcPr>
          <w:p>
            <w:pPr>
              <w:pStyle w:val="TableParagraph"/>
              <w:spacing w:before="55"/>
              <w:ind w:right="1"/>
              <w:rPr>
                <w:sz w:val="24"/>
              </w:rPr>
            </w:pPr>
            <w:r>
              <w:rPr>
                <w:w w:val="99"/>
                <w:sz w:val="24"/>
              </w:rPr>
              <w:t>6</w:t>
            </w:r>
          </w:p>
        </w:tc>
        <w:tc>
          <w:tcPr>
            <w:tcW w:w="1954" w:type="dxa"/>
            <w:tcBorders>
              <w:top w:val="single" w:sz="8" w:space="0" w:color="000000"/>
            </w:tcBorders>
          </w:tcPr>
          <w:p>
            <w:pPr>
              <w:pStyle w:val="TableParagraph"/>
              <w:spacing w:before="24"/>
              <w:ind w:left="229" w:right="228"/>
              <w:rPr>
                <w:sz w:val="24"/>
              </w:rPr>
            </w:pPr>
            <w:r>
              <w:rPr>
                <w:sz w:val="24"/>
              </w:rPr>
              <w:t>122.98</w:t>
            </w:r>
          </w:p>
        </w:tc>
        <w:tc>
          <w:tcPr>
            <w:tcW w:w="1954" w:type="dxa"/>
            <w:tcBorders>
              <w:top w:val="single" w:sz="8" w:space="0" w:color="000000"/>
            </w:tcBorders>
          </w:tcPr>
          <w:p>
            <w:pPr>
              <w:pStyle w:val="TableParagraph"/>
              <w:spacing w:before="24"/>
              <w:ind w:left="422" w:right="421"/>
              <w:rPr>
                <w:sz w:val="24"/>
              </w:rPr>
            </w:pPr>
            <w:r>
              <w:rPr>
                <w:sz w:val="24"/>
              </w:rPr>
              <w:t>97.73</w:t>
            </w:r>
          </w:p>
        </w:tc>
        <w:tc>
          <w:tcPr>
            <w:tcW w:w="1957" w:type="dxa"/>
            <w:tcBorders>
              <w:top w:val="single" w:sz="8" w:space="0" w:color="000000"/>
            </w:tcBorders>
          </w:tcPr>
          <w:p>
            <w:pPr>
              <w:pStyle w:val="TableParagraph"/>
              <w:spacing w:before="24"/>
              <w:ind w:left="437" w:right="437"/>
              <w:rPr>
                <w:sz w:val="24"/>
              </w:rPr>
            </w:pPr>
            <w:r>
              <w:rPr>
                <w:sz w:val="24"/>
              </w:rPr>
              <w:t>90.74</w:t>
            </w:r>
          </w:p>
        </w:tc>
        <w:tc>
          <w:tcPr>
            <w:tcW w:w="1956" w:type="dxa"/>
            <w:tcBorders>
              <w:top w:val="single" w:sz="8" w:space="0" w:color="000000"/>
            </w:tcBorders>
          </w:tcPr>
          <w:p>
            <w:pPr>
              <w:pStyle w:val="TableParagraph"/>
              <w:spacing w:before="24"/>
              <w:ind w:right="662"/>
              <w:jc w:val="right"/>
              <w:rPr>
                <w:sz w:val="24"/>
              </w:rPr>
            </w:pPr>
            <w:r>
              <w:rPr>
                <w:sz w:val="24"/>
              </w:rPr>
              <w:t>83.05</w:t>
            </w:r>
          </w:p>
        </w:tc>
      </w:tr>
      <w:tr>
        <w:trPr>
          <w:trHeight w:val="299" w:hRule="exact"/>
        </w:trPr>
        <w:tc>
          <w:tcPr>
            <w:tcW w:w="1956" w:type="dxa"/>
            <w:tcBorders>
              <w:bottom w:val="nil"/>
            </w:tcBorders>
          </w:tcPr>
          <w:p>
            <w:pPr>
              <w:pStyle w:val="TableParagraph"/>
              <w:spacing w:line="272" w:lineRule="exact"/>
              <w:ind w:left="422" w:right="423"/>
              <w:rPr>
                <w:sz w:val="24"/>
              </w:rPr>
            </w:pPr>
            <w:r>
              <w:rPr>
                <w:sz w:val="24"/>
              </w:rPr>
              <w:t>Promedio</w:t>
            </w:r>
          </w:p>
        </w:tc>
        <w:tc>
          <w:tcPr>
            <w:tcW w:w="1954" w:type="dxa"/>
            <w:tcBorders>
              <w:bottom w:val="nil"/>
            </w:tcBorders>
          </w:tcPr>
          <w:p>
            <w:pPr>
              <w:pStyle w:val="TableParagraph"/>
              <w:spacing w:line="272" w:lineRule="exact"/>
              <w:ind w:left="229" w:right="228"/>
              <w:rPr>
                <w:sz w:val="24"/>
              </w:rPr>
            </w:pPr>
            <w:r>
              <w:rPr>
                <w:sz w:val="24"/>
              </w:rPr>
              <w:t>120.99</w:t>
            </w:r>
          </w:p>
        </w:tc>
        <w:tc>
          <w:tcPr>
            <w:tcW w:w="1954" w:type="dxa"/>
            <w:tcBorders>
              <w:bottom w:val="nil"/>
            </w:tcBorders>
          </w:tcPr>
          <w:p>
            <w:pPr>
              <w:pStyle w:val="TableParagraph"/>
              <w:spacing w:line="272" w:lineRule="exact"/>
              <w:ind w:left="422" w:right="421"/>
              <w:rPr>
                <w:sz w:val="24"/>
              </w:rPr>
            </w:pPr>
            <w:r>
              <w:rPr>
                <w:sz w:val="24"/>
              </w:rPr>
              <w:t>97.48</w:t>
            </w:r>
          </w:p>
        </w:tc>
        <w:tc>
          <w:tcPr>
            <w:tcW w:w="1957" w:type="dxa"/>
            <w:tcBorders>
              <w:bottom w:val="nil"/>
            </w:tcBorders>
          </w:tcPr>
          <w:p>
            <w:pPr>
              <w:pStyle w:val="TableParagraph"/>
              <w:spacing w:line="272" w:lineRule="exact"/>
              <w:ind w:left="437" w:right="437"/>
              <w:rPr>
                <w:sz w:val="24"/>
              </w:rPr>
            </w:pPr>
            <w:r>
              <w:rPr>
                <w:sz w:val="24"/>
              </w:rPr>
              <w:t>96.11</w:t>
            </w:r>
          </w:p>
        </w:tc>
        <w:tc>
          <w:tcPr>
            <w:tcW w:w="1956" w:type="dxa"/>
            <w:tcBorders>
              <w:bottom w:val="nil"/>
            </w:tcBorders>
          </w:tcPr>
          <w:p>
            <w:pPr>
              <w:pStyle w:val="TableParagraph"/>
              <w:spacing w:line="272" w:lineRule="exact"/>
              <w:ind w:right="662"/>
              <w:jc w:val="right"/>
              <w:rPr>
                <w:sz w:val="24"/>
              </w:rPr>
            </w:pPr>
            <w:r>
              <w:rPr>
                <w:sz w:val="24"/>
              </w:rPr>
              <w:t>85.05</w:t>
            </w:r>
          </w:p>
        </w:tc>
      </w:tr>
      <w:tr>
        <w:trPr>
          <w:trHeight w:val="276" w:hRule="exact"/>
        </w:trPr>
        <w:tc>
          <w:tcPr>
            <w:tcW w:w="1956" w:type="dxa"/>
            <w:tcBorders>
              <w:top w:val="nil"/>
              <w:bottom w:val="nil"/>
            </w:tcBorders>
          </w:tcPr>
          <w:p>
            <w:pPr>
              <w:pStyle w:val="TableParagraph"/>
              <w:spacing w:line="263" w:lineRule="exact"/>
              <w:ind w:left="423" w:right="423"/>
              <w:rPr>
                <w:sz w:val="24"/>
              </w:rPr>
            </w:pPr>
            <w:r>
              <w:rPr>
                <w:sz w:val="24"/>
              </w:rPr>
              <w:t>Desv Std.</w:t>
            </w:r>
          </w:p>
        </w:tc>
        <w:tc>
          <w:tcPr>
            <w:tcW w:w="1954" w:type="dxa"/>
            <w:tcBorders>
              <w:top w:val="nil"/>
              <w:bottom w:val="nil"/>
            </w:tcBorders>
          </w:tcPr>
          <w:p>
            <w:pPr>
              <w:pStyle w:val="TableParagraph"/>
              <w:spacing w:line="263" w:lineRule="exact"/>
              <w:ind w:left="229" w:right="229"/>
              <w:rPr>
                <w:sz w:val="24"/>
              </w:rPr>
            </w:pPr>
            <w:r>
              <w:rPr>
                <w:sz w:val="24"/>
              </w:rPr>
              <w:t>1.14</w:t>
            </w:r>
          </w:p>
        </w:tc>
        <w:tc>
          <w:tcPr>
            <w:tcW w:w="1954" w:type="dxa"/>
            <w:tcBorders>
              <w:top w:val="nil"/>
              <w:bottom w:val="nil"/>
            </w:tcBorders>
          </w:tcPr>
          <w:p>
            <w:pPr>
              <w:pStyle w:val="TableParagraph"/>
              <w:spacing w:line="263" w:lineRule="exact"/>
              <w:ind w:left="421" w:right="422"/>
              <w:rPr>
                <w:sz w:val="24"/>
              </w:rPr>
            </w:pPr>
            <w:r>
              <w:rPr>
                <w:sz w:val="24"/>
              </w:rPr>
              <w:t>1.29</w:t>
            </w:r>
          </w:p>
        </w:tc>
        <w:tc>
          <w:tcPr>
            <w:tcW w:w="1957" w:type="dxa"/>
            <w:tcBorders>
              <w:top w:val="nil"/>
              <w:bottom w:val="nil"/>
            </w:tcBorders>
          </w:tcPr>
          <w:p>
            <w:pPr>
              <w:pStyle w:val="TableParagraph"/>
              <w:spacing w:line="263" w:lineRule="exact"/>
              <w:ind w:left="435" w:right="437"/>
              <w:rPr>
                <w:sz w:val="24"/>
              </w:rPr>
            </w:pPr>
            <w:r>
              <w:rPr>
                <w:sz w:val="24"/>
              </w:rPr>
              <w:t>4.88</w:t>
            </w:r>
          </w:p>
        </w:tc>
        <w:tc>
          <w:tcPr>
            <w:tcW w:w="1956" w:type="dxa"/>
            <w:tcBorders>
              <w:top w:val="nil"/>
              <w:bottom w:val="nil"/>
            </w:tcBorders>
          </w:tcPr>
          <w:p>
            <w:pPr>
              <w:pStyle w:val="TableParagraph"/>
              <w:spacing w:line="263" w:lineRule="exact"/>
              <w:ind w:left="475" w:right="477"/>
              <w:rPr>
                <w:sz w:val="24"/>
              </w:rPr>
            </w:pPr>
            <w:r>
              <w:rPr>
                <w:sz w:val="24"/>
              </w:rPr>
              <w:t>4.20</w:t>
            </w:r>
          </w:p>
        </w:tc>
      </w:tr>
      <w:tr>
        <w:trPr>
          <w:trHeight w:val="284" w:hRule="exact"/>
        </w:trPr>
        <w:tc>
          <w:tcPr>
            <w:tcW w:w="1956" w:type="dxa"/>
            <w:tcBorders>
              <w:top w:val="nil"/>
            </w:tcBorders>
          </w:tcPr>
          <w:p>
            <w:pPr>
              <w:pStyle w:val="TableParagraph"/>
              <w:spacing w:line="263" w:lineRule="exact"/>
              <w:ind w:left="423" w:right="423"/>
              <w:rPr>
                <w:sz w:val="24"/>
              </w:rPr>
            </w:pPr>
            <w:r>
              <w:rPr>
                <w:sz w:val="24"/>
              </w:rPr>
              <w:t>% DER</w:t>
            </w:r>
          </w:p>
        </w:tc>
        <w:tc>
          <w:tcPr>
            <w:tcW w:w="1954" w:type="dxa"/>
            <w:tcBorders>
              <w:top w:val="nil"/>
            </w:tcBorders>
          </w:tcPr>
          <w:p>
            <w:pPr>
              <w:pStyle w:val="TableParagraph"/>
              <w:spacing w:line="263" w:lineRule="exact"/>
              <w:rPr>
                <w:sz w:val="24"/>
              </w:rPr>
            </w:pPr>
            <w:r>
              <w:rPr>
                <w:w w:val="99"/>
                <w:sz w:val="24"/>
              </w:rPr>
              <w:t>1</w:t>
            </w:r>
          </w:p>
        </w:tc>
        <w:tc>
          <w:tcPr>
            <w:tcW w:w="1954" w:type="dxa"/>
            <w:tcBorders>
              <w:top w:val="nil"/>
            </w:tcBorders>
          </w:tcPr>
          <w:p>
            <w:pPr>
              <w:pStyle w:val="TableParagraph"/>
              <w:spacing w:line="263" w:lineRule="exact"/>
              <w:rPr>
                <w:sz w:val="24"/>
              </w:rPr>
            </w:pPr>
            <w:r>
              <w:rPr>
                <w:w w:val="99"/>
                <w:sz w:val="24"/>
              </w:rPr>
              <w:t>1</w:t>
            </w:r>
          </w:p>
        </w:tc>
        <w:tc>
          <w:tcPr>
            <w:tcW w:w="1957" w:type="dxa"/>
            <w:tcBorders>
              <w:top w:val="nil"/>
            </w:tcBorders>
          </w:tcPr>
          <w:p>
            <w:pPr>
              <w:pStyle w:val="TableParagraph"/>
              <w:spacing w:line="263" w:lineRule="exact"/>
              <w:ind w:right="1"/>
              <w:rPr>
                <w:sz w:val="24"/>
              </w:rPr>
            </w:pPr>
            <w:r>
              <w:rPr>
                <w:w w:val="99"/>
                <w:sz w:val="24"/>
              </w:rPr>
              <w:t>5</w:t>
            </w:r>
          </w:p>
        </w:tc>
        <w:tc>
          <w:tcPr>
            <w:tcW w:w="1956" w:type="dxa"/>
            <w:tcBorders>
              <w:top w:val="nil"/>
            </w:tcBorders>
          </w:tcPr>
          <w:p>
            <w:pPr>
              <w:pStyle w:val="TableParagraph"/>
              <w:spacing w:line="263" w:lineRule="exact"/>
              <w:ind w:right="1"/>
              <w:rPr>
                <w:sz w:val="24"/>
              </w:rPr>
            </w:pPr>
            <w:r>
              <w:rPr>
                <w:w w:val="99"/>
                <w:sz w:val="24"/>
              </w:rPr>
              <w:t>5</w:t>
            </w:r>
          </w:p>
        </w:tc>
      </w:tr>
    </w:tbl>
    <w:p>
      <w:pPr>
        <w:pStyle w:val="BodyText"/>
        <w:spacing w:before="9"/>
        <w:rPr>
          <w:b/>
          <w:sz w:val="17"/>
        </w:rPr>
      </w:pPr>
    </w:p>
    <w:p>
      <w:pPr>
        <w:spacing w:before="69" w:after="44"/>
        <w:ind w:left="602" w:right="0" w:firstLine="0"/>
        <w:jc w:val="left"/>
        <w:rPr>
          <w:b/>
          <w:sz w:val="24"/>
        </w:rPr>
      </w:pPr>
      <w:r>
        <w:rPr>
          <w:b/>
          <w:sz w:val="24"/>
        </w:rPr>
        <w:t>Tabla B.VII.2. Resultados de la prueba de Precisión Intermedia para la clase 1</w:t>
      </w:r>
    </w:p>
    <w:tbl>
      <w:tblPr>
        <w:tblW w:w="0" w:type="auto"/>
        <w:jc w:val="left"/>
        <w:tblInd w:w="119"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CellMar>
          <w:top w:w="0" w:type="dxa"/>
          <w:left w:w="0" w:type="dxa"/>
          <w:bottom w:w="0" w:type="dxa"/>
          <w:right w:w="0" w:type="dxa"/>
        </w:tblCellMar>
        <w:tblLook w:val="01E0"/>
      </w:tblPr>
      <w:tblGrid>
        <w:gridCol w:w="1956"/>
        <w:gridCol w:w="1954"/>
        <w:gridCol w:w="1954"/>
        <w:gridCol w:w="1957"/>
        <w:gridCol w:w="1956"/>
      </w:tblGrid>
      <w:tr>
        <w:trPr>
          <w:trHeight w:val="426" w:hRule="exact"/>
        </w:trPr>
        <w:tc>
          <w:tcPr>
            <w:tcW w:w="1956" w:type="dxa"/>
            <w:shd w:val="clear" w:color="auto" w:fill="D9D9D9"/>
          </w:tcPr>
          <w:p>
            <w:pPr/>
          </w:p>
        </w:tc>
        <w:tc>
          <w:tcPr>
            <w:tcW w:w="7821" w:type="dxa"/>
            <w:gridSpan w:val="4"/>
            <w:shd w:val="clear" w:color="auto" w:fill="D9D9D9"/>
          </w:tcPr>
          <w:p>
            <w:pPr>
              <w:pStyle w:val="TableParagraph"/>
              <w:spacing w:before="117"/>
              <w:ind w:left="3248" w:right="3248"/>
              <w:rPr>
                <w:b/>
                <w:sz w:val="24"/>
              </w:rPr>
            </w:pPr>
            <w:r>
              <w:rPr>
                <w:b/>
                <w:sz w:val="24"/>
              </w:rPr>
              <w:t>% Recobro</w:t>
            </w:r>
          </w:p>
        </w:tc>
      </w:tr>
      <w:tr>
        <w:trPr>
          <w:trHeight w:val="581" w:hRule="exact"/>
        </w:trPr>
        <w:tc>
          <w:tcPr>
            <w:tcW w:w="1956" w:type="dxa"/>
            <w:shd w:val="clear" w:color="auto" w:fill="D9D9D9"/>
          </w:tcPr>
          <w:p>
            <w:pPr>
              <w:pStyle w:val="TableParagraph"/>
              <w:ind w:left="494" w:right="320" w:hanging="161"/>
              <w:jc w:val="left"/>
              <w:rPr>
                <w:b/>
                <w:sz w:val="24"/>
              </w:rPr>
            </w:pPr>
            <w:r>
              <w:rPr>
                <w:b/>
                <w:sz w:val="24"/>
              </w:rPr>
              <w:t>Número de muestra</w:t>
            </w:r>
          </w:p>
        </w:tc>
        <w:tc>
          <w:tcPr>
            <w:tcW w:w="1954" w:type="dxa"/>
            <w:shd w:val="clear" w:color="auto" w:fill="D9D9D9"/>
          </w:tcPr>
          <w:p>
            <w:pPr>
              <w:pStyle w:val="TableParagraph"/>
              <w:spacing w:before="195"/>
              <w:ind w:left="229" w:right="229"/>
              <w:rPr>
                <w:b/>
                <w:sz w:val="24"/>
              </w:rPr>
            </w:pPr>
            <w:r>
              <w:rPr>
                <w:b/>
                <w:sz w:val="24"/>
              </w:rPr>
              <w:t>Arsénico</w:t>
            </w:r>
          </w:p>
        </w:tc>
        <w:tc>
          <w:tcPr>
            <w:tcW w:w="1954" w:type="dxa"/>
            <w:shd w:val="clear" w:color="auto" w:fill="D9D9D9"/>
          </w:tcPr>
          <w:p>
            <w:pPr>
              <w:pStyle w:val="TableParagraph"/>
              <w:spacing w:before="195"/>
              <w:ind w:left="422" w:right="422"/>
              <w:rPr>
                <w:b/>
                <w:sz w:val="24"/>
              </w:rPr>
            </w:pPr>
            <w:r>
              <w:rPr>
                <w:b/>
                <w:sz w:val="24"/>
              </w:rPr>
              <w:t>Cadmio</w:t>
            </w:r>
          </w:p>
        </w:tc>
        <w:tc>
          <w:tcPr>
            <w:tcW w:w="1957" w:type="dxa"/>
            <w:shd w:val="clear" w:color="auto" w:fill="D9D9D9"/>
          </w:tcPr>
          <w:p>
            <w:pPr>
              <w:pStyle w:val="TableParagraph"/>
              <w:spacing w:before="195"/>
              <w:ind w:left="437" w:right="437"/>
              <w:rPr>
                <w:b/>
                <w:sz w:val="24"/>
              </w:rPr>
            </w:pPr>
            <w:r>
              <w:rPr>
                <w:b/>
                <w:sz w:val="24"/>
              </w:rPr>
              <w:t>Mercurio</w:t>
            </w:r>
          </w:p>
        </w:tc>
        <w:tc>
          <w:tcPr>
            <w:tcW w:w="1956" w:type="dxa"/>
            <w:shd w:val="clear" w:color="auto" w:fill="D9D9D9"/>
          </w:tcPr>
          <w:p>
            <w:pPr>
              <w:pStyle w:val="TableParagraph"/>
              <w:spacing w:before="195"/>
              <w:ind w:right="596"/>
              <w:jc w:val="right"/>
              <w:rPr>
                <w:b/>
                <w:sz w:val="24"/>
              </w:rPr>
            </w:pPr>
            <w:r>
              <w:rPr>
                <w:b/>
                <w:sz w:val="24"/>
              </w:rPr>
              <w:t>Plomo</w:t>
            </w:r>
          </w:p>
        </w:tc>
      </w:tr>
      <w:tr>
        <w:trPr>
          <w:trHeight w:val="362" w:hRule="exact"/>
        </w:trPr>
        <w:tc>
          <w:tcPr>
            <w:tcW w:w="1956" w:type="dxa"/>
            <w:tcBorders>
              <w:bottom w:val="single" w:sz="8" w:space="0" w:color="000000"/>
            </w:tcBorders>
          </w:tcPr>
          <w:p>
            <w:pPr>
              <w:pStyle w:val="TableParagraph"/>
              <w:spacing w:before="58"/>
              <w:ind w:right="1"/>
              <w:rPr>
                <w:sz w:val="24"/>
              </w:rPr>
            </w:pPr>
            <w:r>
              <w:rPr>
                <w:w w:val="99"/>
                <w:sz w:val="24"/>
              </w:rPr>
              <w:t>1</w:t>
            </w:r>
          </w:p>
        </w:tc>
        <w:tc>
          <w:tcPr>
            <w:tcW w:w="1954" w:type="dxa"/>
            <w:tcBorders>
              <w:bottom w:val="single" w:sz="8" w:space="0" w:color="000000"/>
            </w:tcBorders>
          </w:tcPr>
          <w:p>
            <w:pPr>
              <w:pStyle w:val="TableParagraph"/>
              <w:spacing w:before="27"/>
              <w:ind w:left="229" w:right="228"/>
              <w:rPr>
                <w:sz w:val="24"/>
              </w:rPr>
            </w:pPr>
            <w:r>
              <w:rPr>
                <w:sz w:val="24"/>
              </w:rPr>
              <w:t>126.89</w:t>
            </w:r>
          </w:p>
        </w:tc>
        <w:tc>
          <w:tcPr>
            <w:tcW w:w="1954" w:type="dxa"/>
            <w:tcBorders>
              <w:bottom w:val="single" w:sz="8" w:space="0" w:color="000000"/>
            </w:tcBorders>
          </w:tcPr>
          <w:p>
            <w:pPr>
              <w:pStyle w:val="TableParagraph"/>
              <w:spacing w:before="27"/>
              <w:ind w:left="422" w:right="421"/>
              <w:rPr>
                <w:sz w:val="24"/>
              </w:rPr>
            </w:pPr>
            <w:r>
              <w:rPr>
                <w:sz w:val="24"/>
              </w:rPr>
              <w:t>95.22</w:t>
            </w:r>
          </w:p>
        </w:tc>
        <w:tc>
          <w:tcPr>
            <w:tcW w:w="1957" w:type="dxa"/>
            <w:tcBorders>
              <w:bottom w:val="single" w:sz="8" w:space="0" w:color="000000"/>
            </w:tcBorders>
          </w:tcPr>
          <w:p>
            <w:pPr>
              <w:pStyle w:val="TableParagraph"/>
              <w:spacing w:before="27"/>
              <w:ind w:left="437" w:right="437"/>
              <w:rPr>
                <w:sz w:val="24"/>
              </w:rPr>
            </w:pPr>
            <w:r>
              <w:rPr>
                <w:sz w:val="24"/>
              </w:rPr>
              <w:t>89.66</w:t>
            </w:r>
          </w:p>
        </w:tc>
        <w:tc>
          <w:tcPr>
            <w:tcW w:w="1956" w:type="dxa"/>
            <w:tcBorders>
              <w:bottom w:val="single" w:sz="8" w:space="0" w:color="000000"/>
            </w:tcBorders>
          </w:tcPr>
          <w:p>
            <w:pPr>
              <w:pStyle w:val="TableParagraph"/>
              <w:spacing w:before="27"/>
              <w:ind w:right="662"/>
              <w:jc w:val="right"/>
              <w:rPr>
                <w:sz w:val="24"/>
              </w:rPr>
            </w:pPr>
            <w:r>
              <w:rPr>
                <w:sz w:val="24"/>
              </w:rPr>
              <w:t>94.34</w:t>
            </w:r>
          </w:p>
        </w:tc>
      </w:tr>
      <w:tr>
        <w:trPr>
          <w:trHeight w:val="355" w:hRule="exact"/>
        </w:trPr>
        <w:tc>
          <w:tcPr>
            <w:tcW w:w="1956" w:type="dxa"/>
            <w:tcBorders>
              <w:top w:val="single" w:sz="8" w:space="0" w:color="000000"/>
              <w:bottom w:val="single" w:sz="8" w:space="0" w:color="000000"/>
            </w:tcBorders>
          </w:tcPr>
          <w:p>
            <w:pPr>
              <w:pStyle w:val="TableParagraph"/>
              <w:spacing w:before="55"/>
              <w:ind w:right="1"/>
              <w:rPr>
                <w:sz w:val="24"/>
              </w:rPr>
            </w:pPr>
            <w:r>
              <w:rPr>
                <w:w w:val="99"/>
                <w:sz w:val="24"/>
              </w:rPr>
              <w:t>2</w:t>
            </w:r>
          </w:p>
        </w:tc>
        <w:tc>
          <w:tcPr>
            <w:tcW w:w="1954" w:type="dxa"/>
            <w:tcBorders>
              <w:top w:val="single" w:sz="8" w:space="0" w:color="000000"/>
              <w:bottom w:val="single" w:sz="8" w:space="0" w:color="000000"/>
            </w:tcBorders>
          </w:tcPr>
          <w:p>
            <w:pPr>
              <w:pStyle w:val="TableParagraph"/>
              <w:spacing w:before="24"/>
              <w:ind w:left="229" w:right="228"/>
              <w:rPr>
                <w:sz w:val="24"/>
              </w:rPr>
            </w:pPr>
            <w:r>
              <w:rPr>
                <w:sz w:val="24"/>
              </w:rPr>
              <w:t>128.29</w:t>
            </w:r>
          </w:p>
        </w:tc>
        <w:tc>
          <w:tcPr>
            <w:tcW w:w="1954" w:type="dxa"/>
            <w:tcBorders>
              <w:top w:val="single" w:sz="8" w:space="0" w:color="000000"/>
              <w:bottom w:val="single" w:sz="8" w:space="0" w:color="000000"/>
            </w:tcBorders>
          </w:tcPr>
          <w:p>
            <w:pPr>
              <w:pStyle w:val="TableParagraph"/>
              <w:spacing w:before="24"/>
              <w:ind w:left="422" w:right="421"/>
              <w:rPr>
                <w:sz w:val="24"/>
              </w:rPr>
            </w:pPr>
            <w:r>
              <w:rPr>
                <w:sz w:val="24"/>
              </w:rPr>
              <w:t>93.38</w:t>
            </w:r>
          </w:p>
        </w:tc>
        <w:tc>
          <w:tcPr>
            <w:tcW w:w="1957" w:type="dxa"/>
            <w:tcBorders>
              <w:top w:val="single" w:sz="8" w:space="0" w:color="000000"/>
              <w:bottom w:val="single" w:sz="8" w:space="0" w:color="000000"/>
            </w:tcBorders>
          </w:tcPr>
          <w:p>
            <w:pPr>
              <w:pStyle w:val="TableParagraph"/>
              <w:spacing w:before="24"/>
              <w:ind w:left="437" w:right="437"/>
              <w:rPr>
                <w:sz w:val="24"/>
              </w:rPr>
            </w:pPr>
            <w:r>
              <w:rPr>
                <w:sz w:val="24"/>
              </w:rPr>
              <w:t>88.89</w:t>
            </w:r>
          </w:p>
        </w:tc>
        <w:tc>
          <w:tcPr>
            <w:tcW w:w="1956" w:type="dxa"/>
            <w:tcBorders>
              <w:top w:val="single" w:sz="8" w:space="0" w:color="000000"/>
              <w:bottom w:val="single" w:sz="8" w:space="0" w:color="000000"/>
            </w:tcBorders>
          </w:tcPr>
          <w:p>
            <w:pPr>
              <w:pStyle w:val="TableParagraph"/>
              <w:spacing w:before="24"/>
              <w:ind w:right="662"/>
              <w:jc w:val="right"/>
              <w:rPr>
                <w:sz w:val="24"/>
              </w:rPr>
            </w:pPr>
            <w:r>
              <w:rPr>
                <w:sz w:val="24"/>
              </w:rPr>
              <w:t>91.88</w:t>
            </w:r>
          </w:p>
        </w:tc>
      </w:tr>
      <w:tr>
        <w:trPr>
          <w:trHeight w:val="356" w:hRule="exact"/>
        </w:trPr>
        <w:tc>
          <w:tcPr>
            <w:tcW w:w="1956" w:type="dxa"/>
            <w:tcBorders>
              <w:top w:val="single" w:sz="8" w:space="0" w:color="000000"/>
              <w:bottom w:val="single" w:sz="8" w:space="0" w:color="000000"/>
            </w:tcBorders>
          </w:tcPr>
          <w:p>
            <w:pPr>
              <w:pStyle w:val="TableParagraph"/>
              <w:spacing w:before="56"/>
              <w:ind w:right="1"/>
              <w:rPr>
                <w:sz w:val="24"/>
              </w:rPr>
            </w:pPr>
            <w:r>
              <w:rPr>
                <w:w w:val="99"/>
                <w:sz w:val="24"/>
              </w:rPr>
              <w:t>3</w:t>
            </w:r>
          </w:p>
        </w:tc>
        <w:tc>
          <w:tcPr>
            <w:tcW w:w="1954" w:type="dxa"/>
            <w:tcBorders>
              <w:top w:val="single" w:sz="8" w:space="0" w:color="000000"/>
              <w:bottom w:val="single" w:sz="8" w:space="0" w:color="000000"/>
            </w:tcBorders>
          </w:tcPr>
          <w:p>
            <w:pPr>
              <w:pStyle w:val="TableParagraph"/>
              <w:spacing w:before="27"/>
              <w:ind w:left="229" w:right="228"/>
              <w:rPr>
                <w:sz w:val="24"/>
              </w:rPr>
            </w:pPr>
            <w:r>
              <w:rPr>
                <w:sz w:val="24"/>
              </w:rPr>
              <w:t>118.27</w:t>
            </w:r>
          </w:p>
        </w:tc>
        <w:tc>
          <w:tcPr>
            <w:tcW w:w="1954" w:type="dxa"/>
            <w:tcBorders>
              <w:top w:val="single" w:sz="8" w:space="0" w:color="000000"/>
              <w:bottom w:val="single" w:sz="8" w:space="0" w:color="000000"/>
            </w:tcBorders>
          </w:tcPr>
          <w:p>
            <w:pPr>
              <w:pStyle w:val="TableParagraph"/>
              <w:spacing w:before="27"/>
              <w:ind w:left="422" w:right="421"/>
              <w:rPr>
                <w:sz w:val="24"/>
              </w:rPr>
            </w:pPr>
            <w:r>
              <w:rPr>
                <w:sz w:val="24"/>
              </w:rPr>
              <w:t>97.28</w:t>
            </w:r>
          </w:p>
        </w:tc>
        <w:tc>
          <w:tcPr>
            <w:tcW w:w="1957" w:type="dxa"/>
            <w:tcBorders>
              <w:top w:val="single" w:sz="8" w:space="0" w:color="000000"/>
              <w:bottom w:val="single" w:sz="8" w:space="0" w:color="000000"/>
            </w:tcBorders>
          </w:tcPr>
          <w:p>
            <w:pPr>
              <w:pStyle w:val="TableParagraph"/>
              <w:spacing w:before="27"/>
              <w:ind w:left="437" w:right="437"/>
              <w:rPr>
                <w:sz w:val="24"/>
              </w:rPr>
            </w:pPr>
            <w:r>
              <w:rPr>
                <w:sz w:val="24"/>
              </w:rPr>
              <w:t>88.90</w:t>
            </w:r>
          </w:p>
        </w:tc>
        <w:tc>
          <w:tcPr>
            <w:tcW w:w="1956" w:type="dxa"/>
            <w:tcBorders>
              <w:top w:val="single" w:sz="8" w:space="0" w:color="000000"/>
              <w:bottom w:val="single" w:sz="8" w:space="0" w:color="000000"/>
            </w:tcBorders>
          </w:tcPr>
          <w:p>
            <w:pPr>
              <w:pStyle w:val="TableParagraph"/>
              <w:spacing w:before="27"/>
              <w:ind w:right="662"/>
              <w:jc w:val="right"/>
              <w:rPr>
                <w:sz w:val="24"/>
              </w:rPr>
            </w:pPr>
            <w:r>
              <w:rPr>
                <w:sz w:val="24"/>
              </w:rPr>
              <w:t>97.25</w:t>
            </w:r>
          </w:p>
        </w:tc>
      </w:tr>
      <w:tr>
        <w:trPr>
          <w:trHeight w:val="358" w:hRule="exact"/>
        </w:trPr>
        <w:tc>
          <w:tcPr>
            <w:tcW w:w="1956" w:type="dxa"/>
            <w:tcBorders>
              <w:top w:val="single" w:sz="8" w:space="0" w:color="000000"/>
              <w:bottom w:val="single" w:sz="8" w:space="0" w:color="000000"/>
            </w:tcBorders>
          </w:tcPr>
          <w:p>
            <w:pPr>
              <w:pStyle w:val="TableParagraph"/>
              <w:spacing w:before="58"/>
              <w:ind w:right="1"/>
              <w:rPr>
                <w:sz w:val="24"/>
              </w:rPr>
            </w:pPr>
            <w:r>
              <w:rPr>
                <w:w w:val="99"/>
                <w:sz w:val="24"/>
              </w:rPr>
              <w:t>4</w:t>
            </w:r>
          </w:p>
        </w:tc>
        <w:tc>
          <w:tcPr>
            <w:tcW w:w="1954" w:type="dxa"/>
            <w:tcBorders>
              <w:top w:val="single" w:sz="8" w:space="0" w:color="000000"/>
              <w:bottom w:val="single" w:sz="8" w:space="0" w:color="000000"/>
            </w:tcBorders>
          </w:tcPr>
          <w:p>
            <w:pPr>
              <w:pStyle w:val="TableParagraph"/>
              <w:spacing w:before="27"/>
              <w:ind w:left="229" w:right="228"/>
              <w:rPr>
                <w:sz w:val="24"/>
              </w:rPr>
            </w:pPr>
            <w:r>
              <w:rPr>
                <w:sz w:val="24"/>
              </w:rPr>
              <w:t>125.54</w:t>
            </w:r>
          </w:p>
        </w:tc>
        <w:tc>
          <w:tcPr>
            <w:tcW w:w="1954" w:type="dxa"/>
            <w:tcBorders>
              <w:top w:val="single" w:sz="8" w:space="0" w:color="000000"/>
              <w:bottom w:val="single" w:sz="8" w:space="0" w:color="000000"/>
            </w:tcBorders>
          </w:tcPr>
          <w:p>
            <w:pPr>
              <w:pStyle w:val="TableParagraph"/>
              <w:spacing w:before="27"/>
              <w:ind w:left="422" w:right="421"/>
              <w:rPr>
                <w:sz w:val="24"/>
              </w:rPr>
            </w:pPr>
            <w:r>
              <w:rPr>
                <w:sz w:val="24"/>
              </w:rPr>
              <w:t>94.73</w:t>
            </w:r>
          </w:p>
        </w:tc>
        <w:tc>
          <w:tcPr>
            <w:tcW w:w="1957" w:type="dxa"/>
            <w:tcBorders>
              <w:top w:val="single" w:sz="8" w:space="0" w:color="000000"/>
              <w:bottom w:val="single" w:sz="8" w:space="0" w:color="000000"/>
            </w:tcBorders>
          </w:tcPr>
          <w:p>
            <w:pPr>
              <w:pStyle w:val="TableParagraph"/>
              <w:spacing w:before="27"/>
              <w:ind w:left="437" w:right="437"/>
              <w:rPr>
                <w:sz w:val="24"/>
              </w:rPr>
            </w:pPr>
            <w:r>
              <w:rPr>
                <w:sz w:val="24"/>
              </w:rPr>
              <w:t>88.86</w:t>
            </w:r>
          </w:p>
        </w:tc>
        <w:tc>
          <w:tcPr>
            <w:tcW w:w="1956" w:type="dxa"/>
            <w:tcBorders>
              <w:top w:val="single" w:sz="8" w:space="0" w:color="000000"/>
              <w:bottom w:val="single" w:sz="8" w:space="0" w:color="000000"/>
            </w:tcBorders>
          </w:tcPr>
          <w:p>
            <w:pPr>
              <w:pStyle w:val="TableParagraph"/>
              <w:spacing w:before="27"/>
              <w:ind w:right="662"/>
              <w:jc w:val="right"/>
              <w:rPr>
                <w:sz w:val="24"/>
              </w:rPr>
            </w:pPr>
            <w:r>
              <w:rPr>
                <w:sz w:val="24"/>
              </w:rPr>
              <w:t>90.22</w:t>
            </w:r>
          </w:p>
        </w:tc>
      </w:tr>
      <w:tr>
        <w:trPr>
          <w:trHeight w:val="355" w:hRule="exact"/>
        </w:trPr>
        <w:tc>
          <w:tcPr>
            <w:tcW w:w="1956" w:type="dxa"/>
            <w:tcBorders>
              <w:top w:val="single" w:sz="8" w:space="0" w:color="000000"/>
              <w:bottom w:val="single" w:sz="8" w:space="0" w:color="000000"/>
            </w:tcBorders>
          </w:tcPr>
          <w:p>
            <w:pPr>
              <w:pStyle w:val="TableParagraph"/>
              <w:spacing w:before="55"/>
              <w:ind w:right="1"/>
              <w:rPr>
                <w:sz w:val="24"/>
              </w:rPr>
            </w:pPr>
            <w:r>
              <w:rPr>
                <w:w w:val="99"/>
                <w:sz w:val="24"/>
              </w:rPr>
              <w:t>5</w:t>
            </w:r>
          </w:p>
        </w:tc>
        <w:tc>
          <w:tcPr>
            <w:tcW w:w="1954" w:type="dxa"/>
            <w:tcBorders>
              <w:top w:val="single" w:sz="8" w:space="0" w:color="000000"/>
              <w:bottom w:val="single" w:sz="8" w:space="0" w:color="000000"/>
            </w:tcBorders>
          </w:tcPr>
          <w:p>
            <w:pPr>
              <w:pStyle w:val="TableParagraph"/>
              <w:spacing w:before="24"/>
              <w:ind w:left="229" w:right="228"/>
              <w:rPr>
                <w:sz w:val="24"/>
              </w:rPr>
            </w:pPr>
            <w:r>
              <w:rPr>
                <w:sz w:val="24"/>
              </w:rPr>
              <w:t>121.79</w:t>
            </w:r>
          </w:p>
        </w:tc>
        <w:tc>
          <w:tcPr>
            <w:tcW w:w="1954" w:type="dxa"/>
            <w:tcBorders>
              <w:top w:val="single" w:sz="8" w:space="0" w:color="000000"/>
              <w:bottom w:val="single" w:sz="8" w:space="0" w:color="000000"/>
            </w:tcBorders>
          </w:tcPr>
          <w:p>
            <w:pPr>
              <w:pStyle w:val="TableParagraph"/>
              <w:spacing w:before="24"/>
              <w:ind w:left="422" w:right="421"/>
              <w:rPr>
                <w:sz w:val="24"/>
              </w:rPr>
            </w:pPr>
            <w:r>
              <w:rPr>
                <w:sz w:val="24"/>
              </w:rPr>
              <w:t>98.06</w:t>
            </w:r>
          </w:p>
        </w:tc>
        <w:tc>
          <w:tcPr>
            <w:tcW w:w="1957" w:type="dxa"/>
            <w:tcBorders>
              <w:top w:val="single" w:sz="8" w:space="0" w:color="000000"/>
              <w:bottom w:val="single" w:sz="8" w:space="0" w:color="000000"/>
            </w:tcBorders>
          </w:tcPr>
          <w:p>
            <w:pPr>
              <w:pStyle w:val="TableParagraph"/>
              <w:spacing w:before="24"/>
              <w:ind w:left="437" w:right="437"/>
              <w:rPr>
                <w:sz w:val="24"/>
              </w:rPr>
            </w:pPr>
            <w:r>
              <w:rPr>
                <w:sz w:val="24"/>
              </w:rPr>
              <w:t>91.18</w:t>
            </w:r>
          </w:p>
        </w:tc>
        <w:tc>
          <w:tcPr>
            <w:tcW w:w="1956" w:type="dxa"/>
            <w:tcBorders>
              <w:top w:val="single" w:sz="8" w:space="0" w:color="000000"/>
              <w:bottom w:val="single" w:sz="8" w:space="0" w:color="000000"/>
            </w:tcBorders>
          </w:tcPr>
          <w:p>
            <w:pPr>
              <w:pStyle w:val="TableParagraph"/>
              <w:spacing w:before="24"/>
              <w:ind w:right="662"/>
              <w:jc w:val="right"/>
              <w:rPr>
                <w:sz w:val="24"/>
              </w:rPr>
            </w:pPr>
            <w:r>
              <w:rPr>
                <w:sz w:val="24"/>
              </w:rPr>
              <w:t>84.59</w:t>
            </w:r>
          </w:p>
        </w:tc>
      </w:tr>
      <w:tr>
        <w:trPr>
          <w:trHeight w:val="360" w:hRule="exact"/>
        </w:trPr>
        <w:tc>
          <w:tcPr>
            <w:tcW w:w="1956" w:type="dxa"/>
            <w:tcBorders>
              <w:top w:val="single" w:sz="8" w:space="0" w:color="000000"/>
            </w:tcBorders>
          </w:tcPr>
          <w:p>
            <w:pPr>
              <w:pStyle w:val="TableParagraph"/>
              <w:spacing w:before="55"/>
              <w:ind w:right="1"/>
              <w:rPr>
                <w:sz w:val="24"/>
              </w:rPr>
            </w:pPr>
            <w:r>
              <w:rPr>
                <w:w w:val="99"/>
                <w:sz w:val="24"/>
              </w:rPr>
              <w:t>6</w:t>
            </w:r>
          </w:p>
        </w:tc>
        <w:tc>
          <w:tcPr>
            <w:tcW w:w="1954" w:type="dxa"/>
            <w:tcBorders>
              <w:top w:val="single" w:sz="8" w:space="0" w:color="000000"/>
            </w:tcBorders>
          </w:tcPr>
          <w:p>
            <w:pPr>
              <w:pStyle w:val="TableParagraph"/>
              <w:spacing w:before="27"/>
              <w:ind w:left="229" w:right="228"/>
              <w:rPr>
                <w:sz w:val="24"/>
              </w:rPr>
            </w:pPr>
            <w:r>
              <w:rPr>
                <w:sz w:val="24"/>
              </w:rPr>
              <w:t>120.40</w:t>
            </w:r>
          </w:p>
        </w:tc>
        <w:tc>
          <w:tcPr>
            <w:tcW w:w="1954" w:type="dxa"/>
            <w:tcBorders>
              <w:top w:val="single" w:sz="8" w:space="0" w:color="000000"/>
            </w:tcBorders>
          </w:tcPr>
          <w:p>
            <w:pPr>
              <w:pStyle w:val="TableParagraph"/>
              <w:spacing w:before="27"/>
              <w:ind w:left="422" w:right="421"/>
              <w:rPr>
                <w:sz w:val="24"/>
              </w:rPr>
            </w:pPr>
            <w:r>
              <w:rPr>
                <w:sz w:val="24"/>
              </w:rPr>
              <w:t>93.41</w:t>
            </w:r>
          </w:p>
        </w:tc>
        <w:tc>
          <w:tcPr>
            <w:tcW w:w="1957" w:type="dxa"/>
            <w:tcBorders>
              <w:top w:val="single" w:sz="8" w:space="0" w:color="000000"/>
            </w:tcBorders>
          </w:tcPr>
          <w:p>
            <w:pPr>
              <w:pStyle w:val="TableParagraph"/>
              <w:spacing w:before="27"/>
              <w:ind w:left="437" w:right="437"/>
              <w:rPr>
                <w:sz w:val="24"/>
              </w:rPr>
            </w:pPr>
            <w:r>
              <w:rPr>
                <w:sz w:val="24"/>
              </w:rPr>
              <w:t>89.01</w:t>
            </w:r>
          </w:p>
        </w:tc>
        <w:tc>
          <w:tcPr>
            <w:tcW w:w="1956" w:type="dxa"/>
            <w:tcBorders>
              <w:top w:val="single" w:sz="8" w:space="0" w:color="000000"/>
            </w:tcBorders>
          </w:tcPr>
          <w:p>
            <w:pPr>
              <w:pStyle w:val="TableParagraph"/>
              <w:spacing w:before="27"/>
              <w:ind w:right="662"/>
              <w:jc w:val="right"/>
              <w:rPr>
                <w:sz w:val="24"/>
              </w:rPr>
            </w:pPr>
            <w:r>
              <w:rPr>
                <w:sz w:val="24"/>
              </w:rPr>
              <w:t>90.00</w:t>
            </w:r>
          </w:p>
        </w:tc>
      </w:tr>
      <w:tr>
        <w:trPr>
          <w:trHeight w:val="301" w:hRule="exact"/>
        </w:trPr>
        <w:tc>
          <w:tcPr>
            <w:tcW w:w="1956" w:type="dxa"/>
            <w:tcBorders>
              <w:bottom w:val="nil"/>
            </w:tcBorders>
          </w:tcPr>
          <w:p>
            <w:pPr>
              <w:pStyle w:val="TableParagraph"/>
              <w:spacing w:line="274" w:lineRule="exact"/>
              <w:ind w:left="422" w:right="423"/>
              <w:rPr>
                <w:sz w:val="24"/>
              </w:rPr>
            </w:pPr>
            <w:r>
              <w:rPr>
                <w:sz w:val="24"/>
              </w:rPr>
              <w:t>Promedio</w:t>
            </w:r>
          </w:p>
        </w:tc>
        <w:tc>
          <w:tcPr>
            <w:tcW w:w="1954" w:type="dxa"/>
            <w:tcBorders>
              <w:bottom w:val="nil"/>
            </w:tcBorders>
          </w:tcPr>
          <w:p>
            <w:pPr>
              <w:pStyle w:val="TableParagraph"/>
              <w:spacing w:line="274" w:lineRule="exact"/>
              <w:ind w:left="229" w:right="228"/>
              <w:rPr>
                <w:sz w:val="24"/>
              </w:rPr>
            </w:pPr>
            <w:r>
              <w:rPr>
                <w:sz w:val="24"/>
              </w:rPr>
              <w:t>123.53</w:t>
            </w:r>
          </w:p>
        </w:tc>
        <w:tc>
          <w:tcPr>
            <w:tcW w:w="1954" w:type="dxa"/>
            <w:tcBorders>
              <w:bottom w:val="nil"/>
            </w:tcBorders>
          </w:tcPr>
          <w:p>
            <w:pPr>
              <w:pStyle w:val="TableParagraph"/>
              <w:spacing w:line="274" w:lineRule="exact"/>
              <w:ind w:left="422" w:right="421"/>
              <w:rPr>
                <w:sz w:val="24"/>
              </w:rPr>
            </w:pPr>
            <w:r>
              <w:rPr>
                <w:sz w:val="24"/>
              </w:rPr>
              <w:t>95.35</w:t>
            </w:r>
          </w:p>
        </w:tc>
        <w:tc>
          <w:tcPr>
            <w:tcW w:w="1957" w:type="dxa"/>
            <w:tcBorders>
              <w:bottom w:val="nil"/>
            </w:tcBorders>
          </w:tcPr>
          <w:p>
            <w:pPr>
              <w:pStyle w:val="TableParagraph"/>
              <w:spacing w:line="274" w:lineRule="exact"/>
              <w:ind w:left="437" w:right="437"/>
              <w:rPr>
                <w:sz w:val="24"/>
              </w:rPr>
            </w:pPr>
            <w:r>
              <w:rPr>
                <w:sz w:val="24"/>
              </w:rPr>
              <w:t>89.42</w:t>
            </w:r>
          </w:p>
        </w:tc>
        <w:tc>
          <w:tcPr>
            <w:tcW w:w="1956" w:type="dxa"/>
            <w:tcBorders>
              <w:bottom w:val="nil"/>
            </w:tcBorders>
          </w:tcPr>
          <w:p>
            <w:pPr>
              <w:pStyle w:val="TableParagraph"/>
              <w:spacing w:line="274" w:lineRule="exact"/>
              <w:ind w:right="662"/>
              <w:jc w:val="right"/>
              <w:rPr>
                <w:sz w:val="24"/>
              </w:rPr>
            </w:pPr>
            <w:r>
              <w:rPr>
                <w:sz w:val="24"/>
              </w:rPr>
              <w:t>91.38</w:t>
            </w:r>
          </w:p>
        </w:tc>
      </w:tr>
      <w:tr>
        <w:trPr>
          <w:trHeight w:val="276" w:hRule="exact"/>
        </w:trPr>
        <w:tc>
          <w:tcPr>
            <w:tcW w:w="1956" w:type="dxa"/>
            <w:tcBorders>
              <w:top w:val="nil"/>
              <w:bottom w:val="nil"/>
            </w:tcBorders>
          </w:tcPr>
          <w:p>
            <w:pPr>
              <w:pStyle w:val="TableParagraph"/>
              <w:spacing w:line="263" w:lineRule="exact"/>
              <w:ind w:left="423" w:right="423"/>
              <w:rPr>
                <w:sz w:val="24"/>
              </w:rPr>
            </w:pPr>
            <w:r>
              <w:rPr>
                <w:sz w:val="24"/>
              </w:rPr>
              <w:t>Desv Std.</w:t>
            </w:r>
          </w:p>
        </w:tc>
        <w:tc>
          <w:tcPr>
            <w:tcW w:w="1954" w:type="dxa"/>
            <w:tcBorders>
              <w:top w:val="nil"/>
              <w:bottom w:val="nil"/>
            </w:tcBorders>
          </w:tcPr>
          <w:p>
            <w:pPr>
              <w:pStyle w:val="TableParagraph"/>
              <w:spacing w:line="263" w:lineRule="exact"/>
              <w:ind w:left="229" w:right="229"/>
              <w:rPr>
                <w:sz w:val="24"/>
              </w:rPr>
            </w:pPr>
            <w:r>
              <w:rPr>
                <w:sz w:val="24"/>
              </w:rPr>
              <w:t>3.96</w:t>
            </w:r>
          </w:p>
        </w:tc>
        <w:tc>
          <w:tcPr>
            <w:tcW w:w="1954" w:type="dxa"/>
            <w:tcBorders>
              <w:top w:val="nil"/>
              <w:bottom w:val="nil"/>
            </w:tcBorders>
          </w:tcPr>
          <w:p>
            <w:pPr>
              <w:pStyle w:val="TableParagraph"/>
              <w:spacing w:line="263" w:lineRule="exact"/>
              <w:ind w:left="421" w:right="422"/>
              <w:rPr>
                <w:sz w:val="24"/>
              </w:rPr>
            </w:pPr>
            <w:r>
              <w:rPr>
                <w:sz w:val="24"/>
              </w:rPr>
              <w:t>1.96</w:t>
            </w:r>
          </w:p>
        </w:tc>
        <w:tc>
          <w:tcPr>
            <w:tcW w:w="1957" w:type="dxa"/>
            <w:tcBorders>
              <w:top w:val="nil"/>
              <w:bottom w:val="nil"/>
            </w:tcBorders>
          </w:tcPr>
          <w:p>
            <w:pPr>
              <w:pStyle w:val="TableParagraph"/>
              <w:spacing w:line="263" w:lineRule="exact"/>
              <w:ind w:left="435" w:right="437"/>
              <w:rPr>
                <w:sz w:val="24"/>
              </w:rPr>
            </w:pPr>
            <w:r>
              <w:rPr>
                <w:sz w:val="24"/>
              </w:rPr>
              <w:t>0.92</w:t>
            </w:r>
          </w:p>
        </w:tc>
        <w:tc>
          <w:tcPr>
            <w:tcW w:w="1956" w:type="dxa"/>
            <w:tcBorders>
              <w:top w:val="nil"/>
              <w:bottom w:val="nil"/>
            </w:tcBorders>
          </w:tcPr>
          <w:p>
            <w:pPr>
              <w:pStyle w:val="TableParagraph"/>
              <w:spacing w:line="263" w:lineRule="exact"/>
              <w:ind w:left="475" w:right="477"/>
              <w:rPr>
                <w:sz w:val="24"/>
              </w:rPr>
            </w:pPr>
            <w:r>
              <w:rPr>
                <w:sz w:val="24"/>
              </w:rPr>
              <w:t>4.31</w:t>
            </w:r>
          </w:p>
        </w:tc>
      </w:tr>
      <w:tr>
        <w:trPr>
          <w:trHeight w:val="282" w:hRule="exact"/>
        </w:trPr>
        <w:tc>
          <w:tcPr>
            <w:tcW w:w="1956" w:type="dxa"/>
            <w:tcBorders>
              <w:top w:val="nil"/>
            </w:tcBorders>
          </w:tcPr>
          <w:p>
            <w:pPr>
              <w:pStyle w:val="TableParagraph"/>
              <w:spacing w:line="263" w:lineRule="exact"/>
              <w:ind w:left="423" w:right="423"/>
              <w:rPr>
                <w:sz w:val="24"/>
              </w:rPr>
            </w:pPr>
            <w:r>
              <w:rPr>
                <w:sz w:val="24"/>
              </w:rPr>
              <w:t>% DER</w:t>
            </w:r>
          </w:p>
        </w:tc>
        <w:tc>
          <w:tcPr>
            <w:tcW w:w="1954" w:type="dxa"/>
            <w:tcBorders>
              <w:top w:val="nil"/>
            </w:tcBorders>
          </w:tcPr>
          <w:p>
            <w:pPr>
              <w:pStyle w:val="TableParagraph"/>
              <w:spacing w:line="263" w:lineRule="exact"/>
              <w:rPr>
                <w:sz w:val="24"/>
              </w:rPr>
            </w:pPr>
            <w:r>
              <w:rPr>
                <w:w w:val="99"/>
                <w:sz w:val="24"/>
              </w:rPr>
              <w:t>3</w:t>
            </w:r>
          </w:p>
        </w:tc>
        <w:tc>
          <w:tcPr>
            <w:tcW w:w="1954" w:type="dxa"/>
            <w:tcBorders>
              <w:top w:val="nil"/>
            </w:tcBorders>
          </w:tcPr>
          <w:p>
            <w:pPr>
              <w:pStyle w:val="TableParagraph"/>
              <w:spacing w:line="263" w:lineRule="exact"/>
              <w:rPr>
                <w:sz w:val="24"/>
              </w:rPr>
            </w:pPr>
            <w:r>
              <w:rPr>
                <w:w w:val="99"/>
                <w:sz w:val="24"/>
              </w:rPr>
              <w:t>2</w:t>
            </w:r>
          </w:p>
        </w:tc>
        <w:tc>
          <w:tcPr>
            <w:tcW w:w="1957" w:type="dxa"/>
            <w:tcBorders>
              <w:top w:val="nil"/>
            </w:tcBorders>
          </w:tcPr>
          <w:p>
            <w:pPr>
              <w:pStyle w:val="TableParagraph"/>
              <w:spacing w:line="263" w:lineRule="exact"/>
              <w:ind w:right="1"/>
              <w:rPr>
                <w:sz w:val="24"/>
              </w:rPr>
            </w:pPr>
            <w:r>
              <w:rPr>
                <w:w w:val="99"/>
                <w:sz w:val="24"/>
              </w:rPr>
              <w:t>1</w:t>
            </w:r>
          </w:p>
        </w:tc>
        <w:tc>
          <w:tcPr>
            <w:tcW w:w="1956" w:type="dxa"/>
            <w:tcBorders>
              <w:top w:val="nil"/>
            </w:tcBorders>
          </w:tcPr>
          <w:p>
            <w:pPr>
              <w:pStyle w:val="TableParagraph"/>
              <w:spacing w:line="263" w:lineRule="exact"/>
              <w:ind w:right="1"/>
              <w:rPr>
                <w:sz w:val="24"/>
              </w:rPr>
            </w:pPr>
            <w:r>
              <w:rPr>
                <w:w w:val="99"/>
                <w:sz w:val="24"/>
              </w:rPr>
              <w:t>5</w:t>
            </w:r>
          </w:p>
        </w:tc>
      </w:tr>
    </w:tbl>
    <w:p>
      <w:pPr>
        <w:pStyle w:val="BodyText"/>
        <w:spacing w:before="1"/>
        <w:rPr>
          <w:b/>
          <w:sz w:val="21"/>
        </w:rPr>
      </w:pPr>
    </w:p>
    <w:p>
      <w:pPr>
        <w:spacing w:before="70"/>
        <w:ind w:left="602" w:right="0" w:firstLine="0"/>
        <w:jc w:val="left"/>
        <w:rPr>
          <w:b/>
          <w:sz w:val="24"/>
        </w:rPr>
      </w:pPr>
      <w:r>
        <w:rPr>
          <w:b/>
          <w:sz w:val="24"/>
        </w:rPr>
        <w:t>Tabla B.VII.3. Resultados de la Evaluación de la Precisión para la clase 1</w:t>
      </w:r>
    </w:p>
    <w:p>
      <w:pPr>
        <w:pStyle w:val="BodyText"/>
        <w:spacing w:before="10"/>
        <w:rPr>
          <w:b/>
          <w:sz w:val="10"/>
        </w:rPr>
      </w:pPr>
    </w:p>
    <w:tbl>
      <w:tblPr>
        <w:tblW w:w="0" w:type="auto"/>
        <w:jc w:val="left"/>
        <w:tblInd w:w="686"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CellMar>
          <w:top w:w="0" w:type="dxa"/>
          <w:left w:w="0" w:type="dxa"/>
          <w:bottom w:w="0" w:type="dxa"/>
          <w:right w:w="0" w:type="dxa"/>
        </w:tblCellMar>
        <w:tblLook w:val="01E0"/>
      </w:tblPr>
      <w:tblGrid>
        <w:gridCol w:w="2521"/>
        <w:gridCol w:w="1980"/>
        <w:gridCol w:w="1981"/>
        <w:gridCol w:w="2160"/>
      </w:tblGrid>
      <w:tr>
        <w:trPr>
          <w:trHeight w:val="1495" w:hRule="exact"/>
        </w:trPr>
        <w:tc>
          <w:tcPr>
            <w:tcW w:w="2521" w:type="dxa"/>
            <w:shd w:val="clear" w:color="auto" w:fill="D9D9D9"/>
          </w:tcPr>
          <w:p>
            <w:pPr>
              <w:pStyle w:val="TableParagraph"/>
              <w:jc w:val="left"/>
              <w:rPr>
                <w:b/>
                <w:sz w:val="24"/>
              </w:rPr>
            </w:pPr>
          </w:p>
          <w:p>
            <w:pPr>
              <w:pStyle w:val="TableParagraph"/>
              <w:spacing w:before="1"/>
              <w:jc w:val="left"/>
              <w:rPr>
                <w:b/>
                <w:sz w:val="22"/>
              </w:rPr>
            </w:pPr>
          </w:p>
          <w:p>
            <w:pPr>
              <w:pStyle w:val="TableParagraph"/>
              <w:ind w:left="756" w:right="759"/>
              <w:rPr>
                <w:b/>
                <w:sz w:val="24"/>
              </w:rPr>
            </w:pPr>
            <w:r>
              <w:rPr>
                <w:b/>
                <w:sz w:val="24"/>
              </w:rPr>
              <w:t>Analito</w:t>
            </w:r>
          </w:p>
        </w:tc>
        <w:tc>
          <w:tcPr>
            <w:tcW w:w="1980" w:type="dxa"/>
            <w:shd w:val="clear" w:color="auto" w:fill="D9D9D9"/>
          </w:tcPr>
          <w:p>
            <w:pPr>
              <w:pStyle w:val="TableParagraph"/>
              <w:spacing w:line="345" w:lineRule="auto" w:before="133"/>
              <w:ind w:left="333" w:right="204" w:hanging="113"/>
              <w:jc w:val="left"/>
              <w:rPr>
                <w:b/>
                <w:sz w:val="24"/>
              </w:rPr>
            </w:pPr>
            <w:r>
              <w:rPr>
                <w:b/>
                <w:sz w:val="24"/>
              </w:rPr>
              <w:t>Repetibilidad (Analista 1,</w:t>
            </w:r>
          </w:p>
          <w:p>
            <w:pPr>
              <w:pStyle w:val="TableParagraph"/>
              <w:spacing w:before="2"/>
              <w:ind w:left="175"/>
              <w:jc w:val="left"/>
              <w:rPr>
                <w:b/>
                <w:sz w:val="24"/>
              </w:rPr>
            </w:pPr>
            <w:r>
              <w:rPr>
                <w:b/>
                <w:color w:val="212121"/>
                <w:sz w:val="24"/>
              </w:rPr>
              <w:t>% de recobro)</w:t>
            </w:r>
          </w:p>
        </w:tc>
        <w:tc>
          <w:tcPr>
            <w:tcW w:w="1981" w:type="dxa"/>
            <w:shd w:val="clear" w:color="auto" w:fill="D9D9D9"/>
          </w:tcPr>
          <w:p>
            <w:pPr>
              <w:pStyle w:val="TableParagraph"/>
              <w:ind w:left="333" w:right="332" w:hanging="1"/>
              <w:rPr>
                <w:b/>
                <w:sz w:val="24"/>
              </w:rPr>
            </w:pPr>
            <w:r>
              <w:rPr>
                <w:b/>
                <w:sz w:val="24"/>
              </w:rPr>
              <w:t>Precisión Intermedia</w:t>
            </w:r>
          </w:p>
          <w:p>
            <w:pPr>
              <w:pStyle w:val="TableParagraph"/>
              <w:spacing w:before="120"/>
              <w:ind w:left="154" w:right="155"/>
              <w:rPr>
                <w:b/>
                <w:sz w:val="24"/>
              </w:rPr>
            </w:pPr>
            <w:r>
              <w:rPr>
                <w:b/>
                <w:sz w:val="24"/>
              </w:rPr>
              <w:t>(Analista 2,</w:t>
            </w:r>
          </w:p>
          <w:p>
            <w:pPr>
              <w:pStyle w:val="TableParagraph"/>
              <w:spacing w:before="120"/>
              <w:ind w:left="155" w:right="155"/>
              <w:rPr>
                <w:b/>
                <w:sz w:val="24"/>
              </w:rPr>
            </w:pPr>
            <w:r>
              <w:rPr>
                <w:b/>
                <w:color w:val="212121"/>
                <w:sz w:val="24"/>
              </w:rPr>
              <w:t>% de recobro</w:t>
            </w:r>
            <w:r>
              <w:rPr>
                <w:b/>
                <w:sz w:val="24"/>
              </w:rPr>
              <w:t>)</w:t>
            </w:r>
          </w:p>
        </w:tc>
        <w:tc>
          <w:tcPr>
            <w:tcW w:w="2160" w:type="dxa"/>
            <w:shd w:val="clear" w:color="auto" w:fill="D9D9D9"/>
          </w:tcPr>
          <w:p>
            <w:pPr>
              <w:pStyle w:val="TableParagraph"/>
              <w:spacing w:before="2"/>
              <w:jc w:val="left"/>
              <w:rPr>
                <w:b/>
                <w:sz w:val="34"/>
              </w:rPr>
            </w:pPr>
          </w:p>
          <w:p>
            <w:pPr>
              <w:pStyle w:val="TableParagraph"/>
              <w:ind w:left="551" w:right="329" w:hanging="209"/>
              <w:jc w:val="left"/>
              <w:rPr>
                <w:b/>
                <w:sz w:val="24"/>
              </w:rPr>
            </w:pPr>
            <w:r>
              <w:rPr>
                <w:b/>
                <w:sz w:val="24"/>
              </w:rPr>
              <w:t>% Diferencia Absoluta</w:t>
            </w:r>
          </w:p>
        </w:tc>
      </w:tr>
      <w:tr>
        <w:trPr>
          <w:trHeight w:val="365" w:hRule="exact"/>
        </w:trPr>
        <w:tc>
          <w:tcPr>
            <w:tcW w:w="2521" w:type="dxa"/>
          </w:tcPr>
          <w:p>
            <w:pPr>
              <w:pStyle w:val="TableParagraph"/>
              <w:spacing w:before="55"/>
              <w:ind w:left="758" w:right="759"/>
              <w:rPr>
                <w:sz w:val="24"/>
              </w:rPr>
            </w:pPr>
            <w:r>
              <w:rPr>
                <w:sz w:val="24"/>
              </w:rPr>
              <w:t>Arsénico</w:t>
            </w:r>
          </w:p>
        </w:tc>
        <w:tc>
          <w:tcPr>
            <w:tcW w:w="1980" w:type="dxa"/>
          </w:tcPr>
          <w:p>
            <w:pPr>
              <w:pStyle w:val="TableParagraph"/>
              <w:spacing w:before="55"/>
              <w:ind w:right="607"/>
              <w:jc w:val="right"/>
              <w:rPr>
                <w:sz w:val="24"/>
              </w:rPr>
            </w:pPr>
            <w:r>
              <w:rPr>
                <w:sz w:val="24"/>
              </w:rPr>
              <w:t>120.99</w:t>
            </w:r>
          </w:p>
        </w:tc>
        <w:tc>
          <w:tcPr>
            <w:tcW w:w="1981" w:type="dxa"/>
          </w:tcPr>
          <w:p>
            <w:pPr>
              <w:pStyle w:val="TableParagraph"/>
              <w:spacing w:before="55"/>
              <w:ind w:left="155" w:right="155"/>
              <w:rPr>
                <w:sz w:val="24"/>
              </w:rPr>
            </w:pPr>
            <w:r>
              <w:rPr>
                <w:sz w:val="24"/>
              </w:rPr>
              <w:t>123.53</w:t>
            </w:r>
          </w:p>
        </w:tc>
        <w:tc>
          <w:tcPr>
            <w:tcW w:w="2160" w:type="dxa"/>
          </w:tcPr>
          <w:p>
            <w:pPr>
              <w:pStyle w:val="TableParagraph"/>
              <w:spacing w:before="55"/>
              <w:ind w:left="998"/>
              <w:jc w:val="left"/>
              <w:rPr>
                <w:sz w:val="24"/>
              </w:rPr>
            </w:pPr>
            <w:r>
              <w:rPr>
                <w:w w:val="99"/>
                <w:sz w:val="24"/>
              </w:rPr>
              <w:t>3</w:t>
            </w:r>
          </w:p>
        </w:tc>
      </w:tr>
      <w:tr>
        <w:trPr>
          <w:trHeight w:val="367" w:hRule="exact"/>
        </w:trPr>
        <w:tc>
          <w:tcPr>
            <w:tcW w:w="2521" w:type="dxa"/>
          </w:tcPr>
          <w:p>
            <w:pPr>
              <w:pStyle w:val="TableParagraph"/>
              <w:spacing w:before="58"/>
              <w:ind w:left="758" w:right="758"/>
              <w:rPr>
                <w:sz w:val="24"/>
              </w:rPr>
            </w:pPr>
            <w:r>
              <w:rPr>
                <w:sz w:val="24"/>
              </w:rPr>
              <w:t>Cadmio</w:t>
            </w:r>
          </w:p>
        </w:tc>
        <w:tc>
          <w:tcPr>
            <w:tcW w:w="1980" w:type="dxa"/>
          </w:tcPr>
          <w:p>
            <w:pPr>
              <w:pStyle w:val="TableParagraph"/>
              <w:spacing w:before="58"/>
              <w:ind w:right="674"/>
              <w:jc w:val="right"/>
              <w:rPr>
                <w:sz w:val="24"/>
              </w:rPr>
            </w:pPr>
            <w:r>
              <w:rPr>
                <w:sz w:val="24"/>
              </w:rPr>
              <w:t>97.48</w:t>
            </w:r>
          </w:p>
        </w:tc>
        <w:tc>
          <w:tcPr>
            <w:tcW w:w="1981" w:type="dxa"/>
          </w:tcPr>
          <w:p>
            <w:pPr>
              <w:pStyle w:val="TableParagraph"/>
              <w:spacing w:before="58"/>
              <w:ind w:left="155" w:right="155"/>
              <w:rPr>
                <w:sz w:val="24"/>
              </w:rPr>
            </w:pPr>
            <w:r>
              <w:rPr>
                <w:sz w:val="24"/>
              </w:rPr>
              <w:t>95.35</w:t>
            </w:r>
          </w:p>
        </w:tc>
        <w:tc>
          <w:tcPr>
            <w:tcW w:w="2160" w:type="dxa"/>
          </w:tcPr>
          <w:p>
            <w:pPr>
              <w:pStyle w:val="TableParagraph"/>
              <w:spacing w:before="58"/>
              <w:ind w:left="998"/>
              <w:jc w:val="left"/>
              <w:rPr>
                <w:sz w:val="24"/>
              </w:rPr>
            </w:pPr>
            <w:r>
              <w:rPr>
                <w:w w:val="99"/>
                <w:sz w:val="24"/>
              </w:rPr>
              <w:t>2</w:t>
            </w:r>
          </w:p>
        </w:tc>
      </w:tr>
      <w:tr>
        <w:trPr>
          <w:trHeight w:val="365" w:hRule="exact"/>
        </w:trPr>
        <w:tc>
          <w:tcPr>
            <w:tcW w:w="2521" w:type="dxa"/>
          </w:tcPr>
          <w:p>
            <w:pPr>
              <w:pStyle w:val="TableParagraph"/>
              <w:spacing w:before="55"/>
              <w:ind w:left="757" w:right="759"/>
              <w:rPr>
                <w:sz w:val="24"/>
              </w:rPr>
            </w:pPr>
            <w:r>
              <w:rPr>
                <w:sz w:val="24"/>
              </w:rPr>
              <w:t>Mercurio</w:t>
            </w:r>
          </w:p>
        </w:tc>
        <w:tc>
          <w:tcPr>
            <w:tcW w:w="1980" w:type="dxa"/>
          </w:tcPr>
          <w:p>
            <w:pPr>
              <w:pStyle w:val="TableParagraph"/>
              <w:spacing w:before="55"/>
              <w:ind w:right="674"/>
              <w:jc w:val="right"/>
              <w:rPr>
                <w:sz w:val="24"/>
              </w:rPr>
            </w:pPr>
            <w:r>
              <w:rPr>
                <w:sz w:val="24"/>
              </w:rPr>
              <w:t>96.11</w:t>
            </w:r>
          </w:p>
        </w:tc>
        <w:tc>
          <w:tcPr>
            <w:tcW w:w="1981" w:type="dxa"/>
          </w:tcPr>
          <w:p>
            <w:pPr>
              <w:pStyle w:val="TableParagraph"/>
              <w:spacing w:before="55"/>
              <w:ind w:left="155" w:right="155"/>
              <w:rPr>
                <w:sz w:val="24"/>
              </w:rPr>
            </w:pPr>
            <w:r>
              <w:rPr>
                <w:sz w:val="24"/>
              </w:rPr>
              <w:t>89.42</w:t>
            </w:r>
          </w:p>
        </w:tc>
        <w:tc>
          <w:tcPr>
            <w:tcW w:w="2160" w:type="dxa"/>
          </w:tcPr>
          <w:p>
            <w:pPr>
              <w:pStyle w:val="TableParagraph"/>
              <w:spacing w:before="55"/>
              <w:ind w:left="998"/>
              <w:jc w:val="left"/>
              <w:rPr>
                <w:sz w:val="24"/>
              </w:rPr>
            </w:pPr>
            <w:r>
              <w:rPr>
                <w:w w:val="99"/>
                <w:sz w:val="24"/>
              </w:rPr>
              <w:t>7</w:t>
            </w:r>
          </w:p>
        </w:tc>
      </w:tr>
      <w:tr>
        <w:trPr>
          <w:trHeight w:val="365" w:hRule="exact"/>
        </w:trPr>
        <w:tc>
          <w:tcPr>
            <w:tcW w:w="2521" w:type="dxa"/>
          </w:tcPr>
          <w:p>
            <w:pPr>
              <w:pStyle w:val="TableParagraph"/>
              <w:spacing w:before="58"/>
              <w:ind w:left="758" w:right="759"/>
              <w:rPr>
                <w:sz w:val="24"/>
              </w:rPr>
            </w:pPr>
            <w:r>
              <w:rPr>
                <w:sz w:val="24"/>
              </w:rPr>
              <w:t>Plomo</w:t>
            </w:r>
          </w:p>
        </w:tc>
        <w:tc>
          <w:tcPr>
            <w:tcW w:w="1980" w:type="dxa"/>
          </w:tcPr>
          <w:p>
            <w:pPr>
              <w:pStyle w:val="TableParagraph"/>
              <w:spacing w:before="58"/>
              <w:ind w:right="674"/>
              <w:jc w:val="right"/>
              <w:rPr>
                <w:sz w:val="24"/>
              </w:rPr>
            </w:pPr>
            <w:r>
              <w:rPr>
                <w:sz w:val="24"/>
              </w:rPr>
              <w:t>85.05</w:t>
            </w:r>
          </w:p>
        </w:tc>
        <w:tc>
          <w:tcPr>
            <w:tcW w:w="1981" w:type="dxa"/>
          </w:tcPr>
          <w:p>
            <w:pPr>
              <w:pStyle w:val="TableParagraph"/>
              <w:spacing w:before="58"/>
              <w:ind w:left="155" w:right="155"/>
              <w:rPr>
                <w:sz w:val="24"/>
              </w:rPr>
            </w:pPr>
            <w:r>
              <w:rPr>
                <w:sz w:val="24"/>
              </w:rPr>
              <w:t>91.38</w:t>
            </w:r>
          </w:p>
        </w:tc>
        <w:tc>
          <w:tcPr>
            <w:tcW w:w="2160" w:type="dxa"/>
          </w:tcPr>
          <w:p>
            <w:pPr>
              <w:pStyle w:val="TableParagraph"/>
              <w:spacing w:before="58"/>
              <w:ind w:left="998"/>
              <w:jc w:val="left"/>
              <w:rPr>
                <w:sz w:val="24"/>
              </w:rPr>
            </w:pPr>
            <w:r>
              <w:rPr>
                <w:w w:val="99"/>
                <w:sz w:val="24"/>
              </w:rPr>
              <w:t>6</w:t>
            </w:r>
          </w:p>
        </w:tc>
      </w:tr>
    </w:tbl>
    <w:p>
      <w:pPr>
        <w:spacing w:after="0"/>
        <w:jc w:val="left"/>
        <w:rPr>
          <w:sz w:val="24"/>
        </w:rPr>
        <w:sectPr>
          <w:pgSz w:w="12240" w:h="15840"/>
          <w:pgMar w:header="0" w:footer="919" w:top="1360" w:bottom="1100" w:left="1100" w:right="1080"/>
        </w:sectPr>
      </w:pPr>
    </w:p>
    <w:p>
      <w:pPr>
        <w:pStyle w:val="ListParagraph"/>
        <w:numPr>
          <w:ilvl w:val="0"/>
          <w:numId w:val="9"/>
        </w:numPr>
        <w:tabs>
          <w:tab w:pos="901" w:val="left" w:leader="none"/>
          <w:tab w:pos="902" w:val="left" w:leader="none"/>
        </w:tabs>
        <w:spacing w:line="240" w:lineRule="auto" w:before="56" w:after="0"/>
        <w:ind w:left="902" w:right="0" w:hanging="788"/>
        <w:jc w:val="left"/>
        <w:rPr>
          <w:b/>
          <w:sz w:val="24"/>
        </w:rPr>
      </w:pPr>
      <w:r>
        <w:rPr>
          <w:b/>
          <w:sz w:val="24"/>
        </w:rPr>
        <w:t>Rango</w:t>
      </w:r>
    </w:p>
    <w:p>
      <w:pPr>
        <w:pStyle w:val="BodyText"/>
        <w:spacing w:before="1"/>
        <w:rPr>
          <w:b/>
          <w:sz w:val="31"/>
        </w:rPr>
      </w:pPr>
    </w:p>
    <w:p>
      <w:pPr>
        <w:pStyle w:val="BodyText"/>
        <w:spacing w:line="278" w:lineRule="auto"/>
        <w:ind w:left="901" w:right="480"/>
      </w:pPr>
      <w:r>
        <w:rPr>
          <w:color w:val="212121"/>
        </w:rPr>
        <w:t>Los rangos fueron establecidos a partir de los datos de linealidad, exactitud y precisión. Los resultados se presentan en la Tabla B.VIII.1</w:t>
      </w:r>
    </w:p>
    <w:p>
      <w:pPr>
        <w:pStyle w:val="BodyText"/>
        <w:spacing w:before="4"/>
        <w:rPr>
          <w:sz w:val="27"/>
        </w:rPr>
      </w:pPr>
    </w:p>
    <w:p>
      <w:pPr>
        <w:pStyle w:val="Heading1"/>
        <w:ind w:left="1598" w:right="480"/>
        <w:jc w:val="left"/>
      </w:pPr>
      <w:r>
        <w:rPr/>
        <w:t>Tabla B.VIII.1. Rango</w:t>
      </w:r>
    </w:p>
    <w:p>
      <w:pPr>
        <w:pStyle w:val="BodyText"/>
        <w:rPr>
          <w:b/>
          <w:sz w:val="20"/>
        </w:rPr>
      </w:pPr>
    </w:p>
    <w:p>
      <w:pPr>
        <w:pStyle w:val="BodyText"/>
        <w:spacing w:before="5"/>
        <w:rPr>
          <w:b/>
          <w:sz w:val="11"/>
        </w:rPr>
      </w:pPr>
    </w:p>
    <w:tbl>
      <w:tblPr>
        <w:tblW w:w="0" w:type="auto"/>
        <w:jc w:val="left"/>
        <w:tblInd w:w="1247"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CellMar>
          <w:top w:w="0" w:type="dxa"/>
          <w:left w:w="0" w:type="dxa"/>
          <w:bottom w:w="0" w:type="dxa"/>
          <w:right w:w="0" w:type="dxa"/>
        </w:tblCellMar>
        <w:tblLook w:val="01E0"/>
      </w:tblPr>
      <w:tblGrid>
        <w:gridCol w:w="2182"/>
        <w:gridCol w:w="5920"/>
      </w:tblGrid>
      <w:tr>
        <w:trPr>
          <w:trHeight w:val="415" w:hRule="exact"/>
        </w:trPr>
        <w:tc>
          <w:tcPr>
            <w:tcW w:w="2182" w:type="dxa"/>
            <w:tcBorders>
              <w:bottom w:val="single" w:sz="4" w:space="0" w:color="000000"/>
              <w:right w:val="single" w:sz="4" w:space="0" w:color="000000"/>
            </w:tcBorders>
            <w:shd w:val="clear" w:color="auto" w:fill="D9D9D9"/>
          </w:tcPr>
          <w:p>
            <w:pPr>
              <w:pStyle w:val="TableParagraph"/>
              <w:spacing w:before="115"/>
              <w:ind w:left="450" w:right="458"/>
              <w:rPr>
                <w:b/>
                <w:sz w:val="24"/>
              </w:rPr>
            </w:pPr>
            <w:r>
              <w:rPr>
                <w:b/>
                <w:sz w:val="24"/>
              </w:rPr>
              <w:t>Elementos</w:t>
            </w:r>
          </w:p>
        </w:tc>
        <w:tc>
          <w:tcPr>
            <w:tcW w:w="5920" w:type="dxa"/>
            <w:tcBorders>
              <w:left w:val="single" w:sz="4" w:space="0" w:color="000000"/>
              <w:bottom w:val="single" w:sz="4" w:space="0" w:color="000000"/>
            </w:tcBorders>
            <w:shd w:val="clear" w:color="auto" w:fill="D9D9D9"/>
          </w:tcPr>
          <w:p>
            <w:pPr>
              <w:pStyle w:val="TableParagraph"/>
              <w:spacing w:before="115"/>
              <w:ind w:left="263" w:right="256"/>
              <w:rPr>
                <w:b/>
                <w:sz w:val="24"/>
              </w:rPr>
            </w:pPr>
            <w:r>
              <w:rPr>
                <w:b/>
                <w:sz w:val="24"/>
              </w:rPr>
              <w:t>Rango</w:t>
            </w:r>
          </w:p>
        </w:tc>
      </w:tr>
      <w:tr>
        <w:trPr>
          <w:trHeight w:val="346" w:hRule="exact"/>
        </w:trPr>
        <w:tc>
          <w:tcPr>
            <w:tcW w:w="2182" w:type="dxa"/>
            <w:tcBorders>
              <w:top w:val="single" w:sz="4" w:space="0" w:color="000000"/>
              <w:bottom w:val="single" w:sz="4" w:space="0" w:color="000000"/>
              <w:right w:val="single" w:sz="4" w:space="0" w:color="000000"/>
            </w:tcBorders>
          </w:tcPr>
          <w:p>
            <w:pPr>
              <w:pStyle w:val="TableParagraph"/>
              <w:spacing w:before="55"/>
              <w:ind w:left="447" w:right="458"/>
              <w:rPr>
                <w:sz w:val="24"/>
              </w:rPr>
            </w:pPr>
            <w:r>
              <w:rPr>
                <w:sz w:val="24"/>
              </w:rPr>
              <w:t>As</w:t>
            </w:r>
          </w:p>
        </w:tc>
        <w:tc>
          <w:tcPr>
            <w:tcW w:w="5920" w:type="dxa"/>
            <w:tcBorders>
              <w:top w:val="single" w:sz="4" w:space="0" w:color="000000"/>
              <w:left w:val="single" w:sz="4" w:space="0" w:color="000000"/>
              <w:bottom w:val="single" w:sz="4" w:space="0" w:color="000000"/>
            </w:tcBorders>
          </w:tcPr>
          <w:p>
            <w:pPr>
              <w:pStyle w:val="TableParagraph"/>
              <w:spacing w:before="55"/>
              <w:ind w:left="265" w:right="256"/>
              <w:rPr>
                <w:sz w:val="22"/>
              </w:rPr>
            </w:pPr>
            <w:r>
              <w:rPr>
                <w:sz w:val="24"/>
              </w:rPr>
              <w:t>L</w:t>
            </w:r>
            <w:r>
              <w:rPr>
                <w:sz w:val="22"/>
              </w:rPr>
              <w:t>C</w:t>
            </w:r>
            <w:r>
              <w:rPr>
                <w:sz w:val="24"/>
              </w:rPr>
              <w:t>-120 % </w:t>
            </w:r>
            <w:r>
              <w:rPr>
                <w:sz w:val="22"/>
              </w:rPr>
              <w:t>de la concentración del estándar de trabajo</w:t>
            </w:r>
          </w:p>
        </w:tc>
      </w:tr>
      <w:tr>
        <w:trPr>
          <w:trHeight w:val="346" w:hRule="exact"/>
        </w:trPr>
        <w:tc>
          <w:tcPr>
            <w:tcW w:w="2182" w:type="dxa"/>
            <w:tcBorders>
              <w:top w:val="single" w:sz="4" w:space="0" w:color="000000"/>
              <w:bottom w:val="single" w:sz="4" w:space="0" w:color="000000"/>
              <w:right w:val="single" w:sz="4" w:space="0" w:color="000000"/>
            </w:tcBorders>
          </w:tcPr>
          <w:p>
            <w:pPr>
              <w:pStyle w:val="TableParagraph"/>
              <w:spacing w:before="55"/>
              <w:ind w:left="448" w:right="458"/>
              <w:rPr>
                <w:sz w:val="24"/>
              </w:rPr>
            </w:pPr>
            <w:r>
              <w:rPr>
                <w:sz w:val="24"/>
              </w:rPr>
              <w:t>Cd</w:t>
            </w:r>
          </w:p>
        </w:tc>
        <w:tc>
          <w:tcPr>
            <w:tcW w:w="5920" w:type="dxa"/>
            <w:tcBorders>
              <w:top w:val="single" w:sz="4" w:space="0" w:color="000000"/>
              <w:left w:val="single" w:sz="4" w:space="0" w:color="000000"/>
              <w:bottom w:val="single" w:sz="4" w:space="0" w:color="000000"/>
            </w:tcBorders>
          </w:tcPr>
          <w:p>
            <w:pPr>
              <w:pStyle w:val="TableParagraph"/>
              <w:spacing w:before="55"/>
              <w:ind w:left="265" w:right="256"/>
              <w:rPr>
                <w:sz w:val="22"/>
              </w:rPr>
            </w:pPr>
            <w:r>
              <w:rPr>
                <w:sz w:val="24"/>
              </w:rPr>
              <w:t>L</w:t>
            </w:r>
            <w:r>
              <w:rPr>
                <w:sz w:val="22"/>
              </w:rPr>
              <w:t>C</w:t>
            </w:r>
            <w:r>
              <w:rPr>
                <w:sz w:val="24"/>
              </w:rPr>
              <w:t>-120 % </w:t>
            </w:r>
            <w:r>
              <w:rPr>
                <w:sz w:val="22"/>
              </w:rPr>
              <w:t>de la concentración del estándar de trabajo</w:t>
            </w:r>
          </w:p>
        </w:tc>
      </w:tr>
      <w:tr>
        <w:trPr>
          <w:trHeight w:val="346" w:hRule="exact"/>
        </w:trPr>
        <w:tc>
          <w:tcPr>
            <w:tcW w:w="2182" w:type="dxa"/>
            <w:tcBorders>
              <w:top w:val="single" w:sz="4" w:space="0" w:color="000000"/>
              <w:bottom w:val="single" w:sz="4" w:space="0" w:color="000000"/>
              <w:right w:val="single" w:sz="4" w:space="0" w:color="000000"/>
            </w:tcBorders>
          </w:tcPr>
          <w:p>
            <w:pPr>
              <w:pStyle w:val="TableParagraph"/>
              <w:spacing w:before="56"/>
              <w:ind w:left="448" w:right="458"/>
              <w:rPr>
                <w:sz w:val="24"/>
              </w:rPr>
            </w:pPr>
            <w:r>
              <w:rPr>
                <w:sz w:val="24"/>
              </w:rPr>
              <w:t>Hg</w:t>
            </w:r>
          </w:p>
        </w:tc>
        <w:tc>
          <w:tcPr>
            <w:tcW w:w="5920" w:type="dxa"/>
            <w:tcBorders>
              <w:top w:val="single" w:sz="4" w:space="0" w:color="000000"/>
              <w:left w:val="single" w:sz="4" w:space="0" w:color="000000"/>
              <w:bottom w:val="single" w:sz="4" w:space="0" w:color="000000"/>
            </w:tcBorders>
          </w:tcPr>
          <w:p>
            <w:pPr>
              <w:pStyle w:val="TableParagraph"/>
              <w:spacing w:before="56"/>
              <w:ind w:left="265" w:right="256"/>
              <w:rPr>
                <w:sz w:val="22"/>
              </w:rPr>
            </w:pPr>
            <w:r>
              <w:rPr>
                <w:sz w:val="24"/>
              </w:rPr>
              <w:t>L</w:t>
            </w:r>
            <w:r>
              <w:rPr>
                <w:sz w:val="22"/>
              </w:rPr>
              <w:t>C</w:t>
            </w:r>
            <w:r>
              <w:rPr>
                <w:sz w:val="24"/>
              </w:rPr>
              <w:t>-120 % </w:t>
            </w:r>
            <w:r>
              <w:rPr>
                <w:sz w:val="22"/>
              </w:rPr>
              <w:t>de la concentración del estándar de trabajo</w:t>
            </w:r>
          </w:p>
        </w:tc>
      </w:tr>
      <w:tr>
        <w:trPr>
          <w:trHeight w:val="355" w:hRule="exact"/>
        </w:trPr>
        <w:tc>
          <w:tcPr>
            <w:tcW w:w="2182" w:type="dxa"/>
            <w:tcBorders>
              <w:top w:val="single" w:sz="4" w:space="0" w:color="000000"/>
              <w:right w:val="single" w:sz="4" w:space="0" w:color="000000"/>
            </w:tcBorders>
          </w:tcPr>
          <w:p>
            <w:pPr>
              <w:pStyle w:val="TableParagraph"/>
              <w:spacing w:before="58"/>
              <w:ind w:left="450" w:right="457"/>
              <w:rPr>
                <w:sz w:val="24"/>
              </w:rPr>
            </w:pPr>
            <w:r>
              <w:rPr>
                <w:sz w:val="24"/>
              </w:rPr>
              <w:t>Pb</w:t>
            </w:r>
          </w:p>
        </w:tc>
        <w:tc>
          <w:tcPr>
            <w:tcW w:w="5920" w:type="dxa"/>
            <w:tcBorders>
              <w:top w:val="single" w:sz="4" w:space="0" w:color="000000"/>
              <w:left w:val="single" w:sz="4" w:space="0" w:color="000000"/>
            </w:tcBorders>
          </w:tcPr>
          <w:p>
            <w:pPr>
              <w:pStyle w:val="TableParagraph"/>
              <w:spacing w:before="58"/>
              <w:ind w:left="265" w:right="256"/>
              <w:rPr>
                <w:sz w:val="22"/>
              </w:rPr>
            </w:pPr>
            <w:r>
              <w:rPr>
                <w:sz w:val="24"/>
              </w:rPr>
              <w:t>L</w:t>
            </w:r>
            <w:r>
              <w:rPr>
                <w:sz w:val="22"/>
              </w:rPr>
              <w:t>C</w:t>
            </w:r>
            <w:r>
              <w:rPr>
                <w:sz w:val="24"/>
              </w:rPr>
              <w:t>-120 % </w:t>
            </w:r>
            <w:r>
              <w:rPr>
                <w:sz w:val="22"/>
              </w:rPr>
              <w:t>de la concentración del estándar de trabajo</w:t>
            </w:r>
          </w:p>
        </w:tc>
      </w:tr>
    </w:tbl>
    <w:p>
      <w:pPr>
        <w:pStyle w:val="BodyText"/>
        <w:rPr>
          <w:b/>
          <w:sz w:val="20"/>
        </w:rPr>
      </w:pPr>
    </w:p>
    <w:p>
      <w:pPr>
        <w:pStyle w:val="BodyText"/>
        <w:spacing w:before="7"/>
        <w:rPr>
          <w:b/>
          <w:sz w:val="27"/>
        </w:rPr>
      </w:pPr>
    </w:p>
    <w:p>
      <w:pPr>
        <w:pStyle w:val="ListParagraph"/>
        <w:numPr>
          <w:ilvl w:val="0"/>
          <w:numId w:val="9"/>
        </w:numPr>
        <w:tabs>
          <w:tab w:pos="901" w:val="left" w:leader="none"/>
          <w:tab w:pos="902" w:val="left" w:leader="none"/>
        </w:tabs>
        <w:spacing w:line="240" w:lineRule="auto" w:before="70" w:after="0"/>
        <w:ind w:left="902" w:right="0" w:hanging="653"/>
        <w:jc w:val="left"/>
        <w:rPr>
          <w:b/>
          <w:sz w:val="24"/>
        </w:rPr>
      </w:pPr>
      <w:r>
        <w:rPr>
          <w:b/>
          <w:sz w:val="24"/>
        </w:rPr>
        <w:t>Robustez</w:t>
      </w:r>
    </w:p>
    <w:p>
      <w:pPr>
        <w:pStyle w:val="BodyText"/>
        <w:spacing w:before="3"/>
        <w:rPr>
          <w:b/>
          <w:sz w:val="31"/>
        </w:rPr>
      </w:pPr>
    </w:p>
    <w:p>
      <w:pPr>
        <w:pStyle w:val="BodyText"/>
        <w:spacing w:line="360" w:lineRule="auto"/>
        <w:ind w:left="901" w:right="482"/>
        <w:jc w:val="both"/>
      </w:pPr>
      <w:r>
        <w:rPr>
          <w:color w:val="212121"/>
        </w:rPr>
        <w:t>Se realizaron cambios de manera deliberada a los parámetros críticos del método y los resultados se compararon con los obtenidos del método nominal. Tabla B.IX.I</w:t>
      </w:r>
    </w:p>
    <w:p>
      <w:pPr>
        <w:pStyle w:val="BodyText"/>
        <w:spacing w:before="9"/>
        <w:rPr>
          <w:sz w:val="27"/>
        </w:rPr>
      </w:pPr>
    </w:p>
    <w:p>
      <w:pPr>
        <w:pStyle w:val="Heading1"/>
        <w:ind w:left="901"/>
      </w:pPr>
      <w:r>
        <w:rPr>
          <w:color w:val="212121"/>
        </w:rPr>
        <w:t>Tabla B.IX.1. </w:t>
      </w:r>
      <w:r>
        <w:rPr/>
        <w:t>Parámetros evaluados para la prueba de robustez:</w:t>
      </w:r>
    </w:p>
    <w:p>
      <w:pPr>
        <w:pStyle w:val="BodyText"/>
        <w:spacing w:before="4"/>
        <w:rPr>
          <w:b/>
        </w:rPr>
      </w:pPr>
    </w:p>
    <w:tbl>
      <w:tblPr>
        <w:tblW w:w="0" w:type="auto"/>
        <w:jc w:val="left"/>
        <w:tblInd w:w="1444"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CellMar>
          <w:top w:w="0" w:type="dxa"/>
          <w:left w:w="0" w:type="dxa"/>
          <w:bottom w:w="0" w:type="dxa"/>
          <w:right w:w="0" w:type="dxa"/>
        </w:tblCellMar>
        <w:tblLook w:val="01E0"/>
      </w:tblPr>
      <w:tblGrid>
        <w:gridCol w:w="4088"/>
        <w:gridCol w:w="3584"/>
      </w:tblGrid>
      <w:tr>
        <w:trPr>
          <w:trHeight w:val="463" w:hRule="exact"/>
        </w:trPr>
        <w:tc>
          <w:tcPr>
            <w:tcW w:w="4088" w:type="dxa"/>
          </w:tcPr>
          <w:p>
            <w:pPr>
              <w:pStyle w:val="TableParagraph"/>
              <w:spacing w:before="75"/>
              <w:ind w:left="1415" w:right="1417"/>
              <w:rPr>
                <w:b/>
                <w:sz w:val="24"/>
              </w:rPr>
            </w:pPr>
            <w:r>
              <w:rPr>
                <w:b/>
                <w:sz w:val="24"/>
              </w:rPr>
              <w:t>Parámetro</w:t>
            </w:r>
          </w:p>
        </w:tc>
        <w:tc>
          <w:tcPr>
            <w:tcW w:w="3584" w:type="dxa"/>
          </w:tcPr>
          <w:p>
            <w:pPr>
              <w:pStyle w:val="TableParagraph"/>
              <w:spacing w:before="75"/>
              <w:ind w:left="1384" w:right="1384"/>
              <w:rPr>
                <w:b/>
                <w:sz w:val="24"/>
              </w:rPr>
            </w:pPr>
            <w:r>
              <w:rPr>
                <w:b/>
                <w:sz w:val="24"/>
              </w:rPr>
              <w:t>Rango</w:t>
            </w:r>
          </w:p>
        </w:tc>
      </w:tr>
      <w:tr>
        <w:trPr>
          <w:trHeight w:val="377" w:hRule="exact"/>
        </w:trPr>
        <w:tc>
          <w:tcPr>
            <w:tcW w:w="4088" w:type="dxa"/>
            <w:vMerge w:val="restart"/>
          </w:tcPr>
          <w:p>
            <w:pPr>
              <w:pStyle w:val="TableParagraph"/>
              <w:spacing w:before="5"/>
              <w:jc w:val="left"/>
              <w:rPr>
                <w:b/>
                <w:sz w:val="22"/>
              </w:rPr>
            </w:pPr>
          </w:p>
          <w:p>
            <w:pPr>
              <w:pStyle w:val="TableParagraph"/>
              <w:spacing w:line="274" w:lineRule="exact"/>
              <w:ind w:left="91" w:right="626"/>
              <w:jc w:val="left"/>
              <w:rPr>
                <w:sz w:val="24"/>
              </w:rPr>
            </w:pPr>
            <w:r>
              <w:rPr>
                <w:sz w:val="24"/>
              </w:rPr>
              <w:t>Temperatura de digestión de la muestra</w:t>
            </w:r>
          </w:p>
        </w:tc>
        <w:tc>
          <w:tcPr>
            <w:tcW w:w="3584" w:type="dxa"/>
            <w:tcBorders>
              <w:bottom w:val="single" w:sz="4" w:space="0" w:color="000000"/>
            </w:tcBorders>
          </w:tcPr>
          <w:p>
            <w:pPr>
              <w:pStyle w:val="TableParagraph"/>
              <w:spacing w:before="39"/>
              <w:ind w:left="93"/>
              <w:jc w:val="left"/>
              <w:rPr>
                <w:sz w:val="24"/>
              </w:rPr>
            </w:pPr>
            <w:r>
              <w:rPr>
                <w:sz w:val="24"/>
              </w:rPr>
              <w:t>Temperatura nominal</w:t>
            </w:r>
          </w:p>
        </w:tc>
      </w:tr>
      <w:tr>
        <w:trPr>
          <w:trHeight w:val="713" w:hRule="exact"/>
        </w:trPr>
        <w:tc>
          <w:tcPr>
            <w:tcW w:w="4088" w:type="dxa"/>
            <w:vMerge/>
          </w:tcPr>
          <w:p>
            <w:pPr/>
          </w:p>
        </w:tc>
        <w:tc>
          <w:tcPr>
            <w:tcW w:w="3584" w:type="dxa"/>
            <w:tcBorders>
              <w:top w:val="single" w:sz="4" w:space="0" w:color="000000"/>
            </w:tcBorders>
          </w:tcPr>
          <w:p>
            <w:pPr>
              <w:pStyle w:val="TableParagraph"/>
              <w:spacing w:line="20" w:lineRule="exact"/>
              <w:ind w:left="3553" w:right="-40"/>
              <w:jc w:val="left"/>
              <w:rPr>
                <w:sz w:val="2"/>
              </w:rPr>
            </w:pPr>
            <w:r>
              <w:rPr>
                <w:sz w:val="2"/>
              </w:rPr>
              <w:drawing>
                <wp:inline distT="0" distB="0" distL="0" distR="0">
                  <wp:extent cx="1524" cy="6096"/>
                  <wp:effectExtent l="0" t="0" r="0" b="0"/>
                  <wp:docPr id="13" name="image40.png" descr=""/>
                  <wp:cNvGraphicFramePr>
                    <a:graphicFrameLocks noChangeAspect="1"/>
                  </wp:cNvGraphicFramePr>
                  <a:graphic>
                    <a:graphicData uri="http://schemas.openxmlformats.org/drawingml/2006/picture">
                      <pic:pic>
                        <pic:nvPicPr>
                          <pic:cNvPr id="14" name="image40.png"/>
                          <pic:cNvPicPr/>
                        </pic:nvPicPr>
                        <pic:blipFill>
                          <a:blip r:embed="rId77" cstate="print"/>
                          <a:stretch>
                            <a:fillRect/>
                          </a:stretch>
                        </pic:blipFill>
                        <pic:spPr>
                          <a:xfrm>
                            <a:off x="0" y="0"/>
                            <a:ext cx="1524" cy="6096"/>
                          </a:xfrm>
                          <a:prstGeom prst="rect">
                            <a:avLst/>
                          </a:prstGeom>
                        </pic:spPr>
                      </pic:pic>
                    </a:graphicData>
                  </a:graphic>
                </wp:inline>
              </w:drawing>
            </w:r>
            <w:r>
              <w:rPr>
                <w:sz w:val="2"/>
              </w:rPr>
            </w:r>
          </w:p>
          <w:p>
            <w:pPr>
              <w:pStyle w:val="TableParagraph"/>
              <w:spacing w:before="38"/>
              <w:ind w:left="93"/>
              <w:jc w:val="left"/>
              <w:rPr>
                <w:sz w:val="24"/>
              </w:rPr>
            </w:pPr>
            <w:r>
              <w:rPr>
                <w:sz w:val="24"/>
              </w:rPr>
              <w:t>Temperatura 1</w:t>
            </w:r>
          </w:p>
          <w:p>
            <w:pPr>
              <w:pStyle w:val="TableParagraph"/>
              <w:spacing w:before="38"/>
              <w:ind w:left="93"/>
              <w:jc w:val="left"/>
              <w:rPr>
                <w:sz w:val="24"/>
              </w:rPr>
            </w:pPr>
            <w:r>
              <w:rPr>
                <w:sz w:val="24"/>
              </w:rPr>
              <w:t>Temperatura 2</w:t>
            </w:r>
          </w:p>
        </w:tc>
      </w:tr>
      <w:tr>
        <w:trPr>
          <w:trHeight w:val="374" w:hRule="exact"/>
        </w:trPr>
        <w:tc>
          <w:tcPr>
            <w:tcW w:w="4088" w:type="dxa"/>
            <w:vMerge w:val="restart"/>
          </w:tcPr>
          <w:p>
            <w:pPr>
              <w:pStyle w:val="TableParagraph"/>
              <w:spacing w:before="3"/>
              <w:jc w:val="left"/>
              <w:rPr>
                <w:b/>
                <w:sz w:val="22"/>
              </w:rPr>
            </w:pPr>
          </w:p>
          <w:p>
            <w:pPr>
              <w:pStyle w:val="TableParagraph"/>
              <w:spacing w:line="274" w:lineRule="exact"/>
              <w:ind w:left="91" w:right="959"/>
              <w:jc w:val="left"/>
              <w:rPr>
                <w:sz w:val="24"/>
              </w:rPr>
            </w:pPr>
            <w:r>
              <w:rPr>
                <w:sz w:val="24"/>
              </w:rPr>
              <w:t>Tiempo de adquisición de la muestra</w:t>
            </w:r>
          </w:p>
        </w:tc>
        <w:tc>
          <w:tcPr>
            <w:tcW w:w="3584" w:type="dxa"/>
            <w:tcBorders>
              <w:bottom w:val="single" w:sz="4" w:space="0" w:color="000000"/>
            </w:tcBorders>
          </w:tcPr>
          <w:p>
            <w:pPr>
              <w:pStyle w:val="TableParagraph"/>
              <w:spacing w:before="36"/>
              <w:ind w:left="93"/>
              <w:jc w:val="left"/>
              <w:rPr>
                <w:sz w:val="24"/>
              </w:rPr>
            </w:pPr>
            <w:r>
              <w:rPr>
                <w:sz w:val="24"/>
              </w:rPr>
              <w:t>Tiempo Nominal</w:t>
            </w:r>
          </w:p>
        </w:tc>
      </w:tr>
      <w:tr>
        <w:trPr>
          <w:trHeight w:val="713" w:hRule="exact"/>
        </w:trPr>
        <w:tc>
          <w:tcPr>
            <w:tcW w:w="4088" w:type="dxa"/>
            <w:vMerge/>
          </w:tcPr>
          <w:p>
            <w:pPr/>
          </w:p>
        </w:tc>
        <w:tc>
          <w:tcPr>
            <w:tcW w:w="3584" w:type="dxa"/>
            <w:tcBorders>
              <w:top w:val="single" w:sz="4" w:space="0" w:color="000000"/>
            </w:tcBorders>
          </w:tcPr>
          <w:p>
            <w:pPr>
              <w:pStyle w:val="TableParagraph"/>
              <w:spacing w:line="20" w:lineRule="exact"/>
              <w:ind w:left="3553" w:right="-40"/>
              <w:jc w:val="left"/>
              <w:rPr>
                <w:sz w:val="2"/>
              </w:rPr>
            </w:pPr>
            <w:r>
              <w:rPr>
                <w:sz w:val="2"/>
              </w:rPr>
              <w:drawing>
                <wp:inline distT="0" distB="0" distL="0" distR="0">
                  <wp:extent cx="1524" cy="6095"/>
                  <wp:effectExtent l="0" t="0" r="0" b="0"/>
                  <wp:docPr id="15" name="image40.png" descr=""/>
                  <wp:cNvGraphicFramePr>
                    <a:graphicFrameLocks noChangeAspect="1"/>
                  </wp:cNvGraphicFramePr>
                  <a:graphic>
                    <a:graphicData uri="http://schemas.openxmlformats.org/drawingml/2006/picture">
                      <pic:pic>
                        <pic:nvPicPr>
                          <pic:cNvPr id="16" name="image40.png"/>
                          <pic:cNvPicPr/>
                        </pic:nvPicPr>
                        <pic:blipFill>
                          <a:blip r:embed="rId77" cstate="print"/>
                          <a:stretch>
                            <a:fillRect/>
                          </a:stretch>
                        </pic:blipFill>
                        <pic:spPr>
                          <a:xfrm>
                            <a:off x="0" y="0"/>
                            <a:ext cx="1524" cy="6095"/>
                          </a:xfrm>
                          <a:prstGeom prst="rect">
                            <a:avLst/>
                          </a:prstGeom>
                        </pic:spPr>
                      </pic:pic>
                    </a:graphicData>
                  </a:graphic>
                </wp:inline>
              </w:drawing>
            </w:r>
            <w:r>
              <w:rPr>
                <w:sz w:val="2"/>
              </w:rPr>
            </w:r>
          </w:p>
          <w:p>
            <w:pPr>
              <w:pStyle w:val="TableParagraph"/>
              <w:spacing w:before="38"/>
              <w:ind w:left="93"/>
              <w:jc w:val="left"/>
              <w:rPr>
                <w:sz w:val="24"/>
              </w:rPr>
            </w:pPr>
            <w:r>
              <w:rPr>
                <w:sz w:val="24"/>
              </w:rPr>
              <w:t>Tiempo 1</w:t>
            </w:r>
          </w:p>
          <w:p>
            <w:pPr>
              <w:pStyle w:val="TableParagraph"/>
              <w:spacing w:before="38"/>
              <w:ind w:left="93"/>
              <w:jc w:val="left"/>
              <w:rPr>
                <w:sz w:val="24"/>
              </w:rPr>
            </w:pPr>
            <w:r>
              <w:rPr>
                <w:sz w:val="24"/>
              </w:rPr>
              <w:t>Tiempo 2</w:t>
            </w:r>
          </w:p>
        </w:tc>
      </w:tr>
    </w:tbl>
    <w:p>
      <w:pPr>
        <w:pStyle w:val="BodyText"/>
        <w:rPr>
          <w:b/>
          <w:sz w:val="20"/>
        </w:rPr>
      </w:pPr>
    </w:p>
    <w:p>
      <w:pPr>
        <w:pStyle w:val="BodyText"/>
        <w:spacing w:before="9"/>
        <w:rPr>
          <w:b/>
          <w:sz w:val="21"/>
        </w:rPr>
      </w:pPr>
    </w:p>
    <w:p>
      <w:pPr>
        <w:pStyle w:val="BodyText"/>
        <w:spacing w:line="360" w:lineRule="auto" w:before="70"/>
        <w:ind w:left="901" w:right="479"/>
        <w:jc w:val="both"/>
      </w:pPr>
      <w:r>
        <w:rPr/>
        <w:t>Fueron estudiadas un total de 5 condiciones. </w:t>
      </w:r>
      <w:r>
        <w:rPr>
          <w:color w:val="212121"/>
        </w:rPr>
        <w:t>La robustez del método se evaluó mediante la realización de la prueba de idoneidad del sistema donde se consideraron la linealidad del método, los porcentajes de recobro para los estándares y los resultados obtenidos para la lectura de la</w:t>
      </w:r>
      <w:r>
        <w:rPr>
          <w:color w:val="212121"/>
          <w:spacing w:val="-29"/>
        </w:rPr>
        <w:t> </w:t>
      </w:r>
      <w:r>
        <w:rPr>
          <w:color w:val="212121"/>
        </w:rPr>
        <w:t>muestra.</w:t>
      </w:r>
    </w:p>
    <w:p>
      <w:pPr>
        <w:spacing w:after="0" w:line="360" w:lineRule="auto"/>
        <w:jc w:val="both"/>
        <w:sectPr>
          <w:pgSz w:w="12240" w:h="15840"/>
          <w:pgMar w:header="0" w:footer="919" w:top="1360" w:bottom="1100" w:left="1520" w:right="1220"/>
        </w:sectPr>
      </w:pPr>
    </w:p>
    <w:p>
      <w:pPr>
        <w:pStyle w:val="BodyText"/>
        <w:spacing w:line="360" w:lineRule="auto" w:before="61"/>
        <w:ind w:left="961" w:right="918"/>
        <w:jc w:val="both"/>
      </w:pPr>
      <w:r>
        <w:rPr/>
        <w:t>Los resultados obtenidos para la r</w:t>
      </w:r>
      <w:r>
        <w:rPr>
          <w:position w:val="11"/>
          <w:sz w:val="16"/>
        </w:rPr>
        <w:t>2</w:t>
      </w:r>
      <w:r>
        <w:rPr/>
        <w:t>, los porcentajes de recobro de la solución estándar al 100 % (después de los estándares de calibración y al final de la secuencia) y las ppm obtenidas para la muestra se reportan en la Tabla B.IX.II</w:t>
      </w:r>
    </w:p>
    <w:p>
      <w:pPr>
        <w:pStyle w:val="BodyText"/>
        <w:spacing w:line="360" w:lineRule="auto" w:before="125"/>
        <w:ind w:left="961" w:right="918"/>
        <w:jc w:val="both"/>
      </w:pPr>
      <w:r>
        <w:rPr/>
        <w:t>Los resultados de la curva de calibración, los % de recobro y la concentración As, Cd, Hg y Pb en la muestra cumplen con los criterios descritos en la Tabla B.IX.II, lo que indica que este método no es afectado por las variaciones realizadas en los parámetros del método.</w:t>
      </w:r>
    </w:p>
    <w:p>
      <w:pPr>
        <w:pStyle w:val="Heading1"/>
        <w:spacing w:before="125"/>
        <w:ind w:left="242"/>
        <w:jc w:val="left"/>
      </w:pPr>
      <w:r>
        <w:rPr/>
        <w:t>Tabla B.IX.2. Resultados del estudio de robustez</w:t>
      </w:r>
    </w:p>
    <w:p>
      <w:pPr>
        <w:pStyle w:val="BodyText"/>
        <w:spacing w:before="1"/>
        <w:rPr>
          <w:b/>
          <w:sz w:val="21"/>
        </w:rPr>
      </w:pPr>
    </w:p>
    <w:tbl>
      <w:tblPr>
        <w:tblW w:w="0" w:type="auto"/>
        <w:jc w:val="left"/>
        <w:tblInd w:w="119"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CellMar>
          <w:top w:w="0" w:type="dxa"/>
          <w:left w:w="0" w:type="dxa"/>
          <w:bottom w:w="0" w:type="dxa"/>
          <w:right w:w="0" w:type="dxa"/>
        </w:tblCellMar>
        <w:tblLook w:val="01E0"/>
      </w:tblPr>
      <w:tblGrid>
        <w:gridCol w:w="1435"/>
        <w:gridCol w:w="1162"/>
        <w:gridCol w:w="953"/>
        <w:gridCol w:w="951"/>
        <w:gridCol w:w="1099"/>
        <w:gridCol w:w="1100"/>
        <w:gridCol w:w="3022"/>
      </w:tblGrid>
      <w:tr>
        <w:trPr>
          <w:trHeight w:val="782" w:hRule="exact"/>
        </w:trPr>
        <w:tc>
          <w:tcPr>
            <w:tcW w:w="1435" w:type="dxa"/>
            <w:vMerge w:val="restart"/>
            <w:shd w:val="clear" w:color="auto" w:fill="D9D9D9"/>
          </w:tcPr>
          <w:p>
            <w:pPr>
              <w:pStyle w:val="TableParagraph"/>
              <w:jc w:val="left"/>
              <w:rPr>
                <w:b/>
                <w:sz w:val="24"/>
              </w:rPr>
            </w:pPr>
          </w:p>
          <w:p>
            <w:pPr>
              <w:pStyle w:val="TableParagraph"/>
              <w:spacing w:before="9"/>
              <w:jc w:val="left"/>
              <w:rPr>
                <w:b/>
                <w:sz w:val="21"/>
              </w:rPr>
            </w:pPr>
          </w:p>
          <w:p>
            <w:pPr>
              <w:pStyle w:val="TableParagraph"/>
              <w:spacing w:before="1"/>
              <w:ind w:left="295"/>
              <w:jc w:val="left"/>
              <w:rPr>
                <w:b/>
                <w:sz w:val="24"/>
              </w:rPr>
            </w:pPr>
            <w:r>
              <w:rPr>
                <w:b/>
                <w:sz w:val="24"/>
              </w:rPr>
              <w:t>Analito</w:t>
            </w:r>
          </w:p>
        </w:tc>
        <w:tc>
          <w:tcPr>
            <w:tcW w:w="1162" w:type="dxa"/>
            <w:vMerge w:val="restart"/>
            <w:shd w:val="clear" w:color="auto" w:fill="D9D9D9"/>
          </w:tcPr>
          <w:p>
            <w:pPr>
              <w:pStyle w:val="TableParagraph"/>
              <w:jc w:val="left"/>
              <w:rPr>
                <w:b/>
                <w:sz w:val="24"/>
              </w:rPr>
            </w:pPr>
          </w:p>
          <w:p>
            <w:pPr>
              <w:pStyle w:val="TableParagraph"/>
              <w:spacing w:before="9"/>
              <w:jc w:val="left"/>
              <w:rPr>
                <w:b/>
                <w:sz w:val="21"/>
              </w:rPr>
            </w:pPr>
          </w:p>
          <w:p>
            <w:pPr>
              <w:pStyle w:val="TableParagraph"/>
              <w:spacing w:before="1"/>
              <w:ind w:left="91"/>
              <w:jc w:val="left"/>
              <w:rPr>
                <w:b/>
                <w:sz w:val="24"/>
              </w:rPr>
            </w:pPr>
            <w:r>
              <w:rPr>
                <w:b/>
                <w:sz w:val="24"/>
              </w:rPr>
              <w:t>Nominal</w:t>
            </w:r>
          </w:p>
        </w:tc>
        <w:tc>
          <w:tcPr>
            <w:tcW w:w="1904" w:type="dxa"/>
            <w:gridSpan w:val="2"/>
            <w:shd w:val="clear" w:color="auto" w:fill="D9D9D9"/>
          </w:tcPr>
          <w:p>
            <w:pPr>
              <w:pStyle w:val="TableParagraph"/>
              <w:spacing w:line="242" w:lineRule="auto"/>
              <w:ind w:left="230" w:right="192" w:hanging="22"/>
              <w:jc w:val="left"/>
              <w:rPr>
                <w:b/>
                <w:sz w:val="24"/>
              </w:rPr>
            </w:pPr>
            <w:r>
              <w:rPr>
                <w:b/>
                <w:sz w:val="24"/>
              </w:rPr>
              <w:t>Temperatura de digestión</w:t>
            </w:r>
          </w:p>
        </w:tc>
        <w:tc>
          <w:tcPr>
            <w:tcW w:w="2199" w:type="dxa"/>
            <w:gridSpan w:val="2"/>
            <w:shd w:val="clear" w:color="auto" w:fill="D9D9D9"/>
          </w:tcPr>
          <w:p>
            <w:pPr>
              <w:pStyle w:val="TableParagraph"/>
              <w:spacing w:line="242" w:lineRule="auto"/>
              <w:ind w:left="443" w:right="148" w:hanging="281"/>
              <w:jc w:val="left"/>
              <w:rPr>
                <w:b/>
                <w:sz w:val="24"/>
              </w:rPr>
            </w:pPr>
            <w:r>
              <w:rPr>
                <w:b/>
                <w:sz w:val="24"/>
              </w:rPr>
              <w:t>Tiempo de toma de muestra</w:t>
            </w:r>
          </w:p>
        </w:tc>
        <w:tc>
          <w:tcPr>
            <w:tcW w:w="3022" w:type="dxa"/>
            <w:vMerge w:val="restart"/>
            <w:shd w:val="clear" w:color="auto" w:fill="D9D9D9"/>
          </w:tcPr>
          <w:p>
            <w:pPr>
              <w:pStyle w:val="TableParagraph"/>
              <w:jc w:val="left"/>
              <w:rPr>
                <w:b/>
                <w:sz w:val="24"/>
              </w:rPr>
            </w:pPr>
          </w:p>
          <w:p>
            <w:pPr>
              <w:pStyle w:val="TableParagraph"/>
              <w:spacing w:before="9"/>
              <w:jc w:val="left"/>
              <w:rPr>
                <w:b/>
                <w:sz w:val="21"/>
              </w:rPr>
            </w:pPr>
          </w:p>
          <w:p>
            <w:pPr>
              <w:pStyle w:val="TableParagraph"/>
              <w:spacing w:before="1"/>
              <w:ind w:left="1049" w:right="1050"/>
              <w:rPr>
                <w:b/>
                <w:sz w:val="24"/>
              </w:rPr>
            </w:pPr>
            <w:r>
              <w:rPr>
                <w:b/>
                <w:sz w:val="24"/>
              </w:rPr>
              <w:t>Criterio</w:t>
            </w:r>
          </w:p>
        </w:tc>
      </w:tr>
      <w:tr>
        <w:trPr>
          <w:trHeight w:val="781" w:hRule="exact"/>
        </w:trPr>
        <w:tc>
          <w:tcPr>
            <w:tcW w:w="1435" w:type="dxa"/>
            <w:vMerge/>
            <w:shd w:val="clear" w:color="auto" w:fill="D9D9D9"/>
          </w:tcPr>
          <w:p>
            <w:pPr/>
          </w:p>
        </w:tc>
        <w:tc>
          <w:tcPr>
            <w:tcW w:w="1162" w:type="dxa"/>
            <w:vMerge/>
            <w:shd w:val="clear" w:color="auto" w:fill="D9D9D9"/>
          </w:tcPr>
          <w:p>
            <w:pPr/>
          </w:p>
        </w:tc>
        <w:tc>
          <w:tcPr>
            <w:tcW w:w="953" w:type="dxa"/>
            <w:shd w:val="clear" w:color="auto" w:fill="D9D9D9"/>
          </w:tcPr>
          <w:p>
            <w:pPr>
              <w:pStyle w:val="TableParagraph"/>
              <w:spacing w:line="273" w:lineRule="exact"/>
              <w:ind w:left="88" w:right="88"/>
              <w:rPr>
                <w:b/>
                <w:sz w:val="24"/>
              </w:rPr>
            </w:pPr>
            <w:r>
              <w:rPr>
                <w:b/>
                <w:sz w:val="24"/>
              </w:rPr>
              <w:t>Temp.</w:t>
            </w:r>
          </w:p>
          <w:p>
            <w:pPr>
              <w:pStyle w:val="TableParagraph"/>
              <w:spacing w:before="2"/>
              <w:ind w:right="1"/>
              <w:rPr>
                <w:b/>
                <w:sz w:val="24"/>
              </w:rPr>
            </w:pPr>
            <w:r>
              <w:rPr>
                <w:b/>
                <w:w w:val="99"/>
                <w:sz w:val="24"/>
              </w:rPr>
              <w:t>1</w:t>
            </w:r>
          </w:p>
        </w:tc>
        <w:tc>
          <w:tcPr>
            <w:tcW w:w="951" w:type="dxa"/>
            <w:shd w:val="clear" w:color="auto" w:fill="D9D9D9"/>
          </w:tcPr>
          <w:p>
            <w:pPr>
              <w:pStyle w:val="TableParagraph"/>
              <w:spacing w:line="273" w:lineRule="exact"/>
              <w:ind w:left="88" w:right="87"/>
              <w:rPr>
                <w:b/>
                <w:sz w:val="24"/>
              </w:rPr>
            </w:pPr>
            <w:r>
              <w:rPr>
                <w:b/>
                <w:sz w:val="24"/>
              </w:rPr>
              <w:t>Temp.</w:t>
            </w:r>
          </w:p>
          <w:p>
            <w:pPr>
              <w:pStyle w:val="TableParagraph"/>
              <w:spacing w:before="2"/>
              <w:ind w:right="1"/>
              <w:rPr>
                <w:b/>
                <w:sz w:val="24"/>
              </w:rPr>
            </w:pPr>
            <w:r>
              <w:rPr>
                <w:b/>
                <w:w w:val="99"/>
                <w:sz w:val="24"/>
              </w:rPr>
              <w:t>2</w:t>
            </w:r>
          </w:p>
        </w:tc>
        <w:tc>
          <w:tcPr>
            <w:tcW w:w="1099" w:type="dxa"/>
            <w:shd w:val="clear" w:color="auto" w:fill="D9D9D9"/>
          </w:tcPr>
          <w:p>
            <w:pPr>
              <w:pStyle w:val="TableParagraph"/>
              <w:spacing w:line="242" w:lineRule="auto"/>
              <w:ind w:left="467" w:right="90" w:hanging="360"/>
              <w:jc w:val="left"/>
              <w:rPr>
                <w:b/>
                <w:sz w:val="24"/>
              </w:rPr>
            </w:pPr>
            <w:r>
              <w:rPr>
                <w:b/>
                <w:sz w:val="24"/>
              </w:rPr>
              <w:t>Tiempo 1</w:t>
            </w:r>
          </w:p>
        </w:tc>
        <w:tc>
          <w:tcPr>
            <w:tcW w:w="1100" w:type="dxa"/>
            <w:shd w:val="clear" w:color="auto" w:fill="D9D9D9"/>
          </w:tcPr>
          <w:p>
            <w:pPr>
              <w:pStyle w:val="TableParagraph"/>
              <w:spacing w:line="242" w:lineRule="auto"/>
              <w:ind w:left="467" w:right="90" w:hanging="360"/>
              <w:jc w:val="left"/>
              <w:rPr>
                <w:b/>
                <w:sz w:val="24"/>
              </w:rPr>
            </w:pPr>
            <w:r>
              <w:rPr>
                <w:b/>
                <w:sz w:val="24"/>
              </w:rPr>
              <w:t>Tiempo 2</w:t>
            </w:r>
          </w:p>
        </w:tc>
        <w:tc>
          <w:tcPr>
            <w:tcW w:w="3022" w:type="dxa"/>
            <w:vMerge/>
            <w:shd w:val="clear" w:color="auto" w:fill="D9D9D9"/>
          </w:tcPr>
          <w:p>
            <w:pPr/>
          </w:p>
        </w:tc>
      </w:tr>
      <w:tr>
        <w:trPr>
          <w:trHeight w:val="506" w:hRule="exact"/>
        </w:trPr>
        <w:tc>
          <w:tcPr>
            <w:tcW w:w="9722" w:type="dxa"/>
            <w:gridSpan w:val="7"/>
            <w:shd w:val="clear" w:color="auto" w:fill="D9D9D9"/>
          </w:tcPr>
          <w:p>
            <w:pPr>
              <w:pStyle w:val="TableParagraph"/>
              <w:spacing w:line="274" w:lineRule="exact"/>
              <w:ind w:left="2966"/>
              <w:jc w:val="left"/>
              <w:rPr>
                <w:b/>
                <w:sz w:val="24"/>
              </w:rPr>
            </w:pPr>
            <w:r>
              <w:rPr>
                <w:b/>
                <w:sz w:val="24"/>
              </w:rPr>
              <w:t>Coeficiente de determinación (r</w:t>
            </w:r>
            <w:r>
              <w:rPr>
                <w:b/>
                <w:position w:val="11"/>
                <w:sz w:val="16"/>
              </w:rPr>
              <w:t>2</w:t>
            </w:r>
            <w:r>
              <w:rPr>
                <w:b/>
                <w:sz w:val="24"/>
              </w:rPr>
              <w:t>)</w:t>
            </w:r>
          </w:p>
        </w:tc>
      </w:tr>
      <w:tr>
        <w:trPr>
          <w:trHeight w:val="300" w:hRule="exact"/>
        </w:trPr>
        <w:tc>
          <w:tcPr>
            <w:tcW w:w="1435" w:type="dxa"/>
            <w:tcBorders>
              <w:bottom w:val="single" w:sz="8" w:space="0" w:color="000000"/>
            </w:tcBorders>
          </w:tcPr>
          <w:p>
            <w:pPr>
              <w:pStyle w:val="TableParagraph"/>
              <w:spacing w:line="272" w:lineRule="exact"/>
              <w:ind w:left="527" w:right="528"/>
              <w:rPr>
                <w:sz w:val="24"/>
              </w:rPr>
            </w:pPr>
            <w:r>
              <w:rPr>
                <w:sz w:val="24"/>
              </w:rPr>
              <w:t>As</w:t>
            </w:r>
          </w:p>
        </w:tc>
        <w:tc>
          <w:tcPr>
            <w:tcW w:w="1162" w:type="dxa"/>
            <w:tcBorders>
              <w:bottom w:val="single" w:sz="8" w:space="0" w:color="000000"/>
            </w:tcBorders>
          </w:tcPr>
          <w:p>
            <w:pPr>
              <w:pStyle w:val="TableParagraph"/>
              <w:spacing w:line="272" w:lineRule="exact"/>
              <w:ind w:left="305" w:right="305"/>
              <w:rPr>
                <w:sz w:val="24"/>
              </w:rPr>
            </w:pPr>
            <w:r>
              <w:rPr>
                <w:sz w:val="24"/>
              </w:rPr>
              <w:t>1.00</w:t>
            </w:r>
          </w:p>
        </w:tc>
        <w:tc>
          <w:tcPr>
            <w:tcW w:w="953" w:type="dxa"/>
            <w:tcBorders>
              <w:bottom w:val="single" w:sz="8" w:space="0" w:color="000000"/>
            </w:tcBorders>
          </w:tcPr>
          <w:p>
            <w:pPr>
              <w:pStyle w:val="TableParagraph"/>
              <w:spacing w:line="272" w:lineRule="exact"/>
              <w:ind w:left="88" w:right="88"/>
              <w:rPr>
                <w:sz w:val="24"/>
              </w:rPr>
            </w:pPr>
            <w:r>
              <w:rPr>
                <w:sz w:val="24"/>
              </w:rPr>
              <w:t>1.00</w:t>
            </w:r>
          </w:p>
        </w:tc>
        <w:tc>
          <w:tcPr>
            <w:tcW w:w="951" w:type="dxa"/>
            <w:tcBorders>
              <w:bottom w:val="single" w:sz="8" w:space="0" w:color="000000"/>
            </w:tcBorders>
          </w:tcPr>
          <w:p>
            <w:pPr>
              <w:pStyle w:val="TableParagraph"/>
              <w:spacing w:line="272" w:lineRule="exact"/>
              <w:ind w:left="88" w:right="86"/>
              <w:rPr>
                <w:sz w:val="24"/>
              </w:rPr>
            </w:pPr>
            <w:r>
              <w:rPr>
                <w:sz w:val="24"/>
              </w:rPr>
              <w:t>1.00</w:t>
            </w:r>
          </w:p>
        </w:tc>
        <w:tc>
          <w:tcPr>
            <w:tcW w:w="1099" w:type="dxa"/>
            <w:tcBorders>
              <w:bottom w:val="single" w:sz="8" w:space="0" w:color="000000"/>
            </w:tcBorders>
          </w:tcPr>
          <w:p>
            <w:pPr>
              <w:pStyle w:val="TableParagraph"/>
              <w:spacing w:line="272" w:lineRule="exact"/>
              <w:ind w:left="274" w:right="275"/>
              <w:rPr>
                <w:sz w:val="24"/>
              </w:rPr>
            </w:pPr>
            <w:r>
              <w:rPr>
                <w:sz w:val="24"/>
              </w:rPr>
              <w:t>1.00</w:t>
            </w:r>
          </w:p>
        </w:tc>
        <w:tc>
          <w:tcPr>
            <w:tcW w:w="1100" w:type="dxa"/>
            <w:tcBorders>
              <w:bottom w:val="single" w:sz="8" w:space="0" w:color="000000"/>
            </w:tcBorders>
          </w:tcPr>
          <w:p>
            <w:pPr>
              <w:pStyle w:val="TableParagraph"/>
              <w:spacing w:line="272" w:lineRule="exact"/>
              <w:ind w:left="275" w:right="275"/>
              <w:rPr>
                <w:sz w:val="24"/>
              </w:rPr>
            </w:pPr>
            <w:r>
              <w:rPr>
                <w:sz w:val="24"/>
              </w:rPr>
              <w:t>1.00</w:t>
            </w:r>
          </w:p>
        </w:tc>
        <w:tc>
          <w:tcPr>
            <w:tcW w:w="3022" w:type="dxa"/>
            <w:vMerge w:val="restart"/>
          </w:tcPr>
          <w:p>
            <w:pPr>
              <w:pStyle w:val="TableParagraph"/>
              <w:jc w:val="left"/>
              <w:rPr>
                <w:b/>
                <w:sz w:val="24"/>
              </w:rPr>
            </w:pPr>
          </w:p>
          <w:p>
            <w:pPr>
              <w:pStyle w:val="TableParagraph"/>
              <w:spacing w:before="178"/>
              <w:ind w:left="482" w:right="232"/>
              <w:jc w:val="left"/>
              <w:rPr>
                <w:sz w:val="24"/>
              </w:rPr>
            </w:pPr>
            <w:r>
              <w:rPr>
                <w:sz w:val="24"/>
              </w:rPr>
              <w:t>No menos de</w:t>
            </w:r>
            <w:r>
              <w:rPr>
                <w:spacing w:val="62"/>
                <w:sz w:val="24"/>
              </w:rPr>
              <w:t> </w:t>
            </w:r>
            <w:r>
              <w:rPr>
                <w:sz w:val="24"/>
              </w:rPr>
              <w:t>0.99</w:t>
            </w:r>
          </w:p>
        </w:tc>
      </w:tr>
      <w:tr>
        <w:trPr>
          <w:trHeight w:val="307" w:hRule="exact"/>
        </w:trPr>
        <w:tc>
          <w:tcPr>
            <w:tcW w:w="1435" w:type="dxa"/>
            <w:tcBorders>
              <w:top w:val="single" w:sz="8" w:space="0" w:color="000000"/>
              <w:bottom w:val="single" w:sz="8" w:space="0" w:color="000000"/>
            </w:tcBorders>
          </w:tcPr>
          <w:p>
            <w:pPr>
              <w:pStyle w:val="TableParagraph"/>
              <w:spacing w:before="7"/>
              <w:ind w:left="527" w:right="531"/>
              <w:rPr>
                <w:sz w:val="24"/>
              </w:rPr>
            </w:pPr>
            <w:r>
              <w:rPr>
                <w:sz w:val="24"/>
              </w:rPr>
              <w:t>Cd</w:t>
            </w:r>
          </w:p>
        </w:tc>
        <w:tc>
          <w:tcPr>
            <w:tcW w:w="1162" w:type="dxa"/>
            <w:tcBorders>
              <w:top w:val="single" w:sz="8" w:space="0" w:color="000000"/>
              <w:bottom w:val="single" w:sz="8" w:space="0" w:color="000000"/>
            </w:tcBorders>
          </w:tcPr>
          <w:p>
            <w:pPr>
              <w:pStyle w:val="TableParagraph"/>
              <w:spacing w:before="7"/>
              <w:ind w:left="305" w:right="305"/>
              <w:rPr>
                <w:sz w:val="24"/>
              </w:rPr>
            </w:pPr>
            <w:r>
              <w:rPr>
                <w:sz w:val="24"/>
              </w:rPr>
              <w:t>1.00</w:t>
            </w:r>
          </w:p>
        </w:tc>
        <w:tc>
          <w:tcPr>
            <w:tcW w:w="953" w:type="dxa"/>
            <w:tcBorders>
              <w:top w:val="single" w:sz="8" w:space="0" w:color="000000"/>
              <w:bottom w:val="single" w:sz="8" w:space="0" w:color="000000"/>
            </w:tcBorders>
          </w:tcPr>
          <w:p>
            <w:pPr>
              <w:pStyle w:val="TableParagraph"/>
              <w:spacing w:before="7"/>
              <w:ind w:left="88" w:right="88"/>
              <w:rPr>
                <w:sz w:val="24"/>
              </w:rPr>
            </w:pPr>
            <w:r>
              <w:rPr>
                <w:sz w:val="24"/>
              </w:rPr>
              <w:t>1.00</w:t>
            </w:r>
          </w:p>
        </w:tc>
        <w:tc>
          <w:tcPr>
            <w:tcW w:w="951" w:type="dxa"/>
            <w:tcBorders>
              <w:top w:val="single" w:sz="8" w:space="0" w:color="000000"/>
              <w:bottom w:val="single" w:sz="8" w:space="0" w:color="000000"/>
            </w:tcBorders>
          </w:tcPr>
          <w:p>
            <w:pPr>
              <w:pStyle w:val="TableParagraph"/>
              <w:spacing w:before="7"/>
              <w:ind w:left="88" w:right="86"/>
              <w:rPr>
                <w:sz w:val="24"/>
              </w:rPr>
            </w:pPr>
            <w:r>
              <w:rPr>
                <w:sz w:val="24"/>
              </w:rPr>
              <w:t>1.00</w:t>
            </w:r>
          </w:p>
        </w:tc>
        <w:tc>
          <w:tcPr>
            <w:tcW w:w="1099" w:type="dxa"/>
            <w:tcBorders>
              <w:top w:val="single" w:sz="8" w:space="0" w:color="000000"/>
              <w:bottom w:val="single" w:sz="8" w:space="0" w:color="000000"/>
            </w:tcBorders>
          </w:tcPr>
          <w:p>
            <w:pPr>
              <w:pStyle w:val="TableParagraph"/>
              <w:spacing w:before="7"/>
              <w:ind w:left="274" w:right="275"/>
              <w:rPr>
                <w:sz w:val="24"/>
              </w:rPr>
            </w:pPr>
            <w:r>
              <w:rPr>
                <w:sz w:val="24"/>
              </w:rPr>
              <w:t>1.00</w:t>
            </w:r>
          </w:p>
        </w:tc>
        <w:tc>
          <w:tcPr>
            <w:tcW w:w="1100" w:type="dxa"/>
            <w:tcBorders>
              <w:top w:val="single" w:sz="8" w:space="0" w:color="000000"/>
              <w:bottom w:val="single" w:sz="8" w:space="0" w:color="000000"/>
            </w:tcBorders>
          </w:tcPr>
          <w:p>
            <w:pPr>
              <w:pStyle w:val="TableParagraph"/>
              <w:spacing w:before="7"/>
              <w:ind w:left="275" w:right="275"/>
              <w:rPr>
                <w:sz w:val="24"/>
              </w:rPr>
            </w:pPr>
            <w:r>
              <w:rPr>
                <w:sz w:val="24"/>
              </w:rPr>
              <w:t>1.00</w:t>
            </w:r>
          </w:p>
        </w:tc>
        <w:tc>
          <w:tcPr>
            <w:tcW w:w="3022" w:type="dxa"/>
            <w:vMerge/>
          </w:tcPr>
          <w:p>
            <w:pPr/>
          </w:p>
        </w:tc>
      </w:tr>
      <w:tr>
        <w:trPr>
          <w:trHeight w:val="305" w:hRule="exact"/>
        </w:trPr>
        <w:tc>
          <w:tcPr>
            <w:tcW w:w="1435" w:type="dxa"/>
            <w:tcBorders>
              <w:top w:val="single" w:sz="8" w:space="0" w:color="000000"/>
              <w:bottom w:val="single" w:sz="8" w:space="0" w:color="000000"/>
            </w:tcBorders>
          </w:tcPr>
          <w:p>
            <w:pPr>
              <w:pStyle w:val="TableParagraph"/>
              <w:spacing w:before="5"/>
              <w:ind w:left="527" w:right="531"/>
              <w:rPr>
                <w:sz w:val="24"/>
              </w:rPr>
            </w:pPr>
            <w:r>
              <w:rPr>
                <w:sz w:val="24"/>
              </w:rPr>
              <w:t>Hg</w:t>
            </w:r>
          </w:p>
        </w:tc>
        <w:tc>
          <w:tcPr>
            <w:tcW w:w="1162" w:type="dxa"/>
            <w:tcBorders>
              <w:top w:val="single" w:sz="8" w:space="0" w:color="000000"/>
              <w:bottom w:val="single" w:sz="8" w:space="0" w:color="000000"/>
            </w:tcBorders>
          </w:tcPr>
          <w:p>
            <w:pPr>
              <w:pStyle w:val="TableParagraph"/>
              <w:spacing w:before="5"/>
              <w:ind w:left="305" w:right="305"/>
              <w:rPr>
                <w:sz w:val="24"/>
              </w:rPr>
            </w:pPr>
            <w:r>
              <w:rPr>
                <w:sz w:val="24"/>
              </w:rPr>
              <w:t>1.00</w:t>
            </w:r>
          </w:p>
        </w:tc>
        <w:tc>
          <w:tcPr>
            <w:tcW w:w="953" w:type="dxa"/>
            <w:tcBorders>
              <w:top w:val="single" w:sz="8" w:space="0" w:color="000000"/>
              <w:bottom w:val="single" w:sz="8" w:space="0" w:color="000000"/>
            </w:tcBorders>
          </w:tcPr>
          <w:p>
            <w:pPr>
              <w:pStyle w:val="TableParagraph"/>
              <w:spacing w:before="5"/>
              <w:ind w:left="88" w:right="86"/>
              <w:rPr>
                <w:sz w:val="24"/>
              </w:rPr>
            </w:pPr>
            <w:r>
              <w:rPr>
                <w:sz w:val="24"/>
              </w:rPr>
              <w:t>1.00</w:t>
            </w:r>
          </w:p>
        </w:tc>
        <w:tc>
          <w:tcPr>
            <w:tcW w:w="951" w:type="dxa"/>
            <w:tcBorders>
              <w:top w:val="single" w:sz="8" w:space="0" w:color="000000"/>
              <w:bottom w:val="single" w:sz="8" w:space="0" w:color="000000"/>
            </w:tcBorders>
          </w:tcPr>
          <w:p>
            <w:pPr>
              <w:pStyle w:val="TableParagraph"/>
              <w:spacing w:before="5"/>
              <w:ind w:left="88" w:right="86"/>
              <w:rPr>
                <w:sz w:val="24"/>
              </w:rPr>
            </w:pPr>
            <w:r>
              <w:rPr>
                <w:sz w:val="24"/>
              </w:rPr>
              <w:t>1.00</w:t>
            </w:r>
          </w:p>
        </w:tc>
        <w:tc>
          <w:tcPr>
            <w:tcW w:w="1099" w:type="dxa"/>
            <w:tcBorders>
              <w:top w:val="single" w:sz="8" w:space="0" w:color="000000"/>
              <w:bottom w:val="single" w:sz="8" w:space="0" w:color="000000"/>
            </w:tcBorders>
          </w:tcPr>
          <w:p>
            <w:pPr>
              <w:pStyle w:val="TableParagraph"/>
              <w:spacing w:before="5"/>
              <w:ind w:left="274" w:right="275"/>
              <w:rPr>
                <w:sz w:val="24"/>
              </w:rPr>
            </w:pPr>
            <w:r>
              <w:rPr>
                <w:sz w:val="24"/>
              </w:rPr>
              <w:t>1.00</w:t>
            </w:r>
          </w:p>
        </w:tc>
        <w:tc>
          <w:tcPr>
            <w:tcW w:w="1100" w:type="dxa"/>
            <w:tcBorders>
              <w:top w:val="single" w:sz="8" w:space="0" w:color="000000"/>
              <w:bottom w:val="single" w:sz="8" w:space="0" w:color="000000"/>
            </w:tcBorders>
          </w:tcPr>
          <w:p>
            <w:pPr>
              <w:pStyle w:val="TableParagraph"/>
              <w:spacing w:before="5"/>
              <w:ind w:left="275" w:right="275"/>
              <w:rPr>
                <w:sz w:val="24"/>
              </w:rPr>
            </w:pPr>
            <w:r>
              <w:rPr>
                <w:sz w:val="24"/>
              </w:rPr>
              <w:t>1.00</w:t>
            </w:r>
          </w:p>
        </w:tc>
        <w:tc>
          <w:tcPr>
            <w:tcW w:w="3022" w:type="dxa"/>
            <w:vMerge/>
          </w:tcPr>
          <w:p>
            <w:pPr/>
          </w:p>
        </w:tc>
      </w:tr>
      <w:tr>
        <w:trPr>
          <w:trHeight w:val="312" w:hRule="exact"/>
        </w:trPr>
        <w:tc>
          <w:tcPr>
            <w:tcW w:w="1435" w:type="dxa"/>
            <w:tcBorders>
              <w:top w:val="single" w:sz="8" w:space="0" w:color="000000"/>
            </w:tcBorders>
          </w:tcPr>
          <w:p>
            <w:pPr>
              <w:pStyle w:val="TableParagraph"/>
              <w:spacing w:before="7"/>
              <w:ind w:left="527" w:right="527"/>
              <w:rPr>
                <w:sz w:val="24"/>
              </w:rPr>
            </w:pPr>
            <w:r>
              <w:rPr>
                <w:sz w:val="24"/>
              </w:rPr>
              <w:t>Pb</w:t>
            </w:r>
          </w:p>
        </w:tc>
        <w:tc>
          <w:tcPr>
            <w:tcW w:w="1162" w:type="dxa"/>
            <w:tcBorders>
              <w:top w:val="single" w:sz="8" w:space="0" w:color="000000"/>
            </w:tcBorders>
          </w:tcPr>
          <w:p>
            <w:pPr>
              <w:pStyle w:val="TableParagraph"/>
              <w:spacing w:before="7"/>
              <w:ind w:left="305" w:right="305"/>
              <w:rPr>
                <w:sz w:val="24"/>
              </w:rPr>
            </w:pPr>
            <w:r>
              <w:rPr>
                <w:sz w:val="24"/>
              </w:rPr>
              <w:t>1.00</w:t>
            </w:r>
          </w:p>
        </w:tc>
        <w:tc>
          <w:tcPr>
            <w:tcW w:w="953" w:type="dxa"/>
            <w:tcBorders>
              <w:top w:val="single" w:sz="8" w:space="0" w:color="000000"/>
            </w:tcBorders>
          </w:tcPr>
          <w:p>
            <w:pPr>
              <w:pStyle w:val="TableParagraph"/>
              <w:spacing w:before="7"/>
              <w:ind w:left="88" w:right="88"/>
              <w:rPr>
                <w:sz w:val="24"/>
              </w:rPr>
            </w:pPr>
            <w:r>
              <w:rPr>
                <w:sz w:val="24"/>
              </w:rPr>
              <w:t>1.00</w:t>
            </w:r>
          </w:p>
        </w:tc>
        <w:tc>
          <w:tcPr>
            <w:tcW w:w="951" w:type="dxa"/>
            <w:tcBorders>
              <w:top w:val="single" w:sz="8" w:space="0" w:color="000000"/>
            </w:tcBorders>
          </w:tcPr>
          <w:p>
            <w:pPr>
              <w:pStyle w:val="TableParagraph"/>
              <w:spacing w:before="7"/>
              <w:ind w:left="88" w:right="86"/>
              <w:rPr>
                <w:sz w:val="24"/>
              </w:rPr>
            </w:pPr>
            <w:r>
              <w:rPr>
                <w:sz w:val="24"/>
              </w:rPr>
              <w:t>1.00</w:t>
            </w:r>
          </w:p>
        </w:tc>
        <w:tc>
          <w:tcPr>
            <w:tcW w:w="1099" w:type="dxa"/>
            <w:tcBorders>
              <w:top w:val="single" w:sz="8" w:space="0" w:color="000000"/>
            </w:tcBorders>
          </w:tcPr>
          <w:p>
            <w:pPr>
              <w:pStyle w:val="TableParagraph"/>
              <w:spacing w:before="7"/>
              <w:ind w:left="274" w:right="275"/>
              <w:rPr>
                <w:sz w:val="24"/>
              </w:rPr>
            </w:pPr>
            <w:r>
              <w:rPr>
                <w:sz w:val="24"/>
              </w:rPr>
              <w:t>1.00</w:t>
            </w:r>
          </w:p>
        </w:tc>
        <w:tc>
          <w:tcPr>
            <w:tcW w:w="1100" w:type="dxa"/>
            <w:tcBorders>
              <w:top w:val="single" w:sz="8" w:space="0" w:color="000000"/>
            </w:tcBorders>
          </w:tcPr>
          <w:p>
            <w:pPr>
              <w:pStyle w:val="TableParagraph"/>
              <w:spacing w:before="7"/>
              <w:ind w:left="275" w:right="275"/>
              <w:rPr>
                <w:sz w:val="24"/>
              </w:rPr>
            </w:pPr>
            <w:r>
              <w:rPr>
                <w:sz w:val="24"/>
              </w:rPr>
              <w:t>1.00</w:t>
            </w:r>
          </w:p>
        </w:tc>
        <w:tc>
          <w:tcPr>
            <w:tcW w:w="3022" w:type="dxa"/>
            <w:vMerge/>
          </w:tcPr>
          <w:p>
            <w:pPr/>
          </w:p>
        </w:tc>
      </w:tr>
      <w:tr>
        <w:trPr>
          <w:trHeight w:val="340" w:hRule="exact"/>
        </w:trPr>
        <w:tc>
          <w:tcPr>
            <w:tcW w:w="9722" w:type="dxa"/>
            <w:gridSpan w:val="7"/>
            <w:shd w:val="clear" w:color="auto" w:fill="D9D9D9"/>
          </w:tcPr>
          <w:p>
            <w:pPr>
              <w:pStyle w:val="TableParagraph"/>
              <w:spacing w:before="19"/>
              <w:ind w:left="1730"/>
              <w:jc w:val="left"/>
              <w:rPr>
                <w:b/>
                <w:sz w:val="24"/>
              </w:rPr>
            </w:pPr>
            <w:r>
              <w:rPr>
                <w:b/>
                <w:sz w:val="24"/>
              </w:rPr>
              <w:t>% Recobro (después de los estándares de calibración)</w:t>
            </w:r>
          </w:p>
        </w:tc>
      </w:tr>
      <w:tr>
        <w:trPr>
          <w:trHeight w:val="311" w:hRule="exact"/>
        </w:trPr>
        <w:tc>
          <w:tcPr>
            <w:tcW w:w="1435" w:type="dxa"/>
            <w:tcBorders>
              <w:top w:val="single" w:sz="20" w:space="0" w:color="000000"/>
              <w:bottom w:val="single" w:sz="8" w:space="0" w:color="000000"/>
            </w:tcBorders>
          </w:tcPr>
          <w:p>
            <w:pPr>
              <w:pStyle w:val="TableParagraph"/>
              <w:spacing w:line="272" w:lineRule="exact"/>
              <w:ind w:left="527" w:right="528"/>
              <w:rPr>
                <w:sz w:val="24"/>
              </w:rPr>
            </w:pPr>
            <w:r>
              <w:rPr>
                <w:sz w:val="24"/>
              </w:rPr>
              <w:t>As</w:t>
            </w:r>
          </w:p>
        </w:tc>
        <w:tc>
          <w:tcPr>
            <w:tcW w:w="1162" w:type="dxa"/>
            <w:tcBorders>
              <w:top w:val="single" w:sz="20" w:space="0" w:color="000000"/>
              <w:bottom w:val="single" w:sz="8" w:space="0" w:color="000000"/>
            </w:tcBorders>
          </w:tcPr>
          <w:p>
            <w:pPr>
              <w:pStyle w:val="TableParagraph"/>
              <w:spacing w:line="272" w:lineRule="exact"/>
              <w:ind w:left="305" w:right="305"/>
              <w:rPr>
                <w:sz w:val="24"/>
              </w:rPr>
            </w:pPr>
            <w:r>
              <w:rPr>
                <w:sz w:val="24"/>
              </w:rPr>
              <w:t>103</w:t>
            </w:r>
          </w:p>
        </w:tc>
        <w:tc>
          <w:tcPr>
            <w:tcW w:w="953" w:type="dxa"/>
            <w:tcBorders>
              <w:top w:val="single" w:sz="20" w:space="0" w:color="000000"/>
              <w:bottom w:val="single" w:sz="8" w:space="0" w:color="000000"/>
            </w:tcBorders>
          </w:tcPr>
          <w:p>
            <w:pPr>
              <w:pStyle w:val="TableParagraph"/>
              <w:spacing w:line="272" w:lineRule="exact"/>
              <w:ind w:left="88" w:right="86"/>
              <w:rPr>
                <w:sz w:val="24"/>
              </w:rPr>
            </w:pPr>
            <w:r>
              <w:rPr>
                <w:sz w:val="24"/>
              </w:rPr>
              <w:t>103</w:t>
            </w:r>
          </w:p>
        </w:tc>
        <w:tc>
          <w:tcPr>
            <w:tcW w:w="951" w:type="dxa"/>
            <w:tcBorders>
              <w:top w:val="single" w:sz="20" w:space="0" w:color="000000"/>
              <w:bottom w:val="single" w:sz="8" w:space="0" w:color="000000"/>
            </w:tcBorders>
          </w:tcPr>
          <w:p>
            <w:pPr>
              <w:pStyle w:val="TableParagraph"/>
              <w:spacing w:line="272" w:lineRule="exact"/>
              <w:ind w:left="88" w:right="84"/>
              <w:rPr>
                <w:sz w:val="24"/>
              </w:rPr>
            </w:pPr>
            <w:r>
              <w:rPr>
                <w:sz w:val="24"/>
              </w:rPr>
              <w:t>103</w:t>
            </w:r>
          </w:p>
        </w:tc>
        <w:tc>
          <w:tcPr>
            <w:tcW w:w="1099" w:type="dxa"/>
            <w:tcBorders>
              <w:top w:val="single" w:sz="20" w:space="0" w:color="000000"/>
              <w:bottom w:val="single" w:sz="8" w:space="0" w:color="000000"/>
            </w:tcBorders>
          </w:tcPr>
          <w:p>
            <w:pPr>
              <w:pStyle w:val="TableParagraph"/>
              <w:spacing w:line="272" w:lineRule="exact"/>
              <w:ind w:left="275" w:right="275"/>
              <w:rPr>
                <w:sz w:val="24"/>
              </w:rPr>
            </w:pPr>
            <w:r>
              <w:rPr>
                <w:sz w:val="24"/>
              </w:rPr>
              <w:t>102</w:t>
            </w:r>
          </w:p>
        </w:tc>
        <w:tc>
          <w:tcPr>
            <w:tcW w:w="1100" w:type="dxa"/>
            <w:tcBorders>
              <w:top w:val="single" w:sz="20" w:space="0" w:color="000000"/>
              <w:bottom w:val="single" w:sz="8" w:space="0" w:color="000000"/>
            </w:tcBorders>
          </w:tcPr>
          <w:p>
            <w:pPr>
              <w:pStyle w:val="TableParagraph"/>
              <w:spacing w:line="272" w:lineRule="exact"/>
              <w:ind w:left="275" w:right="275"/>
              <w:rPr>
                <w:sz w:val="24"/>
              </w:rPr>
            </w:pPr>
            <w:r>
              <w:rPr>
                <w:sz w:val="24"/>
              </w:rPr>
              <w:t>97</w:t>
            </w:r>
          </w:p>
        </w:tc>
        <w:tc>
          <w:tcPr>
            <w:tcW w:w="3022" w:type="dxa"/>
            <w:vMerge w:val="restart"/>
            <w:tcBorders>
              <w:top w:val="single" w:sz="20" w:space="0" w:color="000000"/>
            </w:tcBorders>
          </w:tcPr>
          <w:p>
            <w:pPr>
              <w:pStyle w:val="TableParagraph"/>
              <w:spacing w:before="6"/>
              <w:jc w:val="left"/>
              <w:rPr>
                <w:b/>
                <w:sz w:val="27"/>
              </w:rPr>
            </w:pPr>
          </w:p>
          <w:p>
            <w:pPr>
              <w:pStyle w:val="TableParagraph"/>
              <w:spacing w:before="1"/>
              <w:ind w:left="760" w:right="232" w:hanging="514"/>
              <w:jc w:val="left"/>
              <w:rPr>
                <w:sz w:val="24"/>
              </w:rPr>
            </w:pPr>
            <w:r>
              <w:rPr>
                <w:sz w:val="24"/>
              </w:rPr>
              <w:t>No menos de 80% y no más de 120%</w:t>
            </w:r>
          </w:p>
        </w:tc>
      </w:tr>
      <w:tr>
        <w:trPr>
          <w:trHeight w:val="307" w:hRule="exact"/>
        </w:trPr>
        <w:tc>
          <w:tcPr>
            <w:tcW w:w="1435" w:type="dxa"/>
            <w:tcBorders>
              <w:top w:val="single" w:sz="8" w:space="0" w:color="000000"/>
              <w:bottom w:val="single" w:sz="8" w:space="0" w:color="000000"/>
            </w:tcBorders>
          </w:tcPr>
          <w:p>
            <w:pPr>
              <w:pStyle w:val="TableParagraph"/>
              <w:spacing w:before="7"/>
              <w:ind w:left="527" w:right="531"/>
              <w:rPr>
                <w:sz w:val="24"/>
              </w:rPr>
            </w:pPr>
            <w:r>
              <w:rPr>
                <w:sz w:val="24"/>
              </w:rPr>
              <w:t>Cd</w:t>
            </w:r>
          </w:p>
        </w:tc>
        <w:tc>
          <w:tcPr>
            <w:tcW w:w="1162" w:type="dxa"/>
            <w:tcBorders>
              <w:top w:val="single" w:sz="8" w:space="0" w:color="000000"/>
              <w:bottom w:val="single" w:sz="8" w:space="0" w:color="000000"/>
            </w:tcBorders>
          </w:tcPr>
          <w:p>
            <w:pPr>
              <w:pStyle w:val="TableParagraph"/>
              <w:spacing w:before="7"/>
              <w:ind w:left="305" w:right="305"/>
              <w:rPr>
                <w:sz w:val="24"/>
              </w:rPr>
            </w:pPr>
            <w:r>
              <w:rPr>
                <w:sz w:val="24"/>
              </w:rPr>
              <w:t>99</w:t>
            </w:r>
          </w:p>
        </w:tc>
        <w:tc>
          <w:tcPr>
            <w:tcW w:w="953" w:type="dxa"/>
            <w:tcBorders>
              <w:top w:val="single" w:sz="8" w:space="0" w:color="000000"/>
              <w:bottom w:val="single" w:sz="8" w:space="0" w:color="000000"/>
            </w:tcBorders>
          </w:tcPr>
          <w:p>
            <w:pPr>
              <w:pStyle w:val="TableParagraph"/>
              <w:spacing w:before="7"/>
              <w:ind w:left="88" w:right="86"/>
              <w:rPr>
                <w:sz w:val="24"/>
              </w:rPr>
            </w:pPr>
            <w:r>
              <w:rPr>
                <w:sz w:val="24"/>
              </w:rPr>
              <w:t>99</w:t>
            </w:r>
          </w:p>
        </w:tc>
        <w:tc>
          <w:tcPr>
            <w:tcW w:w="951" w:type="dxa"/>
            <w:tcBorders>
              <w:top w:val="single" w:sz="8" w:space="0" w:color="000000"/>
              <w:bottom w:val="single" w:sz="8" w:space="0" w:color="000000"/>
            </w:tcBorders>
          </w:tcPr>
          <w:p>
            <w:pPr>
              <w:pStyle w:val="TableParagraph"/>
              <w:spacing w:before="7"/>
              <w:ind w:left="88" w:right="84"/>
              <w:rPr>
                <w:sz w:val="24"/>
              </w:rPr>
            </w:pPr>
            <w:r>
              <w:rPr>
                <w:sz w:val="24"/>
              </w:rPr>
              <w:t>99</w:t>
            </w:r>
          </w:p>
        </w:tc>
        <w:tc>
          <w:tcPr>
            <w:tcW w:w="1099" w:type="dxa"/>
            <w:tcBorders>
              <w:top w:val="single" w:sz="8" w:space="0" w:color="000000"/>
              <w:bottom w:val="single" w:sz="8" w:space="0" w:color="000000"/>
            </w:tcBorders>
          </w:tcPr>
          <w:p>
            <w:pPr>
              <w:pStyle w:val="TableParagraph"/>
              <w:spacing w:before="7"/>
              <w:ind w:left="275" w:right="275"/>
              <w:rPr>
                <w:sz w:val="24"/>
              </w:rPr>
            </w:pPr>
            <w:r>
              <w:rPr>
                <w:sz w:val="24"/>
              </w:rPr>
              <w:t>102</w:t>
            </w:r>
          </w:p>
        </w:tc>
        <w:tc>
          <w:tcPr>
            <w:tcW w:w="1100" w:type="dxa"/>
            <w:tcBorders>
              <w:top w:val="single" w:sz="8" w:space="0" w:color="000000"/>
              <w:bottom w:val="single" w:sz="8" w:space="0" w:color="000000"/>
            </w:tcBorders>
          </w:tcPr>
          <w:p>
            <w:pPr>
              <w:pStyle w:val="TableParagraph"/>
              <w:spacing w:before="7"/>
              <w:ind w:left="275" w:right="275"/>
              <w:rPr>
                <w:sz w:val="24"/>
              </w:rPr>
            </w:pPr>
            <w:r>
              <w:rPr>
                <w:sz w:val="24"/>
              </w:rPr>
              <w:t>97</w:t>
            </w:r>
          </w:p>
        </w:tc>
        <w:tc>
          <w:tcPr>
            <w:tcW w:w="3022" w:type="dxa"/>
            <w:vMerge/>
          </w:tcPr>
          <w:p>
            <w:pPr/>
          </w:p>
        </w:tc>
      </w:tr>
      <w:tr>
        <w:trPr>
          <w:trHeight w:val="305" w:hRule="exact"/>
        </w:trPr>
        <w:tc>
          <w:tcPr>
            <w:tcW w:w="1435" w:type="dxa"/>
            <w:tcBorders>
              <w:top w:val="single" w:sz="8" w:space="0" w:color="000000"/>
              <w:bottom w:val="single" w:sz="8" w:space="0" w:color="000000"/>
            </w:tcBorders>
          </w:tcPr>
          <w:p>
            <w:pPr>
              <w:pStyle w:val="TableParagraph"/>
              <w:spacing w:before="5"/>
              <w:ind w:left="527" w:right="531"/>
              <w:rPr>
                <w:sz w:val="24"/>
              </w:rPr>
            </w:pPr>
            <w:r>
              <w:rPr>
                <w:sz w:val="24"/>
              </w:rPr>
              <w:t>Hg</w:t>
            </w:r>
          </w:p>
        </w:tc>
        <w:tc>
          <w:tcPr>
            <w:tcW w:w="1162" w:type="dxa"/>
            <w:tcBorders>
              <w:top w:val="single" w:sz="8" w:space="0" w:color="000000"/>
              <w:bottom w:val="single" w:sz="8" w:space="0" w:color="000000"/>
            </w:tcBorders>
          </w:tcPr>
          <w:p>
            <w:pPr>
              <w:pStyle w:val="TableParagraph"/>
              <w:spacing w:before="5"/>
              <w:ind w:left="305" w:right="305"/>
              <w:rPr>
                <w:sz w:val="24"/>
              </w:rPr>
            </w:pPr>
            <w:r>
              <w:rPr>
                <w:sz w:val="24"/>
              </w:rPr>
              <w:t>100</w:t>
            </w:r>
          </w:p>
        </w:tc>
        <w:tc>
          <w:tcPr>
            <w:tcW w:w="953" w:type="dxa"/>
            <w:tcBorders>
              <w:top w:val="single" w:sz="8" w:space="0" w:color="000000"/>
              <w:bottom w:val="single" w:sz="8" w:space="0" w:color="000000"/>
            </w:tcBorders>
          </w:tcPr>
          <w:p>
            <w:pPr>
              <w:pStyle w:val="TableParagraph"/>
              <w:spacing w:before="5"/>
              <w:ind w:left="88" w:right="86"/>
              <w:rPr>
                <w:sz w:val="24"/>
              </w:rPr>
            </w:pPr>
            <w:r>
              <w:rPr>
                <w:sz w:val="24"/>
              </w:rPr>
              <w:t>100</w:t>
            </w:r>
          </w:p>
        </w:tc>
        <w:tc>
          <w:tcPr>
            <w:tcW w:w="951" w:type="dxa"/>
            <w:tcBorders>
              <w:top w:val="single" w:sz="8" w:space="0" w:color="000000"/>
              <w:bottom w:val="single" w:sz="8" w:space="0" w:color="000000"/>
            </w:tcBorders>
          </w:tcPr>
          <w:p>
            <w:pPr>
              <w:pStyle w:val="TableParagraph"/>
              <w:spacing w:before="5"/>
              <w:ind w:left="88" w:right="84"/>
              <w:rPr>
                <w:sz w:val="24"/>
              </w:rPr>
            </w:pPr>
            <w:r>
              <w:rPr>
                <w:sz w:val="24"/>
              </w:rPr>
              <w:t>100</w:t>
            </w:r>
          </w:p>
        </w:tc>
        <w:tc>
          <w:tcPr>
            <w:tcW w:w="1099" w:type="dxa"/>
            <w:tcBorders>
              <w:top w:val="single" w:sz="8" w:space="0" w:color="000000"/>
              <w:bottom w:val="single" w:sz="8" w:space="0" w:color="000000"/>
            </w:tcBorders>
          </w:tcPr>
          <w:p>
            <w:pPr>
              <w:pStyle w:val="TableParagraph"/>
              <w:spacing w:before="5"/>
              <w:ind w:left="275" w:right="275"/>
              <w:rPr>
                <w:sz w:val="24"/>
              </w:rPr>
            </w:pPr>
            <w:r>
              <w:rPr>
                <w:sz w:val="24"/>
              </w:rPr>
              <w:t>99</w:t>
            </w:r>
          </w:p>
        </w:tc>
        <w:tc>
          <w:tcPr>
            <w:tcW w:w="1100" w:type="dxa"/>
            <w:tcBorders>
              <w:top w:val="single" w:sz="8" w:space="0" w:color="000000"/>
              <w:bottom w:val="single" w:sz="8" w:space="0" w:color="000000"/>
            </w:tcBorders>
          </w:tcPr>
          <w:p>
            <w:pPr>
              <w:pStyle w:val="TableParagraph"/>
              <w:spacing w:before="5"/>
              <w:ind w:left="275" w:right="275"/>
              <w:rPr>
                <w:sz w:val="24"/>
              </w:rPr>
            </w:pPr>
            <w:r>
              <w:rPr>
                <w:sz w:val="24"/>
              </w:rPr>
              <w:t>98</w:t>
            </w:r>
          </w:p>
        </w:tc>
        <w:tc>
          <w:tcPr>
            <w:tcW w:w="3022" w:type="dxa"/>
            <w:vMerge/>
          </w:tcPr>
          <w:p>
            <w:pPr/>
          </w:p>
        </w:tc>
      </w:tr>
      <w:tr>
        <w:trPr>
          <w:trHeight w:val="312" w:hRule="exact"/>
        </w:trPr>
        <w:tc>
          <w:tcPr>
            <w:tcW w:w="1435" w:type="dxa"/>
            <w:tcBorders>
              <w:top w:val="single" w:sz="8" w:space="0" w:color="000000"/>
            </w:tcBorders>
          </w:tcPr>
          <w:p>
            <w:pPr>
              <w:pStyle w:val="TableParagraph"/>
              <w:spacing w:before="7"/>
              <w:ind w:left="527" w:right="527"/>
              <w:rPr>
                <w:sz w:val="24"/>
              </w:rPr>
            </w:pPr>
            <w:r>
              <w:rPr>
                <w:sz w:val="24"/>
              </w:rPr>
              <w:t>Pb</w:t>
            </w:r>
          </w:p>
        </w:tc>
        <w:tc>
          <w:tcPr>
            <w:tcW w:w="1162" w:type="dxa"/>
            <w:tcBorders>
              <w:top w:val="single" w:sz="8" w:space="0" w:color="000000"/>
            </w:tcBorders>
          </w:tcPr>
          <w:p>
            <w:pPr>
              <w:pStyle w:val="TableParagraph"/>
              <w:spacing w:before="7"/>
              <w:ind w:left="305" w:right="305"/>
              <w:rPr>
                <w:sz w:val="24"/>
              </w:rPr>
            </w:pPr>
            <w:r>
              <w:rPr>
                <w:sz w:val="24"/>
              </w:rPr>
              <w:t>106</w:t>
            </w:r>
          </w:p>
        </w:tc>
        <w:tc>
          <w:tcPr>
            <w:tcW w:w="953" w:type="dxa"/>
            <w:tcBorders>
              <w:top w:val="single" w:sz="8" w:space="0" w:color="000000"/>
            </w:tcBorders>
          </w:tcPr>
          <w:p>
            <w:pPr>
              <w:pStyle w:val="TableParagraph"/>
              <w:spacing w:before="7"/>
              <w:ind w:left="88" w:right="86"/>
              <w:rPr>
                <w:sz w:val="24"/>
              </w:rPr>
            </w:pPr>
            <w:r>
              <w:rPr>
                <w:sz w:val="24"/>
              </w:rPr>
              <w:t>106</w:t>
            </w:r>
          </w:p>
        </w:tc>
        <w:tc>
          <w:tcPr>
            <w:tcW w:w="951" w:type="dxa"/>
            <w:tcBorders>
              <w:top w:val="single" w:sz="8" w:space="0" w:color="000000"/>
            </w:tcBorders>
          </w:tcPr>
          <w:p>
            <w:pPr>
              <w:pStyle w:val="TableParagraph"/>
              <w:spacing w:before="7"/>
              <w:ind w:left="88" w:right="84"/>
              <w:rPr>
                <w:sz w:val="24"/>
              </w:rPr>
            </w:pPr>
            <w:r>
              <w:rPr>
                <w:sz w:val="24"/>
              </w:rPr>
              <w:t>106</w:t>
            </w:r>
          </w:p>
        </w:tc>
        <w:tc>
          <w:tcPr>
            <w:tcW w:w="1099" w:type="dxa"/>
            <w:tcBorders>
              <w:top w:val="single" w:sz="8" w:space="0" w:color="000000"/>
            </w:tcBorders>
          </w:tcPr>
          <w:p>
            <w:pPr>
              <w:pStyle w:val="TableParagraph"/>
              <w:spacing w:before="7"/>
              <w:ind w:left="275" w:right="275"/>
              <w:rPr>
                <w:sz w:val="24"/>
              </w:rPr>
            </w:pPr>
            <w:r>
              <w:rPr>
                <w:sz w:val="24"/>
              </w:rPr>
              <w:t>97</w:t>
            </w:r>
          </w:p>
        </w:tc>
        <w:tc>
          <w:tcPr>
            <w:tcW w:w="1100" w:type="dxa"/>
            <w:tcBorders>
              <w:top w:val="single" w:sz="8" w:space="0" w:color="000000"/>
            </w:tcBorders>
          </w:tcPr>
          <w:p>
            <w:pPr>
              <w:pStyle w:val="TableParagraph"/>
              <w:spacing w:before="7"/>
              <w:ind w:left="275" w:right="275"/>
              <w:rPr>
                <w:sz w:val="24"/>
              </w:rPr>
            </w:pPr>
            <w:r>
              <w:rPr>
                <w:sz w:val="24"/>
              </w:rPr>
              <w:t>99</w:t>
            </w:r>
          </w:p>
        </w:tc>
        <w:tc>
          <w:tcPr>
            <w:tcW w:w="3022" w:type="dxa"/>
            <w:vMerge/>
          </w:tcPr>
          <w:p>
            <w:pPr/>
          </w:p>
        </w:tc>
      </w:tr>
      <w:tr>
        <w:trPr>
          <w:trHeight w:val="305" w:hRule="exact"/>
        </w:trPr>
        <w:tc>
          <w:tcPr>
            <w:tcW w:w="9722" w:type="dxa"/>
            <w:gridSpan w:val="7"/>
            <w:shd w:val="clear" w:color="auto" w:fill="D9D9D9"/>
          </w:tcPr>
          <w:p>
            <w:pPr>
              <w:pStyle w:val="TableParagraph"/>
              <w:spacing w:line="272" w:lineRule="exact"/>
              <w:ind w:left="2803"/>
              <w:jc w:val="left"/>
              <w:rPr>
                <w:b/>
                <w:sz w:val="24"/>
              </w:rPr>
            </w:pPr>
            <w:r>
              <w:rPr>
                <w:b/>
                <w:sz w:val="24"/>
              </w:rPr>
              <w:t>% Recobro (al final de la secuencia)</w:t>
            </w:r>
          </w:p>
        </w:tc>
      </w:tr>
      <w:tr>
        <w:trPr>
          <w:trHeight w:val="302" w:hRule="exact"/>
        </w:trPr>
        <w:tc>
          <w:tcPr>
            <w:tcW w:w="1435" w:type="dxa"/>
            <w:tcBorders>
              <w:bottom w:val="single" w:sz="8" w:space="0" w:color="000000"/>
            </w:tcBorders>
          </w:tcPr>
          <w:p>
            <w:pPr>
              <w:pStyle w:val="TableParagraph"/>
              <w:spacing w:line="274" w:lineRule="exact"/>
              <w:ind w:left="527" w:right="528"/>
              <w:rPr>
                <w:sz w:val="24"/>
              </w:rPr>
            </w:pPr>
            <w:r>
              <w:rPr>
                <w:sz w:val="24"/>
              </w:rPr>
              <w:t>As</w:t>
            </w:r>
          </w:p>
        </w:tc>
        <w:tc>
          <w:tcPr>
            <w:tcW w:w="1162" w:type="dxa"/>
            <w:tcBorders>
              <w:bottom w:val="single" w:sz="8" w:space="0" w:color="000000"/>
            </w:tcBorders>
          </w:tcPr>
          <w:p>
            <w:pPr>
              <w:pStyle w:val="TableParagraph"/>
              <w:spacing w:line="274" w:lineRule="exact"/>
              <w:ind w:left="305" w:right="305"/>
              <w:rPr>
                <w:sz w:val="24"/>
              </w:rPr>
            </w:pPr>
            <w:r>
              <w:rPr>
                <w:sz w:val="24"/>
              </w:rPr>
              <w:t>100</w:t>
            </w:r>
          </w:p>
        </w:tc>
        <w:tc>
          <w:tcPr>
            <w:tcW w:w="953" w:type="dxa"/>
            <w:tcBorders>
              <w:bottom w:val="single" w:sz="8" w:space="0" w:color="000000"/>
            </w:tcBorders>
          </w:tcPr>
          <w:p>
            <w:pPr>
              <w:pStyle w:val="TableParagraph"/>
              <w:spacing w:line="274" w:lineRule="exact"/>
              <w:ind w:left="88" w:right="86"/>
              <w:rPr>
                <w:sz w:val="24"/>
              </w:rPr>
            </w:pPr>
            <w:r>
              <w:rPr>
                <w:sz w:val="24"/>
              </w:rPr>
              <w:t>100</w:t>
            </w:r>
          </w:p>
        </w:tc>
        <w:tc>
          <w:tcPr>
            <w:tcW w:w="951" w:type="dxa"/>
            <w:tcBorders>
              <w:bottom w:val="single" w:sz="8" w:space="0" w:color="000000"/>
            </w:tcBorders>
          </w:tcPr>
          <w:p>
            <w:pPr>
              <w:pStyle w:val="TableParagraph"/>
              <w:spacing w:line="274" w:lineRule="exact"/>
              <w:ind w:left="88" w:right="84"/>
              <w:rPr>
                <w:sz w:val="24"/>
              </w:rPr>
            </w:pPr>
            <w:r>
              <w:rPr>
                <w:sz w:val="24"/>
              </w:rPr>
              <w:t>100</w:t>
            </w:r>
          </w:p>
        </w:tc>
        <w:tc>
          <w:tcPr>
            <w:tcW w:w="1099" w:type="dxa"/>
            <w:tcBorders>
              <w:bottom w:val="single" w:sz="8" w:space="0" w:color="000000"/>
            </w:tcBorders>
          </w:tcPr>
          <w:p>
            <w:pPr>
              <w:pStyle w:val="TableParagraph"/>
              <w:spacing w:line="274" w:lineRule="exact"/>
              <w:ind w:left="275" w:right="275"/>
              <w:rPr>
                <w:sz w:val="24"/>
              </w:rPr>
            </w:pPr>
            <w:r>
              <w:rPr>
                <w:sz w:val="24"/>
              </w:rPr>
              <w:t>100</w:t>
            </w:r>
          </w:p>
        </w:tc>
        <w:tc>
          <w:tcPr>
            <w:tcW w:w="1100" w:type="dxa"/>
            <w:tcBorders>
              <w:bottom w:val="single" w:sz="8" w:space="0" w:color="000000"/>
            </w:tcBorders>
          </w:tcPr>
          <w:p>
            <w:pPr>
              <w:pStyle w:val="TableParagraph"/>
              <w:spacing w:line="274" w:lineRule="exact"/>
              <w:ind w:left="275" w:right="275"/>
              <w:rPr>
                <w:sz w:val="24"/>
              </w:rPr>
            </w:pPr>
            <w:r>
              <w:rPr>
                <w:sz w:val="24"/>
              </w:rPr>
              <w:t>98</w:t>
            </w:r>
          </w:p>
        </w:tc>
        <w:tc>
          <w:tcPr>
            <w:tcW w:w="3022" w:type="dxa"/>
            <w:vMerge w:val="restart"/>
          </w:tcPr>
          <w:p>
            <w:pPr>
              <w:pStyle w:val="TableParagraph"/>
              <w:spacing w:before="3"/>
              <w:jc w:val="left"/>
              <w:rPr>
                <w:b/>
                <w:sz w:val="26"/>
              </w:rPr>
            </w:pPr>
          </w:p>
          <w:p>
            <w:pPr>
              <w:pStyle w:val="TableParagraph"/>
              <w:spacing w:before="1"/>
              <w:ind w:left="760" w:right="232" w:hanging="514"/>
              <w:jc w:val="left"/>
              <w:rPr>
                <w:sz w:val="24"/>
              </w:rPr>
            </w:pPr>
            <w:r>
              <w:rPr>
                <w:sz w:val="24"/>
              </w:rPr>
              <w:t>No menos de 80% y no más de 120%</w:t>
            </w:r>
          </w:p>
        </w:tc>
      </w:tr>
      <w:tr>
        <w:trPr>
          <w:trHeight w:val="295" w:hRule="exact"/>
        </w:trPr>
        <w:tc>
          <w:tcPr>
            <w:tcW w:w="1435" w:type="dxa"/>
            <w:tcBorders>
              <w:top w:val="single" w:sz="8" w:space="0" w:color="000000"/>
              <w:bottom w:val="single" w:sz="8" w:space="0" w:color="000000"/>
            </w:tcBorders>
          </w:tcPr>
          <w:p>
            <w:pPr>
              <w:pStyle w:val="TableParagraph"/>
              <w:spacing w:line="272" w:lineRule="exact"/>
              <w:ind w:left="527" w:right="531"/>
              <w:rPr>
                <w:sz w:val="24"/>
              </w:rPr>
            </w:pPr>
            <w:r>
              <w:rPr>
                <w:sz w:val="24"/>
              </w:rPr>
              <w:t>Cd</w:t>
            </w:r>
          </w:p>
        </w:tc>
        <w:tc>
          <w:tcPr>
            <w:tcW w:w="1162" w:type="dxa"/>
            <w:tcBorders>
              <w:top w:val="single" w:sz="8" w:space="0" w:color="000000"/>
              <w:bottom w:val="single" w:sz="8" w:space="0" w:color="000000"/>
            </w:tcBorders>
          </w:tcPr>
          <w:p>
            <w:pPr>
              <w:pStyle w:val="TableParagraph"/>
              <w:spacing w:line="272" w:lineRule="exact"/>
              <w:ind w:left="305" w:right="305"/>
              <w:rPr>
                <w:sz w:val="24"/>
              </w:rPr>
            </w:pPr>
            <w:r>
              <w:rPr>
                <w:sz w:val="24"/>
              </w:rPr>
              <w:t>100</w:t>
            </w:r>
          </w:p>
        </w:tc>
        <w:tc>
          <w:tcPr>
            <w:tcW w:w="953" w:type="dxa"/>
            <w:tcBorders>
              <w:top w:val="single" w:sz="8" w:space="0" w:color="000000"/>
              <w:bottom w:val="single" w:sz="8" w:space="0" w:color="000000"/>
            </w:tcBorders>
          </w:tcPr>
          <w:p>
            <w:pPr>
              <w:pStyle w:val="TableParagraph"/>
              <w:spacing w:line="272" w:lineRule="exact"/>
              <w:ind w:left="88" w:right="86"/>
              <w:rPr>
                <w:sz w:val="24"/>
              </w:rPr>
            </w:pPr>
            <w:r>
              <w:rPr>
                <w:sz w:val="24"/>
              </w:rPr>
              <w:t>100</w:t>
            </w:r>
          </w:p>
        </w:tc>
        <w:tc>
          <w:tcPr>
            <w:tcW w:w="951" w:type="dxa"/>
            <w:tcBorders>
              <w:top w:val="single" w:sz="8" w:space="0" w:color="000000"/>
              <w:bottom w:val="single" w:sz="8" w:space="0" w:color="000000"/>
            </w:tcBorders>
          </w:tcPr>
          <w:p>
            <w:pPr>
              <w:pStyle w:val="TableParagraph"/>
              <w:spacing w:line="272" w:lineRule="exact"/>
              <w:ind w:left="88" w:right="84"/>
              <w:rPr>
                <w:sz w:val="24"/>
              </w:rPr>
            </w:pPr>
            <w:r>
              <w:rPr>
                <w:sz w:val="24"/>
              </w:rPr>
              <w:t>100</w:t>
            </w:r>
          </w:p>
        </w:tc>
        <w:tc>
          <w:tcPr>
            <w:tcW w:w="1099" w:type="dxa"/>
            <w:tcBorders>
              <w:top w:val="single" w:sz="8" w:space="0" w:color="000000"/>
              <w:bottom w:val="single" w:sz="8" w:space="0" w:color="000000"/>
            </w:tcBorders>
          </w:tcPr>
          <w:p>
            <w:pPr>
              <w:pStyle w:val="TableParagraph"/>
              <w:spacing w:line="272" w:lineRule="exact"/>
              <w:ind w:left="275" w:right="275"/>
              <w:rPr>
                <w:sz w:val="24"/>
              </w:rPr>
            </w:pPr>
            <w:r>
              <w:rPr>
                <w:sz w:val="24"/>
              </w:rPr>
              <w:t>99</w:t>
            </w:r>
          </w:p>
        </w:tc>
        <w:tc>
          <w:tcPr>
            <w:tcW w:w="1100" w:type="dxa"/>
            <w:tcBorders>
              <w:top w:val="single" w:sz="8" w:space="0" w:color="000000"/>
              <w:bottom w:val="single" w:sz="8" w:space="0" w:color="000000"/>
            </w:tcBorders>
          </w:tcPr>
          <w:p>
            <w:pPr>
              <w:pStyle w:val="TableParagraph"/>
              <w:spacing w:line="272" w:lineRule="exact"/>
              <w:ind w:left="275" w:right="275"/>
              <w:rPr>
                <w:sz w:val="24"/>
              </w:rPr>
            </w:pPr>
            <w:r>
              <w:rPr>
                <w:sz w:val="24"/>
              </w:rPr>
              <w:t>98</w:t>
            </w:r>
          </w:p>
        </w:tc>
        <w:tc>
          <w:tcPr>
            <w:tcW w:w="3022" w:type="dxa"/>
            <w:vMerge/>
          </w:tcPr>
          <w:p>
            <w:pPr/>
          </w:p>
        </w:tc>
      </w:tr>
      <w:tr>
        <w:trPr>
          <w:trHeight w:val="298" w:hRule="exact"/>
        </w:trPr>
        <w:tc>
          <w:tcPr>
            <w:tcW w:w="1435" w:type="dxa"/>
            <w:tcBorders>
              <w:top w:val="single" w:sz="8" w:space="0" w:color="000000"/>
              <w:bottom w:val="single" w:sz="8" w:space="0" w:color="000000"/>
            </w:tcBorders>
          </w:tcPr>
          <w:p>
            <w:pPr>
              <w:pStyle w:val="TableParagraph"/>
              <w:spacing w:line="274" w:lineRule="exact"/>
              <w:ind w:left="527" w:right="531"/>
              <w:rPr>
                <w:sz w:val="24"/>
              </w:rPr>
            </w:pPr>
            <w:r>
              <w:rPr>
                <w:sz w:val="24"/>
              </w:rPr>
              <w:t>Hg</w:t>
            </w:r>
          </w:p>
        </w:tc>
        <w:tc>
          <w:tcPr>
            <w:tcW w:w="1162" w:type="dxa"/>
            <w:tcBorders>
              <w:top w:val="single" w:sz="8" w:space="0" w:color="000000"/>
              <w:bottom w:val="single" w:sz="8" w:space="0" w:color="000000"/>
            </w:tcBorders>
          </w:tcPr>
          <w:p>
            <w:pPr>
              <w:pStyle w:val="TableParagraph"/>
              <w:spacing w:line="274" w:lineRule="exact"/>
              <w:ind w:left="305" w:right="305"/>
              <w:rPr>
                <w:sz w:val="24"/>
              </w:rPr>
            </w:pPr>
            <w:r>
              <w:rPr>
                <w:sz w:val="24"/>
              </w:rPr>
              <w:t>101</w:t>
            </w:r>
          </w:p>
        </w:tc>
        <w:tc>
          <w:tcPr>
            <w:tcW w:w="953" w:type="dxa"/>
            <w:tcBorders>
              <w:top w:val="single" w:sz="8" w:space="0" w:color="000000"/>
              <w:bottom w:val="single" w:sz="8" w:space="0" w:color="000000"/>
            </w:tcBorders>
          </w:tcPr>
          <w:p>
            <w:pPr>
              <w:pStyle w:val="TableParagraph"/>
              <w:spacing w:line="274" w:lineRule="exact"/>
              <w:ind w:left="88" w:right="86"/>
              <w:rPr>
                <w:sz w:val="24"/>
              </w:rPr>
            </w:pPr>
            <w:r>
              <w:rPr>
                <w:sz w:val="24"/>
              </w:rPr>
              <w:t>101</w:t>
            </w:r>
          </w:p>
        </w:tc>
        <w:tc>
          <w:tcPr>
            <w:tcW w:w="951" w:type="dxa"/>
            <w:tcBorders>
              <w:top w:val="single" w:sz="8" w:space="0" w:color="000000"/>
              <w:bottom w:val="single" w:sz="8" w:space="0" w:color="000000"/>
            </w:tcBorders>
          </w:tcPr>
          <w:p>
            <w:pPr>
              <w:pStyle w:val="TableParagraph"/>
              <w:spacing w:line="274" w:lineRule="exact"/>
              <w:ind w:left="88" w:right="84"/>
              <w:rPr>
                <w:sz w:val="24"/>
              </w:rPr>
            </w:pPr>
            <w:r>
              <w:rPr>
                <w:sz w:val="24"/>
              </w:rPr>
              <w:t>101</w:t>
            </w:r>
          </w:p>
        </w:tc>
        <w:tc>
          <w:tcPr>
            <w:tcW w:w="1099" w:type="dxa"/>
            <w:tcBorders>
              <w:top w:val="single" w:sz="8" w:space="0" w:color="000000"/>
              <w:bottom w:val="single" w:sz="8" w:space="0" w:color="000000"/>
            </w:tcBorders>
          </w:tcPr>
          <w:p>
            <w:pPr>
              <w:pStyle w:val="TableParagraph"/>
              <w:spacing w:line="274" w:lineRule="exact"/>
              <w:ind w:left="275" w:right="275"/>
              <w:rPr>
                <w:sz w:val="24"/>
              </w:rPr>
            </w:pPr>
            <w:r>
              <w:rPr>
                <w:sz w:val="24"/>
              </w:rPr>
              <w:t>99</w:t>
            </w:r>
          </w:p>
        </w:tc>
        <w:tc>
          <w:tcPr>
            <w:tcW w:w="1100" w:type="dxa"/>
            <w:tcBorders>
              <w:top w:val="single" w:sz="8" w:space="0" w:color="000000"/>
              <w:bottom w:val="single" w:sz="8" w:space="0" w:color="000000"/>
            </w:tcBorders>
          </w:tcPr>
          <w:p>
            <w:pPr>
              <w:pStyle w:val="TableParagraph"/>
              <w:spacing w:line="274" w:lineRule="exact"/>
              <w:ind w:left="275" w:right="275"/>
              <w:rPr>
                <w:sz w:val="24"/>
              </w:rPr>
            </w:pPr>
            <w:r>
              <w:rPr>
                <w:sz w:val="24"/>
              </w:rPr>
              <w:t>101</w:t>
            </w:r>
          </w:p>
        </w:tc>
        <w:tc>
          <w:tcPr>
            <w:tcW w:w="3022" w:type="dxa"/>
            <w:vMerge/>
          </w:tcPr>
          <w:p>
            <w:pPr/>
          </w:p>
        </w:tc>
      </w:tr>
      <w:tr>
        <w:trPr>
          <w:trHeight w:val="301" w:hRule="exact"/>
        </w:trPr>
        <w:tc>
          <w:tcPr>
            <w:tcW w:w="1435" w:type="dxa"/>
            <w:tcBorders>
              <w:top w:val="single" w:sz="8" w:space="0" w:color="000000"/>
            </w:tcBorders>
          </w:tcPr>
          <w:p>
            <w:pPr>
              <w:pStyle w:val="TableParagraph"/>
              <w:spacing w:line="272" w:lineRule="exact"/>
              <w:ind w:left="527" w:right="527"/>
              <w:rPr>
                <w:sz w:val="24"/>
              </w:rPr>
            </w:pPr>
            <w:r>
              <w:rPr>
                <w:sz w:val="24"/>
              </w:rPr>
              <w:t>Pb</w:t>
            </w:r>
          </w:p>
        </w:tc>
        <w:tc>
          <w:tcPr>
            <w:tcW w:w="1162" w:type="dxa"/>
            <w:tcBorders>
              <w:top w:val="single" w:sz="8" w:space="0" w:color="000000"/>
            </w:tcBorders>
          </w:tcPr>
          <w:p>
            <w:pPr>
              <w:pStyle w:val="TableParagraph"/>
              <w:spacing w:line="272" w:lineRule="exact"/>
              <w:ind w:left="305" w:right="305"/>
              <w:rPr>
                <w:sz w:val="24"/>
              </w:rPr>
            </w:pPr>
            <w:r>
              <w:rPr>
                <w:sz w:val="24"/>
              </w:rPr>
              <w:t>106</w:t>
            </w:r>
          </w:p>
        </w:tc>
        <w:tc>
          <w:tcPr>
            <w:tcW w:w="953" w:type="dxa"/>
            <w:tcBorders>
              <w:top w:val="single" w:sz="8" w:space="0" w:color="000000"/>
            </w:tcBorders>
          </w:tcPr>
          <w:p>
            <w:pPr>
              <w:pStyle w:val="TableParagraph"/>
              <w:spacing w:line="272" w:lineRule="exact"/>
              <w:ind w:left="88" w:right="86"/>
              <w:rPr>
                <w:sz w:val="24"/>
              </w:rPr>
            </w:pPr>
            <w:r>
              <w:rPr>
                <w:sz w:val="24"/>
              </w:rPr>
              <w:t>106</w:t>
            </w:r>
          </w:p>
        </w:tc>
        <w:tc>
          <w:tcPr>
            <w:tcW w:w="951" w:type="dxa"/>
            <w:tcBorders>
              <w:top w:val="single" w:sz="8" w:space="0" w:color="000000"/>
            </w:tcBorders>
          </w:tcPr>
          <w:p>
            <w:pPr>
              <w:pStyle w:val="TableParagraph"/>
              <w:spacing w:line="272" w:lineRule="exact"/>
              <w:ind w:left="88" w:right="84"/>
              <w:rPr>
                <w:sz w:val="24"/>
              </w:rPr>
            </w:pPr>
            <w:r>
              <w:rPr>
                <w:sz w:val="24"/>
              </w:rPr>
              <w:t>106</w:t>
            </w:r>
          </w:p>
        </w:tc>
        <w:tc>
          <w:tcPr>
            <w:tcW w:w="1099" w:type="dxa"/>
            <w:tcBorders>
              <w:top w:val="single" w:sz="8" w:space="0" w:color="000000"/>
            </w:tcBorders>
          </w:tcPr>
          <w:p>
            <w:pPr>
              <w:pStyle w:val="TableParagraph"/>
              <w:spacing w:line="272" w:lineRule="exact"/>
              <w:ind w:left="275" w:right="275"/>
              <w:rPr>
                <w:sz w:val="24"/>
              </w:rPr>
            </w:pPr>
            <w:r>
              <w:rPr>
                <w:sz w:val="24"/>
              </w:rPr>
              <w:t>98</w:t>
            </w:r>
          </w:p>
        </w:tc>
        <w:tc>
          <w:tcPr>
            <w:tcW w:w="1100" w:type="dxa"/>
            <w:tcBorders>
              <w:top w:val="single" w:sz="8" w:space="0" w:color="000000"/>
            </w:tcBorders>
          </w:tcPr>
          <w:p>
            <w:pPr>
              <w:pStyle w:val="TableParagraph"/>
              <w:spacing w:line="272" w:lineRule="exact"/>
              <w:ind w:left="275" w:right="275"/>
              <w:rPr>
                <w:sz w:val="24"/>
              </w:rPr>
            </w:pPr>
            <w:r>
              <w:rPr>
                <w:sz w:val="24"/>
              </w:rPr>
              <w:t>100</w:t>
            </w:r>
          </w:p>
        </w:tc>
        <w:tc>
          <w:tcPr>
            <w:tcW w:w="3022" w:type="dxa"/>
            <w:vMerge/>
          </w:tcPr>
          <w:p>
            <w:pPr/>
          </w:p>
        </w:tc>
      </w:tr>
      <w:tr>
        <w:trPr>
          <w:trHeight w:val="305" w:hRule="exact"/>
        </w:trPr>
        <w:tc>
          <w:tcPr>
            <w:tcW w:w="9722" w:type="dxa"/>
            <w:gridSpan w:val="7"/>
            <w:shd w:val="clear" w:color="auto" w:fill="D9D9D9"/>
          </w:tcPr>
          <w:p>
            <w:pPr>
              <w:pStyle w:val="TableParagraph"/>
              <w:spacing w:line="272" w:lineRule="exact"/>
              <w:ind w:left="3106"/>
              <w:jc w:val="left"/>
              <w:rPr>
                <w:b/>
                <w:sz w:val="24"/>
              </w:rPr>
            </w:pPr>
            <w:r>
              <w:rPr>
                <w:b/>
                <w:sz w:val="24"/>
              </w:rPr>
              <w:t>ppm en la muestra Producto A</w:t>
            </w:r>
          </w:p>
        </w:tc>
      </w:tr>
      <w:tr>
        <w:trPr>
          <w:trHeight w:val="425" w:hRule="exact"/>
        </w:trPr>
        <w:tc>
          <w:tcPr>
            <w:tcW w:w="1435" w:type="dxa"/>
            <w:tcBorders>
              <w:bottom w:val="single" w:sz="8" w:space="0" w:color="000000"/>
            </w:tcBorders>
          </w:tcPr>
          <w:p>
            <w:pPr>
              <w:pStyle w:val="TableParagraph"/>
              <w:spacing w:before="58"/>
              <w:ind w:left="527" w:right="528"/>
              <w:rPr>
                <w:sz w:val="24"/>
              </w:rPr>
            </w:pPr>
            <w:r>
              <w:rPr>
                <w:sz w:val="24"/>
              </w:rPr>
              <w:t>As</w:t>
            </w:r>
          </w:p>
        </w:tc>
        <w:tc>
          <w:tcPr>
            <w:tcW w:w="1162" w:type="dxa"/>
            <w:tcBorders>
              <w:bottom w:val="single" w:sz="8" w:space="0" w:color="000000"/>
            </w:tcBorders>
          </w:tcPr>
          <w:p>
            <w:pPr>
              <w:pStyle w:val="TableParagraph"/>
              <w:spacing w:before="58"/>
              <w:ind w:left="304" w:right="307"/>
              <w:rPr>
                <w:sz w:val="24"/>
              </w:rPr>
            </w:pPr>
            <w:r>
              <w:rPr>
                <w:sz w:val="24"/>
              </w:rPr>
              <w:t>ND</w:t>
            </w:r>
          </w:p>
        </w:tc>
        <w:tc>
          <w:tcPr>
            <w:tcW w:w="953" w:type="dxa"/>
            <w:tcBorders>
              <w:bottom w:val="single" w:sz="8" w:space="0" w:color="000000"/>
            </w:tcBorders>
          </w:tcPr>
          <w:p>
            <w:pPr>
              <w:pStyle w:val="TableParagraph"/>
              <w:spacing w:before="58"/>
              <w:ind w:left="88" w:right="88"/>
              <w:rPr>
                <w:sz w:val="24"/>
              </w:rPr>
            </w:pPr>
            <w:r>
              <w:rPr>
                <w:sz w:val="24"/>
              </w:rPr>
              <w:t>ND</w:t>
            </w:r>
          </w:p>
        </w:tc>
        <w:tc>
          <w:tcPr>
            <w:tcW w:w="951" w:type="dxa"/>
            <w:tcBorders>
              <w:bottom w:val="single" w:sz="8" w:space="0" w:color="000000"/>
            </w:tcBorders>
          </w:tcPr>
          <w:p>
            <w:pPr>
              <w:pStyle w:val="TableParagraph"/>
              <w:spacing w:before="58"/>
              <w:ind w:left="87" w:right="87"/>
              <w:rPr>
                <w:sz w:val="24"/>
              </w:rPr>
            </w:pPr>
            <w:r>
              <w:rPr>
                <w:sz w:val="24"/>
              </w:rPr>
              <w:t>ND</w:t>
            </w:r>
          </w:p>
        </w:tc>
        <w:tc>
          <w:tcPr>
            <w:tcW w:w="1099" w:type="dxa"/>
            <w:tcBorders>
              <w:bottom w:val="single" w:sz="8" w:space="0" w:color="000000"/>
            </w:tcBorders>
          </w:tcPr>
          <w:p>
            <w:pPr>
              <w:pStyle w:val="TableParagraph"/>
              <w:spacing w:before="58"/>
              <w:ind w:left="275" w:right="275"/>
              <w:rPr>
                <w:sz w:val="24"/>
              </w:rPr>
            </w:pPr>
            <w:r>
              <w:rPr>
                <w:sz w:val="24"/>
              </w:rPr>
              <w:t>ND</w:t>
            </w:r>
          </w:p>
        </w:tc>
        <w:tc>
          <w:tcPr>
            <w:tcW w:w="1100" w:type="dxa"/>
            <w:tcBorders>
              <w:bottom w:val="single" w:sz="8" w:space="0" w:color="000000"/>
            </w:tcBorders>
          </w:tcPr>
          <w:p>
            <w:pPr>
              <w:pStyle w:val="TableParagraph"/>
              <w:spacing w:before="58"/>
              <w:ind w:left="275" w:right="275"/>
              <w:rPr>
                <w:sz w:val="24"/>
              </w:rPr>
            </w:pPr>
            <w:r>
              <w:rPr>
                <w:sz w:val="24"/>
              </w:rPr>
              <w:t>ND</w:t>
            </w:r>
          </w:p>
        </w:tc>
        <w:tc>
          <w:tcPr>
            <w:tcW w:w="3022" w:type="dxa"/>
            <w:vMerge w:val="restart"/>
          </w:tcPr>
          <w:p>
            <w:pPr>
              <w:pStyle w:val="TableParagraph"/>
              <w:spacing w:before="142"/>
              <w:ind w:left="134" w:right="134" w:hanging="3"/>
              <w:rPr>
                <w:sz w:val="24"/>
              </w:rPr>
            </w:pPr>
            <w:r>
              <w:rPr>
                <w:sz w:val="24"/>
              </w:rPr>
              <w:t>La respuesta de As, Cd, Hg and Pb no aumenta ni disminuye por arriba del límite de cuantificación</w:t>
            </w:r>
          </w:p>
        </w:tc>
      </w:tr>
      <w:tr>
        <w:trPr>
          <w:trHeight w:val="384" w:hRule="exact"/>
        </w:trPr>
        <w:tc>
          <w:tcPr>
            <w:tcW w:w="1435" w:type="dxa"/>
            <w:tcBorders>
              <w:top w:val="single" w:sz="8" w:space="0" w:color="000000"/>
              <w:bottom w:val="single" w:sz="8" w:space="0" w:color="000000"/>
            </w:tcBorders>
          </w:tcPr>
          <w:p>
            <w:pPr>
              <w:pStyle w:val="TableParagraph"/>
              <w:spacing w:before="46"/>
              <w:ind w:left="527" w:right="531"/>
              <w:rPr>
                <w:sz w:val="24"/>
              </w:rPr>
            </w:pPr>
            <w:r>
              <w:rPr>
                <w:sz w:val="24"/>
              </w:rPr>
              <w:t>Cd</w:t>
            </w:r>
          </w:p>
        </w:tc>
        <w:tc>
          <w:tcPr>
            <w:tcW w:w="1162" w:type="dxa"/>
            <w:tcBorders>
              <w:top w:val="single" w:sz="8" w:space="0" w:color="000000"/>
              <w:bottom w:val="single" w:sz="8" w:space="0" w:color="000000"/>
            </w:tcBorders>
          </w:tcPr>
          <w:p>
            <w:pPr>
              <w:pStyle w:val="TableParagraph"/>
              <w:spacing w:before="46"/>
              <w:ind w:left="304" w:right="307"/>
              <w:rPr>
                <w:sz w:val="24"/>
              </w:rPr>
            </w:pPr>
            <w:r>
              <w:rPr>
                <w:sz w:val="24"/>
              </w:rPr>
              <w:t>ND</w:t>
            </w:r>
          </w:p>
        </w:tc>
        <w:tc>
          <w:tcPr>
            <w:tcW w:w="953" w:type="dxa"/>
            <w:tcBorders>
              <w:top w:val="single" w:sz="8" w:space="0" w:color="000000"/>
              <w:bottom w:val="single" w:sz="8" w:space="0" w:color="000000"/>
            </w:tcBorders>
          </w:tcPr>
          <w:p>
            <w:pPr>
              <w:pStyle w:val="TableParagraph"/>
              <w:spacing w:before="46"/>
              <w:ind w:left="87" w:right="88"/>
              <w:rPr>
                <w:sz w:val="24"/>
              </w:rPr>
            </w:pPr>
            <w:r>
              <w:rPr>
                <w:sz w:val="24"/>
              </w:rPr>
              <w:t>BQL</w:t>
            </w:r>
          </w:p>
        </w:tc>
        <w:tc>
          <w:tcPr>
            <w:tcW w:w="951" w:type="dxa"/>
            <w:tcBorders>
              <w:top w:val="single" w:sz="8" w:space="0" w:color="000000"/>
              <w:bottom w:val="single" w:sz="8" w:space="0" w:color="000000"/>
            </w:tcBorders>
          </w:tcPr>
          <w:p>
            <w:pPr>
              <w:pStyle w:val="TableParagraph"/>
              <w:spacing w:before="46"/>
              <w:ind w:left="87" w:right="87"/>
              <w:rPr>
                <w:sz w:val="24"/>
              </w:rPr>
            </w:pPr>
            <w:r>
              <w:rPr>
                <w:sz w:val="24"/>
              </w:rPr>
              <w:t>ND</w:t>
            </w:r>
          </w:p>
        </w:tc>
        <w:tc>
          <w:tcPr>
            <w:tcW w:w="1099" w:type="dxa"/>
            <w:tcBorders>
              <w:top w:val="single" w:sz="8" w:space="0" w:color="000000"/>
              <w:bottom w:val="single" w:sz="8" w:space="0" w:color="000000"/>
            </w:tcBorders>
          </w:tcPr>
          <w:p>
            <w:pPr>
              <w:pStyle w:val="TableParagraph"/>
              <w:spacing w:before="46"/>
              <w:ind w:left="275" w:right="275"/>
              <w:rPr>
                <w:sz w:val="24"/>
              </w:rPr>
            </w:pPr>
            <w:r>
              <w:rPr>
                <w:sz w:val="24"/>
              </w:rPr>
              <w:t>ND</w:t>
            </w:r>
          </w:p>
        </w:tc>
        <w:tc>
          <w:tcPr>
            <w:tcW w:w="1100" w:type="dxa"/>
            <w:tcBorders>
              <w:top w:val="single" w:sz="8" w:space="0" w:color="000000"/>
              <w:bottom w:val="single" w:sz="8" w:space="0" w:color="000000"/>
            </w:tcBorders>
          </w:tcPr>
          <w:p>
            <w:pPr>
              <w:pStyle w:val="TableParagraph"/>
              <w:spacing w:before="46"/>
              <w:ind w:left="275" w:right="275"/>
              <w:rPr>
                <w:sz w:val="24"/>
              </w:rPr>
            </w:pPr>
            <w:r>
              <w:rPr>
                <w:sz w:val="24"/>
              </w:rPr>
              <w:t>ND</w:t>
            </w:r>
          </w:p>
        </w:tc>
        <w:tc>
          <w:tcPr>
            <w:tcW w:w="3022" w:type="dxa"/>
            <w:vMerge/>
          </w:tcPr>
          <w:p>
            <w:pPr/>
          </w:p>
        </w:tc>
      </w:tr>
      <w:tr>
        <w:trPr>
          <w:trHeight w:val="307" w:hRule="exact"/>
        </w:trPr>
        <w:tc>
          <w:tcPr>
            <w:tcW w:w="1435" w:type="dxa"/>
            <w:tcBorders>
              <w:top w:val="single" w:sz="8" w:space="0" w:color="000000"/>
              <w:bottom w:val="single" w:sz="8" w:space="0" w:color="000000"/>
            </w:tcBorders>
          </w:tcPr>
          <w:p>
            <w:pPr>
              <w:pStyle w:val="TableParagraph"/>
              <w:spacing w:before="7"/>
              <w:ind w:left="527" w:right="531"/>
              <w:rPr>
                <w:sz w:val="24"/>
              </w:rPr>
            </w:pPr>
            <w:r>
              <w:rPr>
                <w:sz w:val="24"/>
              </w:rPr>
              <w:t>Hg</w:t>
            </w:r>
          </w:p>
        </w:tc>
        <w:tc>
          <w:tcPr>
            <w:tcW w:w="1162" w:type="dxa"/>
            <w:tcBorders>
              <w:top w:val="single" w:sz="8" w:space="0" w:color="000000"/>
              <w:bottom w:val="single" w:sz="8" w:space="0" w:color="000000"/>
            </w:tcBorders>
          </w:tcPr>
          <w:p>
            <w:pPr>
              <w:pStyle w:val="TableParagraph"/>
              <w:spacing w:before="7"/>
              <w:ind w:left="304" w:right="307"/>
              <w:rPr>
                <w:sz w:val="24"/>
              </w:rPr>
            </w:pPr>
            <w:r>
              <w:rPr>
                <w:sz w:val="24"/>
              </w:rPr>
              <w:t>ND</w:t>
            </w:r>
          </w:p>
        </w:tc>
        <w:tc>
          <w:tcPr>
            <w:tcW w:w="953" w:type="dxa"/>
            <w:tcBorders>
              <w:top w:val="single" w:sz="8" w:space="0" w:color="000000"/>
              <w:bottom w:val="single" w:sz="8" w:space="0" w:color="000000"/>
            </w:tcBorders>
          </w:tcPr>
          <w:p>
            <w:pPr>
              <w:pStyle w:val="TableParagraph"/>
              <w:spacing w:before="7"/>
              <w:ind w:left="88" w:right="88"/>
              <w:rPr>
                <w:sz w:val="24"/>
              </w:rPr>
            </w:pPr>
            <w:r>
              <w:rPr>
                <w:sz w:val="24"/>
              </w:rPr>
              <w:t>ND</w:t>
            </w:r>
          </w:p>
        </w:tc>
        <w:tc>
          <w:tcPr>
            <w:tcW w:w="951" w:type="dxa"/>
            <w:tcBorders>
              <w:top w:val="single" w:sz="8" w:space="0" w:color="000000"/>
              <w:bottom w:val="single" w:sz="8" w:space="0" w:color="000000"/>
            </w:tcBorders>
          </w:tcPr>
          <w:p>
            <w:pPr>
              <w:pStyle w:val="TableParagraph"/>
              <w:spacing w:before="7"/>
              <w:ind w:left="87" w:right="87"/>
              <w:rPr>
                <w:sz w:val="24"/>
              </w:rPr>
            </w:pPr>
            <w:r>
              <w:rPr>
                <w:sz w:val="24"/>
              </w:rPr>
              <w:t>ND</w:t>
            </w:r>
          </w:p>
        </w:tc>
        <w:tc>
          <w:tcPr>
            <w:tcW w:w="1099" w:type="dxa"/>
            <w:tcBorders>
              <w:top w:val="single" w:sz="8" w:space="0" w:color="000000"/>
              <w:bottom w:val="single" w:sz="8" w:space="0" w:color="000000"/>
            </w:tcBorders>
          </w:tcPr>
          <w:p>
            <w:pPr>
              <w:pStyle w:val="TableParagraph"/>
              <w:spacing w:before="7"/>
              <w:ind w:left="275" w:right="275"/>
              <w:rPr>
                <w:sz w:val="24"/>
              </w:rPr>
            </w:pPr>
            <w:r>
              <w:rPr>
                <w:sz w:val="24"/>
              </w:rPr>
              <w:t>ND</w:t>
            </w:r>
          </w:p>
        </w:tc>
        <w:tc>
          <w:tcPr>
            <w:tcW w:w="1100" w:type="dxa"/>
            <w:tcBorders>
              <w:top w:val="single" w:sz="8" w:space="0" w:color="000000"/>
              <w:bottom w:val="single" w:sz="8" w:space="0" w:color="000000"/>
            </w:tcBorders>
          </w:tcPr>
          <w:p>
            <w:pPr>
              <w:pStyle w:val="TableParagraph"/>
              <w:spacing w:before="7"/>
              <w:ind w:left="275" w:right="275"/>
              <w:rPr>
                <w:sz w:val="24"/>
              </w:rPr>
            </w:pPr>
            <w:r>
              <w:rPr>
                <w:sz w:val="24"/>
              </w:rPr>
              <w:t>ND</w:t>
            </w:r>
          </w:p>
        </w:tc>
        <w:tc>
          <w:tcPr>
            <w:tcW w:w="3022" w:type="dxa"/>
            <w:vMerge/>
          </w:tcPr>
          <w:p>
            <w:pPr/>
          </w:p>
        </w:tc>
      </w:tr>
      <w:tr>
        <w:trPr>
          <w:trHeight w:val="312" w:hRule="exact"/>
        </w:trPr>
        <w:tc>
          <w:tcPr>
            <w:tcW w:w="1435" w:type="dxa"/>
            <w:tcBorders>
              <w:top w:val="single" w:sz="8" w:space="0" w:color="000000"/>
            </w:tcBorders>
          </w:tcPr>
          <w:p>
            <w:pPr>
              <w:pStyle w:val="TableParagraph"/>
              <w:spacing w:before="5"/>
              <w:ind w:left="527" w:right="527"/>
              <w:rPr>
                <w:sz w:val="24"/>
              </w:rPr>
            </w:pPr>
            <w:r>
              <w:rPr>
                <w:sz w:val="24"/>
              </w:rPr>
              <w:t>Pb</w:t>
            </w:r>
          </w:p>
        </w:tc>
        <w:tc>
          <w:tcPr>
            <w:tcW w:w="1162" w:type="dxa"/>
            <w:tcBorders>
              <w:top w:val="single" w:sz="8" w:space="0" w:color="000000"/>
            </w:tcBorders>
          </w:tcPr>
          <w:p>
            <w:pPr>
              <w:pStyle w:val="TableParagraph"/>
              <w:spacing w:before="5"/>
              <w:ind w:left="305" w:right="307"/>
              <w:rPr>
                <w:sz w:val="24"/>
              </w:rPr>
            </w:pPr>
            <w:r>
              <w:rPr>
                <w:sz w:val="24"/>
              </w:rPr>
              <w:t>BQL</w:t>
            </w:r>
          </w:p>
        </w:tc>
        <w:tc>
          <w:tcPr>
            <w:tcW w:w="953" w:type="dxa"/>
            <w:tcBorders>
              <w:top w:val="single" w:sz="8" w:space="0" w:color="000000"/>
            </w:tcBorders>
          </w:tcPr>
          <w:p>
            <w:pPr>
              <w:pStyle w:val="TableParagraph"/>
              <w:spacing w:before="5"/>
              <w:ind w:left="88" w:right="88"/>
              <w:rPr>
                <w:sz w:val="24"/>
              </w:rPr>
            </w:pPr>
            <w:r>
              <w:rPr>
                <w:sz w:val="24"/>
              </w:rPr>
              <w:t>ND</w:t>
            </w:r>
          </w:p>
        </w:tc>
        <w:tc>
          <w:tcPr>
            <w:tcW w:w="951" w:type="dxa"/>
            <w:tcBorders>
              <w:top w:val="single" w:sz="8" w:space="0" w:color="000000"/>
            </w:tcBorders>
          </w:tcPr>
          <w:p>
            <w:pPr>
              <w:pStyle w:val="TableParagraph"/>
              <w:spacing w:before="5"/>
              <w:ind w:left="87" w:right="87"/>
              <w:rPr>
                <w:sz w:val="24"/>
              </w:rPr>
            </w:pPr>
            <w:r>
              <w:rPr>
                <w:sz w:val="24"/>
              </w:rPr>
              <w:t>ND</w:t>
            </w:r>
          </w:p>
        </w:tc>
        <w:tc>
          <w:tcPr>
            <w:tcW w:w="1099" w:type="dxa"/>
            <w:tcBorders>
              <w:top w:val="single" w:sz="8" w:space="0" w:color="000000"/>
            </w:tcBorders>
          </w:tcPr>
          <w:p>
            <w:pPr>
              <w:pStyle w:val="TableParagraph"/>
              <w:spacing w:before="5"/>
              <w:ind w:left="275" w:right="275"/>
              <w:rPr>
                <w:sz w:val="24"/>
              </w:rPr>
            </w:pPr>
            <w:r>
              <w:rPr>
                <w:sz w:val="24"/>
              </w:rPr>
              <w:t>BQL</w:t>
            </w:r>
          </w:p>
        </w:tc>
        <w:tc>
          <w:tcPr>
            <w:tcW w:w="1100" w:type="dxa"/>
            <w:tcBorders>
              <w:top w:val="single" w:sz="8" w:space="0" w:color="000000"/>
            </w:tcBorders>
          </w:tcPr>
          <w:p>
            <w:pPr>
              <w:pStyle w:val="TableParagraph"/>
              <w:spacing w:before="5"/>
              <w:ind w:left="275" w:right="275"/>
              <w:rPr>
                <w:sz w:val="24"/>
              </w:rPr>
            </w:pPr>
            <w:r>
              <w:rPr>
                <w:sz w:val="24"/>
              </w:rPr>
              <w:t>BQL</w:t>
            </w:r>
          </w:p>
        </w:tc>
        <w:tc>
          <w:tcPr>
            <w:tcW w:w="3022" w:type="dxa"/>
            <w:vMerge/>
          </w:tcPr>
          <w:p>
            <w:pPr/>
          </w:p>
        </w:tc>
      </w:tr>
    </w:tbl>
    <w:p>
      <w:pPr>
        <w:spacing w:line="230" w:lineRule="exact" w:before="0"/>
        <w:ind w:left="808" w:right="0" w:firstLine="0"/>
        <w:jc w:val="left"/>
        <w:rPr>
          <w:sz w:val="20"/>
        </w:rPr>
      </w:pPr>
      <w:r>
        <w:rPr>
          <w:sz w:val="20"/>
        </w:rPr>
        <w:t>ND= No Detectado</w:t>
      </w:r>
    </w:p>
    <w:p>
      <w:pPr>
        <w:spacing w:before="34"/>
        <w:ind w:left="808" w:right="0" w:firstLine="0"/>
        <w:jc w:val="left"/>
        <w:rPr>
          <w:sz w:val="20"/>
        </w:rPr>
      </w:pPr>
      <w:r>
        <w:rPr>
          <w:sz w:val="20"/>
        </w:rPr>
        <w:t>BQL= Por Debajo del Límite de Cuantificación</w:t>
      </w:r>
    </w:p>
    <w:p>
      <w:pPr>
        <w:spacing w:after="0"/>
        <w:jc w:val="left"/>
        <w:rPr>
          <w:sz w:val="20"/>
        </w:rPr>
        <w:sectPr>
          <w:pgSz w:w="12240" w:h="15840"/>
          <w:pgMar w:header="0" w:footer="919" w:top="1320" w:bottom="1100" w:left="1460" w:right="780"/>
        </w:sectPr>
      </w:pPr>
    </w:p>
    <w:p>
      <w:pPr>
        <w:pStyle w:val="Heading1"/>
        <w:spacing w:line="276" w:lineRule="auto" w:before="56"/>
        <w:ind w:right="824"/>
        <w:jc w:val="left"/>
      </w:pPr>
      <w:bookmarkStart w:name="_bookmark29" w:id="53"/>
      <w:bookmarkEnd w:id="53"/>
      <w:r>
        <w:rPr>
          <w:b w:val="0"/>
        </w:rPr>
      </w:r>
      <w:r>
        <w:rPr/>
        <w:t>ANEXO C. REPORTE DE VALIDACIÓN PARA LA DETERMINACIÓN DE IMPUREZAS ELEMENTALES CLASE 2A POR ICP-MS</w:t>
      </w:r>
    </w:p>
    <w:p>
      <w:pPr>
        <w:pStyle w:val="BodyText"/>
        <w:rPr>
          <w:b/>
        </w:rPr>
      </w:pPr>
    </w:p>
    <w:p>
      <w:pPr>
        <w:pStyle w:val="BodyText"/>
        <w:spacing w:before="5"/>
        <w:rPr>
          <w:b/>
          <w:sz w:val="25"/>
        </w:rPr>
      </w:pPr>
    </w:p>
    <w:p>
      <w:pPr>
        <w:pStyle w:val="ListParagraph"/>
        <w:numPr>
          <w:ilvl w:val="0"/>
          <w:numId w:val="11"/>
        </w:numPr>
        <w:tabs>
          <w:tab w:pos="821" w:val="left" w:leader="none"/>
          <w:tab w:pos="822" w:val="left" w:leader="none"/>
        </w:tabs>
        <w:spacing w:line="240" w:lineRule="auto" w:before="1" w:after="0"/>
        <w:ind w:left="822" w:right="0" w:hanging="495"/>
        <w:jc w:val="left"/>
        <w:rPr>
          <w:b/>
          <w:sz w:val="24"/>
        </w:rPr>
      </w:pPr>
      <w:r>
        <w:rPr>
          <w:b/>
          <w:sz w:val="24"/>
        </w:rPr>
        <w:t>Idoneidad del</w:t>
      </w:r>
      <w:r>
        <w:rPr>
          <w:b/>
          <w:spacing w:val="-5"/>
          <w:sz w:val="24"/>
        </w:rPr>
        <w:t> </w:t>
      </w:r>
      <w:r>
        <w:rPr>
          <w:b/>
          <w:sz w:val="24"/>
        </w:rPr>
        <w:t>sistema</w:t>
      </w:r>
    </w:p>
    <w:p>
      <w:pPr>
        <w:pStyle w:val="BodyText"/>
        <w:spacing w:before="8"/>
        <w:rPr>
          <w:b/>
          <w:sz w:val="27"/>
        </w:rPr>
      </w:pPr>
    </w:p>
    <w:p>
      <w:pPr>
        <w:pStyle w:val="BodyText"/>
        <w:spacing w:line="360" w:lineRule="auto"/>
        <w:ind w:left="810" w:right="122"/>
        <w:jc w:val="both"/>
      </w:pPr>
      <w:r>
        <w:rPr>
          <w:color w:val="212121"/>
        </w:rPr>
        <w:t>Una prueba de idoneidad del sistema se realizó antes de la ejecución de cada parámetro de validación analítica con el único propósito de verificar que la concentración obtenida para cada muestra se midió de forma fiable.</w:t>
      </w:r>
    </w:p>
    <w:p>
      <w:pPr>
        <w:pStyle w:val="BodyText"/>
      </w:pPr>
    </w:p>
    <w:p>
      <w:pPr>
        <w:pStyle w:val="BodyText"/>
        <w:spacing w:line="360" w:lineRule="auto" w:before="140"/>
        <w:ind w:left="810" w:right="118"/>
        <w:jc w:val="both"/>
      </w:pPr>
      <w:r>
        <w:rPr>
          <w:color w:val="212121"/>
        </w:rPr>
        <w:t>Una solución estándar preparada a 100 % de la solución patrón de trabajo se midió usando la concentración obtenida en cada curva de calibración; se calculó el % de recuperación obtenido para la concentración medida frente  a la concentración obtenida en la curva de calibración. En todos los casos el valor obtenido fue de entre 80 y 120 %. Intervalo de los resultados para cada analito de interés se presenta en la Tabla</w:t>
      </w:r>
      <w:r>
        <w:rPr>
          <w:color w:val="212121"/>
          <w:spacing w:val="-18"/>
        </w:rPr>
        <w:t> </w:t>
      </w:r>
      <w:r>
        <w:rPr>
          <w:color w:val="212121"/>
        </w:rPr>
        <w:t>C.I.1.</w:t>
      </w:r>
    </w:p>
    <w:p>
      <w:pPr>
        <w:pStyle w:val="Heading1"/>
        <w:spacing w:line="278" w:lineRule="auto" w:before="2"/>
        <w:ind w:left="810" w:right="115"/>
      </w:pPr>
      <w:r>
        <w:rPr>
          <w:color w:val="212121"/>
        </w:rPr>
        <w:t>Tabla C.I.1. Resultados de la Idoneidad del sistema para la clase 2A (% de recobro)</w:t>
      </w:r>
    </w:p>
    <w:tbl>
      <w:tblPr>
        <w:tblW w:w="0" w:type="auto"/>
        <w:jc w:val="left"/>
        <w:tblInd w:w="502"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CellMar>
          <w:top w:w="0" w:type="dxa"/>
          <w:left w:w="0" w:type="dxa"/>
          <w:bottom w:w="0" w:type="dxa"/>
          <w:right w:w="0" w:type="dxa"/>
        </w:tblCellMar>
        <w:tblLook w:val="01E0"/>
      </w:tblPr>
      <w:tblGrid>
        <w:gridCol w:w="3329"/>
        <w:gridCol w:w="2340"/>
        <w:gridCol w:w="2341"/>
      </w:tblGrid>
      <w:tr>
        <w:trPr>
          <w:trHeight w:val="425" w:hRule="exact"/>
        </w:trPr>
        <w:tc>
          <w:tcPr>
            <w:tcW w:w="3329" w:type="dxa"/>
            <w:shd w:val="clear" w:color="auto" w:fill="D9D9D9"/>
          </w:tcPr>
          <w:p>
            <w:pPr>
              <w:pStyle w:val="TableParagraph"/>
              <w:spacing w:before="115"/>
              <w:ind w:left="1221" w:right="1226"/>
              <w:rPr>
                <w:b/>
                <w:sz w:val="24"/>
              </w:rPr>
            </w:pPr>
            <w:r>
              <w:rPr>
                <w:b/>
                <w:sz w:val="24"/>
              </w:rPr>
              <w:t>Analito</w:t>
            </w:r>
          </w:p>
        </w:tc>
        <w:tc>
          <w:tcPr>
            <w:tcW w:w="2340" w:type="dxa"/>
            <w:shd w:val="clear" w:color="auto" w:fill="D9D9D9"/>
          </w:tcPr>
          <w:p>
            <w:pPr>
              <w:pStyle w:val="TableParagraph"/>
              <w:spacing w:before="115"/>
              <w:ind w:left="266" w:right="270"/>
              <w:rPr>
                <w:b/>
                <w:sz w:val="24"/>
              </w:rPr>
            </w:pPr>
            <w:r>
              <w:rPr>
                <w:b/>
                <w:sz w:val="24"/>
              </w:rPr>
              <w:t>Valor más Bajo</w:t>
            </w:r>
          </w:p>
        </w:tc>
        <w:tc>
          <w:tcPr>
            <w:tcW w:w="2341" w:type="dxa"/>
            <w:shd w:val="clear" w:color="auto" w:fill="D9D9D9"/>
          </w:tcPr>
          <w:p>
            <w:pPr>
              <w:pStyle w:val="TableParagraph"/>
              <w:spacing w:before="115"/>
              <w:ind w:left="263" w:right="270"/>
              <w:rPr>
                <w:b/>
                <w:sz w:val="24"/>
              </w:rPr>
            </w:pPr>
            <w:r>
              <w:rPr>
                <w:b/>
                <w:sz w:val="24"/>
              </w:rPr>
              <w:t>Valor más Alto</w:t>
            </w:r>
          </w:p>
        </w:tc>
      </w:tr>
      <w:tr>
        <w:trPr>
          <w:trHeight w:val="593" w:hRule="exact"/>
        </w:trPr>
        <w:tc>
          <w:tcPr>
            <w:tcW w:w="3329" w:type="dxa"/>
          </w:tcPr>
          <w:p>
            <w:pPr>
              <w:pStyle w:val="TableParagraph"/>
              <w:spacing w:before="139"/>
              <w:ind w:right="2"/>
              <w:rPr>
                <w:sz w:val="24"/>
              </w:rPr>
            </w:pPr>
            <w:r>
              <w:rPr>
                <w:w w:val="100"/>
                <w:sz w:val="24"/>
              </w:rPr>
              <w:t>V</w:t>
            </w:r>
          </w:p>
        </w:tc>
        <w:tc>
          <w:tcPr>
            <w:tcW w:w="2340" w:type="dxa"/>
          </w:tcPr>
          <w:p>
            <w:pPr>
              <w:pStyle w:val="TableParagraph"/>
              <w:spacing w:before="139"/>
              <w:ind w:left="266" w:right="267"/>
              <w:rPr>
                <w:sz w:val="24"/>
              </w:rPr>
            </w:pPr>
            <w:r>
              <w:rPr>
                <w:sz w:val="24"/>
              </w:rPr>
              <w:t>93</w:t>
            </w:r>
          </w:p>
        </w:tc>
        <w:tc>
          <w:tcPr>
            <w:tcW w:w="2341" w:type="dxa"/>
          </w:tcPr>
          <w:p>
            <w:pPr>
              <w:pStyle w:val="TableParagraph"/>
              <w:spacing w:before="139"/>
              <w:ind w:left="266" w:right="267"/>
              <w:rPr>
                <w:sz w:val="24"/>
              </w:rPr>
            </w:pPr>
            <w:r>
              <w:rPr>
                <w:sz w:val="24"/>
              </w:rPr>
              <w:t>102</w:t>
            </w:r>
          </w:p>
        </w:tc>
      </w:tr>
      <w:tr>
        <w:trPr>
          <w:trHeight w:val="586" w:hRule="exact"/>
        </w:trPr>
        <w:tc>
          <w:tcPr>
            <w:tcW w:w="3329" w:type="dxa"/>
          </w:tcPr>
          <w:p>
            <w:pPr>
              <w:pStyle w:val="TableParagraph"/>
              <w:spacing w:before="135"/>
              <w:ind w:left="1220" w:right="1226"/>
              <w:rPr>
                <w:sz w:val="24"/>
              </w:rPr>
            </w:pPr>
            <w:r>
              <w:rPr>
                <w:sz w:val="24"/>
              </w:rPr>
              <w:t>Co</w:t>
            </w:r>
          </w:p>
        </w:tc>
        <w:tc>
          <w:tcPr>
            <w:tcW w:w="2340" w:type="dxa"/>
          </w:tcPr>
          <w:p>
            <w:pPr>
              <w:pStyle w:val="TableParagraph"/>
              <w:spacing w:before="135"/>
              <w:ind w:left="266" w:right="267"/>
              <w:rPr>
                <w:sz w:val="24"/>
              </w:rPr>
            </w:pPr>
            <w:r>
              <w:rPr>
                <w:sz w:val="24"/>
              </w:rPr>
              <w:t>97</w:t>
            </w:r>
          </w:p>
        </w:tc>
        <w:tc>
          <w:tcPr>
            <w:tcW w:w="2341" w:type="dxa"/>
          </w:tcPr>
          <w:p>
            <w:pPr>
              <w:pStyle w:val="TableParagraph"/>
              <w:spacing w:before="135"/>
              <w:ind w:left="266" w:right="267"/>
              <w:rPr>
                <w:sz w:val="24"/>
              </w:rPr>
            </w:pPr>
            <w:r>
              <w:rPr>
                <w:sz w:val="24"/>
              </w:rPr>
              <w:t>102</w:t>
            </w:r>
          </w:p>
        </w:tc>
      </w:tr>
      <w:tr>
        <w:trPr>
          <w:trHeight w:val="550" w:hRule="exact"/>
        </w:trPr>
        <w:tc>
          <w:tcPr>
            <w:tcW w:w="3329" w:type="dxa"/>
          </w:tcPr>
          <w:p>
            <w:pPr>
              <w:pStyle w:val="TableParagraph"/>
              <w:spacing w:before="118"/>
              <w:ind w:left="1221" w:right="1225"/>
              <w:rPr>
                <w:sz w:val="24"/>
              </w:rPr>
            </w:pPr>
            <w:r>
              <w:rPr>
                <w:sz w:val="24"/>
              </w:rPr>
              <w:t>Ni</w:t>
            </w:r>
          </w:p>
        </w:tc>
        <w:tc>
          <w:tcPr>
            <w:tcW w:w="2340" w:type="dxa"/>
          </w:tcPr>
          <w:p>
            <w:pPr>
              <w:pStyle w:val="TableParagraph"/>
              <w:spacing w:before="118"/>
              <w:ind w:left="266" w:right="267"/>
              <w:rPr>
                <w:sz w:val="24"/>
              </w:rPr>
            </w:pPr>
            <w:r>
              <w:rPr>
                <w:sz w:val="24"/>
              </w:rPr>
              <w:t>98</w:t>
            </w:r>
          </w:p>
        </w:tc>
        <w:tc>
          <w:tcPr>
            <w:tcW w:w="2341" w:type="dxa"/>
          </w:tcPr>
          <w:p>
            <w:pPr>
              <w:pStyle w:val="TableParagraph"/>
              <w:spacing w:before="118"/>
              <w:ind w:left="266" w:right="267"/>
              <w:rPr>
                <w:sz w:val="24"/>
              </w:rPr>
            </w:pPr>
            <w:r>
              <w:rPr>
                <w:sz w:val="24"/>
              </w:rPr>
              <w:t>105</w:t>
            </w:r>
          </w:p>
        </w:tc>
      </w:tr>
    </w:tbl>
    <w:p>
      <w:pPr>
        <w:pStyle w:val="BodyText"/>
        <w:rPr>
          <w:b/>
          <w:sz w:val="20"/>
        </w:rPr>
      </w:pPr>
    </w:p>
    <w:p>
      <w:pPr>
        <w:pStyle w:val="BodyText"/>
        <w:spacing w:before="1"/>
        <w:rPr>
          <w:b/>
          <w:sz w:val="29"/>
        </w:rPr>
      </w:pPr>
    </w:p>
    <w:p>
      <w:pPr>
        <w:pStyle w:val="ListParagraph"/>
        <w:numPr>
          <w:ilvl w:val="0"/>
          <w:numId w:val="11"/>
        </w:numPr>
        <w:tabs>
          <w:tab w:pos="821" w:val="left" w:leader="none"/>
          <w:tab w:pos="822" w:val="left" w:leader="none"/>
        </w:tabs>
        <w:spacing w:line="240" w:lineRule="auto" w:before="69" w:after="0"/>
        <w:ind w:left="822" w:right="0" w:hanging="560"/>
        <w:jc w:val="left"/>
        <w:rPr>
          <w:b/>
          <w:sz w:val="24"/>
        </w:rPr>
      </w:pPr>
      <w:r>
        <w:rPr>
          <w:b/>
          <w:sz w:val="24"/>
        </w:rPr>
        <w:t>Estabilidad de las</w:t>
      </w:r>
      <w:r>
        <w:rPr>
          <w:b/>
          <w:spacing w:val="-10"/>
          <w:sz w:val="24"/>
        </w:rPr>
        <w:t> </w:t>
      </w:r>
      <w:r>
        <w:rPr>
          <w:b/>
          <w:sz w:val="24"/>
        </w:rPr>
        <w:t>Soluciones</w:t>
      </w:r>
    </w:p>
    <w:p>
      <w:pPr>
        <w:pStyle w:val="BodyText"/>
        <w:rPr>
          <w:b/>
          <w:sz w:val="21"/>
        </w:rPr>
      </w:pPr>
    </w:p>
    <w:p>
      <w:pPr>
        <w:pStyle w:val="BodyText"/>
        <w:spacing w:line="360" w:lineRule="auto" w:before="1"/>
        <w:ind w:left="810" w:right="114"/>
        <w:jc w:val="both"/>
      </w:pPr>
      <w:r>
        <w:rPr>
          <w:color w:val="212121"/>
        </w:rPr>
        <w:t>La estabilidad de la Solución Estándar Stock fue examinada por un período de 151 horas después de su preparación. Solución Estándar Stock se almacenó en refrigeración durante todo el período de tiempo evaluado. Una solución estándar al 100% de la concentración de trabajo se preparó a partir de la solución anterior en el momento inicial, 19, 97 y 151 horas. El % de recuperación se calculó contra el de una solución estándar fresca  preparada para cada período de</w:t>
      </w:r>
      <w:r>
        <w:rPr>
          <w:color w:val="212121"/>
          <w:spacing w:val="-13"/>
        </w:rPr>
        <w:t> </w:t>
      </w:r>
      <w:r>
        <w:rPr>
          <w:color w:val="212121"/>
        </w:rPr>
        <w:t>tiempo.</w:t>
      </w:r>
    </w:p>
    <w:p>
      <w:pPr>
        <w:spacing w:after="0" w:line="360" w:lineRule="auto"/>
        <w:jc w:val="both"/>
        <w:sectPr>
          <w:pgSz w:w="12240" w:h="15840"/>
          <w:pgMar w:header="0" w:footer="919" w:top="1360" w:bottom="1100" w:left="1600" w:right="1580"/>
        </w:sectPr>
      </w:pPr>
    </w:p>
    <w:p>
      <w:pPr>
        <w:pStyle w:val="BodyText"/>
        <w:spacing w:before="7"/>
        <w:rPr>
          <w:sz w:val="22"/>
        </w:rPr>
      </w:pPr>
    </w:p>
    <w:p>
      <w:pPr>
        <w:pStyle w:val="BodyText"/>
        <w:spacing w:before="69"/>
        <w:ind w:left="690"/>
        <w:jc w:val="both"/>
      </w:pPr>
      <w:r>
        <w:rPr>
          <w:color w:val="212121"/>
        </w:rPr>
        <w:t>El resultado  obtenido para el  % de  recuperación  se muestra  en  la  Tabla</w:t>
      </w:r>
    </w:p>
    <w:p>
      <w:pPr>
        <w:pStyle w:val="ListParagraph"/>
        <w:numPr>
          <w:ilvl w:val="2"/>
          <w:numId w:val="12"/>
        </w:numPr>
        <w:tabs>
          <w:tab w:pos="1334" w:val="left" w:leader="none"/>
        </w:tabs>
        <w:spacing w:line="240" w:lineRule="auto" w:before="139" w:after="0"/>
        <w:ind w:left="1333" w:right="0" w:hanging="643"/>
        <w:jc w:val="both"/>
        <w:rPr>
          <w:sz w:val="24"/>
        </w:rPr>
      </w:pPr>
      <w:r>
        <w:rPr>
          <w:color w:val="212121"/>
          <w:sz w:val="24"/>
        </w:rPr>
        <w:t>y cumple con las especificaciones de</w:t>
      </w:r>
      <w:r>
        <w:rPr>
          <w:color w:val="212121"/>
          <w:spacing w:val="-16"/>
          <w:sz w:val="24"/>
        </w:rPr>
        <w:t> </w:t>
      </w:r>
      <w:r>
        <w:rPr>
          <w:color w:val="212121"/>
          <w:sz w:val="24"/>
        </w:rPr>
        <w:t>90-110%.</w:t>
      </w:r>
    </w:p>
    <w:p>
      <w:pPr>
        <w:pStyle w:val="BodyText"/>
      </w:pPr>
    </w:p>
    <w:p>
      <w:pPr>
        <w:pStyle w:val="BodyText"/>
      </w:pPr>
    </w:p>
    <w:p>
      <w:pPr>
        <w:pStyle w:val="BodyText"/>
        <w:spacing w:line="360" w:lineRule="auto"/>
        <w:ind w:left="690" w:right="216"/>
        <w:jc w:val="both"/>
      </w:pPr>
      <w:r>
        <w:rPr>
          <w:color w:val="212121"/>
        </w:rPr>
        <w:t>La estabilidad de la solución estándar de trabajo fue examinada por un período de 17 horas después de su preparación. La solución estándar de trabajo se almacenó a temperatura ambiente durante todo el período de tiempo evaluado. La solución estándar de trabajo se evaluó en el momento inicial, 13 y 17 horas. El % de recuperación se calculó contra el de una solución estándar fresca preparada para cada período.</w:t>
      </w:r>
    </w:p>
    <w:p>
      <w:pPr>
        <w:pStyle w:val="BodyText"/>
      </w:pPr>
    </w:p>
    <w:p>
      <w:pPr>
        <w:pStyle w:val="BodyText"/>
        <w:spacing w:before="142"/>
        <w:ind w:left="690"/>
        <w:jc w:val="both"/>
      </w:pPr>
      <w:r>
        <w:rPr>
          <w:color w:val="212121"/>
        </w:rPr>
        <w:t>El resultado  obtenido para el  %  de  recuperación  se muestra  en  la Tabla</w:t>
      </w:r>
    </w:p>
    <w:p>
      <w:pPr>
        <w:pStyle w:val="ListParagraph"/>
        <w:numPr>
          <w:ilvl w:val="2"/>
          <w:numId w:val="12"/>
        </w:numPr>
        <w:tabs>
          <w:tab w:pos="1334" w:val="left" w:leader="none"/>
        </w:tabs>
        <w:spacing w:line="240" w:lineRule="auto" w:before="139" w:after="0"/>
        <w:ind w:left="1333" w:right="0" w:hanging="643"/>
        <w:jc w:val="both"/>
        <w:rPr>
          <w:sz w:val="24"/>
        </w:rPr>
      </w:pPr>
      <w:r>
        <w:rPr>
          <w:color w:val="212121"/>
          <w:sz w:val="24"/>
        </w:rPr>
        <w:t>y cumple con las especificaciones de</w:t>
      </w:r>
      <w:r>
        <w:rPr>
          <w:color w:val="212121"/>
          <w:spacing w:val="-16"/>
          <w:sz w:val="24"/>
        </w:rPr>
        <w:t> </w:t>
      </w:r>
      <w:r>
        <w:rPr>
          <w:color w:val="212121"/>
          <w:sz w:val="24"/>
        </w:rPr>
        <w:t>90-110%.</w:t>
      </w:r>
    </w:p>
    <w:p>
      <w:pPr>
        <w:pStyle w:val="BodyText"/>
      </w:pPr>
    </w:p>
    <w:p>
      <w:pPr>
        <w:pStyle w:val="BodyText"/>
      </w:pPr>
    </w:p>
    <w:p>
      <w:pPr>
        <w:pStyle w:val="BodyText"/>
        <w:spacing w:line="360" w:lineRule="auto"/>
        <w:ind w:left="690" w:right="216"/>
        <w:jc w:val="both"/>
      </w:pPr>
      <w:r>
        <w:rPr>
          <w:color w:val="212121"/>
        </w:rPr>
        <w:t>La estabilidad de la solución de muestra del producto A se examinó por un período de 22 horas después de su preparación. La solución muestra se almacenó a temperatura ambiente durante todo el período de tiempo medido y evaluado por duplicado en el momento inicial y 22 horas. La evaluación de la estabilidad de la solución de la muestra se realizó con un número de lote que cuenta con su certificado analítico, preparado en la concentración objetivo. Después de este tiempo, la respuesta V, Co y Ni no aumentaron ni disminuyeron por arriba del límite de cuantificación. Los resultados mostrados en la Tabla C.II.3 demuestran que la solución de muestra es estable durante 22 horas a temperatura</w:t>
      </w:r>
      <w:r>
        <w:rPr>
          <w:color w:val="212121"/>
          <w:spacing w:val="-24"/>
        </w:rPr>
        <w:t> </w:t>
      </w:r>
      <w:r>
        <w:rPr>
          <w:color w:val="212121"/>
        </w:rPr>
        <w:t>ambiente.</w:t>
      </w:r>
    </w:p>
    <w:p>
      <w:pPr>
        <w:pStyle w:val="BodyText"/>
      </w:pPr>
    </w:p>
    <w:p>
      <w:pPr>
        <w:pStyle w:val="Heading1"/>
        <w:spacing w:line="276" w:lineRule="auto" w:before="142" w:after="4"/>
        <w:ind w:left="690" w:right="215"/>
      </w:pPr>
      <w:r>
        <w:rPr/>
        <w:t>Tabla C.II.1. Resultados de la Estabilidad de la Solución Estándar  Stock para la </w:t>
      </w:r>
      <w:r>
        <w:rPr>
          <w:color w:val="212121"/>
        </w:rPr>
        <w:t>clase 2A (% de</w:t>
      </w:r>
      <w:r>
        <w:rPr>
          <w:color w:val="212121"/>
          <w:spacing w:val="-11"/>
        </w:rPr>
        <w:t> </w:t>
      </w:r>
      <w:r>
        <w:rPr>
          <w:color w:val="212121"/>
        </w:rPr>
        <w:t>recobro)</w:t>
      </w:r>
    </w:p>
    <w:tbl>
      <w:tblPr>
        <w:tblW w:w="0" w:type="auto"/>
        <w:jc w:val="left"/>
        <w:tblInd w:w="810"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CellMar>
          <w:top w:w="0" w:type="dxa"/>
          <w:left w:w="0" w:type="dxa"/>
          <w:bottom w:w="0" w:type="dxa"/>
          <w:right w:w="0" w:type="dxa"/>
        </w:tblCellMar>
        <w:tblLook w:val="01E0"/>
      </w:tblPr>
      <w:tblGrid>
        <w:gridCol w:w="2033"/>
        <w:gridCol w:w="2256"/>
        <w:gridCol w:w="1889"/>
        <w:gridCol w:w="1889"/>
      </w:tblGrid>
      <w:tr>
        <w:trPr>
          <w:trHeight w:val="426" w:hRule="exact"/>
        </w:trPr>
        <w:tc>
          <w:tcPr>
            <w:tcW w:w="2033" w:type="dxa"/>
            <w:shd w:val="clear" w:color="auto" w:fill="D9D9D9"/>
          </w:tcPr>
          <w:p>
            <w:pPr>
              <w:pStyle w:val="TableParagraph"/>
              <w:spacing w:before="117"/>
              <w:ind w:left="447" w:right="448"/>
              <w:rPr>
                <w:b/>
                <w:sz w:val="24"/>
              </w:rPr>
            </w:pPr>
            <w:r>
              <w:rPr>
                <w:b/>
                <w:sz w:val="24"/>
              </w:rPr>
              <w:t>Tiempo</w:t>
            </w:r>
          </w:p>
        </w:tc>
        <w:tc>
          <w:tcPr>
            <w:tcW w:w="2256" w:type="dxa"/>
            <w:shd w:val="clear" w:color="auto" w:fill="D9D9D9"/>
          </w:tcPr>
          <w:p>
            <w:pPr>
              <w:pStyle w:val="TableParagraph"/>
              <w:spacing w:before="117"/>
              <w:ind w:right="1"/>
              <w:rPr>
                <w:b/>
                <w:sz w:val="24"/>
              </w:rPr>
            </w:pPr>
            <w:r>
              <w:rPr>
                <w:b/>
                <w:sz w:val="24"/>
              </w:rPr>
              <w:t>V</w:t>
            </w:r>
          </w:p>
        </w:tc>
        <w:tc>
          <w:tcPr>
            <w:tcW w:w="1889" w:type="dxa"/>
            <w:shd w:val="clear" w:color="auto" w:fill="D9D9D9"/>
          </w:tcPr>
          <w:p>
            <w:pPr>
              <w:pStyle w:val="TableParagraph"/>
              <w:spacing w:before="117"/>
              <w:ind w:left="708" w:right="711"/>
              <w:rPr>
                <w:b/>
                <w:sz w:val="24"/>
              </w:rPr>
            </w:pPr>
            <w:r>
              <w:rPr>
                <w:b/>
                <w:sz w:val="24"/>
              </w:rPr>
              <w:t>Co</w:t>
            </w:r>
          </w:p>
        </w:tc>
        <w:tc>
          <w:tcPr>
            <w:tcW w:w="1889" w:type="dxa"/>
            <w:shd w:val="clear" w:color="auto" w:fill="D9D9D9"/>
          </w:tcPr>
          <w:p>
            <w:pPr>
              <w:pStyle w:val="TableParagraph"/>
              <w:spacing w:before="117"/>
              <w:ind w:left="789" w:right="790"/>
              <w:rPr>
                <w:b/>
                <w:sz w:val="24"/>
              </w:rPr>
            </w:pPr>
            <w:r>
              <w:rPr>
                <w:b/>
                <w:sz w:val="24"/>
              </w:rPr>
              <w:t>Ni</w:t>
            </w:r>
          </w:p>
        </w:tc>
      </w:tr>
      <w:tr>
        <w:trPr>
          <w:trHeight w:val="425" w:hRule="exact"/>
        </w:trPr>
        <w:tc>
          <w:tcPr>
            <w:tcW w:w="2033" w:type="dxa"/>
            <w:tcBorders>
              <w:bottom w:val="single" w:sz="8" w:space="0" w:color="000000"/>
            </w:tcBorders>
          </w:tcPr>
          <w:p>
            <w:pPr>
              <w:pStyle w:val="TableParagraph"/>
              <w:spacing w:before="118"/>
              <w:ind w:left="448" w:right="448"/>
              <w:rPr>
                <w:sz w:val="24"/>
              </w:rPr>
            </w:pPr>
            <w:r>
              <w:rPr>
                <w:sz w:val="24"/>
              </w:rPr>
              <w:t>19 horas</w:t>
            </w:r>
          </w:p>
        </w:tc>
        <w:tc>
          <w:tcPr>
            <w:tcW w:w="2256" w:type="dxa"/>
            <w:tcBorders>
              <w:bottom w:val="single" w:sz="8" w:space="0" w:color="000000"/>
            </w:tcBorders>
          </w:tcPr>
          <w:p>
            <w:pPr>
              <w:pStyle w:val="TableParagraph"/>
              <w:spacing w:before="89"/>
              <w:ind w:left="893" w:right="893"/>
              <w:rPr>
                <w:sz w:val="24"/>
              </w:rPr>
            </w:pPr>
            <w:r>
              <w:rPr>
                <w:sz w:val="24"/>
              </w:rPr>
              <w:t>98</w:t>
            </w:r>
          </w:p>
        </w:tc>
        <w:tc>
          <w:tcPr>
            <w:tcW w:w="1889" w:type="dxa"/>
            <w:tcBorders>
              <w:bottom w:val="single" w:sz="8" w:space="0" w:color="000000"/>
            </w:tcBorders>
          </w:tcPr>
          <w:p>
            <w:pPr>
              <w:pStyle w:val="TableParagraph"/>
              <w:spacing w:before="89"/>
              <w:ind w:left="709" w:right="711"/>
              <w:rPr>
                <w:sz w:val="24"/>
              </w:rPr>
            </w:pPr>
            <w:r>
              <w:rPr>
                <w:sz w:val="24"/>
              </w:rPr>
              <w:t>104</w:t>
            </w:r>
          </w:p>
        </w:tc>
        <w:tc>
          <w:tcPr>
            <w:tcW w:w="1889" w:type="dxa"/>
            <w:tcBorders>
              <w:bottom w:val="single" w:sz="8" w:space="0" w:color="000000"/>
            </w:tcBorders>
          </w:tcPr>
          <w:p>
            <w:pPr>
              <w:pStyle w:val="TableParagraph"/>
              <w:spacing w:before="89"/>
              <w:ind w:right="729"/>
              <w:jc w:val="right"/>
              <w:rPr>
                <w:sz w:val="24"/>
              </w:rPr>
            </w:pPr>
            <w:r>
              <w:rPr>
                <w:w w:val="95"/>
                <w:sz w:val="24"/>
              </w:rPr>
              <w:t>102</w:t>
            </w:r>
          </w:p>
        </w:tc>
      </w:tr>
      <w:tr>
        <w:trPr>
          <w:trHeight w:val="418" w:hRule="exact"/>
        </w:trPr>
        <w:tc>
          <w:tcPr>
            <w:tcW w:w="2033" w:type="dxa"/>
            <w:tcBorders>
              <w:top w:val="single" w:sz="8" w:space="0" w:color="000000"/>
              <w:bottom w:val="single" w:sz="8" w:space="0" w:color="000000"/>
            </w:tcBorders>
          </w:tcPr>
          <w:p>
            <w:pPr>
              <w:pStyle w:val="TableParagraph"/>
              <w:spacing w:before="118"/>
              <w:ind w:left="448" w:right="448"/>
              <w:rPr>
                <w:sz w:val="24"/>
              </w:rPr>
            </w:pPr>
            <w:r>
              <w:rPr>
                <w:sz w:val="24"/>
              </w:rPr>
              <w:t>97 horas</w:t>
            </w:r>
          </w:p>
        </w:tc>
        <w:tc>
          <w:tcPr>
            <w:tcW w:w="2256" w:type="dxa"/>
            <w:tcBorders>
              <w:top w:val="single" w:sz="8" w:space="0" w:color="000000"/>
              <w:bottom w:val="single" w:sz="8" w:space="0" w:color="000000"/>
            </w:tcBorders>
          </w:tcPr>
          <w:p>
            <w:pPr>
              <w:pStyle w:val="TableParagraph"/>
              <w:spacing w:before="87"/>
              <w:ind w:left="893" w:right="893"/>
              <w:rPr>
                <w:sz w:val="24"/>
              </w:rPr>
            </w:pPr>
            <w:r>
              <w:rPr>
                <w:sz w:val="24"/>
              </w:rPr>
              <w:t>100</w:t>
            </w:r>
          </w:p>
        </w:tc>
        <w:tc>
          <w:tcPr>
            <w:tcW w:w="1889" w:type="dxa"/>
            <w:tcBorders>
              <w:top w:val="single" w:sz="8" w:space="0" w:color="000000"/>
              <w:bottom w:val="single" w:sz="8" w:space="0" w:color="000000"/>
            </w:tcBorders>
          </w:tcPr>
          <w:p>
            <w:pPr>
              <w:pStyle w:val="TableParagraph"/>
              <w:spacing w:before="87"/>
              <w:ind w:left="709" w:right="711"/>
              <w:rPr>
                <w:sz w:val="24"/>
              </w:rPr>
            </w:pPr>
            <w:r>
              <w:rPr>
                <w:sz w:val="24"/>
              </w:rPr>
              <w:t>100</w:t>
            </w:r>
          </w:p>
        </w:tc>
        <w:tc>
          <w:tcPr>
            <w:tcW w:w="1889" w:type="dxa"/>
            <w:tcBorders>
              <w:top w:val="single" w:sz="8" w:space="0" w:color="000000"/>
              <w:bottom w:val="single" w:sz="8" w:space="0" w:color="000000"/>
            </w:tcBorders>
          </w:tcPr>
          <w:p>
            <w:pPr>
              <w:pStyle w:val="TableParagraph"/>
              <w:spacing w:before="87"/>
              <w:ind w:right="795"/>
              <w:jc w:val="right"/>
              <w:rPr>
                <w:sz w:val="24"/>
              </w:rPr>
            </w:pPr>
            <w:r>
              <w:rPr>
                <w:sz w:val="24"/>
              </w:rPr>
              <w:t>99</w:t>
            </w:r>
          </w:p>
        </w:tc>
      </w:tr>
      <w:tr>
        <w:trPr>
          <w:trHeight w:val="439" w:hRule="exact"/>
        </w:trPr>
        <w:tc>
          <w:tcPr>
            <w:tcW w:w="2033" w:type="dxa"/>
            <w:tcBorders>
              <w:top w:val="single" w:sz="8" w:space="0" w:color="000000"/>
            </w:tcBorders>
          </w:tcPr>
          <w:p>
            <w:pPr>
              <w:pStyle w:val="TableParagraph"/>
              <w:spacing w:before="125"/>
              <w:ind w:left="448" w:right="448"/>
              <w:rPr>
                <w:sz w:val="24"/>
              </w:rPr>
            </w:pPr>
            <w:r>
              <w:rPr>
                <w:sz w:val="24"/>
              </w:rPr>
              <w:t>151 horas</w:t>
            </w:r>
          </w:p>
        </w:tc>
        <w:tc>
          <w:tcPr>
            <w:tcW w:w="2256" w:type="dxa"/>
            <w:tcBorders>
              <w:top w:val="single" w:sz="8" w:space="0" w:color="000000"/>
            </w:tcBorders>
          </w:tcPr>
          <w:p>
            <w:pPr>
              <w:pStyle w:val="TableParagraph"/>
              <w:spacing w:before="125"/>
              <w:ind w:left="893" w:right="893"/>
              <w:rPr>
                <w:sz w:val="24"/>
              </w:rPr>
            </w:pPr>
            <w:r>
              <w:rPr>
                <w:sz w:val="24"/>
              </w:rPr>
              <w:t>98</w:t>
            </w:r>
          </w:p>
        </w:tc>
        <w:tc>
          <w:tcPr>
            <w:tcW w:w="1889" w:type="dxa"/>
            <w:tcBorders>
              <w:top w:val="single" w:sz="8" w:space="0" w:color="000000"/>
            </w:tcBorders>
          </w:tcPr>
          <w:p>
            <w:pPr>
              <w:pStyle w:val="TableParagraph"/>
              <w:spacing w:before="118"/>
              <w:ind w:left="709" w:right="711"/>
              <w:rPr>
                <w:sz w:val="24"/>
              </w:rPr>
            </w:pPr>
            <w:r>
              <w:rPr>
                <w:sz w:val="24"/>
              </w:rPr>
              <w:t>102</w:t>
            </w:r>
          </w:p>
        </w:tc>
        <w:tc>
          <w:tcPr>
            <w:tcW w:w="1889" w:type="dxa"/>
            <w:tcBorders>
              <w:top w:val="single" w:sz="8" w:space="0" w:color="000000"/>
            </w:tcBorders>
          </w:tcPr>
          <w:p>
            <w:pPr>
              <w:pStyle w:val="TableParagraph"/>
              <w:spacing w:before="118"/>
              <w:ind w:right="729"/>
              <w:jc w:val="right"/>
              <w:rPr>
                <w:sz w:val="24"/>
              </w:rPr>
            </w:pPr>
            <w:r>
              <w:rPr>
                <w:w w:val="95"/>
                <w:sz w:val="24"/>
              </w:rPr>
              <w:t>101</w:t>
            </w:r>
          </w:p>
        </w:tc>
      </w:tr>
    </w:tbl>
    <w:p>
      <w:pPr>
        <w:spacing w:after="0"/>
        <w:jc w:val="right"/>
        <w:rPr>
          <w:sz w:val="24"/>
        </w:rPr>
        <w:sectPr>
          <w:pgSz w:w="12240" w:h="15840"/>
          <w:pgMar w:header="0" w:footer="919" w:top="1500" w:bottom="1100" w:left="1720" w:right="1480"/>
        </w:sectPr>
      </w:pPr>
    </w:p>
    <w:p>
      <w:pPr>
        <w:spacing w:line="276" w:lineRule="auto" w:before="56" w:after="4"/>
        <w:ind w:left="1438" w:right="0" w:firstLine="0"/>
        <w:jc w:val="left"/>
        <w:rPr>
          <w:b/>
          <w:sz w:val="24"/>
        </w:rPr>
      </w:pPr>
      <w:r>
        <w:rPr>
          <w:b/>
          <w:sz w:val="24"/>
        </w:rPr>
        <w:t>Tabla C.II.2.Resultados de la Estabilidad de la Solución Estándar de Trabajo para </w:t>
      </w:r>
      <w:r>
        <w:rPr>
          <w:b/>
          <w:color w:val="212121"/>
          <w:sz w:val="24"/>
        </w:rPr>
        <w:t>la clase 2A (% de recobro)</w:t>
      </w:r>
    </w:p>
    <w:tbl>
      <w:tblPr>
        <w:tblW w:w="0" w:type="auto"/>
        <w:jc w:val="left"/>
        <w:tblInd w:w="1104"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CellMar>
          <w:top w:w="0" w:type="dxa"/>
          <w:left w:w="0" w:type="dxa"/>
          <w:bottom w:w="0" w:type="dxa"/>
          <w:right w:w="0" w:type="dxa"/>
        </w:tblCellMar>
        <w:tblLook w:val="01E0"/>
      </w:tblPr>
      <w:tblGrid>
        <w:gridCol w:w="1801"/>
        <w:gridCol w:w="1786"/>
        <w:gridCol w:w="1529"/>
        <w:gridCol w:w="1529"/>
      </w:tblGrid>
      <w:tr>
        <w:trPr>
          <w:trHeight w:val="546" w:hRule="exact"/>
        </w:trPr>
        <w:tc>
          <w:tcPr>
            <w:tcW w:w="1801" w:type="dxa"/>
            <w:shd w:val="clear" w:color="auto" w:fill="D9D9D9"/>
          </w:tcPr>
          <w:p>
            <w:pPr>
              <w:pStyle w:val="TableParagraph"/>
              <w:spacing w:before="117"/>
              <w:ind w:left="398" w:right="398"/>
              <w:rPr>
                <w:b/>
                <w:sz w:val="24"/>
              </w:rPr>
            </w:pPr>
            <w:r>
              <w:rPr>
                <w:b/>
                <w:sz w:val="24"/>
              </w:rPr>
              <w:t>Tiempo</w:t>
            </w:r>
          </w:p>
        </w:tc>
        <w:tc>
          <w:tcPr>
            <w:tcW w:w="1786" w:type="dxa"/>
            <w:shd w:val="clear" w:color="auto" w:fill="D9D9D9"/>
          </w:tcPr>
          <w:p>
            <w:pPr>
              <w:pStyle w:val="TableParagraph"/>
              <w:spacing w:before="117"/>
              <w:ind w:right="1"/>
              <w:rPr>
                <w:b/>
                <w:sz w:val="24"/>
              </w:rPr>
            </w:pPr>
            <w:r>
              <w:rPr>
                <w:b/>
                <w:sz w:val="24"/>
              </w:rPr>
              <w:t>V</w:t>
            </w:r>
          </w:p>
        </w:tc>
        <w:tc>
          <w:tcPr>
            <w:tcW w:w="1529" w:type="dxa"/>
            <w:shd w:val="clear" w:color="auto" w:fill="D9D9D9"/>
          </w:tcPr>
          <w:p>
            <w:pPr>
              <w:pStyle w:val="TableParagraph"/>
              <w:spacing w:before="117"/>
              <w:ind w:left="590"/>
              <w:jc w:val="left"/>
              <w:rPr>
                <w:b/>
                <w:sz w:val="24"/>
              </w:rPr>
            </w:pPr>
            <w:r>
              <w:rPr>
                <w:b/>
                <w:sz w:val="24"/>
              </w:rPr>
              <w:t>Co</w:t>
            </w:r>
          </w:p>
        </w:tc>
        <w:tc>
          <w:tcPr>
            <w:tcW w:w="1529" w:type="dxa"/>
            <w:shd w:val="clear" w:color="auto" w:fill="D9D9D9"/>
          </w:tcPr>
          <w:p>
            <w:pPr>
              <w:pStyle w:val="TableParagraph"/>
              <w:spacing w:before="117"/>
              <w:ind w:left="528" w:right="528"/>
              <w:rPr>
                <w:b/>
                <w:sz w:val="24"/>
              </w:rPr>
            </w:pPr>
            <w:r>
              <w:rPr>
                <w:b/>
                <w:sz w:val="24"/>
              </w:rPr>
              <w:t>Ni</w:t>
            </w:r>
          </w:p>
        </w:tc>
      </w:tr>
      <w:tr>
        <w:trPr>
          <w:trHeight w:val="540" w:hRule="exact"/>
        </w:trPr>
        <w:tc>
          <w:tcPr>
            <w:tcW w:w="1801" w:type="dxa"/>
            <w:tcBorders>
              <w:bottom w:val="single" w:sz="8" w:space="0" w:color="000000"/>
            </w:tcBorders>
          </w:tcPr>
          <w:p>
            <w:pPr>
              <w:pStyle w:val="TableParagraph"/>
              <w:spacing w:before="115"/>
              <w:ind w:left="398" w:right="398"/>
              <w:rPr>
                <w:sz w:val="24"/>
              </w:rPr>
            </w:pPr>
            <w:r>
              <w:rPr>
                <w:sz w:val="24"/>
              </w:rPr>
              <w:t>13 horas</w:t>
            </w:r>
          </w:p>
        </w:tc>
        <w:tc>
          <w:tcPr>
            <w:tcW w:w="1786" w:type="dxa"/>
            <w:tcBorders>
              <w:bottom w:val="single" w:sz="8" w:space="0" w:color="000000"/>
            </w:tcBorders>
          </w:tcPr>
          <w:p>
            <w:pPr>
              <w:pStyle w:val="TableParagraph"/>
              <w:spacing w:before="115"/>
              <w:ind w:left="658" w:right="658"/>
              <w:rPr>
                <w:sz w:val="24"/>
              </w:rPr>
            </w:pPr>
            <w:r>
              <w:rPr>
                <w:sz w:val="24"/>
              </w:rPr>
              <w:t>105</w:t>
            </w:r>
          </w:p>
        </w:tc>
        <w:tc>
          <w:tcPr>
            <w:tcW w:w="1529" w:type="dxa"/>
            <w:tcBorders>
              <w:bottom w:val="single" w:sz="8" w:space="0" w:color="000000"/>
            </w:tcBorders>
          </w:tcPr>
          <w:p>
            <w:pPr>
              <w:pStyle w:val="TableParagraph"/>
              <w:spacing w:before="115"/>
              <w:ind w:left="549"/>
              <w:jc w:val="left"/>
              <w:rPr>
                <w:sz w:val="24"/>
              </w:rPr>
            </w:pPr>
            <w:r>
              <w:rPr>
                <w:sz w:val="24"/>
              </w:rPr>
              <w:t>101</w:t>
            </w:r>
          </w:p>
        </w:tc>
        <w:tc>
          <w:tcPr>
            <w:tcW w:w="1529" w:type="dxa"/>
            <w:tcBorders>
              <w:bottom w:val="single" w:sz="8" w:space="0" w:color="000000"/>
            </w:tcBorders>
          </w:tcPr>
          <w:p>
            <w:pPr>
              <w:pStyle w:val="TableParagraph"/>
              <w:spacing w:before="115"/>
              <w:ind w:left="531" w:right="528"/>
              <w:rPr>
                <w:sz w:val="24"/>
              </w:rPr>
            </w:pPr>
            <w:r>
              <w:rPr>
                <w:sz w:val="24"/>
              </w:rPr>
              <w:t>96</w:t>
            </w:r>
          </w:p>
        </w:tc>
      </w:tr>
      <w:tr>
        <w:trPr>
          <w:trHeight w:val="540" w:hRule="exact"/>
        </w:trPr>
        <w:tc>
          <w:tcPr>
            <w:tcW w:w="1801" w:type="dxa"/>
            <w:tcBorders>
              <w:top w:val="single" w:sz="8" w:space="0" w:color="000000"/>
            </w:tcBorders>
          </w:tcPr>
          <w:p>
            <w:pPr>
              <w:pStyle w:val="TableParagraph"/>
              <w:spacing w:before="118"/>
              <w:ind w:left="397" w:right="398"/>
              <w:rPr>
                <w:sz w:val="24"/>
              </w:rPr>
            </w:pPr>
            <w:r>
              <w:rPr>
                <w:sz w:val="24"/>
              </w:rPr>
              <w:t>17 horas</w:t>
            </w:r>
          </w:p>
        </w:tc>
        <w:tc>
          <w:tcPr>
            <w:tcW w:w="1786" w:type="dxa"/>
            <w:tcBorders>
              <w:top w:val="single" w:sz="8" w:space="0" w:color="000000"/>
            </w:tcBorders>
          </w:tcPr>
          <w:p>
            <w:pPr>
              <w:pStyle w:val="TableParagraph"/>
              <w:spacing w:before="118"/>
              <w:ind w:left="658" w:right="658"/>
              <w:rPr>
                <w:sz w:val="24"/>
              </w:rPr>
            </w:pPr>
            <w:r>
              <w:rPr>
                <w:sz w:val="24"/>
              </w:rPr>
              <w:t>110</w:t>
            </w:r>
          </w:p>
        </w:tc>
        <w:tc>
          <w:tcPr>
            <w:tcW w:w="1529" w:type="dxa"/>
            <w:tcBorders>
              <w:top w:val="single" w:sz="8" w:space="0" w:color="000000"/>
            </w:tcBorders>
          </w:tcPr>
          <w:p>
            <w:pPr>
              <w:pStyle w:val="TableParagraph"/>
              <w:spacing w:before="118"/>
              <w:ind w:left="549"/>
              <w:jc w:val="left"/>
              <w:rPr>
                <w:sz w:val="24"/>
              </w:rPr>
            </w:pPr>
            <w:r>
              <w:rPr>
                <w:sz w:val="24"/>
              </w:rPr>
              <w:t>106</w:t>
            </w:r>
          </w:p>
        </w:tc>
        <w:tc>
          <w:tcPr>
            <w:tcW w:w="1529" w:type="dxa"/>
            <w:tcBorders>
              <w:top w:val="single" w:sz="8" w:space="0" w:color="000000"/>
            </w:tcBorders>
          </w:tcPr>
          <w:p>
            <w:pPr>
              <w:pStyle w:val="TableParagraph"/>
              <w:spacing w:before="118"/>
              <w:ind w:left="531" w:right="528"/>
              <w:rPr>
                <w:sz w:val="24"/>
              </w:rPr>
            </w:pPr>
            <w:r>
              <w:rPr>
                <w:sz w:val="24"/>
              </w:rPr>
              <w:t>105</w:t>
            </w:r>
          </w:p>
        </w:tc>
      </w:tr>
    </w:tbl>
    <w:p>
      <w:pPr>
        <w:pStyle w:val="BodyText"/>
        <w:rPr>
          <w:b/>
          <w:sz w:val="20"/>
        </w:rPr>
      </w:pPr>
    </w:p>
    <w:p>
      <w:pPr>
        <w:pStyle w:val="BodyText"/>
        <w:spacing w:before="3"/>
        <w:rPr>
          <w:b/>
          <w:sz w:val="29"/>
        </w:rPr>
      </w:pPr>
    </w:p>
    <w:p>
      <w:pPr>
        <w:spacing w:before="70" w:after="43"/>
        <w:ind w:left="691" w:right="274" w:firstLine="0"/>
        <w:jc w:val="left"/>
        <w:rPr>
          <w:b/>
          <w:sz w:val="24"/>
        </w:rPr>
      </w:pPr>
      <w:r>
        <w:rPr>
          <w:b/>
          <w:sz w:val="24"/>
        </w:rPr>
        <w:t>Tabla C.II.3. Resultados de la Estabilidad de la Solución Muestra</w:t>
      </w:r>
    </w:p>
    <w:tbl>
      <w:tblPr>
        <w:tblW w:w="0" w:type="auto"/>
        <w:jc w:val="left"/>
        <w:tblInd w:w="655"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CellMar>
          <w:top w:w="0" w:type="dxa"/>
          <w:left w:w="0" w:type="dxa"/>
          <w:bottom w:w="0" w:type="dxa"/>
          <w:right w:w="0" w:type="dxa"/>
        </w:tblCellMar>
        <w:tblLook w:val="01E0"/>
      </w:tblPr>
      <w:tblGrid>
        <w:gridCol w:w="1762"/>
        <w:gridCol w:w="5780"/>
      </w:tblGrid>
      <w:tr>
        <w:trPr>
          <w:trHeight w:val="425" w:hRule="exact"/>
        </w:trPr>
        <w:tc>
          <w:tcPr>
            <w:tcW w:w="1762" w:type="dxa"/>
            <w:shd w:val="clear" w:color="auto" w:fill="D9D9D9"/>
          </w:tcPr>
          <w:p>
            <w:pPr>
              <w:pStyle w:val="TableParagraph"/>
              <w:spacing w:before="115"/>
              <w:ind w:right="440"/>
              <w:jc w:val="right"/>
              <w:rPr>
                <w:b/>
                <w:sz w:val="24"/>
              </w:rPr>
            </w:pPr>
            <w:r>
              <w:rPr>
                <w:b/>
                <w:sz w:val="24"/>
              </w:rPr>
              <w:t>Tiempo</w:t>
            </w:r>
          </w:p>
        </w:tc>
        <w:tc>
          <w:tcPr>
            <w:tcW w:w="5780" w:type="dxa"/>
            <w:shd w:val="clear" w:color="auto" w:fill="D9D9D9"/>
          </w:tcPr>
          <w:p>
            <w:pPr>
              <w:pStyle w:val="TableParagraph"/>
              <w:spacing w:before="115"/>
              <w:ind w:left="2275" w:right="2275"/>
              <w:rPr>
                <w:b/>
                <w:sz w:val="24"/>
              </w:rPr>
            </w:pPr>
            <w:r>
              <w:rPr>
                <w:b/>
                <w:sz w:val="24"/>
              </w:rPr>
              <w:t>Resultado</w:t>
            </w:r>
          </w:p>
        </w:tc>
      </w:tr>
      <w:tr>
        <w:trPr>
          <w:trHeight w:val="811" w:hRule="exact"/>
        </w:trPr>
        <w:tc>
          <w:tcPr>
            <w:tcW w:w="1762" w:type="dxa"/>
          </w:tcPr>
          <w:p>
            <w:pPr>
              <w:pStyle w:val="TableParagraph"/>
              <w:spacing w:before="11"/>
              <w:jc w:val="left"/>
              <w:rPr>
                <w:b/>
                <w:sz w:val="26"/>
              </w:rPr>
            </w:pPr>
          </w:p>
          <w:p>
            <w:pPr>
              <w:pStyle w:val="TableParagraph"/>
              <w:ind w:right="397"/>
              <w:jc w:val="right"/>
              <w:rPr>
                <w:sz w:val="24"/>
              </w:rPr>
            </w:pPr>
            <w:r>
              <w:rPr>
                <w:sz w:val="24"/>
              </w:rPr>
              <w:t>22 horas</w:t>
            </w:r>
          </w:p>
        </w:tc>
        <w:tc>
          <w:tcPr>
            <w:tcW w:w="5780" w:type="dxa"/>
          </w:tcPr>
          <w:p>
            <w:pPr>
              <w:pStyle w:val="TableParagraph"/>
              <w:spacing w:before="173"/>
              <w:ind w:left="172" w:firstLine="177"/>
              <w:jc w:val="left"/>
              <w:rPr>
                <w:sz w:val="24"/>
              </w:rPr>
            </w:pPr>
            <w:r>
              <w:rPr>
                <w:color w:val="212121"/>
                <w:sz w:val="24"/>
              </w:rPr>
              <w:t>Las respuestas de V, Co y Ni no aumentaron ni disminuyeron por arriba del límite de cuantificación</w:t>
            </w:r>
          </w:p>
        </w:tc>
      </w:tr>
    </w:tbl>
    <w:p>
      <w:pPr>
        <w:pStyle w:val="BodyText"/>
        <w:rPr>
          <w:b/>
          <w:sz w:val="20"/>
        </w:rPr>
      </w:pPr>
    </w:p>
    <w:p>
      <w:pPr>
        <w:pStyle w:val="BodyText"/>
        <w:spacing w:before="1"/>
        <w:rPr>
          <w:b/>
          <w:sz w:val="29"/>
        </w:rPr>
      </w:pPr>
    </w:p>
    <w:p>
      <w:pPr>
        <w:pStyle w:val="ListParagraph"/>
        <w:numPr>
          <w:ilvl w:val="0"/>
          <w:numId w:val="11"/>
        </w:numPr>
        <w:tabs>
          <w:tab w:pos="741" w:val="left" w:leader="none"/>
          <w:tab w:pos="742" w:val="left" w:leader="none"/>
        </w:tabs>
        <w:spacing w:line="240" w:lineRule="auto" w:before="69" w:after="0"/>
        <w:ind w:left="742" w:right="0" w:hanging="627"/>
        <w:jc w:val="left"/>
        <w:rPr>
          <w:b/>
          <w:sz w:val="24"/>
        </w:rPr>
      </w:pPr>
      <w:r>
        <w:rPr>
          <w:b/>
          <w:sz w:val="24"/>
        </w:rPr>
        <w:t>Linealidad</w:t>
      </w:r>
    </w:p>
    <w:p>
      <w:pPr>
        <w:pStyle w:val="BodyText"/>
        <w:rPr>
          <w:b/>
          <w:sz w:val="21"/>
        </w:rPr>
      </w:pPr>
    </w:p>
    <w:p>
      <w:pPr>
        <w:pStyle w:val="BodyText"/>
        <w:spacing w:line="360" w:lineRule="auto" w:before="1"/>
        <w:ind w:left="730" w:right="119"/>
        <w:jc w:val="both"/>
      </w:pPr>
      <w:r>
        <w:rPr>
          <w:color w:val="212121"/>
        </w:rPr>
        <w:t>La linealidad de la respuesta para V, Co y Ni se determinó con ocho concentraciones que cubren el rango desde límite de detección (LD) hasta el 200% de la concentración</w:t>
      </w:r>
      <w:r>
        <w:rPr>
          <w:color w:val="212121"/>
          <w:spacing w:val="-16"/>
        </w:rPr>
        <w:t> </w:t>
      </w:r>
      <w:r>
        <w:rPr>
          <w:color w:val="212121"/>
        </w:rPr>
        <w:t>objetivo</w:t>
      </w:r>
    </w:p>
    <w:p>
      <w:pPr>
        <w:pStyle w:val="BodyText"/>
        <w:spacing w:line="360" w:lineRule="auto" w:before="204"/>
        <w:ind w:left="730" w:right="115"/>
        <w:jc w:val="both"/>
      </w:pPr>
      <w:r>
        <w:rPr>
          <w:color w:val="212121"/>
        </w:rPr>
        <w:t>La solución stock se diluyó en serie con diluyente para producir soluciones que contienen V, Co y Ni en los intervalos descritos en las Tablas C.III.1 –</w:t>
      </w:r>
    </w:p>
    <w:p>
      <w:pPr>
        <w:pStyle w:val="BodyText"/>
        <w:spacing w:before="5"/>
        <w:ind w:left="730"/>
        <w:jc w:val="both"/>
      </w:pPr>
      <w:r>
        <w:rPr>
          <w:color w:val="212121"/>
        </w:rPr>
        <w:t>C.III.3 Cada solución se inyectó una vez.</w:t>
      </w:r>
    </w:p>
    <w:p>
      <w:pPr>
        <w:pStyle w:val="BodyText"/>
        <w:spacing w:before="2"/>
        <w:rPr>
          <w:sz w:val="29"/>
        </w:rPr>
      </w:pPr>
    </w:p>
    <w:p>
      <w:pPr>
        <w:pStyle w:val="BodyText"/>
        <w:spacing w:line="357" w:lineRule="auto"/>
        <w:ind w:left="730" w:right="116"/>
        <w:jc w:val="both"/>
      </w:pPr>
      <w:r>
        <w:rPr>
          <w:color w:val="212121"/>
        </w:rPr>
        <w:t>Los resultados se tabulan en las Tablas III.1 – III.3 y los gráficos de relación lineal se muestran en las Figuras C.III.A – C.III.3. Los análisis de regresión para V, Co y Ni muestran coeficientes de determinación que cumplen con la especificación para el valor r</w:t>
      </w:r>
      <w:r>
        <w:rPr>
          <w:color w:val="212121"/>
          <w:position w:val="11"/>
          <w:sz w:val="16"/>
        </w:rPr>
        <w:t>2 </w:t>
      </w:r>
      <w:r>
        <w:rPr>
          <w:color w:val="212121"/>
        </w:rPr>
        <w:t>de </w:t>
      </w:r>
      <w:r>
        <w:rPr>
          <w:rFonts w:ascii="Symbol" w:hAnsi="Symbol"/>
          <w:color w:val="212121"/>
        </w:rPr>
        <w:t></w:t>
      </w:r>
      <w:r>
        <w:rPr>
          <w:rFonts w:ascii="Times New Roman" w:hAnsi="Times New Roman"/>
          <w:color w:val="212121"/>
        </w:rPr>
        <w:t> </w:t>
      </w:r>
      <w:r>
        <w:rPr>
          <w:color w:val="212121"/>
        </w:rPr>
        <w:t>0,99, lo que confirma la linealidad del método.</w:t>
      </w:r>
    </w:p>
    <w:p>
      <w:pPr>
        <w:spacing w:after="0" w:line="357" w:lineRule="auto"/>
        <w:jc w:val="both"/>
        <w:sectPr>
          <w:pgSz w:w="12240" w:h="15840"/>
          <w:pgMar w:header="0" w:footer="919" w:top="1360" w:bottom="1100" w:left="1680" w:right="1580"/>
        </w:sectPr>
      </w:pPr>
    </w:p>
    <w:p>
      <w:pPr>
        <w:pStyle w:val="Heading1"/>
        <w:spacing w:before="56"/>
        <w:ind w:left="690" w:right="117"/>
        <w:jc w:val="left"/>
      </w:pPr>
      <w:r>
        <w:rPr/>
        <w:t>Tabla C.III.1. Resultados de la Linealidad de la respuesta para V</w:t>
      </w:r>
    </w:p>
    <w:p>
      <w:pPr>
        <w:pStyle w:val="BodyText"/>
        <w:spacing w:before="2"/>
        <w:rPr>
          <w:b/>
          <w:sz w:val="12"/>
        </w:rPr>
      </w:pPr>
    </w:p>
    <w:tbl>
      <w:tblPr>
        <w:tblW w:w="0" w:type="auto"/>
        <w:jc w:val="left"/>
        <w:tblInd w:w="557"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CellMar>
          <w:top w:w="0" w:type="dxa"/>
          <w:left w:w="0" w:type="dxa"/>
          <w:bottom w:w="0" w:type="dxa"/>
          <w:right w:w="0" w:type="dxa"/>
        </w:tblCellMar>
        <w:tblLook w:val="01E0"/>
      </w:tblPr>
      <w:tblGrid>
        <w:gridCol w:w="2516"/>
        <w:gridCol w:w="2244"/>
        <w:gridCol w:w="2897"/>
      </w:tblGrid>
      <w:tr>
        <w:trPr>
          <w:trHeight w:val="582" w:hRule="exact"/>
        </w:trPr>
        <w:tc>
          <w:tcPr>
            <w:tcW w:w="2516" w:type="dxa"/>
            <w:shd w:val="clear" w:color="auto" w:fill="D9D9D9"/>
          </w:tcPr>
          <w:p>
            <w:pPr>
              <w:pStyle w:val="TableParagraph"/>
              <w:spacing w:before="133"/>
              <w:ind w:left="242" w:right="243"/>
              <w:rPr>
                <w:b/>
                <w:sz w:val="24"/>
              </w:rPr>
            </w:pPr>
            <w:r>
              <w:rPr>
                <w:b/>
                <w:sz w:val="24"/>
              </w:rPr>
              <w:t>% Concentración</w:t>
            </w:r>
          </w:p>
        </w:tc>
        <w:tc>
          <w:tcPr>
            <w:tcW w:w="2244" w:type="dxa"/>
            <w:shd w:val="clear" w:color="auto" w:fill="D9D9D9"/>
          </w:tcPr>
          <w:p>
            <w:pPr>
              <w:pStyle w:val="TableParagraph"/>
              <w:ind w:left="777" w:right="250" w:hanging="512"/>
              <w:jc w:val="left"/>
              <w:rPr>
                <w:b/>
                <w:sz w:val="24"/>
              </w:rPr>
            </w:pPr>
            <w:r>
              <w:rPr>
                <w:b/>
                <w:sz w:val="24"/>
              </w:rPr>
              <w:t>Concentración (µg/L)</w:t>
            </w:r>
          </w:p>
        </w:tc>
        <w:tc>
          <w:tcPr>
            <w:tcW w:w="2897" w:type="dxa"/>
            <w:shd w:val="clear" w:color="auto" w:fill="D9D9D9"/>
          </w:tcPr>
          <w:p>
            <w:pPr>
              <w:pStyle w:val="TableParagraph"/>
              <w:ind w:left="155" w:right="137" w:firstLine="669"/>
              <w:jc w:val="left"/>
              <w:rPr>
                <w:b/>
                <w:sz w:val="24"/>
              </w:rPr>
            </w:pPr>
            <w:r>
              <w:rPr>
                <w:b/>
                <w:sz w:val="24"/>
              </w:rPr>
              <w:t>Respuesta (Relación CPSv/CPS</w:t>
            </w:r>
            <w:r>
              <w:rPr>
                <w:b/>
                <w:position w:val="-2"/>
                <w:sz w:val="16"/>
              </w:rPr>
              <w:t>In</w:t>
            </w:r>
            <w:r>
              <w:rPr>
                <w:b/>
                <w:sz w:val="24"/>
              </w:rPr>
              <w:t>)</w:t>
            </w:r>
          </w:p>
        </w:tc>
      </w:tr>
      <w:tr>
        <w:trPr>
          <w:trHeight w:val="389" w:hRule="exact"/>
        </w:trPr>
        <w:tc>
          <w:tcPr>
            <w:tcW w:w="2516" w:type="dxa"/>
            <w:tcBorders>
              <w:bottom w:val="single" w:sz="8" w:space="0" w:color="000000"/>
            </w:tcBorders>
          </w:tcPr>
          <w:p>
            <w:pPr>
              <w:pStyle w:val="TableParagraph"/>
              <w:spacing w:before="41"/>
              <w:ind w:left="241" w:right="243"/>
              <w:rPr>
                <w:sz w:val="24"/>
              </w:rPr>
            </w:pPr>
            <w:r>
              <w:rPr>
                <w:sz w:val="24"/>
              </w:rPr>
              <w:t>LD</w:t>
            </w:r>
          </w:p>
        </w:tc>
        <w:tc>
          <w:tcPr>
            <w:tcW w:w="2244" w:type="dxa"/>
            <w:tcBorders>
              <w:bottom w:val="single" w:sz="8" w:space="0" w:color="000000"/>
            </w:tcBorders>
          </w:tcPr>
          <w:p>
            <w:pPr>
              <w:pStyle w:val="TableParagraph"/>
              <w:spacing w:before="41"/>
              <w:ind w:left="654" w:right="654"/>
              <w:rPr>
                <w:sz w:val="24"/>
              </w:rPr>
            </w:pPr>
            <w:r>
              <w:rPr>
                <w:sz w:val="24"/>
              </w:rPr>
              <w:t>1.2500</w:t>
            </w:r>
          </w:p>
        </w:tc>
        <w:tc>
          <w:tcPr>
            <w:tcW w:w="2897" w:type="dxa"/>
            <w:tcBorders>
              <w:bottom w:val="single" w:sz="8" w:space="0" w:color="000000"/>
            </w:tcBorders>
          </w:tcPr>
          <w:p>
            <w:pPr>
              <w:pStyle w:val="TableParagraph"/>
              <w:spacing w:before="41"/>
              <w:ind w:right="998"/>
              <w:jc w:val="right"/>
              <w:rPr>
                <w:sz w:val="24"/>
              </w:rPr>
            </w:pPr>
            <w:r>
              <w:rPr>
                <w:sz w:val="24"/>
              </w:rPr>
              <w:t>0.01561</w:t>
            </w:r>
          </w:p>
        </w:tc>
      </w:tr>
      <w:tr>
        <w:trPr>
          <w:trHeight w:val="384" w:hRule="exact"/>
        </w:trPr>
        <w:tc>
          <w:tcPr>
            <w:tcW w:w="2516" w:type="dxa"/>
            <w:tcBorders>
              <w:top w:val="single" w:sz="8" w:space="0" w:color="000000"/>
              <w:bottom w:val="single" w:sz="8" w:space="0" w:color="000000"/>
            </w:tcBorders>
          </w:tcPr>
          <w:p>
            <w:pPr>
              <w:pStyle w:val="TableParagraph"/>
              <w:spacing w:before="41"/>
              <w:ind w:left="241" w:right="243"/>
              <w:rPr>
                <w:sz w:val="24"/>
              </w:rPr>
            </w:pPr>
            <w:r>
              <w:rPr>
                <w:sz w:val="24"/>
              </w:rPr>
              <w:t>LC</w:t>
            </w:r>
          </w:p>
        </w:tc>
        <w:tc>
          <w:tcPr>
            <w:tcW w:w="2244" w:type="dxa"/>
            <w:tcBorders>
              <w:top w:val="single" w:sz="8" w:space="0" w:color="000000"/>
              <w:bottom w:val="single" w:sz="8" w:space="0" w:color="000000"/>
            </w:tcBorders>
          </w:tcPr>
          <w:p>
            <w:pPr>
              <w:pStyle w:val="TableParagraph"/>
              <w:spacing w:before="41"/>
              <w:ind w:left="654" w:right="654"/>
              <w:rPr>
                <w:sz w:val="24"/>
              </w:rPr>
            </w:pPr>
            <w:r>
              <w:rPr>
                <w:sz w:val="24"/>
              </w:rPr>
              <w:t>2.5000</w:t>
            </w:r>
          </w:p>
        </w:tc>
        <w:tc>
          <w:tcPr>
            <w:tcW w:w="2897" w:type="dxa"/>
            <w:tcBorders>
              <w:top w:val="single" w:sz="8" w:space="0" w:color="000000"/>
              <w:bottom w:val="single" w:sz="8" w:space="0" w:color="000000"/>
            </w:tcBorders>
          </w:tcPr>
          <w:p>
            <w:pPr>
              <w:pStyle w:val="TableParagraph"/>
              <w:spacing w:before="41"/>
              <w:ind w:right="998"/>
              <w:jc w:val="right"/>
              <w:rPr>
                <w:sz w:val="24"/>
              </w:rPr>
            </w:pPr>
            <w:r>
              <w:rPr>
                <w:sz w:val="24"/>
              </w:rPr>
              <w:t>0.02292</w:t>
            </w:r>
          </w:p>
        </w:tc>
      </w:tr>
      <w:tr>
        <w:trPr>
          <w:trHeight w:val="384" w:hRule="exact"/>
        </w:trPr>
        <w:tc>
          <w:tcPr>
            <w:tcW w:w="2516" w:type="dxa"/>
            <w:tcBorders>
              <w:top w:val="single" w:sz="8" w:space="0" w:color="000000"/>
              <w:bottom w:val="single" w:sz="8" w:space="0" w:color="000000"/>
            </w:tcBorders>
          </w:tcPr>
          <w:p>
            <w:pPr>
              <w:pStyle w:val="TableParagraph"/>
              <w:spacing w:before="41"/>
              <w:ind w:left="242" w:right="242"/>
              <w:rPr>
                <w:sz w:val="24"/>
              </w:rPr>
            </w:pPr>
            <w:r>
              <w:rPr>
                <w:sz w:val="24"/>
              </w:rPr>
              <w:t>50</w:t>
            </w:r>
          </w:p>
        </w:tc>
        <w:tc>
          <w:tcPr>
            <w:tcW w:w="2244" w:type="dxa"/>
            <w:tcBorders>
              <w:top w:val="single" w:sz="8" w:space="0" w:color="000000"/>
              <w:bottom w:val="single" w:sz="8" w:space="0" w:color="000000"/>
            </w:tcBorders>
          </w:tcPr>
          <w:p>
            <w:pPr>
              <w:pStyle w:val="TableParagraph"/>
              <w:spacing w:before="41"/>
              <w:ind w:left="654" w:right="654"/>
              <w:rPr>
                <w:sz w:val="24"/>
              </w:rPr>
            </w:pPr>
            <w:r>
              <w:rPr>
                <w:sz w:val="24"/>
              </w:rPr>
              <w:t>5.0000</w:t>
            </w:r>
          </w:p>
        </w:tc>
        <w:tc>
          <w:tcPr>
            <w:tcW w:w="2897" w:type="dxa"/>
            <w:tcBorders>
              <w:top w:val="single" w:sz="8" w:space="0" w:color="000000"/>
              <w:bottom w:val="single" w:sz="8" w:space="0" w:color="000000"/>
            </w:tcBorders>
          </w:tcPr>
          <w:p>
            <w:pPr>
              <w:pStyle w:val="TableParagraph"/>
              <w:spacing w:before="41"/>
              <w:ind w:right="998"/>
              <w:jc w:val="right"/>
              <w:rPr>
                <w:sz w:val="24"/>
              </w:rPr>
            </w:pPr>
            <w:r>
              <w:rPr>
                <w:sz w:val="24"/>
              </w:rPr>
              <w:t>0.03378</w:t>
            </w:r>
          </w:p>
        </w:tc>
      </w:tr>
      <w:tr>
        <w:trPr>
          <w:trHeight w:val="384" w:hRule="exact"/>
        </w:trPr>
        <w:tc>
          <w:tcPr>
            <w:tcW w:w="2516" w:type="dxa"/>
            <w:tcBorders>
              <w:top w:val="single" w:sz="8" w:space="0" w:color="000000"/>
              <w:bottom w:val="single" w:sz="8" w:space="0" w:color="000000"/>
            </w:tcBorders>
          </w:tcPr>
          <w:p>
            <w:pPr>
              <w:pStyle w:val="TableParagraph"/>
              <w:spacing w:before="41"/>
              <w:ind w:left="242" w:right="242"/>
              <w:rPr>
                <w:sz w:val="24"/>
              </w:rPr>
            </w:pPr>
            <w:r>
              <w:rPr>
                <w:sz w:val="24"/>
              </w:rPr>
              <w:t>75</w:t>
            </w:r>
          </w:p>
        </w:tc>
        <w:tc>
          <w:tcPr>
            <w:tcW w:w="2244" w:type="dxa"/>
            <w:tcBorders>
              <w:top w:val="single" w:sz="8" w:space="0" w:color="000000"/>
              <w:bottom w:val="single" w:sz="8" w:space="0" w:color="000000"/>
            </w:tcBorders>
          </w:tcPr>
          <w:p>
            <w:pPr>
              <w:pStyle w:val="TableParagraph"/>
              <w:spacing w:before="41"/>
              <w:ind w:left="654" w:right="654"/>
              <w:rPr>
                <w:sz w:val="24"/>
              </w:rPr>
            </w:pPr>
            <w:r>
              <w:rPr>
                <w:sz w:val="24"/>
              </w:rPr>
              <w:t>7.5000</w:t>
            </w:r>
          </w:p>
        </w:tc>
        <w:tc>
          <w:tcPr>
            <w:tcW w:w="2897" w:type="dxa"/>
            <w:tcBorders>
              <w:top w:val="single" w:sz="8" w:space="0" w:color="000000"/>
              <w:bottom w:val="single" w:sz="8" w:space="0" w:color="000000"/>
            </w:tcBorders>
          </w:tcPr>
          <w:p>
            <w:pPr>
              <w:pStyle w:val="TableParagraph"/>
              <w:spacing w:before="41"/>
              <w:ind w:right="998"/>
              <w:jc w:val="right"/>
              <w:rPr>
                <w:sz w:val="24"/>
              </w:rPr>
            </w:pPr>
            <w:r>
              <w:rPr>
                <w:sz w:val="24"/>
              </w:rPr>
              <w:t>0.04415</w:t>
            </w:r>
          </w:p>
        </w:tc>
      </w:tr>
      <w:tr>
        <w:trPr>
          <w:trHeight w:val="384" w:hRule="exact"/>
        </w:trPr>
        <w:tc>
          <w:tcPr>
            <w:tcW w:w="2516" w:type="dxa"/>
            <w:tcBorders>
              <w:top w:val="single" w:sz="8" w:space="0" w:color="000000"/>
              <w:bottom w:val="single" w:sz="8" w:space="0" w:color="000000"/>
            </w:tcBorders>
          </w:tcPr>
          <w:p>
            <w:pPr>
              <w:pStyle w:val="TableParagraph"/>
              <w:spacing w:before="41"/>
              <w:ind w:left="242" w:right="242"/>
              <w:rPr>
                <w:sz w:val="24"/>
              </w:rPr>
            </w:pPr>
            <w:r>
              <w:rPr>
                <w:sz w:val="24"/>
              </w:rPr>
              <w:t>100</w:t>
            </w:r>
          </w:p>
        </w:tc>
        <w:tc>
          <w:tcPr>
            <w:tcW w:w="2244" w:type="dxa"/>
            <w:tcBorders>
              <w:top w:val="single" w:sz="8" w:space="0" w:color="000000"/>
              <w:bottom w:val="single" w:sz="8" w:space="0" w:color="000000"/>
            </w:tcBorders>
          </w:tcPr>
          <w:p>
            <w:pPr>
              <w:pStyle w:val="TableParagraph"/>
              <w:spacing w:before="41"/>
              <w:ind w:left="654" w:right="654"/>
              <w:rPr>
                <w:sz w:val="24"/>
              </w:rPr>
            </w:pPr>
            <w:r>
              <w:rPr>
                <w:sz w:val="24"/>
              </w:rPr>
              <w:t>10.0000</w:t>
            </w:r>
          </w:p>
        </w:tc>
        <w:tc>
          <w:tcPr>
            <w:tcW w:w="2897" w:type="dxa"/>
            <w:tcBorders>
              <w:top w:val="single" w:sz="8" w:space="0" w:color="000000"/>
              <w:bottom w:val="single" w:sz="8" w:space="0" w:color="000000"/>
            </w:tcBorders>
          </w:tcPr>
          <w:p>
            <w:pPr>
              <w:pStyle w:val="TableParagraph"/>
              <w:spacing w:before="41"/>
              <w:ind w:right="998"/>
              <w:jc w:val="right"/>
              <w:rPr>
                <w:sz w:val="24"/>
              </w:rPr>
            </w:pPr>
            <w:r>
              <w:rPr>
                <w:sz w:val="24"/>
              </w:rPr>
              <w:t>0.05627</w:t>
            </w:r>
          </w:p>
        </w:tc>
      </w:tr>
      <w:tr>
        <w:trPr>
          <w:trHeight w:val="384" w:hRule="exact"/>
        </w:trPr>
        <w:tc>
          <w:tcPr>
            <w:tcW w:w="2516" w:type="dxa"/>
            <w:tcBorders>
              <w:top w:val="single" w:sz="8" w:space="0" w:color="000000"/>
              <w:bottom w:val="single" w:sz="8" w:space="0" w:color="000000"/>
            </w:tcBorders>
          </w:tcPr>
          <w:p>
            <w:pPr>
              <w:pStyle w:val="TableParagraph"/>
              <w:spacing w:before="41"/>
              <w:ind w:left="242" w:right="242"/>
              <w:rPr>
                <w:sz w:val="24"/>
              </w:rPr>
            </w:pPr>
            <w:r>
              <w:rPr>
                <w:sz w:val="24"/>
              </w:rPr>
              <w:t>125</w:t>
            </w:r>
          </w:p>
        </w:tc>
        <w:tc>
          <w:tcPr>
            <w:tcW w:w="2244" w:type="dxa"/>
            <w:tcBorders>
              <w:top w:val="single" w:sz="8" w:space="0" w:color="000000"/>
              <w:bottom w:val="single" w:sz="8" w:space="0" w:color="000000"/>
            </w:tcBorders>
          </w:tcPr>
          <w:p>
            <w:pPr>
              <w:pStyle w:val="TableParagraph"/>
              <w:spacing w:before="41"/>
              <w:ind w:left="654" w:right="654"/>
              <w:rPr>
                <w:sz w:val="24"/>
              </w:rPr>
            </w:pPr>
            <w:r>
              <w:rPr>
                <w:sz w:val="24"/>
              </w:rPr>
              <w:t>12.5000</w:t>
            </w:r>
          </w:p>
        </w:tc>
        <w:tc>
          <w:tcPr>
            <w:tcW w:w="2897" w:type="dxa"/>
            <w:tcBorders>
              <w:top w:val="single" w:sz="8" w:space="0" w:color="000000"/>
              <w:bottom w:val="single" w:sz="8" w:space="0" w:color="000000"/>
            </w:tcBorders>
          </w:tcPr>
          <w:p>
            <w:pPr>
              <w:pStyle w:val="TableParagraph"/>
              <w:spacing w:before="41"/>
              <w:ind w:right="998"/>
              <w:jc w:val="right"/>
              <w:rPr>
                <w:sz w:val="24"/>
              </w:rPr>
            </w:pPr>
            <w:r>
              <w:rPr>
                <w:sz w:val="24"/>
              </w:rPr>
              <w:t>0.06881</w:t>
            </w:r>
          </w:p>
        </w:tc>
      </w:tr>
      <w:tr>
        <w:trPr>
          <w:trHeight w:val="385" w:hRule="exact"/>
        </w:trPr>
        <w:tc>
          <w:tcPr>
            <w:tcW w:w="2516" w:type="dxa"/>
            <w:tcBorders>
              <w:top w:val="single" w:sz="8" w:space="0" w:color="000000"/>
              <w:bottom w:val="single" w:sz="8" w:space="0" w:color="000000"/>
            </w:tcBorders>
          </w:tcPr>
          <w:p>
            <w:pPr>
              <w:pStyle w:val="TableParagraph"/>
              <w:spacing w:before="41"/>
              <w:ind w:left="242" w:right="242"/>
              <w:rPr>
                <w:sz w:val="24"/>
              </w:rPr>
            </w:pPr>
            <w:r>
              <w:rPr>
                <w:sz w:val="24"/>
              </w:rPr>
              <w:t>150</w:t>
            </w:r>
          </w:p>
        </w:tc>
        <w:tc>
          <w:tcPr>
            <w:tcW w:w="2244" w:type="dxa"/>
            <w:tcBorders>
              <w:top w:val="single" w:sz="8" w:space="0" w:color="000000"/>
              <w:bottom w:val="single" w:sz="8" w:space="0" w:color="000000"/>
            </w:tcBorders>
          </w:tcPr>
          <w:p>
            <w:pPr>
              <w:pStyle w:val="TableParagraph"/>
              <w:spacing w:before="41"/>
              <w:ind w:left="654" w:right="654"/>
              <w:rPr>
                <w:sz w:val="24"/>
              </w:rPr>
            </w:pPr>
            <w:r>
              <w:rPr>
                <w:sz w:val="24"/>
              </w:rPr>
              <w:t>15.0000</w:t>
            </w:r>
          </w:p>
        </w:tc>
        <w:tc>
          <w:tcPr>
            <w:tcW w:w="2897" w:type="dxa"/>
            <w:tcBorders>
              <w:top w:val="single" w:sz="8" w:space="0" w:color="000000"/>
              <w:bottom w:val="single" w:sz="8" w:space="0" w:color="000000"/>
            </w:tcBorders>
          </w:tcPr>
          <w:p>
            <w:pPr>
              <w:pStyle w:val="TableParagraph"/>
              <w:spacing w:before="41"/>
              <w:ind w:right="998"/>
              <w:jc w:val="right"/>
              <w:rPr>
                <w:sz w:val="24"/>
              </w:rPr>
            </w:pPr>
            <w:r>
              <w:rPr>
                <w:sz w:val="24"/>
              </w:rPr>
              <w:t>0.07946</w:t>
            </w:r>
          </w:p>
        </w:tc>
      </w:tr>
      <w:tr>
        <w:trPr>
          <w:trHeight w:val="386" w:hRule="exact"/>
        </w:trPr>
        <w:tc>
          <w:tcPr>
            <w:tcW w:w="2516" w:type="dxa"/>
            <w:tcBorders>
              <w:top w:val="single" w:sz="8" w:space="0" w:color="000000"/>
            </w:tcBorders>
          </w:tcPr>
          <w:p>
            <w:pPr>
              <w:pStyle w:val="TableParagraph"/>
              <w:spacing w:before="41"/>
              <w:ind w:left="242" w:right="242"/>
              <w:rPr>
                <w:sz w:val="24"/>
              </w:rPr>
            </w:pPr>
            <w:r>
              <w:rPr>
                <w:sz w:val="24"/>
              </w:rPr>
              <w:t>200</w:t>
            </w:r>
          </w:p>
        </w:tc>
        <w:tc>
          <w:tcPr>
            <w:tcW w:w="2244" w:type="dxa"/>
            <w:tcBorders>
              <w:top w:val="single" w:sz="8" w:space="0" w:color="000000"/>
            </w:tcBorders>
          </w:tcPr>
          <w:p>
            <w:pPr>
              <w:pStyle w:val="TableParagraph"/>
              <w:spacing w:before="41"/>
              <w:ind w:left="654" w:right="654"/>
              <w:rPr>
                <w:sz w:val="24"/>
              </w:rPr>
            </w:pPr>
            <w:r>
              <w:rPr>
                <w:sz w:val="24"/>
              </w:rPr>
              <w:t>20.0000</w:t>
            </w:r>
          </w:p>
        </w:tc>
        <w:tc>
          <w:tcPr>
            <w:tcW w:w="2897" w:type="dxa"/>
            <w:tcBorders>
              <w:top w:val="single" w:sz="8" w:space="0" w:color="000000"/>
            </w:tcBorders>
          </w:tcPr>
          <w:p>
            <w:pPr>
              <w:pStyle w:val="TableParagraph"/>
              <w:spacing w:before="41"/>
              <w:ind w:right="998"/>
              <w:jc w:val="right"/>
              <w:rPr>
                <w:sz w:val="24"/>
              </w:rPr>
            </w:pPr>
            <w:r>
              <w:rPr>
                <w:sz w:val="24"/>
              </w:rPr>
              <w:t>0.10325</w:t>
            </w:r>
          </w:p>
        </w:tc>
      </w:tr>
    </w:tbl>
    <w:p>
      <w:pPr>
        <w:spacing w:before="2"/>
        <w:ind w:left="1302" w:right="117" w:firstLine="0"/>
        <w:jc w:val="left"/>
        <w:rPr>
          <w:sz w:val="20"/>
        </w:rPr>
      </w:pPr>
      <w:r>
        <w:rPr>
          <w:sz w:val="20"/>
        </w:rPr>
        <w:t>CPS: Cuentas por segundo del analito</w:t>
      </w:r>
    </w:p>
    <w:p>
      <w:pPr>
        <w:pStyle w:val="BodyText"/>
        <w:rPr>
          <w:sz w:val="20"/>
        </w:rPr>
      </w:pPr>
    </w:p>
    <w:p>
      <w:pPr>
        <w:pStyle w:val="Heading1"/>
        <w:spacing w:before="121"/>
        <w:ind w:left="594" w:right="117"/>
        <w:jc w:val="left"/>
      </w:pPr>
      <w:r>
        <w:rPr/>
        <w:pict>
          <v:group style="position:absolute;margin-left:121.125pt;margin-top:21.580873pt;width:369.25pt;height:202.05pt;mso-position-horizontal-relative:page;mso-position-vertical-relative:paragraph;z-index:2872" coordorigin="2423,432" coordsize="7385,4041">
            <v:shape style="position:absolute;left:4010;top:662;width:5242;height:2931" coordorigin="4010,662" coordsize="5242,2931" path="m4073,3528l4073,662m4010,3528l4073,3528m4010,3050l4073,3050m4010,2572l4073,2572m4010,2095l4073,2095m4010,1617l4073,1617m4010,1140l4073,1140m4010,662l4073,662m4073,3528l9252,3528m4073,3528l4073,3592m5110,3528l5110,3592m6144,3528l6144,3592m7181,3528l7181,3592m8215,3528l8215,3592m9252,3528l9252,3592e" filled="false" stroked="true" strokeweight=".72pt" strokecolor="#858585">
              <v:path arrowok="t"/>
            </v:shape>
            <v:shape style="position:absolute;left:4254;top:3078;width:155;height:155" type="#_x0000_t75" stroked="false">
              <v:imagedata r:id="rId74" o:title=""/>
            </v:shape>
            <v:shape style="position:absolute;left:4513;top:2903;width:155;height:155" type="#_x0000_t75" stroked="false">
              <v:imagedata r:id="rId71" o:title=""/>
            </v:shape>
            <v:shape style="position:absolute;left:5031;top:2644;width:155;height:155" type="#_x0000_t75" stroked="false">
              <v:imagedata r:id="rId73" o:title=""/>
            </v:shape>
            <v:shape style="position:absolute;left:5549;top:2396;width:155;height:155" type="#_x0000_t75" stroked="false">
              <v:imagedata r:id="rId73" o:title=""/>
            </v:shape>
            <v:shape style="position:absolute;left:6066;top:2107;width:155;height:155" type="#_x0000_t75" stroked="false">
              <v:imagedata r:id="rId72" o:title=""/>
            </v:shape>
            <v:shape style="position:absolute;left:6584;top:1807;width:155;height:155" type="#_x0000_t75" stroked="false">
              <v:imagedata r:id="rId72" o:title=""/>
            </v:shape>
            <v:shape style="position:absolute;left:7102;top:1552;width:155;height:155" type="#_x0000_t75" stroked="false">
              <v:imagedata r:id="rId72" o:title=""/>
            </v:shape>
            <v:shape style="position:absolute;left:8138;top:984;width:155;height:155" type="#_x0000_t75" stroked="false">
              <v:imagedata r:id="rId72" o:title=""/>
            </v:shape>
            <v:shape style="position:absolute;left:4332;top:1068;width:3884;height:2076" coordorigin="4332,1068" coordsize="3884,2076" path="m4332,3144l8215,1068m4332,3144l8215,1068m4332,3144l8215,1068m4332,3144l8215,1068m4332,3144l8215,1068m4332,3144l8215,1068e" filled="false" stroked="true" strokeweight=".72pt" strokecolor="#000000">
              <v:path arrowok="t"/>
            </v:shape>
            <v:rect style="position:absolute;left:2430;top:439;width:7370;height:4025" filled="false" stroked="true" strokeweight=".75pt" strokecolor="#858585"/>
            <v:shape style="position:absolute;left:3231;top:569;width:656;height:1634" type="#_x0000_t202" filled="false" stroked="false">
              <v:textbox inset="0,0,0,0">
                <w:txbxContent>
                  <w:p>
                    <w:pPr>
                      <w:spacing w:line="203" w:lineRule="exact" w:before="0"/>
                      <w:ind w:left="0" w:right="-16" w:firstLine="0"/>
                      <w:jc w:val="left"/>
                      <w:rPr>
                        <w:rFonts w:ascii="Calibri"/>
                        <w:sz w:val="20"/>
                      </w:rPr>
                    </w:pPr>
                    <w:r>
                      <w:rPr>
                        <w:rFonts w:ascii="Calibri"/>
                        <w:spacing w:val="-1"/>
                        <w:sz w:val="20"/>
                      </w:rPr>
                      <w:t>0.12000</w:t>
                    </w:r>
                  </w:p>
                  <w:p>
                    <w:pPr>
                      <w:spacing w:line="240" w:lineRule="auto" w:before="4"/>
                      <w:rPr>
                        <w:b/>
                        <w:sz w:val="20"/>
                      </w:rPr>
                    </w:pPr>
                  </w:p>
                  <w:p>
                    <w:pPr>
                      <w:spacing w:before="0"/>
                      <w:ind w:left="0" w:right="-16" w:firstLine="0"/>
                      <w:jc w:val="left"/>
                      <w:rPr>
                        <w:rFonts w:ascii="Calibri"/>
                        <w:sz w:val="20"/>
                      </w:rPr>
                    </w:pPr>
                    <w:r>
                      <w:rPr>
                        <w:rFonts w:ascii="Calibri"/>
                        <w:spacing w:val="-1"/>
                        <w:sz w:val="20"/>
                      </w:rPr>
                      <w:t>0.10000</w:t>
                    </w:r>
                  </w:p>
                  <w:p>
                    <w:pPr>
                      <w:spacing w:line="240" w:lineRule="auto" w:before="3"/>
                      <w:rPr>
                        <w:b/>
                        <w:sz w:val="20"/>
                      </w:rPr>
                    </w:pPr>
                  </w:p>
                  <w:p>
                    <w:pPr>
                      <w:spacing w:before="1"/>
                      <w:ind w:left="0" w:right="-16" w:firstLine="0"/>
                      <w:jc w:val="left"/>
                      <w:rPr>
                        <w:rFonts w:ascii="Calibri"/>
                        <w:sz w:val="20"/>
                      </w:rPr>
                    </w:pPr>
                    <w:r>
                      <w:rPr>
                        <w:rFonts w:ascii="Calibri"/>
                        <w:spacing w:val="-1"/>
                        <w:sz w:val="20"/>
                      </w:rPr>
                      <w:t>0.08000</w:t>
                    </w:r>
                  </w:p>
                  <w:p>
                    <w:pPr>
                      <w:spacing w:line="240" w:lineRule="auto" w:before="3"/>
                      <w:rPr>
                        <w:b/>
                        <w:sz w:val="20"/>
                      </w:rPr>
                    </w:pPr>
                  </w:p>
                  <w:p>
                    <w:pPr>
                      <w:spacing w:line="240" w:lineRule="exact" w:before="1"/>
                      <w:ind w:left="0" w:right="-16" w:firstLine="0"/>
                      <w:jc w:val="left"/>
                      <w:rPr>
                        <w:rFonts w:ascii="Calibri"/>
                        <w:sz w:val="20"/>
                      </w:rPr>
                    </w:pPr>
                    <w:r>
                      <w:rPr>
                        <w:rFonts w:ascii="Calibri"/>
                        <w:spacing w:val="-1"/>
                        <w:sz w:val="20"/>
                      </w:rPr>
                      <w:t>0.06000</w:t>
                    </w:r>
                  </w:p>
                </w:txbxContent>
              </v:textbox>
              <w10:wrap type="none"/>
            </v:shape>
            <v:shape style="position:absolute;left:8017;top:1782;width:1666;height:444" type="#_x0000_t202" filled="false" stroked="false">
              <v:textbox inset="0,0,0,0">
                <w:txbxContent>
                  <w:p>
                    <w:pPr>
                      <w:spacing w:line="203" w:lineRule="exact" w:before="0"/>
                      <w:ind w:left="0" w:right="0" w:firstLine="0"/>
                      <w:jc w:val="center"/>
                      <w:rPr>
                        <w:rFonts w:ascii="Calibri"/>
                        <w:sz w:val="20"/>
                      </w:rPr>
                    </w:pPr>
                    <w:r>
                      <w:rPr>
                        <w:rFonts w:ascii="Calibri"/>
                        <w:sz w:val="20"/>
                      </w:rPr>
                      <w:t>y = 0.0046x +</w:t>
                    </w:r>
                    <w:r>
                      <w:rPr>
                        <w:rFonts w:ascii="Calibri"/>
                        <w:spacing w:val="-8"/>
                        <w:sz w:val="20"/>
                      </w:rPr>
                      <w:t> </w:t>
                    </w:r>
                    <w:r>
                      <w:rPr>
                        <w:rFonts w:ascii="Calibri"/>
                        <w:sz w:val="20"/>
                      </w:rPr>
                      <w:t>0.0103</w:t>
                    </w:r>
                  </w:p>
                  <w:p>
                    <w:pPr>
                      <w:spacing w:line="240" w:lineRule="exact" w:before="0"/>
                      <w:ind w:left="0" w:right="1" w:firstLine="0"/>
                      <w:jc w:val="center"/>
                      <w:rPr>
                        <w:rFonts w:ascii="Calibri" w:hAnsi="Calibri"/>
                        <w:sz w:val="20"/>
                      </w:rPr>
                    </w:pPr>
                    <w:r>
                      <w:rPr>
                        <w:rFonts w:ascii="Calibri" w:hAnsi="Calibri"/>
                        <w:sz w:val="20"/>
                      </w:rPr>
                      <w:t>R² =1.00</w:t>
                    </w:r>
                  </w:p>
                </w:txbxContent>
              </v:textbox>
              <w10:wrap type="none"/>
            </v:shape>
            <v:shape style="position:absolute;left:3231;top:2481;width:1121;height:1416" type="#_x0000_t202" filled="false" stroked="false">
              <v:textbox inset="0,0,0,0">
                <w:txbxContent>
                  <w:p>
                    <w:pPr>
                      <w:spacing w:line="203" w:lineRule="exact" w:before="0"/>
                      <w:ind w:left="0" w:right="0" w:firstLine="0"/>
                      <w:jc w:val="left"/>
                      <w:rPr>
                        <w:rFonts w:ascii="Calibri"/>
                        <w:sz w:val="20"/>
                      </w:rPr>
                    </w:pPr>
                    <w:r>
                      <w:rPr>
                        <w:rFonts w:ascii="Calibri"/>
                        <w:sz w:val="20"/>
                      </w:rPr>
                      <w:t>0.04000</w:t>
                    </w:r>
                  </w:p>
                  <w:p>
                    <w:pPr>
                      <w:spacing w:line="240" w:lineRule="auto" w:before="4"/>
                      <w:rPr>
                        <w:b/>
                        <w:sz w:val="20"/>
                      </w:rPr>
                    </w:pPr>
                  </w:p>
                  <w:p>
                    <w:pPr>
                      <w:spacing w:before="0"/>
                      <w:ind w:left="0" w:right="0" w:firstLine="0"/>
                      <w:jc w:val="left"/>
                      <w:rPr>
                        <w:rFonts w:ascii="Calibri"/>
                        <w:sz w:val="20"/>
                      </w:rPr>
                    </w:pPr>
                    <w:r>
                      <w:rPr>
                        <w:rFonts w:ascii="Calibri"/>
                        <w:sz w:val="20"/>
                      </w:rPr>
                      <w:t>0.02000</w:t>
                    </w:r>
                  </w:p>
                  <w:p>
                    <w:pPr>
                      <w:spacing w:line="240" w:lineRule="auto" w:before="3"/>
                      <w:rPr>
                        <w:b/>
                        <w:sz w:val="20"/>
                      </w:rPr>
                    </w:pPr>
                  </w:p>
                  <w:p>
                    <w:pPr>
                      <w:spacing w:before="1"/>
                      <w:ind w:left="0" w:right="0" w:firstLine="0"/>
                      <w:jc w:val="left"/>
                      <w:rPr>
                        <w:rFonts w:ascii="Calibri"/>
                        <w:sz w:val="20"/>
                      </w:rPr>
                    </w:pPr>
                    <w:r>
                      <w:rPr>
                        <w:rFonts w:ascii="Calibri"/>
                        <w:sz w:val="20"/>
                      </w:rPr>
                      <w:t>0.00000</w:t>
                    </w:r>
                  </w:p>
                  <w:p>
                    <w:pPr>
                      <w:spacing w:line="240" w:lineRule="exact" w:before="16"/>
                      <w:ind w:left="565" w:right="0" w:firstLine="0"/>
                      <w:jc w:val="left"/>
                      <w:rPr>
                        <w:rFonts w:ascii="Calibri"/>
                        <w:sz w:val="20"/>
                      </w:rPr>
                    </w:pPr>
                    <w:r>
                      <w:rPr>
                        <w:rFonts w:ascii="Calibri"/>
                        <w:w w:val="95"/>
                        <w:sz w:val="20"/>
                      </w:rPr>
                      <w:t>0.0000</w:t>
                    </w:r>
                  </w:p>
                </w:txbxContent>
              </v:textbox>
              <w10:wrap type="none"/>
            </v:shape>
            <v:shape style="position:absolute;left:4832;top:3697;width:556;height:200" type="#_x0000_t202" filled="false" stroked="false">
              <v:textbox inset="0,0,0,0">
                <w:txbxContent>
                  <w:p>
                    <w:pPr>
                      <w:spacing w:line="199" w:lineRule="exact" w:before="0"/>
                      <w:ind w:left="0" w:right="0" w:firstLine="0"/>
                      <w:jc w:val="left"/>
                      <w:rPr>
                        <w:rFonts w:ascii="Calibri"/>
                        <w:sz w:val="20"/>
                      </w:rPr>
                    </w:pPr>
                    <w:r>
                      <w:rPr>
                        <w:rFonts w:ascii="Calibri"/>
                        <w:w w:val="95"/>
                        <w:sz w:val="20"/>
                      </w:rPr>
                      <w:t>5.0000</w:t>
                    </w:r>
                  </w:p>
                </w:txbxContent>
              </v:textbox>
              <w10:wrap type="none"/>
            </v:shape>
            <v:shape style="position:absolute;left:5818;top:3697;width:3763;height:200" type="#_x0000_t202" filled="false" stroked="false">
              <v:textbox inset="0,0,0,0">
                <w:txbxContent>
                  <w:p>
                    <w:pPr>
                      <w:tabs>
                        <w:tab w:pos="1035" w:val="left" w:leader="none"/>
                        <w:tab w:pos="2071" w:val="left" w:leader="none"/>
                        <w:tab w:pos="3107" w:val="left" w:leader="none"/>
                      </w:tabs>
                      <w:spacing w:line="199" w:lineRule="exact" w:before="0"/>
                      <w:ind w:left="0" w:right="0" w:firstLine="0"/>
                      <w:jc w:val="left"/>
                      <w:rPr>
                        <w:rFonts w:ascii="Calibri"/>
                        <w:sz w:val="20"/>
                      </w:rPr>
                    </w:pPr>
                    <w:r>
                      <w:rPr>
                        <w:rFonts w:ascii="Calibri"/>
                        <w:sz w:val="20"/>
                      </w:rPr>
                      <w:t>10.0000</w:t>
                      <w:tab/>
                      <w:t>15.0000</w:t>
                      <w:tab/>
                      <w:t>20.0000</w:t>
                      <w:tab/>
                    </w:r>
                    <w:r>
                      <w:rPr>
                        <w:rFonts w:ascii="Calibri"/>
                        <w:spacing w:val="-1"/>
                        <w:sz w:val="20"/>
                      </w:rPr>
                      <w:t>25.0000</w:t>
                    </w:r>
                  </w:p>
                </w:txbxContent>
              </v:textbox>
              <w10:wrap type="none"/>
            </v:shape>
            <v:shape style="position:absolute;left:5704;top:3999;width:1964;height:214" type="#_x0000_t202" filled="false" stroked="false">
              <v:textbox inset="0,0,0,0">
                <w:txbxContent>
                  <w:p>
                    <w:pPr>
                      <w:spacing w:line="213" w:lineRule="exact" w:before="0"/>
                      <w:ind w:left="0" w:right="-14" w:firstLine="0"/>
                      <w:jc w:val="left"/>
                      <w:rPr>
                        <w:rFonts w:ascii="Calibri" w:hAnsi="Calibri"/>
                        <w:b/>
                        <w:sz w:val="20"/>
                      </w:rPr>
                    </w:pPr>
                    <w:r>
                      <w:rPr>
                        <w:b/>
                        <w:sz w:val="20"/>
                      </w:rPr>
                      <w:t>Concentración</w:t>
                    </w:r>
                    <w:r>
                      <w:rPr>
                        <w:b/>
                        <w:spacing w:val="-8"/>
                        <w:sz w:val="20"/>
                      </w:rPr>
                      <w:t> </w:t>
                    </w:r>
                    <w:r>
                      <w:rPr>
                        <w:rFonts w:ascii="Symbol" w:hAnsi="Symbol"/>
                        <w:b/>
                        <w:sz w:val="20"/>
                      </w:rPr>
                      <w:t></w:t>
                    </w:r>
                    <w:r>
                      <w:rPr>
                        <w:rFonts w:ascii="Calibri" w:hAnsi="Calibri"/>
                        <w:b/>
                        <w:sz w:val="20"/>
                      </w:rPr>
                      <w:t>g/L)</w:t>
                    </w:r>
                  </w:p>
                </w:txbxContent>
              </v:textbox>
              <w10:wrap type="none"/>
            </v:shape>
            <w10:wrap type="none"/>
          </v:group>
        </w:pict>
      </w:r>
      <w:r>
        <w:rPr/>
        <w:pict>
          <v:shape style="position:absolute;margin-left:135.050003pt;margin-top:59.523102pt;width:25.8pt;height:90.7pt;mso-position-horizontal-relative:page;mso-position-vertical-relative:paragraph;z-index:2896" type="#_x0000_t202" filled="false" stroked="false">
            <v:textbox inset="0,0,0,0" style="layout-flow:vertical;mso-layout-flow-alt:bottom-to-top">
              <w:txbxContent>
                <w:p>
                  <w:pPr>
                    <w:spacing w:line="223" w:lineRule="exact" w:before="0"/>
                    <w:ind w:left="478" w:right="-835" w:firstLine="0"/>
                    <w:jc w:val="left"/>
                    <w:rPr>
                      <w:rFonts w:ascii="Calibri"/>
                      <w:b/>
                      <w:sz w:val="20"/>
                    </w:rPr>
                  </w:pPr>
                  <w:r>
                    <w:rPr>
                      <w:rFonts w:ascii="Calibri"/>
                      <w:b/>
                      <w:w w:val="99"/>
                      <w:sz w:val="20"/>
                    </w:rPr>
                    <w:t>Respuesta</w:t>
                  </w:r>
                </w:p>
                <w:p>
                  <w:pPr>
                    <w:spacing w:before="0"/>
                    <w:ind w:left="20" w:right="-479" w:firstLine="0"/>
                    <w:jc w:val="left"/>
                    <w:rPr>
                      <w:rFonts w:ascii="Calibri" w:hAnsi="Calibri"/>
                      <w:b/>
                      <w:sz w:val="20"/>
                    </w:rPr>
                  </w:pPr>
                  <w:r>
                    <w:rPr>
                      <w:rFonts w:ascii="Calibri" w:hAnsi="Calibri"/>
                      <w:b/>
                      <w:w w:val="99"/>
                      <w:sz w:val="20"/>
                    </w:rPr>
                    <w:t>(Re</w:t>
                  </w:r>
                  <w:r>
                    <w:rPr>
                      <w:rFonts w:ascii="Calibri" w:hAnsi="Calibri"/>
                      <w:b/>
                      <w:spacing w:val="-1"/>
                      <w:w w:val="99"/>
                      <w:sz w:val="20"/>
                    </w:rPr>
                    <w:t>l</w:t>
                  </w:r>
                  <w:r>
                    <w:rPr>
                      <w:rFonts w:ascii="Calibri" w:hAnsi="Calibri"/>
                      <w:b/>
                      <w:w w:val="99"/>
                      <w:sz w:val="20"/>
                    </w:rPr>
                    <w:t>ac</w:t>
                  </w:r>
                  <w:r>
                    <w:rPr>
                      <w:rFonts w:ascii="Calibri" w:hAnsi="Calibri"/>
                      <w:b/>
                      <w:spacing w:val="-1"/>
                      <w:w w:val="99"/>
                      <w:sz w:val="20"/>
                    </w:rPr>
                    <w:t>i</w:t>
                  </w:r>
                  <w:r>
                    <w:rPr>
                      <w:rFonts w:ascii="Calibri" w:hAnsi="Calibri"/>
                      <w:b/>
                      <w:w w:val="99"/>
                      <w:sz w:val="20"/>
                    </w:rPr>
                    <w:t>ón</w:t>
                  </w:r>
                  <w:r>
                    <w:rPr>
                      <w:rFonts w:ascii="Calibri" w:hAnsi="Calibri"/>
                      <w:b/>
                      <w:spacing w:val="-2"/>
                      <w:sz w:val="20"/>
                    </w:rPr>
                    <w:t> </w:t>
                  </w:r>
                  <w:r>
                    <w:rPr>
                      <w:rFonts w:ascii="Calibri" w:hAnsi="Calibri"/>
                      <w:b/>
                      <w:spacing w:val="-1"/>
                      <w:w w:val="99"/>
                      <w:sz w:val="20"/>
                    </w:rPr>
                    <w:t>CPSv</w:t>
                  </w:r>
                  <w:r>
                    <w:rPr>
                      <w:rFonts w:ascii="Calibri" w:hAnsi="Calibri"/>
                      <w:b/>
                      <w:w w:val="99"/>
                      <w:sz w:val="20"/>
                    </w:rPr>
                    <w:t>/</w:t>
                  </w:r>
                  <w:r>
                    <w:rPr>
                      <w:rFonts w:ascii="Calibri" w:hAnsi="Calibri"/>
                      <w:b/>
                      <w:spacing w:val="-1"/>
                      <w:w w:val="99"/>
                      <w:sz w:val="20"/>
                    </w:rPr>
                    <w:t>CP</w:t>
                  </w:r>
                  <w:r>
                    <w:rPr>
                      <w:rFonts w:ascii="Calibri" w:hAnsi="Calibri"/>
                      <w:b/>
                      <w:w w:val="99"/>
                      <w:sz w:val="20"/>
                    </w:rPr>
                    <w:t>S</w:t>
                  </w:r>
                  <w:r>
                    <w:rPr>
                      <w:rFonts w:ascii="Calibri" w:hAnsi="Calibri"/>
                      <w:b/>
                      <w:w w:val="103"/>
                      <w:position w:val="-4"/>
                      <w:sz w:val="13"/>
                    </w:rPr>
                    <w:t>I</w:t>
                  </w:r>
                  <w:r>
                    <w:rPr>
                      <w:rFonts w:ascii="Calibri" w:hAnsi="Calibri"/>
                      <w:b/>
                      <w:spacing w:val="-1"/>
                      <w:w w:val="103"/>
                      <w:position w:val="-4"/>
                      <w:sz w:val="13"/>
                    </w:rPr>
                    <w:t>n</w:t>
                  </w:r>
                  <w:r>
                    <w:rPr>
                      <w:rFonts w:ascii="Calibri" w:hAnsi="Calibri"/>
                      <w:b/>
                      <w:w w:val="99"/>
                      <w:sz w:val="20"/>
                    </w:rPr>
                    <w:t>)</w:t>
                  </w:r>
                </w:p>
              </w:txbxContent>
            </v:textbox>
            <w10:wrap type="none"/>
          </v:shape>
        </w:pict>
      </w:r>
      <w:r>
        <w:rPr/>
        <w:t>Figura C.III.1. Resultados de la Linealidad de la respuesta para V</w:t>
      </w: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11"/>
        <w:rPr>
          <w:b/>
          <w:sz w:val="22"/>
        </w:rPr>
      </w:pPr>
    </w:p>
    <w:tbl>
      <w:tblPr>
        <w:tblW w:w="0" w:type="auto"/>
        <w:jc w:val="left"/>
        <w:tblInd w:w="1527"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140"/>
        <w:gridCol w:w="3592"/>
      </w:tblGrid>
      <w:tr>
        <w:trPr>
          <w:trHeight w:val="338" w:hRule="exact"/>
        </w:trPr>
        <w:tc>
          <w:tcPr>
            <w:tcW w:w="2140" w:type="dxa"/>
            <w:tcBorders>
              <w:bottom w:val="double" w:sz="4" w:space="0" w:color="000000"/>
            </w:tcBorders>
          </w:tcPr>
          <w:p>
            <w:pPr>
              <w:pStyle w:val="TableParagraph"/>
              <w:spacing w:line="264" w:lineRule="exact"/>
              <w:ind w:left="792"/>
              <w:jc w:val="left"/>
              <w:rPr>
                <w:rFonts w:ascii="Calibri" w:hAnsi="Calibri"/>
                <w:b/>
                <w:i/>
                <w:sz w:val="26"/>
              </w:rPr>
            </w:pPr>
            <w:r>
              <w:rPr>
                <w:rFonts w:ascii="Calibri" w:hAnsi="Calibri"/>
                <w:b/>
                <w:i/>
                <w:sz w:val="26"/>
              </w:rPr>
              <w:t>Regresión</w:t>
            </w:r>
          </w:p>
        </w:tc>
        <w:tc>
          <w:tcPr>
            <w:tcW w:w="3592" w:type="dxa"/>
            <w:tcBorders>
              <w:bottom w:val="double" w:sz="4" w:space="0" w:color="000000"/>
            </w:tcBorders>
          </w:tcPr>
          <w:p>
            <w:pPr/>
          </w:p>
        </w:tc>
      </w:tr>
      <w:tr>
        <w:trPr>
          <w:trHeight w:val="299" w:hRule="exact"/>
        </w:trPr>
        <w:tc>
          <w:tcPr>
            <w:tcW w:w="2140" w:type="dxa"/>
            <w:tcBorders>
              <w:top w:val="double" w:sz="4" w:space="0" w:color="000000"/>
            </w:tcBorders>
          </w:tcPr>
          <w:p>
            <w:pPr>
              <w:pStyle w:val="TableParagraph"/>
              <w:spacing w:line="272" w:lineRule="exact"/>
              <w:ind w:left="84"/>
              <w:jc w:val="left"/>
              <w:rPr>
                <w:sz w:val="24"/>
              </w:rPr>
            </w:pPr>
            <w:r>
              <w:rPr>
                <w:sz w:val="24"/>
              </w:rPr>
              <w:t>Constante</w:t>
            </w:r>
          </w:p>
        </w:tc>
        <w:tc>
          <w:tcPr>
            <w:tcW w:w="3592" w:type="dxa"/>
            <w:tcBorders>
              <w:top w:val="double" w:sz="4" w:space="0" w:color="000000"/>
            </w:tcBorders>
          </w:tcPr>
          <w:p>
            <w:pPr>
              <w:pStyle w:val="TableParagraph"/>
              <w:spacing w:line="272" w:lineRule="exact"/>
              <w:ind w:left="452"/>
              <w:jc w:val="left"/>
              <w:rPr>
                <w:sz w:val="24"/>
              </w:rPr>
            </w:pPr>
            <w:r>
              <w:rPr>
                <w:sz w:val="24"/>
              </w:rPr>
              <w:t>0.0103</w:t>
            </w:r>
          </w:p>
        </w:tc>
      </w:tr>
      <w:tr>
        <w:trPr>
          <w:trHeight w:val="276" w:hRule="exact"/>
        </w:trPr>
        <w:tc>
          <w:tcPr>
            <w:tcW w:w="2140" w:type="dxa"/>
          </w:tcPr>
          <w:p>
            <w:pPr>
              <w:pStyle w:val="TableParagraph"/>
              <w:spacing w:line="263" w:lineRule="exact"/>
              <w:ind w:left="84"/>
              <w:jc w:val="left"/>
              <w:rPr>
                <w:sz w:val="24"/>
              </w:rPr>
            </w:pPr>
            <w:r>
              <w:rPr>
                <w:sz w:val="24"/>
              </w:rPr>
              <w:t>Coeficiente X</w:t>
            </w:r>
          </w:p>
        </w:tc>
        <w:tc>
          <w:tcPr>
            <w:tcW w:w="3592" w:type="dxa"/>
          </w:tcPr>
          <w:p>
            <w:pPr>
              <w:pStyle w:val="TableParagraph"/>
              <w:spacing w:line="263" w:lineRule="exact"/>
              <w:ind w:left="452"/>
              <w:jc w:val="left"/>
              <w:rPr>
                <w:sz w:val="24"/>
              </w:rPr>
            </w:pPr>
            <w:r>
              <w:rPr>
                <w:sz w:val="24"/>
              </w:rPr>
              <w:t>0.0046</w:t>
            </w:r>
          </w:p>
        </w:tc>
      </w:tr>
      <w:tr>
        <w:trPr>
          <w:trHeight w:val="276" w:hRule="exact"/>
        </w:trPr>
        <w:tc>
          <w:tcPr>
            <w:tcW w:w="2140" w:type="dxa"/>
          </w:tcPr>
          <w:p>
            <w:pPr>
              <w:pStyle w:val="TableParagraph"/>
              <w:spacing w:line="264" w:lineRule="exact"/>
              <w:ind w:left="84"/>
              <w:jc w:val="left"/>
              <w:rPr>
                <w:sz w:val="24"/>
              </w:rPr>
            </w:pPr>
            <w:r>
              <w:rPr>
                <w:sz w:val="24"/>
              </w:rPr>
              <w:t>r cuadrada</w:t>
            </w:r>
          </w:p>
        </w:tc>
        <w:tc>
          <w:tcPr>
            <w:tcW w:w="3592" w:type="dxa"/>
          </w:tcPr>
          <w:p>
            <w:pPr>
              <w:pStyle w:val="TableParagraph"/>
              <w:spacing w:line="264" w:lineRule="exact"/>
              <w:ind w:left="452"/>
              <w:jc w:val="left"/>
              <w:rPr>
                <w:sz w:val="24"/>
              </w:rPr>
            </w:pPr>
            <w:r>
              <w:rPr>
                <w:sz w:val="24"/>
              </w:rPr>
              <w:t>1.00</w:t>
            </w:r>
          </w:p>
        </w:tc>
      </w:tr>
      <w:tr>
        <w:trPr>
          <w:trHeight w:val="395" w:hRule="exact"/>
        </w:trPr>
        <w:tc>
          <w:tcPr>
            <w:tcW w:w="2140" w:type="dxa"/>
            <w:tcBorders>
              <w:bottom w:val="single" w:sz="4" w:space="0" w:color="000000"/>
            </w:tcBorders>
          </w:tcPr>
          <w:p>
            <w:pPr>
              <w:pStyle w:val="TableParagraph"/>
              <w:spacing w:line="263" w:lineRule="exact"/>
              <w:ind w:left="84"/>
              <w:jc w:val="left"/>
              <w:rPr>
                <w:sz w:val="24"/>
              </w:rPr>
            </w:pPr>
            <w:r>
              <w:rPr>
                <w:sz w:val="24"/>
              </w:rPr>
              <w:t>Observaciones</w:t>
            </w:r>
          </w:p>
        </w:tc>
        <w:tc>
          <w:tcPr>
            <w:tcW w:w="3592" w:type="dxa"/>
            <w:tcBorders>
              <w:bottom w:val="single" w:sz="4" w:space="0" w:color="000000"/>
            </w:tcBorders>
          </w:tcPr>
          <w:p>
            <w:pPr>
              <w:pStyle w:val="TableParagraph"/>
              <w:spacing w:line="263" w:lineRule="exact"/>
              <w:ind w:left="452"/>
              <w:jc w:val="left"/>
              <w:rPr>
                <w:sz w:val="24"/>
              </w:rPr>
            </w:pPr>
            <w:r>
              <w:rPr>
                <w:w w:val="99"/>
                <w:sz w:val="24"/>
              </w:rPr>
              <w:t>8</w:t>
            </w:r>
          </w:p>
        </w:tc>
      </w:tr>
    </w:tbl>
    <w:p>
      <w:pPr>
        <w:spacing w:after="0" w:line="263" w:lineRule="exact"/>
        <w:jc w:val="left"/>
        <w:rPr>
          <w:sz w:val="24"/>
        </w:rPr>
        <w:sectPr>
          <w:pgSz w:w="12240" w:h="15840"/>
          <w:pgMar w:header="0" w:footer="919" w:top="1360" w:bottom="1100" w:left="1720" w:right="1580"/>
        </w:sectPr>
      </w:pPr>
    </w:p>
    <w:p>
      <w:pPr>
        <w:spacing w:before="56" w:after="44"/>
        <w:ind w:left="690" w:right="117" w:firstLine="0"/>
        <w:jc w:val="left"/>
        <w:rPr>
          <w:b/>
          <w:sz w:val="24"/>
        </w:rPr>
      </w:pPr>
      <w:r>
        <w:rPr/>
        <w:pict>
          <v:group style="position:absolute;margin-left:179.324997pt;margin-top:563.945007pt;width:253.5pt;height:1.45pt;mso-position-horizontal-relative:page;mso-position-vertical-relative:page;z-index:-254464" coordorigin="3586,11279" coordsize="5070,29">
            <v:line style="position:absolute" from="3601,11293" to="5992,11293" stroked="true" strokeweight="1.44pt" strokecolor="#000000"/>
            <v:line style="position:absolute" from="5992,11293" to="6095,11293" stroked="true" strokeweight="1.44pt" strokecolor="#000000"/>
            <v:line style="position:absolute" from="6095,11293" to="8642,11293" stroked="true" strokeweight="1.44pt" strokecolor="#000000"/>
            <w10:wrap type="none"/>
          </v:group>
        </w:pict>
      </w:r>
      <w:r>
        <w:rPr>
          <w:b/>
          <w:sz w:val="24"/>
        </w:rPr>
        <w:t>Tabla C.III.2. Resultados de la Linealidad de la respuesta para Co</w:t>
      </w:r>
    </w:p>
    <w:tbl>
      <w:tblPr>
        <w:tblW w:w="0" w:type="auto"/>
        <w:jc w:val="left"/>
        <w:tblInd w:w="639"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CellMar>
          <w:top w:w="0" w:type="dxa"/>
          <w:left w:w="0" w:type="dxa"/>
          <w:bottom w:w="0" w:type="dxa"/>
          <w:right w:w="0" w:type="dxa"/>
        </w:tblCellMar>
        <w:tblLook w:val="01E0"/>
      </w:tblPr>
      <w:tblGrid>
        <w:gridCol w:w="2461"/>
        <w:gridCol w:w="2196"/>
        <w:gridCol w:w="2837"/>
      </w:tblGrid>
      <w:tr>
        <w:trPr>
          <w:trHeight w:val="582" w:hRule="exact"/>
        </w:trPr>
        <w:tc>
          <w:tcPr>
            <w:tcW w:w="2461" w:type="dxa"/>
            <w:shd w:val="clear" w:color="auto" w:fill="D9D9D9"/>
          </w:tcPr>
          <w:p>
            <w:pPr>
              <w:pStyle w:val="TableParagraph"/>
              <w:ind w:left="734" w:right="217" w:hanging="500"/>
              <w:jc w:val="left"/>
              <w:rPr>
                <w:b/>
                <w:sz w:val="24"/>
              </w:rPr>
            </w:pPr>
            <w:r>
              <w:rPr>
                <w:b/>
                <w:sz w:val="24"/>
              </w:rPr>
              <w:t>% Concentración Objetivo</w:t>
            </w:r>
          </w:p>
        </w:tc>
        <w:tc>
          <w:tcPr>
            <w:tcW w:w="2196" w:type="dxa"/>
            <w:shd w:val="clear" w:color="auto" w:fill="D9D9D9"/>
          </w:tcPr>
          <w:p>
            <w:pPr>
              <w:pStyle w:val="TableParagraph"/>
              <w:ind w:left="753" w:right="226" w:hanging="512"/>
              <w:jc w:val="left"/>
              <w:rPr>
                <w:b/>
                <w:sz w:val="24"/>
              </w:rPr>
            </w:pPr>
            <w:r>
              <w:rPr>
                <w:b/>
                <w:sz w:val="24"/>
              </w:rPr>
              <w:t>Concentración (µg/L)</w:t>
            </w:r>
          </w:p>
        </w:tc>
        <w:tc>
          <w:tcPr>
            <w:tcW w:w="2837" w:type="dxa"/>
            <w:shd w:val="clear" w:color="auto" w:fill="D9D9D9"/>
          </w:tcPr>
          <w:p>
            <w:pPr>
              <w:pStyle w:val="TableParagraph"/>
              <w:ind w:left="84" w:right="68" w:firstLine="710"/>
              <w:jc w:val="left"/>
              <w:rPr>
                <w:b/>
                <w:sz w:val="24"/>
              </w:rPr>
            </w:pPr>
            <w:r>
              <w:rPr>
                <w:b/>
                <w:sz w:val="24"/>
              </w:rPr>
              <w:t>Respuesta (Relación CPS</w:t>
            </w:r>
            <w:r>
              <w:rPr>
                <w:b/>
                <w:position w:val="-2"/>
                <w:sz w:val="16"/>
              </w:rPr>
              <w:t>Co</w:t>
            </w:r>
            <w:r>
              <w:rPr>
                <w:b/>
                <w:sz w:val="24"/>
              </w:rPr>
              <w:t>/CPS</w:t>
            </w:r>
            <w:r>
              <w:rPr>
                <w:b/>
                <w:position w:val="-2"/>
                <w:sz w:val="16"/>
              </w:rPr>
              <w:t>In</w:t>
            </w:r>
            <w:r>
              <w:rPr>
                <w:b/>
                <w:sz w:val="24"/>
              </w:rPr>
              <w:t>)</w:t>
            </w:r>
          </w:p>
        </w:tc>
      </w:tr>
      <w:tr>
        <w:trPr>
          <w:trHeight w:val="420" w:hRule="exact"/>
        </w:trPr>
        <w:tc>
          <w:tcPr>
            <w:tcW w:w="2461" w:type="dxa"/>
            <w:tcBorders>
              <w:bottom w:val="single" w:sz="8" w:space="0" w:color="000000"/>
            </w:tcBorders>
          </w:tcPr>
          <w:p>
            <w:pPr>
              <w:pStyle w:val="TableParagraph"/>
              <w:spacing w:before="55"/>
              <w:ind w:left="1061" w:right="217"/>
              <w:jc w:val="left"/>
              <w:rPr>
                <w:sz w:val="24"/>
              </w:rPr>
            </w:pPr>
            <w:r>
              <w:rPr>
                <w:sz w:val="24"/>
              </w:rPr>
              <w:t>LD</w:t>
            </w:r>
          </w:p>
        </w:tc>
        <w:tc>
          <w:tcPr>
            <w:tcW w:w="2196" w:type="dxa"/>
            <w:tcBorders>
              <w:bottom w:val="single" w:sz="8" w:space="0" w:color="000000"/>
            </w:tcBorders>
          </w:tcPr>
          <w:p>
            <w:pPr>
              <w:pStyle w:val="TableParagraph"/>
              <w:spacing w:before="55"/>
              <w:ind w:left="630" w:right="630"/>
              <w:rPr>
                <w:sz w:val="24"/>
              </w:rPr>
            </w:pPr>
            <w:r>
              <w:rPr>
                <w:sz w:val="24"/>
              </w:rPr>
              <w:t>1.2500</w:t>
            </w:r>
          </w:p>
        </w:tc>
        <w:tc>
          <w:tcPr>
            <w:tcW w:w="2837" w:type="dxa"/>
            <w:tcBorders>
              <w:bottom w:val="single" w:sz="8" w:space="0" w:color="000000"/>
            </w:tcBorders>
          </w:tcPr>
          <w:p>
            <w:pPr>
              <w:pStyle w:val="TableParagraph"/>
              <w:spacing w:before="55"/>
              <w:ind w:left="949" w:right="951"/>
              <w:rPr>
                <w:sz w:val="24"/>
              </w:rPr>
            </w:pPr>
            <w:r>
              <w:rPr>
                <w:sz w:val="24"/>
              </w:rPr>
              <w:t>0.01561</w:t>
            </w:r>
          </w:p>
        </w:tc>
      </w:tr>
      <w:tr>
        <w:trPr>
          <w:trHeight w:val="418" w:hRule="exact"/>
        </w:trPr>
        <w:tc>
          <w:tcPr>
            <w:tcW w:w="2461" w:type="dxa"/>
            <w:tcBorders>
              <w:top w:val="single" w:sz="8" w:space="0" w:color="000000"/>
              <w:bottom w:val="single" w:sz="8" w:space="0" w:color="000000"/>
            </w:tcBorders>
          </w:tcPr>
          <w:p>
            <w:pPr>
              <w:pStyle w:val="TableParagraph"/>
              <w:spacing w:before="58"/>
              <w:ind w:left="1061" w:right="217"/>
              <w:jc w:val="left"/>
              <w:rPr>
                <w:sz w:val="24"/>
              </w:rPr>
            </w:pPr>
            <w:r>
              <w:rPr>
                <w:sz w:val="24"/>
              </w:rPr>
              <w:t>LC</w:t>
            </w:r>
          </w:p>
        </w:tc>
        <w:tc>
          <w:tcPr>
            <w:tcW w:w="2196" w:type="dxa"/>
            <w:tcBorders>
              <w:top w:val="single" w:sz="8" w:space="0" w:color="000000"/>
              <w:bottom w:val="single" w:sz="8" w:space="0" w:color="000000"/>
            </w:tcBorders>
          </w:tcPr>
          <w:p>
            <w:pPr>
              <w:pStyle w:val="TableParagraph"/>
              <w:spacing w:before="58"/>
              <w:ind w:left="630" w:right="630"/>
              <w:rPr>
                <w:sz w:val="24"/>
              </w:rPr>
            </w:pPr>
            <w:r>
              <w:rPr>
                <w:sz w:val="24"/>
              </w:rPr>
              <w:t>2.5000</w:t>
            </w:r>
          </w:p>
        </w:tc>
        <w:tc>
          <w:tcPr>
            <w:tcW w:w="2837" w:type="dxa"/>
            <w:tcBorders>
              <w:top w:val="single" w:sz="8" w:space="0" w:color="000000"/>
              <w:bottom w:val="single" w:sz="8" w:space="0" w:color="000000"/>
            </w:tcBorders>
          </w:tcPr>
          <w:p>
            <w:pPr>
              <w:pStyle w:val="TableParagraph"/>
              <w:spacing w:before="58"/>
              <w:ind w:left="949" w:right="951"/>
              <w:rPr>
                <w:sz w:val="24"/>
              </w:rPr>
            </w:pPr>
            <w:r>
              <w:rPr>
                <w:sz w:val="24"/>
              </w:rPr>
              <w:t>0.02292</w:t>
            </w:r>
          </w:p>
        </w:tc>
      </w:tr>
      <w:tr>
        <w:trPr>
          <w:trHeight w:val="418" w:hRule="exact"/>
        </w:trPr>
        <w:tc>
          <w:tcPr>
            <w:tcW w:w="2461" w:type="dxa"/>
            <w:tcBorders>
              <w:top w:val="single" w:sz="8" w:space="0" w:color="000000"/>
              <w:bottom w:val="single" w:sz="8" w:space="0" w:color="000000"/>
            </w:tcBorders>
          </w:tcPr>
          <w:p>
            <w:pPr>
              <w:pStyle w:val="TableParagraph"/>
              <w:spacing w:before="58"/>
              <w:ind w:left="1082" w:right="217"/>
              <w:jc w:val="left"/>
              <w:rPr>
                <w:sz w:val="24"/>
              </w:rPr>
            </w:pPr>
            <w:r>
              <w:rPr>
                <w:sz w:val="24"/>
              </w:rPr>
              <w:t>50</w:t>
            </w:r>
          </w:p>
        </w:tc>
        <w:tc>
          <w:tcPr>
            <w:tcW w:w="2196" w:type="dxa"/>
            <w:tcBorders>
              <w:top w:val="single" w:sz="8" w:space="0" w:color="000000"/>
              <w:bottom w:val="single" w:sz="8" w:space="0" w:color="000000"/>
            </w:tcBorders>
          </w:tcPr>
          <w:p>
            <w:pPr>
              <w:pStyle w:val="TableParagraph"/>
              <w:spacing w:before="58"/>
              <w:ind w:left="630" w:right="630"/>
              <w:rPr>
                <w:sz w:val="24"/>
              </w:rPr>
            </w:pPr>
            <w:r>
              <w:rPr>
                <w:sz w:val="24"/>
              </w:rPr>
              <w:t>5.0000</w:t>
            </w:r>
          </w:p>
        </w:tc>
        <w:tc>
          <w:tcPr>
            <w:tcW w:w="2837" w:type="dxa"/>
            <w:tcBorders>
              <w:top w:val="single" w:sz="8" w:space="0" w:color="000000"/>
              <w:bottom w:val="single" w:sz="8" w:space="0" w:color="000000"/>
            </w:tcBorders>
          </w:tcPr>
          <w:p>
            <w:pPr>
              <w:pStyle w:val="TableParagraph"/>
              <w:spacing w:before="58"/>
              <w:ind w:left="949" w:right="951"/>
              <w:rPr>
                <w:sz w:val="24"/>
              </w:rPr>
            </w:pPr>
            <w:r>
              <w:rPr>
                <w:sz w:val="24"/>
              </w:rPr>
              <w:t>0.03378</w:t>
            </w:r>
          </w:p>
        </w:tc>
      </w:tr>
      <w:tr>
        <w:trPr>
          <w:trHeight w:val="418" w:hRule="exact"/>
        </w:trPr>
        <w:tc>
          <w:tcPr>
            <w:tcW w:w="2461" w:type="dxa"/>
            <w:tcBorders>
              <w:top w:val="single" w:sz="8" w:space="0" w:color="000000"/>
              <w:bottom w:val="single" w:sz="8" w:space="0" w:color="000000"/>
            </w:tcBorders>
          </w:tcPr>
          <w:p>
            <w:pPr>
              <w:pStyle w:val="TableParagraph"/>
              <w:spacing w:before="58"/>
              <w:ind w:left="1082" w:right="217"/>
              <w:jc w:val="left"/>
              <w:rPr>
                <w:sz w:val="24"/>
              </w:rPr>
            </w:pPr>
            <w:r>
              <w:rPr>
                <w:sz w:val="24"/>
              </w:rPr>
              <w:t>75</w:t>
            </w:r>
          </w:p>
        </w:tc>
        <w:tc>
          <w:tcPr>
            <w:tcW w:w="2196" w:type="dxa"/>
            <w:tcBorders>
              <w:top w:val="single" w:sz="8" w:space="0" w:color="000000"/>
              <w:bottom w:val="single" w:sz="8" w:space="0" w:color="000000"/>
            </w:tcBorders>
          </w:tcPr>
          <w:p>
            <w:pPr>
              <w:pStyle w:val="TableParagraph"/>
              <w:spacing w:before="58"/>
              <w:ind w:left="630" w:right="630"/>
              <w:rPr>
                <w:sz w:val="24"/>
              </w:rPr>
            </w:pPr>
            <w:r>
              <w:rPr>
                <w:sz w:val="24"/>
              </w:rPr>
              <w:t>7.5000</w:t>
            </w:r>
          </w:p>
        </w:tc>
        <w:tc>
          <w:tcPr>
            <w:tcW w:w="2837" w:type="dxa"/>
            <w:tcBorders>
              <w:top w:val="single" w:sz="8" w:space="0" w:color="000000"/>
              <w:bottom w:val="single" w:sz="8" w:space="0" w:color="000000"/>
            </w:tcBorders>
          </w:tcPr>
          <w:p>
            <w:pPr>
              <w:pStyle w:val="TableParagraph"/>
              <w:spacing w:before="58"/>
              <w:ind w:left="949" w:right="951"/>
              <w:rPr>
                <w:sz w:val="24"/>
              </w:rPr>
            </w:pPr>
            <w:r>
              <w:rPr>
                <w:sz w:val="24"/>
              </w:rPr>
              <w:t>0.04415</w:t>
            </w:r>
          </w:p>
        </w:tc>
      </w:tr>
      <w:tr>
        <w:trPr>
          <w:trHeight w:val="415" w:hRule="exact"/>
        </w:trPr>
        <w:tc>
          <w:tcPr>
            <w:tcW w:w="2461" w:type="dxa"/>
            <w:tcBorders>
              <w:top w:val="single" w:sz="8" w:space="0" w:color="000000"/>
              <w:bottom w:val="single" w:sz="8" w:space="0" w:color="000000"/>
            </w:tcBorders>
          </w:tcPr>
          <w:p>
            <w:pPr>
              <w:pStyle w:val="TableParagraph"/>
              <w:spacing w:before="55"/>
              <w:ind w:left="1015" w:right="217"/>
              <w:jc w:val="left"/>
              <w:rPr>
                <w:sz w:val="24"/>
              </w:rPr>
            </w:pPr>
            <w:r>
              <w:rPr>
                <w:sz w:val="24"/>
              </w:rPr>
              <w:t>100</w:t>
            </w:r>
          </w:p>
        </w:tc>
        <w:tc>
          <w:tcPr>
            <w:tcW w:w="2196" w:type="dxa"/>
            <w:tcBorders>
              <w:top w:val="single" w:sz="8" w:space="0" w:color="000000"/>
              <w:bottom w:val="single" w:sz="8" w:space="0" w:color="000000"/>
            </w:tcBorders>
          </w:tcPr>
          <w:p>
            <w:pPr>
              <w:pStyle w:val="TableParagraph"/>
              <w:spacing w:before="55"/>
              <w:ind w:left="630" w:right="630"/>
              <w:rPr>
                <w:sz w:val="24"/>
              </w:rPr>
            </w:pPr>
            <w:r>
              <w:rPr>
                <w:sz w:val="24"/>
              </w:rPr>
              <w:t>10.0000</w:t>
            </w:r>
          </w:p>
        </w:tc>
        <w:tc>
          <w:tcPr>
            <w:tcW w:w="2837" w:type="dxa"/>
            <w:tcBorders>
              <w:top w:val="single" w:sz="8" w:space="0" w:color="000000"/>
              <w:bottom w:val="single" w:sz="8" w:space="0" w:color="000000"/>
            </w:tcBorders>
          </w:tcPr>
          <w:p>
            <w:pPr>
              <w:pStyle w:val="TableParagraph"/>
              <w:spacing w:before="55"/>
              <w:ind w:left="949" w:right="951"/>
              <w:rPr>
                <w:sz w:val="24"/>
              </w:rPr>
            </w:pPr>
            <w:r>
              <w:rPr>
                <w:sz w:val="24"/>
              </w:rPr>
              <w:t>0.05627</w:t>
            </w:r>
          </w:p>
        </w:tc>
      </w:tr>
      <w:tr>
        <w:trPr>
          <w:trHeight w:val="418" w:hRule="exact"/>
        </w:trPr>
        <w:tc>
          <w:tcPr>
            <w:tcW w:w="2461" w:type="dxa"/>
            <w:tcBorders>
              <w:top w:val="single" w:sz="8" w:space="0" w:color="000000"/>
              <w:bottom w:val="single" w:sz="8" w:space="0" w:color="000000"/>
            </w:tcBorders>
          </w:tcPr>
          <w:p>
            <w:pPr>
              <w:pStyle w:val="TableParagraph"/>
              <w:spacing w:before="58"/>
              <w:ind w:left="1015" w:right="217"/>
              <w:jc w:val="left"/>
              <w:rPr>
                <w:sz w:val="24"/>
              </w:rPr>
            </w:pPr>
            <w:r>
              <w:rPr>
                <w:sz w:val="24"/>
              </w:rPr>
              <w:t>125</w:t>
            </w:r>
          </w:p>
        </w:tc>
        <w:tc>
          <w:tcPr>
            <w:tcW w:w="2196" w:type="dxa"/>
            <w:tcBorders>
              <w:top w:val="single" w:sz="8" w:space="0" w:color="000000"/>
              <w:bottom w:val="single" w:sz="8" w:space="0" w:color="000000"/>
            </w:tcBorders>
          </w:tcPr>
          <w:p>
            <w:pPr>
              <w:pStyle w:val="TableParagraph"/>
              <w:spacing w:before="58"/>
              <w:ind w:left="630" w:right="630"/>
              <w:rPr>
                <w:sz w:val="24"/>
              </w:rPr>
            </w:pPr>
            <w:r>
              <w:rPr>
                <w:sz w:val="24"/>
              </w:rPr>
              <w:t>12.5000</w:t>
            </w:r>
          </w:p>
        </w:tc>
        <w:tc>
          <w:tcPr>
            <w:tcW w:w="2837" w:type="dxa"/>
            <w:tcBorders>
              <w:top w:val="single" w:sz="8" w:space="0" w:color="000000"/>
              <w:bottom w:val="single" w:sz="8" w:space="0" w:color="000000"/>
            </w:tcBorders>
          </w:tcPr>
          <w:p>
            <w:pPr>
              <w:pStyle w:val="TableParagraph"/>
              <w:spacing w:before="58"/>
              <w:ind w:left="949" w:right="951"/>
              <w:rPr>
                <w:sz w:val="24"/>
              </w:rPr>
            </w:pPr>
            <w:r>
              <w:rPr>
                <w:sz w:val="24"/>
              </w:rPr>
              <w:t>0.06881</w:t>
            </w:r>
          </w:p>
        </w:tc>
      </w:tr>
      <w:tr>
        <w:trPr>
          <w:trHeight w:val="418" w:hRule="exact"/>
        </w:trPr>
        <w:tc>
          <w:tcPr>
            <w:tcW w:w="2461" w:type="dxa"/>
            <w:tcBorders>
              <w:top w:val="single" w:sz="8" w:space="0" w:color="000000"/>
              <w:bottom w:val="single" w:sz="8" w:space="0" w:color="000000"/>
            </w:tcBorders>
          </w:tcPr>
          <w:p>
            <w:pPr>
              <w:pStyle w:val="TableParagraph"/>
              <w:spacing w:before="58"/>
              <w:ind w:left="1015" w:right="217"/>
              <w:jc w:val="left"/>
              <w:rPr>
                <w:sz w:val="24"/>
              </w:rPr>
            </w:pPr>
            <w:r>
              <w:rPr>
                <w:sz w:val="24"/>
              </w:rPr>
              <w:t>150</w:t>
            </w:r>
          </w:p>
        </w:tc>
        <w:tc>
          <w:tcPr>
            <w:tcW w:w="2196" w:type="dxa"/>
            <w:tcBorders>
              <w:top w:val="single" w:sz="8" w:space="0" w:color="000000"/>
              <w:bottom w:val="single" w:sz="8" w:space="0" w:color="000000"/>
            </w:tcBorders>
          </w:tcPr>
          <w:p>
            <w:pPr>
              <w:pStyle w:val="TableParagraph"/>
              <w:spacing w:before="58"/>
              <w:ind w:left="630" w:right="630"/>
              <w:rPr>
                <w:sz w:val="24"/>
              </w:rPr>
            </w:pPr>
            <w:r>
              <w:rPr>
                <w:sz w:val="24"/>
              </w:rPr>
              <w:t>15.0000</w:t>
            </w:r>
          </w:p>
        </w:tc>
        <w:tc>
          <w:tcPr>
            <w:tcW w:w="2837" w:type="dxa"/>
            <w:tcBorders>
              <w:top w:val="single" w:sz="8" w:space="0" w:color="000000"/>
              <w:bottom w:val="single" w:sz="8" w:space="0" w:color="000000"/>
            </w:tcBorders>
          </w:tcPr>
          <w:p>
            <w:pPr>
              <w:pStyle w:val="TableParagraph"/>
              <w:spacing w:before="58"/>
              <w:ind w:left="949" w:right="951"/>
              <w:rPr>
                <w:sz w:val="24"/>
              </w:rPr>
            </w:pPr>
            <w:r>
              <w:rPr>
                <w:sz w:val="24"/>
              </w:rPr>
              <w:t>0.07946</w:t>
            </w:r>
          </w:p>
        </w:tc>
      </w:tr>
      <w:tr>
        <w:trPr>
          <w:trHeight w:val="420" w:hRule="exact"/>
        </w:trPr>
        <w:tc>
          <w:tcPr>
            <w:tcW w:w="2461" w:type="dxa"/>
            <w:tcBorders>
              <w:top w:val="single" w:sz="8" w:space="0" w:color="000000"/>
            </w:tcBorders>
          </w:tcPr>
          <w:p>
            <w:pPr>
              <w:pStyle w:val="TableParagraph"/>
              <w:spacing w:before="58"/>
              <w:ind w:left="1015" w:right="217"/>
              <w:jc w:val="left"/>
              <w:rPr>
                <w:sz w:val="24"/>
              </w:rPr>
            </w:pPr>
            <w:r>
              <w:rPr>
                <w:sz w:val="24"/>
              </w:rPr>
              <w:t>200</w:t>
            </w:r>
          </w:p>
        </w:tc>
        <w:tc>
          <w:tcPr>
            <w:tcW w:w="2196" w:type="dxa"/>
            <w:tcBorders>
              <w:top w:val="single" w:sz="8" w:space="0" w:color="000000"/>
            </w:tcBorders>
          </w:tcPr>
          <w:p>
            <w:pPr>
              <w:pStyle w:val="TableParagraph"/>
              <w:spacing w:before="58"/>
              <w:ind w:left="630" w:right="630"/>
              <w:rPr>
                <w:sz w:val="24"/>
              </w:rPr>
            </w:pPr>
            <w:r>
              <w:rPr>
                <w:sz w:val="24"/>
              </w:rPr>
              <w:t>20.0000</w:t>
            </w:r>
          </w:p>
        </w:tc>
        <w:tc>
          <w:tcPr>
            <w:tcW w:w="2837" w:type="dxa"/>
            <w:tcBorders>
              <w:top w:val="single" w:sz="8" w:space="0" w:color="000000"/>
            </w:tcBorders>
          </w:tcPr>
          <w:p>
            <w:pPr>
              <w:pStyle w:val="TableParagraph"/>
              <w:spacing w:before="58"/>
              <w:ind w:left="949" w:right="951"/>
              <w:rPr>
                <w:sz w:val="24"/>
              </w:rPr>
            </w:pPr>
            <w:r>
              <w:rPr>
                <w:sz w:val="24"/>
              </w:rPr>
              <w:t>0.10325</w:t>
            </w:r>
          </w:p>
        </w:tc>
      </w:tr>
    </w:tbl>
    <w:p>
      <w:pPr>
        <w:spacing w:before="2"/>
        <w:ind w:left="3359" w:right="117" w:firstLine="0"/>
        <w:jc w:val="left"/>
        <w:rPr>
          <w:sz w:val="20"/>
        </w:rPr>
      </w:pPr>
      <w:r>
        <w:rPr>
          <w:sz w:val="20"/>
        </w:rPr>
        <w:t>CPS: Cuentas por segundo del analito</w:t>
      </w:r>
    </w:p>
    <w:p>
      <w:pPr>
        <w:pStyle w:val="BodyText"/>
        <w:rPr>
          <w:sz w:val="20"/>
        </w:rPr>
      </w:pPr>
    </w:p>
    <w:p>
      <w:pPr>
        <w:pStyle w:val="Heading1"/>
        <w:spacing w:before="121"/>
        <w:ind w:left="999" w:right="117"/>
        <w:jc w:val="left"/>
      </w:pPr>
      <w:r>
        <w:rPr/>
        <w:pict>
          <v:group style="position:absolute;margin-left:121.125pt;margin-top:21.55085pt;width:369.25pt;height:202.05pt;mso-position-horizontal-relative:page;mso-position-vertical-relative:paragraph;z-index:3136" coordorigin="2423,431" coordsize="7385,4041">
            <v:shape style="position:absolute;left:4010;top:662;width:5242;height:2931" coordorigin="4010,662" coordsize="5242,2931" path="m4073,3528l4073,662m4010,3528l4073,3528m4010,3242l4073,3242m4010,2954l4073,2954m4010,2668l4073,2668m4010,2380l4073,2380m4010,2095l4073,2095m4010,1807l4073,1807m4010,1521l4073,1521m4010,1233l4073,1233m4010,948l4073,948m4010,662l4073,662m4073,3528l9252,3528m4073,3528l4073,3592m4937,3528l4937,3592m5801,3528l5801,3592m6662,3528l6662,3592m7526,3528l7526,3592m8388,3528l8388,3592m9252,3528l9252,3592e" filled="false" stroked="true" strokeweight=".72pt" strokecolor="#858585">
              <v:path arrowok="t"/>
            </v:shape>
            <v:shape style="position:absolute;left:4265;top:3277;width:155;height:155" type="#_x0000_t75" stroked="false">
              <v:imagedata r:id="rId71" o:title=""/>
            </v:shape>
            <v:shape style="position:absolute;left:4534;top:3120;width:155;height:155" type="#_x0000_t75" stroked="false">
              <v:imagedata r:id="rId71" o:title=""/>
            </v:shape>
            <v:shape style="position:absolute;left:5074;top:2801;width:155;height:155" type="#_x0000_t75" stroked="false">
              <v:imagedata r:id="rId71" o:title=""/>
            </v:shape>
            <v:shape style="position:absolute;left:5613;top:2471;width:155;height:155" type="#_x0000_t75" stroked="false">
              <v:imagedata r:id="rId72" o:title=""/>
            </v:shape>
            <v:shape style="position:absolute;left:6153;top:2140;width:155;height:155" type="#_x0000_t75" stroked="false">
              <v:imagedata r:id="rId72" o:title=""/>
            </v:shape>
            <v:shape style="position:absolute;left:6692;top:1797;width:155;height:155" type="#_x0000_t75" stroked="false">
              <v:imagedata r:id="rId72" o:title=""/>
            </v:shape>
            <v:shape style="position:absolute;left:7231;top:1449;width:155;height:155" type="#_x0000_t75" stroked="false">
              <v:imagedata r:id="rId74" o:title=""/>
            </v:shape>
            <v:shape style="position:absolute;left:8310;top:813;width:155;height:155" type="#_x0000_t75" stroked="false">
              <v:imagedata r:id="rId72" o:title=""/>
            </v:shape>
            <v:shape style="position:absolute;left:4344;top:885;width:4044;height:2480" coordorigin="4344,885" coordsize="4044,2480" path="m4344,3364l8388,885m4344,3364l8388,885m4344,3364l8388,885m4344,3364l8388,885m4344,3364l8388,885m4344,3364l8388,885e" filled="false" stroked="true" strokeweight=".72pt" strokecolor="#000000">
              <v:path arrowok="t"/>
            </v:shape>
            <v:rect style="position:absolute;left:2430;top:439;width:7370;height:4025" filled="false" stroked="true" strokeweight=".75pt" strokecolor="#858585"/>
            <v:shape style="position:absolute;left:3231;top:569;width:1121;height:3328" type="#_x0000_t202" filled="false" stroked="false">
              <v:textbox inset="0,0,0,0">
                <w:txbxContent>
                  <w:p>
                    <w:pPr>
                      <w:spacing w:line="203" w:lineRule="exact" w:before="0"/>
                      <w:ind w:left="0" w:right="0" w:firstLine="0"/>
                      <w:jc w:val="left"/>
                      <w:rPr>
                        <w:rFonts w:ascii="Calibri"/>
                        <w:sz w:val="20"/>
                      </w:rPr>
                    </w:pPr>
                    <w:r>
                      <w:rPr>
                        <w:rFonts w:ascii="Calibri"/>
                        <w:sz w:val="20"/>
                      </w:rPr>
                      <w:t>0.10000</w:t>
                    </w:r>
                  </w:p>
                  <w:p>
                    <w:pPr>
                      <w:spacing w:before="42"/>
                      <w:ind w:left="0" w:right="0" w:firstLine="0"/>
                      <w:jc w:val="left"/>
                      <w:rPr>
                        <w:rFonts w:ascii="Calibri"/>
                        <w:sz w:val="20"/>
                      </w:rPr>
                    </w:pPr>
                    <w:r>
                      <w:rPr>
                        <w:rFonts w:ascii="Calibri"/>
                        <w:sz w:val="20"/>
                      </w:rPr>
                      <w:t>0.09000</w:t>
                    </w:r>
                  </w:p>
                  <w:p>
                    <w:pPr>
                      <w:spacing w:before="43"/>
                      <w:ind w:left="0" w:right="0" w:firstLine="0"/>
                      <w:jc w:val="left"/>
                      <w:rPr>
                        <w:rFonts w:ascii="Calibri"/>
                        <w:sz w:val="20"/>
                      </w:rPr>
                    </w:pPr>
                    <w:r>
                      <w:rPr>
                        <w:rFonts w:ascii="Calibri"/>
                        <w:sz w:val="20"/>
                      </w:rPr>
                      <w:t>0.08000</w:t>
                    </w:r>
                  </w:p>
                  <w:p>
                    <w:pPr>
                      <w:spacing w:before="42"/>
                      <w:ind w:left="0" w:right="0" w:firstLine="0"/>
                      <w:jc w:val="left"/>
                      <w:rPr>
                        <w:rFonts w:ascii="Calibri"/>
                        <w:sz w:val="20"/>
                      </w:rPr>
                    </w:pPr>
                    <w:r>
                      <w:rPr>
                        <w:rFonts w:ascii="Calibri"/>
                        <w:sz w:val="20"/>
                      </w:rPr>
                      <w:t>0.07000</w:t>
                    </w:r>
                  </w:p>
                  <w:p>
                    <w:pPr>
                      <w:spacing w:before="43"/>
                      <w:ind w:left="0" w:right="0" w:firstLine="0"/>
                      <w:jc w:val="left"/>
                      <w:rPr>
                        <w:rFonts w:ascii="Calibri"/>
                        <w:sz w:val="20"/>
                      </w:rPr>
                    </w:pPr>
                    <w:r>
                      <w:rPr>
                        <w:rFonts w:ascii="Calibri"/>
                        <w:sz w:val="20"/>
                      </w:rPr>
                      <w:t>0.06000</w:t>
                    </w:r>
                  </w:p>
                  <w:p>
                    <w:pPr>
                      <w:spacing w:before="42"/>
                      <w:ind w:left="0" w:right="0" w:firstLine="0"/>
                      <w:jc w:val="left"/>
                      <w:rPr>
                        <w:rFonts w:ascii="Calibri"/>
                        <w:sz w:val="20"/>
                      </w:rPr>
                    </w:pPr>
                    <w:r>
                      <w:rPr>
                        <w:rFonts w:ascii="Calibri"/>
                        <w:sz w:val="20"/>
                      </w:rPr>
                      <w:t>0.05000</w:t>
                    </w:r>
                  </w:p>
                  <w:p>
                    <w:pPr>
                      <w:spacing w:before="43"/>
                      <w:ind w:left="0" w:right="0" w:firstLine="0"/>
                      <w:jc w:val="left"/>
                      <w:rPr>
                        <w:rFonts w:ascii="Calibri"/>
                        <w:sz w:val="20"/>
                      </w:rPr>
                    </w:pPr>
                    <w:r>
                      <w:rPr>
                        <w:rFonts w:ascii="Calibri"/>
                        <w:sz w:val="20"/>
                      </w:rPr>
                      <w:t>0.04000</w:t>
                    </w:r>
                  </w:p>
                  <w:p>
                    <w:pPr>
                      <w:spacing w:before="42"/>
                      <w:ind w:left="0" w:right="0" w:firstLine="0"/>
                      <w:jc w:val="left"/>
                      <w:rPr>
                        <w:rFonts w:ascii="Calibri"/>
                        <w:sz w:val="20"/>
                      </w:rPr>
                    </w:pPr>
                    <w:r>
                      <w:rPr>
                        <w:rFonts w:ascii="Calibri"/>
                        <w:sz w:val="20"/>
                      </w:rPr>
                      <w:t>0.03000</w:t>
                    </w:r>
                  </w:p>
                  <w:p>
                    <w:pPr>
                      <w:spacing w:before="43"/>
                      <w:ind w:left="0" w:right="0" w:firstLine="0"/>
                      <w:jc w:val="left"/>
                      <w:rPr>
                        <w:rFonts w:ascii="Calibri"/>
                        <w:sz w:val="20"/>
                      </w:rPr>
                    </w:pPr>
                    <w:r>
                      <w:rPr>
                        <w:rFonts w:ascii="Calibri"/>
                        <w:sz w:val="20"/>
                      </w:rPr>
                      <w:t>0.02000</w:t>
                    </w:r>
                  </w:p>
                  <w:p>
                    <w:pPr>
                      <w:spacing w:before="42"/>
                      <w:ind w:left="0" w:right="0" w:firstLine="0"/>
                      <w:jc w:val="left"/>
                      <w:rPr>
                        <w:rFonts w:ascii="Calibri"/>
                        <w:sz w:val="20"/>
                      </w:rPr>
                    </w:pPr>
                    <w:r>
                      <w:rPr>
                        <w:rFonts w:ascii="Calibri"/>
                        <w:sz w:val="20"/>
                      </w:rPr>
                      <w:t>0.01000</w:t>
                    </w:r>
                  </w:p>
                  <w:p>
                    <w:pPr>
                      <w:spacing w:before="43"/>
                      <w:ind w:left="0" w:right="0" w:firstLine="0"/>
                      <w:jc w:val="left"/>
                      <w:rPr>
                        <w:rFonts w:ascii="Calibri"/>
                        <w:sz w:val="20"/>
                      </w:rPr>
                    </w:pPr>
                    <w:r>
                      <w:rPr>
                        <w:rFonts w:ascii="Calibri"/>
                        <w:sz w:val="20"/>
                      </w:rPr>
                      <w:t>0.00000</w:t>
                    </w:r>
                  </w:p>
                  <w:p>
                    <w:pPr>
                      <w:spacing w:line="240" w:lineRule="exact" w:before="16"/>
                      <w:ind w:left="565" w:right="0" w:firstLine="0"/>
                      <w:jc w:val="left"/>
                      <w:rPr>
                        <w:rFonts w:ascii="Calibri"/>
                        <w:sz w:val="20"/>
                      </w:rPr>
                    </w:pPr>
                    <w:r>
                      <w:rPr>
                        <w:rFonts w:ascii="Calibri"/>
                        <w:w w:val="95"/>
                        <w:sz w:val="20"/>
                      </w:rPr>
                      <w:t>0.0000</w:t>
                    </w:r>
                  </w:p>
                </w:txbxContent>
              </v:textbox>
              <w10:wrap type="none"/>
            </v:shape>
            <v:shape style="position:absolute;left:8165;top:2146;width:1535;height:444" type="#_x0000_t202" filled="false" stroked="false">
              <v:textbox inset="0,0,0,0">
                <w:txbxContent>
                  <w:p>
                    <w:pPr>
                      <w:spacing w:line="203" w:lineRule="exact" w:before="0"/>
                      <w:ind w:left="0" w:right="0" w:firstLine="0"/>
                      <w:jc w:val="center"/>
                      <w:rPr>
                        <w:rFonts w:ascii="Calibri"/>
                        <w:sz w:val="20"/>
                      </w:rPr>
                    </w:pPr>
                    <w:r>
                      <w:rPr>
                        <w:rFonts w:ascii="Calibri"/>
                        <w:sz w:val="20"/>
                      </w:rPr>
                      <w:t>y = 0.0092x -</w:t>
                    </w:r>
                    <w:r>
                      <w:rPr>
                        <w:rFonts w:ascii="Calibri"/>
                        <w:spacing w:val="-11"/>
                        <w:sz w:val="20"/>
                      </w:rPr>
                      <w:t> </w:t>
                    </w:r>
                    <w:r>
                      <w:rPr>
                        <w:rFonts w:ascii="Calibri"/>
                        <w:sz w:val="20"/>
                      </w:rPr>
                      <w:t>8E-05</w:t>
                    </w:r>
                  </w:p>
                  <w:p>
                    <w:pPr>
                      <w:spacing w:line="240" w:lineRule="exact" w:before="0"/>
                      <w:ind w:left="1" w:right="0" w:firstLine="0"/>
                      <w:jc w:val="center"/>
                      <w:rPr>
                        <w:rFonts w:ascii="Calibri" w:hAnsi="Calibri"/>
                        <w:sz w:val="20"/>
                      </w:rPr>
                    </w:pPr>
                    <w:r>
                      <w:rPr>
                        <w:rFonts w:ascii="Calibri" w:hAnsi="Calibri"/>
                        <w:sz w:val="20"/>
                      </w:rPr>
                      <w:t>R² = 1.00</w:t>
                    </w:r>
                  </w:p>
                </w:txbxContent>
              </v:textbox>
              <w10:wrap type="none"/>
            </v:shape>
            <v:shape style="position:absolute;left:4660;top:3697;width:556;height:200" type="#_x0000_t202" filled="false" stroked="false">
              <v:textbox inset="0,0,0,0">
                <w:txbxContent>
                  <w:p>
                    <w:pPr>
                      <w:spacing w:line="199" w:lineRule="exact" w:before="0"/>
                      <w:ind w:left="0" w:right="0" w:firstLine="0"/>
                      <w:jc w:val="left"/>
                      <w:rPr>
                        <w:rFonts w:ascii="Calibri"/>
                        <w:sz w:val="20"/>
                      </w:rPr>
                    </w:pPr>
                    <w:r>
                      <w:rPr>
                        <w:rFonts w:ascii="Calibri"/>
                        <w:w w:val="95"/>
                        <w:sz w:val="20"/>
                      </w:rPr>
                      <w:t>2.0000</w:t>
                    </w:r>
                  </w:p>
                </w:txbxContent>
              </v:textbox>
              <w10:wrap type="none"/>
            </v:shape>
            <v:shape style="position:absolute;left:5523;top:3697;width:556;height:200" type="#_x0000_t202" filled="false" stroked="false">
              <v:textbox inset="0,0,0,0">
                <w:txbxContent>
                  <w:p>
                    <w:pPr>
                      <w:spacing w:line="199" w:lineRule="exact" w:before="0"/>
                      <w:ind w:left="0" w:right="0" w:firstLine="0"/>
                      <w:jc w:val="left"/>
                      <w:rPr>
                        <w:rFonts w:ascii="Calibri"/>
                        <w:sz w:val="20"/>
                      </w:rPr>
                    </w:pPr>
                    <w:r>
                      <w:rPr>
                        <w:rFonts w:ascii="Calibri"/>
                        <w:w w:val="95"/>
                        <w:sz w:val="20"/>
                      </w:rPr>
                      <w:t>4.0000</w:t>
                    </w:r>
                  </w:p>
                </w:txbxContent>
              </v:textbox>
              <w10:wrap type="none"/>
            </v:shape>
            <v:shape style="position:absolute;left:6386;top:3697;width:556;height:200" type="#_x0000_t202" filled="false" stroked="false">
              <v:textbox inset="0,0,0,0">
                <w:txbxContent>
                  <w:p>
                    <w:pPr>
                      <w:spacing w:line="199" w:lineRule="exact" w:before="0"/>
                      <w:ind w:left="0" w:right="0" w:firstLine="0"/>
                      <w:jc w:val="left"/>
                      <w:rPr>
                        <w:rFonts w:ascii="Calibri"/>
                        <w:sz w:val="20"/>
                      </w:rPr>
                    </w:pPr>
                    <w:r>
                      <w:rPr>
                        <w:rFonts w:ascii="Calibri"/>
                        <w:w w:val="95"/>
                        <w:sz w:val="20"/>
                      </w:rPr>
                      <w:t>6.0000</w:t>
                    </w:r>
                  </w:p>
                </w:txbxContent>
              </v:textbox>
              <w10:wrap type="none"/>
            </v:shape>
            <v:shape style="position:absolute;left:7249;top:3697;width:556;height:200" type="#_x0000_t202" filled="false" stroked="false">
              <v:textbox inset="0,0,0,0">
                <w:txbxContent>
                  <w:p>
                    <w:pPr>
                      <w:spacing w:line="199" w:lineRule="exact" w:before="0"/>
                      <w:ind w:left="0" w:right="0" w:firstLine="0"/>
                      <w:jc w:val="left"/>
                      <w:rPr>
                        <w:rFonts w:ascii="Calibri"/>
                        <w:sz w:val="20"/>
                      </w:rPr>
                    </w:pPr>
                    <w:r>
                      <w:rPr>
                        <w:rFonts w:ascii="Calibri"/>
                        <w:w w:val="95"/>
                        <w:sz w:val="20"/>
                      </w:rPr>
                      <w:t>8.0000</w:t>
                    </w:r>
                  </w:p>
                </w:txbxContent>
              </v:textbox>
              <w10:wrap type="none"/>
            </v:shape>
            <v:shape style="position:absolute;left:8062;top:3697;width:1519;height:200" type="#_x0000_t202" filled="false" stroked="false">
              <v:textbox inset="0,0,0,0">
                <w:txbxContent>
                  <w:p>
                    <w:pPr>
                      <w:tabs>
                        <w:tab w:pos="863" w:val="left" w:leader="none"/>
                      </w:tabs>
                      <w:spacing w:line="199" w:lineRule="exact" w:before="0"/>
                      <w:ind w:left="0" w:right="0" w:firstLine="0"/>
                      <w:jc w:val="left"/>
                      <w:rPr>
                        <w:rFonts w:ascii="Calibri"/>
                        <w:sz w:val="20"/>
                      </w:rPr>
                    </w:pPr>
                    <w:r>
                      <w:rPr>
                        <w:rFonts w:ascii="Calibri"/>
                        <w:sz w:val="20"/>
                      </w:rPr>
                      <w:t>10.0000</w:t>
                      <w:tab/>
                    </w:r>
                    <w:r>
                      <w:rPr>
                        <w:rFonts w:ascii="Calibri"/>
                        <w:spacing w:val="-1"/>
                        <w:sz w:val="20"/>
                      </w:rPr>
                      <w:t>12.0000</w:t>
                    </w:r>
                  </w:p>
                </w:txbxContent>
              </v:textbox>
              <w10:wrap type="none"/>
            </v:shape>
            <v:shape style="position:absolute;left:5690;top:3999;width:1995;height:214" type="#_x0000_t202" filled="false" stroked="false">
              <v:textbox inset="0,0,0,0">
                <w:txbxContent>
                  <w:p>
                    <w:pPr>
                      <w:spacing w:line="213" w:lineRule="exact" w:before="0"/>
                      <w:ind w:left="0" w:right="-18" w:firstLine="0"/>
                      <w:jc w:val="left"/>
                      <w:rPr>
                        <w:rFonts w:ascii="Calibri" w:hAnsi="Calibri"/>
                        <w:b/>
                        <w:sz w:val="20"/>
                      </w:rPr>
                    </w:pPr>
                    <w:r>
                      <w:rPr>
                        <w:b/>
                        <w:sz w:val="20"/>
                      </w:rPr>
                      <w:t>Concentración </w:t>
                    </w:r>
                    <w:r>
                      <w:rPr>
                        <w:rFonts w:ascii="Symbol" w:hAnsi="Symbol"/>
                        <w:b/>
                        <w:sz w:val="20"/>
                      </w:rPr>
                      <w:t></w:t>
                    </w:r>
                    <w:r>
                      <w:rPr>
                        <w:b/>
                        <w:sz w:val="20"/>
                      </w:rPr>
                      <w:t>µg</w:t>
                    </w:r>
                    <w:r>
                      <w:rPr>
                        <w:rFonts w:ascii="Calibri" w:hAnsi="Calibri"/>
                        <w:b/>
                        <w:sz w:val="20"/>
                      </w:rPr>
                      <w:t>/L)</w:t>
                    </w:r>
                  </w:p>
                </w:txbxContent>
              </v:textbox>
              <w10:wrap type="none"/>
            </v:shape>
            <w10:wrap type="none"/>
          </v:group>
        </w:pict>
      </w:r>
      <w:r>
        <w:rPr/>
        <w:pict>
          <v:shape style="position:absolute;margin-left:135.050003pt;margin-top:58.153076pt;width:25.8pt;height:93.25pt;mso-position-horizontal-relative:page;mso-position-vertical-relative:paragraph;z-index:3160" type="#_x0000_t202" filled="false" stroked="false">
            <v:textbox inset="0,0,0,0" style="layout-flow:vertical;mso-layout-flow-alt:bottom-to-top">
              <w:txbxContent>
                <w:p>
                  <w:pPr>
                    <w:spacing w:line="223" w:lineRule="exact" w:before="0"/>
                    <w:ind w:left="502" w:right="-859" w:firstLine="0"/>
                    <w:jc w:val="left"/>
                    <w:rPr>
                      <w:rFonts w:ascii="Calibri"/>
                      <w:b/>
                      <w:sz w:val="20"/>
                    </w:rPr>
                  </w:pPr>
                  <w:r>
                    <w:rPr>
                      <w:rFonts w:ascii="Calibri"/>
                      <w:b/>
                      <w:w w:val="99"/>
                      <w:sz w:val="20"/>
                    </w:rPr>
                    <w:t>Respuesta</w:t>
                  </w:r>
                </w:p>
                <w:p>
                  <w:pPr>
                    <w:spacing w:before="0"/>
                    <w:ind w:left="20" w:right="-529" w:firstLine="0"/>
                    <w:jc w:val="left"/>
                    <w:rPr>
                      <w:rFonts w:ascii="Calibri" w:hAnsi="Calibri"/>
                      <w:b/>
                      <w:sz w:val="20"/>
                    </w:rPr>
                  </w:pPr>
                  <w:r>
                    <w:rPr>
                      <w:rFonts w:ascii="Calibri" w:hAnsi="Calibri"/>
                      <w:b/>
                      <w:w w:val="99"/>
                      <w:sz w:val="20"/>
                    </w:rPr>
                    <w:t>(Re</w:t>
                  </w:r>
                  <w:r>
                    <w:rPr>
                      <w:rFonts w:ascii="Calibri" w:hAnsi="Calibri"/>
                      <w:b/>
                      <w:spacing w:val="-1"/>
                      <w:w w:val="99"/>
                      <w:sz w:val="20"/>
                    </w:rPr>
                    <w:t>l</w:t>
                  </w:r>
                  <w:r>
                    <w:rPr>
                      <w:rFonts w:ascii="Calibri" w:hAnsi="Calibri"/>
                      <w:b/>
                      <w:w w:val="99"/>
                      <w:sz w:val="20"/>
                    </w:rPr>
                    <w:t>ac</w:t>
                  </w:r>
                  <w:r>
                    <w:rPr>
                      <w:rFonts w:ascii="Calibri" w:hAnsi="Calibri"/>
                      <w:b/>
                      <w:spacing w:val="-1"/>
                      <w:w w:val="99"/>
                      <w:sz w:val="20"/>
                    </w:rPr>
                    <w:t>i</w:t>
                  </w:r>
                  <w:r>
                    <w:rPr>
                      <w:rFonts w:ascii="Calibri" w:hAnsi="Calibri"/>
                      <w:b/>
                      <w:w w:val="99"/>
                      <w:sz w:val="20"/>
                    </w:rPr>
                    <w:t>ón</w:t>
                  </w:r>
                  <w:r>
                    <w:rPr>
                      <w:rFonts w:ascii="Calibri" w:hAnsi="Calibri"/>
                      <w:b/>
                      <w:spacing w:val="-2"/>
                      <w:sz w:val="20"/>
                    </w:rPr>
                    <w:t> </w:t>
                  </w:r>
                  <w:r>
                    <w:rPr>
                      <w:rFonts w:ascii="Calibri" w:hAnsi="Calibri"/>
                      <w:b/>
                      <w:spacing w:val="-1"/>
                      <w:w w:val="99"/>
                      <w:sz w:val="20"/>
                    </w:rPr>
                    <w:t>CP</w:t>
                  </w:r>
                  <w:r>
                    <w:rPr>
                      <w:rFonts w:ascii="Calibri" w:hAnsi="Calibri"/>
                      <w:b/>
                      <w:w w:val="99"/>
                      <w:sz w:val="20"/>
                    </w:rPr>
                    <w:t>S</w:t>
                  </w:r>
                  <w:r>
                    <w:rPr>
                      <w:rFonts w:ascii="Calibri" w:hAnsi="Calibri"/>
                      <w:b/>
                      <w:w w:val="103"/>
                      <w:position w:val="-4"/>
                      <w:sz w:val="13"/>
                    </w:rPr>
                    <w:t>C</w:t>
                  </w:r>
                  <w:r>
                    <w:rPr>
                      <w:rFonts w:ascii="Calibri" w:hAnsi="Calibri"/>
                      <w:b/>
                      <w:spacing w:val="-1"/>
                      <w:w w:val="103"/>
                      <w:position w:val="-4"/>
                      <w:sz w:val="13"/>
                    </w:rPr>
                    <w:t>o</w:t>
                  </w:r>
                  <w:r>
                    <w:rPr>
                      <w:rFonts w:ascii="Calibri" w:hAnsi="Calibri"/>
                      <w:b/>
                      <w:w w:val="99"/>
                      <w:sz w:val="20"/>
                    </w:rPr>
                    <w:t>/</w:t>
                  </w:r>
                  <w:r>
                    <w:rPr>
                      <w:rFonts w:ascii="Calibri" w:hAnsi="Calibri"/>
                      <w:b/>
                      <w:spacing w:val="-1"/>
                      <w:w w:val="99"/>
                      <w:sz w:val="20"/>
                    </w:rPr>
                    <w:t>CPS</w:t>
                  </w:r>
                  <w:r>
                    <w:rPr>
                      <w:rFonts w:ascii="Calibri" w:hAnsi="Calibri"/>
                      <w:b/>
                      <w:w w:val="103"/>
                      <w:position w:val="-4"/>
                      <w:sz w:val="13"/>
                    </w:rPr>
                    <w:t>In</w:t>
                  </w:r>
                  <w:r>
                    <w:rPr>
                      <w:rFonts w:ascii="Calibri" w:hAnsi="Calibri"/>
                      <w:b/>
                      <w:w w:val="99"/>
                      <w:sz w:val="20"/>
                    </w:rPr>
                    <w:t>)</w:t>
                  </w:r>
                </w:p>
              </w:txbxContent>
            </v:textbox>
            <w10:wrap type="none"/>
          </v:shape>
        </w:pict>
      </w:r>
      <w:r>
        <w:rPr/>
        <w:t>Figura C.III.2. Resultados de la Linealidad de la respuesta para Co</w:t>
      </w: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8" w:after="1"/>
        <w:rPr>
          <w:b/>
          <w:sz w:val="22"/>
        </w:rPr>
      </w:pPr>
    </w:p>
    <w:tbl>
      <w:tblPr>
        <w:tblW w:w="0" w:type="auto"/>
        <w:jc w:val="left"/>
        <w:tblInd w:w="1866"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081"/>
        <w:gridCol w:w="2974"/>
      </w:tblGrid>
      <w:tr>
        <w:trPr>
          <w:trHeight w:val="422" w:hRule="exact"/>
        </w:trPr>
        <w:tc>
          <w:tcPr>
            <w:tcW w:w="2081" w:type="dxa"/>
            <w:tcBorders>
              <w:bottom w:val="single" w:sz="6" w:space="0" w:color="000000"/>
            </w:tcBorders>
          </w:tcPr>
          <w:p>
            <w:pPr>
              <w:pStyle w:val="TableParagraph"/>
              <w:spacing w:line="264" w:lineRule="exact"/>
              <w:ind w:left="83"/>
              <w:jc w:val="left"/>
              <w:rPr>
                <w:rFonts w:ascii="Calibri" w:hAnsi="Calibri"/>
                <w:b/>
                <w:i/>
                <w:sz w:val="26"/>
              </w:rPr>
            </w:pPr>
            <w:r>
              <w:rPr>
                <w:rFonts w:ascii="Calibri" w:hAnsi="Calibri"/>
                <w:b/>
                <w:i/>
                <w:sz w:val="26"/>
              </w:rPr>
              <w:t>Regresión</w:t>
            </w:r>
          </w:p>
        </w:tc>
        <w:tc>
          <w:tcPr>
            <w:tcW w:w="2974" w:type="dxa"/>
            <w:tcBorders>
              <w:bottom w:val="single" w:sz="6" w:space="0" w:color="000000"/>
            </w:tcBorders>
          </w:tcPr>
          <w:p>
            <w:pPr/>
          </w:p>
        </w:tc>
      </w:tr>
      <w:tr>
        <w:trPr>
          <w:trHeight w:val="292" w:hRule="exact"/>
        </w:trPr>
        <w:tc>
          <w:tcPr>
            <w:tcW w:w="2081" w:type="dxa"/>
            <w:tcBorders>
              <w:top w:val="single" w:sz="6" w:space="0" w:color="000000"/>
            </w:tcBorders>
          </w:tcPr>
          <w:p>
            <w:pPr>
              <w:pStyle w:val="TableParagraph"/>
              <w:spacing w:line="272" w:lineRule="exact"/>
              <w:ind w:left="83"/>
              <w:jc w:val="left"/>
              <w:rPr>
                <w:sz w:val="24"/>
              </w:rPr>
            </w:pPr>
            <w:r>
              <w:rPr>
                <w:sz w:val="24"/>
              </w:rPr>
              <w:t>Constante</w:t>
            </w:r>
          </w:p>
        </w:tc>
        <w:tc>
          <w:tcPr>
            <w:tcW w:w="2974" w:type="dxa"/>
            <w:tcBorders>
              <w:top w:val="single" w:sz="6" w:space="0" w:color="000000"/>
            </w:tcBorders>
          </w:tcPr>
          <w:p>
            <w:pPr>
              <w:pStyle w:val="TableParagraph"/>
              <w:spacing w:line="272" w:lineRule="exact"/>
              <w:ind w:left="393"/>
              <w:jc w:val="left"/>
              <w:rPr>
                <w:sz w:val="24"/>
              </w:rPr>
            </w:pPr>
            <w:r>
              <w:rPr>
                <w:sz w:val="24"/>
              </w:rPr>
              <w:t>0.00008</w:t>
            </w:r>
          </w:p>
        </w:tc>
      </w:tr>
      <w:tr>
        <w:trPr>
          <w:trHeight w:val="276" w:hRule="exact"/>
        </w:trPr>
        <w:tc>
          <w:tcPr>
            <w:tcW w:w="2081" w:type="dxa"/>
          </w:tcPr>
          <w:p>
            <w:pPr>
              <w:pStyle w:val="TableParagraph"/>
              <w:spacing w:line="264" w:lineRule="exact"/>
              <w:ind w:left="83"/>
              <w:jc w:val="left"/>
              <w:rPr>
                <w:sz w:val="24"/>
              </w:rPr>
            </w:pPr>
            <w:r>
              <w:rPr>
                <w:sz w:val="24"/>
              </w:rPr>
              <w:t>Coeficiente X</w:t>
            </w:r>
          </w:p>
        </w:tc>
        <w:tc>
          <w:tcPr>
            <w:tcW w:w="2974" w:type="dxa"/>
          </w:tcPr>
          <w:p>
            <w:pPr>
              <w:pStyle w:val="TableParagraph"/>
              <w:spacing w:line="264" w:lineRule="exact"/>
              <w:ind w:left="393"/>
              <w:jc w:val="left"/>
              <w:rPr>
                <w:sz w:val="24"/>
              </w:rPr>
            </w:pPr>
            <w:r>
              <w:rPr>
                <w:sz w:val="24"/>
              </w:rPr>
              <w:t>0.0092</w:t>
            </w:r>
          </w:p>
        </w:tc>
      </w:tr>
      <w:tr>
        <w:trPr>
          <w:trHeight w:val="276" w:hRule="exact"/>
        </w:trPr>
        <w:tc>
          <w:tcPr>
            <w:tcW w:w="2081" w:type="dxa"/>
          </w:tcPr>
          <w:p>
            <w:pPr>
              <w:pStyle w:val="TableParagraph"/>
              <w:spacing w:line="263" w:lineRule="exact"/>
              <w:ind w:left="83"/>
              <w:jc w:val="left"/>
              <w:rPr>
                <w:sz w:val="24"/>
              </w:rPr>
            </w:pPr>
            <w:r>
              <w:rPr>
                <w:sz w:val="24"/>
              </w:rPr>
              <w:t>R cuadrada</w:t>
            </w:r>
          </w:p>
        </w:tc>
        <w:tc>
          <w:tcPr>
            <w:tcW w:w="2974" w:type="dxa"/>
          </w:tcPr>
          <w:p>
            <w:pPr>
              <w:pStyle w:val="TableParagraph"/>
              <w:spacing w:line="263" w:lineRule="exact"/>
              <w:ind w:left="393"/>
              <w:jc w:val="left"/>
              <w:rPr>
                <w:sz w:val="24"/>
              </w:rPr>
            </w:pPr>
            <w:r>
              <w:rPr>
                <w:sz w:val="24"/>
              </w:rPr>
              <w:t>1.00</w:t>
            </w:r>
          </w:p>
        </w:tc>
      </w:tr>
      <w:tr>
        <w:trPr>
          <w:trHeight w:val="284" w:hRule="exact"/>
        </w:trPr>
        <w:tc>
          <w:tcPr>
            <w:tcW w:w="2081" w:type="dxa"/>
            <w:tcBorders>
              <w:bottom w:val="single" w:sz="12" w:space="0" w:color="000000"/>
            </w:tcBorders>
          </w:tcPr>
          <w:p>
            <w:pPr>
              <w:pStyle w:val="TableParagraph"/>
              <w:spacing w:line="263" w:lineRule="exact"/>
              <w:ind w:left="83"/>
              <w:jc w:val="left"/>
              <w:rPr>
                <w:sz w:val="24"/>
              </w:rPr>
            </w:pPr>
            <w:r>
              <w:rPr>
                <w:sz w:val="24"/>
              </w:rPr>
              <w:t>Observaciones</w:t>
            </w:r>
          </w:p>
        </w:tc>
        <w:tc>
          <w:tcPr>
            <w:tcW w:w="2974" w:type="dxa"/>
            <w:tcBorders>
              <w:bottom w:val="single" w:sz="12" w:space="0" w:color="000000"/>
            </w:tcBorders>
          </w:tcPr>
          <w:p>
            <w:pPr>
              <w:pStyle w:val="TableParagraph"/>
              <w:spacing w:line="263" w:lineRule="exact"/>
              <w:ind w:left="393"/>
              <w:jc w:val="left"/>
              <w:rPr>
                <w:sz w:val="24"/>
              </w:rPr>
            </w:pPr>
            <w:r>
              <w:rPr>
                <w:w w:val="99"/>
                <w:sz w:val="24"/>
              </w:rPr>
              <w:t>8</w:t>
            </w:r>
          </w:p>
        </w:tc>
      </w:tr>
    </w:tbl>
    <w:p>
      <w:pPr>
        <w:spacing w:after="0" w:line="263" w:lineRule="exact"/>
        <w:jc w:val="left"/>
        <w:rPr>
          <w:sz w:val="24"/>
        </w:rPr>
        <w:sectPr>
          <w:pgSz w:w="12240" w:h="15840"/>
          <w:pgMar w:header="0" w:footer="919" w:top="1360" w:bottom="1100" w:left="1720" w:right="1580"/>
        </w:sectPr>
      </w:pPr>
    </w:p>
    <w:p>
      <w:pPr>
        <w:pStyle w:val="Heading1"/>
        <w:spacing w:before="56" w:after="44"/>
        <w:ind w:left="750"/>
        <w:jc w:val="left"/>
      </w:pPr>
      <w:r>
        <w:rPr/>
        <w:pict>
          <v:group style="position:absolute;margin-left:179.324997pt;margin-top:573.905029pt;width:253.5pt;height:1.45pt;mso-position-horizontal-relative:page;mso-position-vertical-relative:page;z-index:-254200" coordorigin="3586,11478" coordsize="5070,29">
            <v:line style="position:absolute" from="3601,11493" to="5992,11493" stroked="true" strokeweight="1.44pt" strokecolor="#000000"/>
            <v:line style="position:absolute" from="5992,11493" to="6095,11493" stroked="true" strokeweight="1.44pt" strokecolor="#000000"/>
            <v:line style="position:absolute" from="6095,11493" to="8642,11493" stroked="true" strokeweight="1.44pt" strokecolor="#000000"/>
            <w10:wrap type="none"/>
          </v:group>
        </w:pict>
      </w:r>
      <w:r>
        <w:rPr/>
        <w:t>Tabla C.III.3. Resultados de la Linealidad de la respuesta para Ni</w:t>
      </w:r>
    </w:p>
    <w:tbl>
      <w:tblPr>
        <w:tblW w:w="0" w:type="auto"/>
        <w:jc w:val="left"/>
        <w:tblInd w:w="757"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CellMar>
          <w:top w:w="0" w:type="dxa"/>
          <w:left w:w="0" w:type="dxa"/>
          <w:bottom w:w="0" w:type="dxa"/>
          <w:right w:w="0" w:type="dxa"/>
        </w:tblCellMar>
        <w:tblLook w:val="01E0"/>
      </w:tblPr>
      <w:tblGrid>
        <w:gridCol w:w="2461"/>
        <w:gridCol w:w="2196"/>
        <w:gridCol w:w="2725"/>
      </w:tblGrid>
      <w:tr>
        <w:trPr>
          <w:trHeight w:val="582" w:hRule="exact"/>
        </w:trPr>
        <w:tc>
          <w:tcPr>
            <w:tcW w:w="2461" w:type="dxa"/>
            <w:shd w:val="clear" w:color="auto" w:fill="D9D9D9"/>
          </w:tcPr>
          <w:p>
            <w:pPr>
              <w:pStyle w:val="TableParagraph"/>
              <w:ind w:left="734" w:right="217" w:hanging="500"/>
              <w:jc w:val="left"/>
              <w:rPr>
                <w:b/>
                <w:sz w:val="24"/>
              </w:rPr>
            </w:pPr>
            <w:r>
              <w:rPr>
                <w:b/>
                <w:sz w:val="24"/>
              </w:rPr>
              <w:t>% Concentración Objetivo</w:t>
            </w:r>
          </w:p>
        </w:tc>
        <w:tc>
          <w:tcPr>
            <w:tcW w:w="2196" w:type="dxa"/>
            <w:shd w:val="clear" w:color="auto" w:fill="D9D9D9"/>
          </w:tcPr>
          <w:p>
            <w:pPr>
              <w:pStyle w:val="TableParagraph"/>
              <w:ind w:left="753" w:right="226" w:hanging="512"/>
              <w:jc w:val="left"/>
              <w:rPr>
                <w:b/>
                <w:sz w:val="24"/>
              </w:rPr>
            </w:pPr>
            <w:r>
              <w:rPr>
                <w:b/>
                <w:sz w:val="24"/>
              </w:rPr>
              <w:t>Concentración (µg/L)</w:t>
            </w:r>
          </w:p>
        </w:tc>
        <w:tc>
          <w:tcPr>
            <w:tcW w:w="2725" w:type="dxa"/>
            <w:shd w:val="clear" w:color="auto" w:fill="D9D9D9"/>
          </w:tcPr>
          <w:p>
            <w:pPr>
              <w:pStyle w:val="TableParagraph"/>
              <w:ind w:left="55" w:right="38" w:firstLine="684"/>
              <w:jc w:val="left"/>
              <w:rPr>
                <w:b/>
                <w:sz w:val="24"/>
              </w:rPr>
            </w:pPr>
            <w:r>
              <w:rPr>
                <w:b/>
                <w:sz w:val="24"/>
              </w:rPr>
              <w:t>Respuesta (Relación CPS</w:t>
            </w:r>
            <w:r>
              <w:rPr>
                <w:b/>
                <w:position w:val="-2"/>
                <w:sz w:val="16"/>
              </w:rPr>
              <w:t>Ni</w:t>
            </w:r>
            <w:r>
              <w:rPr>
                <w:b/>
                <w:sz w:val="24"/>
              </w:rPr>
              <w:t>/CPS</w:t>
            </w:r>
            <w:r>
              <w:rPr>
                <w:b/>
                <w:position w:val="-2"/>
                <w:sz w:val="16"/>
              </w:rPr>
              <w:t>In</w:t>
            </w:r>
            <w:r>
              <w:rPr>
                <w:b/>
                <w:sz w:val="24"/>
              </w:rPr>
              <w:t>)</w:t>
            </w:r>
          </w:p>
        </w:tc>
      </w:tr>
      <w:tr>
        <w:trPr>
          <w:trHeight w:val="420" w:hRule="exact"/>
        </w:trPr>
        <w:tc>
          <w:tcPr>
            <w:tcW w:w="2461" w:type="dxa"/>
            <w:tcBorders>
              <w:bottom w:val="single" w:sz="8" w:space="0" w:color="000000"/>
            </w:tcBorders>
          </w:tcPr>
          <w:p>
            <w:pPr>
              <w:pStyle w:val="TableParagraph"/>
              <w:spacing w:before="55"/>
              <w:ind w:left="215" w:right="216"/>
              <w:rPr>
                <w:sz w:val="24"/>
              </w:rPr>
            </w:pPr>
            <w:r>
              <w:rPr>
                <w:sz w:val="24"/>
              </w:rPr>
              <w:t>LD</w:t>
            </w:r>
          </w:p>
        </w:tc>
        <w:tc>
          <w:tcPr>
            <w:tcW w:w="2196" w:type="dxa"/>
            <w:tcBorders>
              <w:bottom w:val="single" w:sz="8" w:space="0" w:color="000000"/>
            </w:tcBorders>
          </w:tcPr>
          <w:p>
            <w:pPr>
              <w:pStyle w:val="TableParagraph"/>
              <w:spacing w:before="55"/>
              <w:ind w:left="630" w:right="630"/>
              <w:rPr>
                <w:sz w:val="24"/>
              </w:rPr>
            </w:pPr>
            <w:r>
              <w:rPr>
                <w:sz w:val="24"/>
              </w:rPr>
              <w:t>2.5000</w:t>
            </w:r>
          </w:p>
        </w:tc>
        <w:tc>
          <w:tcPr>
            <w:tcW w:w="2725" w:type="dxa"/>
            <w:tcBorders>
              <w:bottom w:val="single" w:sz="8" w:space="0" w:color="000000"/>
            </w:tcBorders>
          </w:tcPr>
          <w:p>
            <w:pPr>
              <w:pStyle w:val="TableParagraph"/>
              <w:spacing w:before="55"/>
              <w:ind w:left="912" w:right="38"/>
              <w:jc w:val="left"/>
              <w:rPr>
                <w:sz w:val="24"/>
              </w:rPr>
            </w:pPr>
            <w:r>
              <w:rPr>
                <w:sz w:val="24"/>
              </w:rPr>
              <w:t>0.01105</w:t>
            </w:r>
          </w:p>
        </w:tc>
      </w:tr>
      <w:tr>
        <w:trPr>
          <w:trHeight w:val="418" w:hRule="exact"/>
        </w:trPr>
        <w:tc>
          <w:tcPr>
            <w:tcW w:w="2461" w:type="dxa"/>
            <w:tcBorders>
              <w:top w:val="single" w:sz="8" w:space="0" w:color="000000"/>
              <w:bottom w:val="single" w:sz="8" w:space="0" w:color="000000"/>
            </w:tcBorders>
          </w:tcPr>
          <w:p>
            <w:pPr>
              <w:pStyle w:val="TableParagraph"/>
              <w:spacing w:before="58"/>
              <w:ind w:left="215" w:right="216"/>
              <w:rPr>
                <w:sz w:val="24"/>
              </w:rPr>
            </w:pPr>
            <w:r>
              <w:rPr>
                <w:sz w:val="24"/>
              </w:rPr>
              <w:t>LC</w:t>
            </w:r>
          </w:p>
        </w:tc>
        <w:tc>
          <w:tcPr>
            <w:tcW w:w="2196" w:type="dxa"/>
            <w:tcBorders>
              <w:top w:val="single" w:sz="8" w:space="0" w:color="000000"/>
              <w:bottom w:val="single" w:sz="8" w:space="0" w:color="000000"/>
            </w:tcBorders>
          </w:tcPr>
          <w:p>
            <w:pPr>
              <w:pStyle w:val="TableParagraph"/>
              <w:spacing w:before="58"/>
              <w:ind w:left="630" w:right="630"/>
              <w:rPr>
                <w:sz w:val="24"/>
              </w:rPr>
            </w:pPr>
            <w:r>
              <w:rPr>
                <w:sz w:val="24"/>
              </w:rPr>
              <w:t>5.0000</w:t>
            </w:r>
          </w:p>
        </w:tc>
        <w:tc>
          <w:tcPr>
            <w:tcW w:w="2725" w:type="dxa"/>
            <w:tcBorders>
              <w:top w:val="single" w:sz="8" w:space="0" w:color="000000"/>
              <w:bottom w:val="single" w:sz="8" w:space="0" w:color="000000"/>
            </w:tcBorders>
          </w:tcPr>
          <w:p>
            <w:pPr>
              <w:pStyle w:val="TableParagraph"/>
              <w:spacing w:before="58"/>
              <w:ind w:left="912" w:right="38"/>
              <w:jc w:val="left"/>
              <w:rPr>
                <w:sz w:val="24"/>
              </w:rPr>
            </w:pPr>
            <w:r>
              <w:rPr>
                <w:sz w:val="24"/>
              </w:rPr>
              <w:t>0.02213</w:t>
            </w:r>
          </w:p>
        </w:tc>
      </w:tr>
      <w:tr>
        <w:trPr>
          <w:trHeight w:val="418" w:hRule="exact"/>
        </w:trPr>
        <w:tc>
          <w:tcPr>
            <w:tcW w:w="2461" w:type="dxa"/>
            <w:tcBorders>
              <w:top w:val="single" w:sz="8" w:space="0" w:color="000000"/>
              <w:bottom w:val="single" w:sz="8" w:space="0" w:color="000000"/>
            </w:tcBorders>
          </w:tcPr>
          <w:p>
            <w:pPr>
              <w:pStyle w:val="TableParagraph"/>
              <w:spacing w:before="58"/>
              <w:ind w:left="215" w:right="212"/>
              <w:rPr>
                <w:sz w:val="24"/>
              </w:rPr>
            </w:pPr>
            <w:r>
              <w:rPr>
                <w:sz w:val="24"/>
              </w:rPr>
              <w:t>50</w:t>
            </w:r>
          </w:p>
        </w:tc>
        <w:tc>
          <w:tcPr>
            <w:tcW w:w="2196" w:type="dxa"/>
            <w:tcBorders>
              <w:top w:val="single" w:sz="8" w:space="0" w:color="000000"/>
              <w:bottom w:val="single" w:sz="8" w:space="0" w:color="000000"/>
            </w:tcBorders>
          </w:tcPr>
          <w:p>
            <w:pPr>
              <w:pStyle w:val="TableParagraph"/>
              <w:spacing w:before="58"/>
              <w:ind w:left="630" w:right="630"/>
              <w:rPr>
                <w:sz w:val="24"/>
              </w:rPr>
            </w:pPr>
            <w:r>
              <w:rPr>
                <w:sz w:val="24"/>
              </w:rPr>
              <w:t>10.0000</w:t>
            </w:r>
          </w:p>
        </w:tc>
        <w:tc>
          <w:tcPr>
            <w:tcW w:w="2725" w:type="dxa"/>
            <w:tcBorders>
              <w:top w:val="single" w:sz="8" w:space="0" w:color="000000"/>
              <w:bottom w:val="single" w:sz="8" w:space="0" w:color="000000"/>
            </w:tcBorders>
          </w:tcPr>
          <w:p>
            <w:pPr>
              <w:pStyle w:val="TableParagraph"/>
              <w:spacing w:before="58"/>
              <w:ind w:left="912" w:right="38"/>
              <w:jc w:val="left"/>
              <w:rPr>
                <w:sz w:val="24"/>
              </w:rPr>
            </w:pPr>
            <w:r>
              <w:rPr>
                <w:sz w:val="24"/>
              </w:rPr>
              <w:t>0.02841</w:t>
            </w:r>
          </w:p>
        </w:tc>
      </w:tr>
      <w:tr>
        <w:trPr>
          <w:trHeight w:val="418" w:hRule="exact"/>
        </w:trPr>
        <w:tc>
          <w:tcPr>
            <w:tcW w:w="2461" w:type="dxa"/>
            <w:tcBorders>
              <w:top w:val="single" w:sz="8" w:space="0" w:color="000000"/>
              <w:bottom w:val="single" w:sz="8" w:space="0" w:color="000000"/>
            </w:tcBorders>
          </w:tcPr>
          <w:p>
            <w:pPr>
              <w:pStyle w:val="TableParagraph"/>
              <w:spacing w:before="58"/>
              <w:ind w:left="215" w:right="212"/>
              <w:rPr>
                <w:sz w:val="24"/>
              </w:rPr>
            </w:pPr>
            <w:r>
              <w:rPr>
                <w:sz w:val="24"/>
              </w:rPr>
              <w:t>75</w:t>
            </w:r>
          </w:p>
        </w:tc>
        <w:tc>
          <w:tcPr>
            <w:tcW w:w="2196" w:type="dxa"/>
            <w:tcBorders>
              <w:top w:val="single" w:sz="8" w:space="0" w:color="000000"/>
              <w:bottom w:val="single" w:sz="8" w:space="0" w:color="000000"/>
            </w:tcBorders>
          </w:tcPr>
          <w:p>
            <w:pPr>
              <w:pStyle w:val="TableParagraph"/>
              <w:spacing w:before="58"/>
              <w:ind w:left="630" w:right="630"/>
              <w:rPr>
                <w:sz w:val="24"/>
              </w:rPr>
            </w:pPr>
            <w:r>
              <w:rPr>
                <w:sz w:val="24"/>
              </w:rPr>
              <w:t>15.0000</w:t>
            </w:r>
          </w:p>
        </w:tc>
        <w:tc>
          <w:tcPr>
            <w:tcW w:w="2725" w:type="dxa"/>
            <w:tcBorders>
              <w:top w:val="single" w:sz="8" w:space="0" w:color="000000"/>
              <w:bottom w:val="single" w:sz="8" w:space="0" w:color="000000"/>
            </w:tcBorders>
          </w:tcPr>
          <w:p>
            <w:pPr>
              <w:pStyle w:val="TableParagraph"/>
              <w:spacing w:before="58"/>
              <w:ind w:left="912" w:right="38"/>
              <w:jc w:val="left"/>
              <w:rPr>
                <w:sz w:val="24"/>
              </w:rPr>
            </w:pPr>
            <w:r>
              <w:rPr>
                <w:sz w:val="24"/>
              </w:rPr>
              <w:t>0.04115</w:t>
            </w:r>
          </w:p>
        </w:tc>
      </w:tr>
      <w:tr>
        <w:trPr>
          <w:trHeight w:val="415" w:hRule="exact"/>
        </w:trPr>
        <w:tc>
          <w:tcPr>
            <w:tcW w:w="2461" w:type="dxa"/>
            <w:tcBorders>
              <w:top w:val="single" w:sz="8" w:space="0" w:color="000000"/>
              <w:bottom w:val="single" w:sz="8" w:space="0" w:color="000000"/>
            </w:tcBorders>
          </w:tcPr>
          <w:p>
            <w:pPr>
              <w:pStyle w:val="TableParagraph"/>
              <w:spacing w:before="55"/>
              <w:ind w:left="215" w:right="212"/>
              <w:rPr>
                <w:sz w:val="24"/>
              </w:rPr>
            </w:pPr>
            <w:r>
              <w:rPr>
                <w:sz w:val="24"/>
              </w:rPr>
              <w:t>100</w:t>
            </w:r>
          </w:p>
        </w:tc>
        <w:tc>
          <w:tcPr>
            <w:tcW w:w="2196" w:type="dxa"/>
            <w:tcBorders>
              <w:top w:val="single" w:sz="8" w:space="0" w:color="000000"/>
              <w:bottom w:val="single" w:sz="8" w:space="0" w:color="000000"/>
            </w:tcBorders>
          </w:tcPr>
          <w:p>
            <w:pPr>
              <w:pStyle w:val="TableParagraph"/>
              <w:spacing w:before="55"/>
              <w:ind w:left="630" w:right="630"/>
              <w:rPr>
                <w:sz w:val="24"/>
              </w:rPr>
            </w:pPr>
            <w:r>
              <w:rPr>
                <w:sz w:val="24"/>
              </w:rPr>
              <w:t>20.0000</w:t>
            </w:r>
          </w:p>
        </w:tc>
        <w:tc>
          <w:tcPr>
            <w:tcW w:w="2725" w:type="dxa"/>
            <w:tcBorders>
              <w:top w:val="single" w:sz="8" w:space="0" w:color="000000"/>
              <w:bottom w:val="single" w:sz="8" w:space="0" w:color="000000"/>
            </w:tcBorders>
          </w:tcPr>
          <w:p>
            <w:pPr>
              <w:pStyle w:val="TableParagraph"/>
              <w:spacing w:before="55"/>
              <w:ind w:left="912" w:right="38"/>
              <w:jc w:val="left"/>
              <w:rPr>
                <w:sz w:val="24"/>
              </w:rPr>
            </w:pPr>
            <w:r>
              <w:rPr>
                <w:sz w:val="24"/>
              </w:rPr>
              <w:t>0.05492</w:t>
            </w:r>
          </w:p>
        </w:tc>
      </w:tr>
      <w:tr>
        <w:trPr>
          <w:trHeight w:val="418" w:hRule="exact"/>
        </w:trPr>
        <w:tc>
          <w:tcPr>
            <w:tcW w:w="2461" w:type="dxa"/>
            <w:tcBorders>
              <w:top w:val="single" w:sz="8" w:space="0" w:color="000000"/>
              <w:bottom w:val="single" w:sz="8" w:space="0" w:color="000000"/>
            </w:tcBorders>
          </w:tcPr>
          <w:p>
            <w:pPr>
              <w:pStyle w:val="TableParagraph"/>
              <w:spacing w:before="58"/>
              <w:ind w:left="215" w:right="212"/>
              <w:rPr>
                <w:sz w:val="24"/>
              </w:rPr>
            </w:pPr>
            <w:r>
              <w:rPr>
                <w:sz w:val="24"/>
              </w:rPr>
              <w:t>125</w:t>
            </w:r>
          </w:p>
        </w:tc>
        <w:tc>
          <w:tcPr>
            <w:tcW w:w="2196" w:type="dxa"/>
            <w:tcBorders>
              <w:top w:val="single" w:sz="8" w:space="0" w:color="000000"/>
              <w:bottom w:val="single" w:sz="8" w:space="0" w:color="000000"/>
            </w:tcBorders>
          </w:tcPr>
          <w:p>
            <w:pPr>
              <w:pStyle w:val="TableParagraph"/>
              <w:spacing w:before="58"/>
              <w:ind w:left="630" w:right="630"/>
              <w:rPr>
                <w:sz w:val="24"/>
              </w:rPr>
            </w:pPr>
            <w:r>
              <w:rPr>
                <w:sz w:val="24"/>
              </w:rPr>
              <w:t>25.0000</w:t>
            </w:r>
          </w:p>
        </w:tc>
        <w:tc>
          <w:tcPr>
            <w:tcW w:w="2725" w:type="dxa"/>
            <w:tcBorders>
              <w:top w:val="single" w:sz="8" w:space="0" w:color="000000"/>
              <w:bottom w:val="single" w:sz="8" w:space="0" w:color="000000"/>
            </w:tcBorders>
          </w:tcPr>
          <w:p>
            <w:pPr>
              <w:pStyle w:val="TableParagraph"/>
              <w:spacing w:before="58"/>
              <w:ind w:left="912" w:right="38"/>
              <w:jc w:val="left"/>
              <w:rPr>
                <w:sz w:val="24"/>
              </w:rPr>
            </w:pPr>
            <w:r>
              <w:rPr>
                <w:sz w:val="24"/>
              </w:rPr>
              <w:t>0.06810</w:t>
            </w:r>
          </w:p>
        </w:tc>
      </w:tr>
      <w:tr>
        <w:trPr>
          <w:trHeight w:val="418" w:hRule="exact"/>
        </w:trPr>
        <w:tc>
          <w:tcPr>
            <w:tcW w:w="2461" w:type="dxa"/>
            <w:tcBorders>
              <w:top w:val="single" w:sz="8" w:space="0" w:color="000000"/>
              <w:bottom w:val="single" w:sz="8" w:space="0" w:color="000000"/>
            </w:tcBorders>
          </w:tcPr>
          <w:p>
            <w:pPr>
              <w:pStyle w:val="TableParagraph"/>
              <w:spacing w:before="58"/>
              <w:ind w:left="215" w:right="212"/>
              <w:rPr>
                <w:sz w:val="24"/>
              </w:rPr>
            </w:pPr>
            <w:r>
              <w:rPr>
                <w:sz w:val="24"/>
              </w:rPr>
              <w:t>150</w:t>
            </w:r>
          </w:p>
        </w:tc>
        <w:tc>
          <w:tcPr>
            <w:tcW w:w="2196" w:type="dxa"/>
            <w:tcBorders>
              <w:top w:val="single" w:sz="8" w:space="0" w:color="000000"/>
              <w:bottom w:val="single" w:sz="8" w:space="0" w:color="000000"/>
            </w:tcBorders>
          </w:tcPr>
          <w:p>
            <w:pPr>
              <w:pStyle w:val="TableParagraph"/>
              <w:spacing w:before="58"/>
              <w:ind w:left="630" w:right="630"/>
              <w:rPr>
                <w:sz w:val="24"/>
              </w:rPr>
            </w:pPr>
            <w:r>
              <w:rPr>
                <w:sz w:val="24"/>
              </w:rPr>
              <w:t>30.0000</w:t>
            </w:r>
          </w:p>
        </w:tc>
        <w:tc>
          <w:tcPr>
            <w:tcW w:w="2725" w:type="dxa"/>
            <w:tcBorders>
              <w:top w:val="single" w:sz="8" w:space="0" w:color="000000"/>
              <w:bottom w:val="single" w:sz="8" w:space="0" w:color="000000"/>
            </w:tcBorders>
          </w:tcPr>
          <w:p>
            <w:pPr>
              <w:pStyle w:val="TableParagraph"/>
              <w:spacing w:before="58"/>
              <w:ind w:left="912" w:right="38"/>
              <w:jc w:val="left"/>
              <w:rPr>
                <w:sz w:val="24"/>
              </w:rPr>
            </w:pPr>
            <w:r>
              <w:rPr>
                <w:sz w:val="24"/>
              </w:rPr>
              <w:t>0.08036</w:t>
            </w:r>
          </w:p>
        </w:tc>
      </w:tr>
      <w:tr>
        <w:trPr>
          <w:trHeight w:val="420" w:hRule="exact"/>
        </w:trPr>
        <w:tc>
          <w:tcPr>
            <w:tcW w:w="2461" w:type="dxa"/>
            <w:tcBorders>
              <w:top w:val="single" w:sz="8" w:space="0" w:color="000000"/>
            </w:tcBorders>
          </w:tcPr>
          <w:p>
            <w:pPr>
              <w:pStyle w:val="TableParagraph"/>
              <w:spacing w:before="58"/>
              <w:ind w:left="215" w:right="212"/>
              <w:rPr>
                <w:sz w:val="24"/>
              </w:rPr>
            </w:pPr>
            <w:r>
              <w:rPr>
                <w:sz w:val="24"/>
              </w:rPr>
              <w:t>200</w:t>
            </w:r>
          </w:p>
        </w:tc>
        <w:tc>
          <w:tcPr>
            <w:tcW w:w="2196" w:type="dxa"/>
            <w:tcBorders>
              <w:top w:val="single" w:sz="8" w:space="0" w:color="000000"/>
            </w:tcBorders>
          </w:tcPr>
          <w:p>
            <w:pPr>
              <w:pStyle w:val="TableParagraph"/>
              <w:spacing w:before="58"/>
              <w:ind w:left="630" w:right="630"/>
              <w:rPr>
                <w:sz w:val="24"/>
              </w:rPr>
            </w:pPr>
            <w:r>
              <w:rPr>
                <w:sz w:val="24"/>
              </w:rPr>
              <w:t>40.0000</w:t>
            </w:r>
          </w:p>
        </w:tc>
        <w:tc>
          <w:tcPr>
            <w:tcW w:w="2725" w:type="dxa"/>
            <w:tcBorders>
              <w:top w:val="single" w:sz="8" w:space="0" w:color="000000"/>
            </w:tcBorders>
          </w:tcPr>
          <w:p>
            <w:pPr>
              <w:pStyle w:val="TableParagraph"/>
              <w:spacing w:before="58"/>
              <w:ind w:left="912" w:right="38"/>
              <w:jc w:val="left"/>
              <w:rPr>
                <w:sz w:val="24"/>
              </w:rPr>
            </w:pPr>
            <w:r>
              <w:rPr>
                <w:sz w:val="24"/>
              </w:rPr>
              <w:t>0.10639</w:t>
            </w:r>
          </w:p>
        </w:tc>
      </w:tr>
    </w:tbl>
    <w:p>
      <w:pPr>
        <w:spacing w:before="2"/>
        <w:ind w:left="1362" w:right="0" w:firstLine="0"/>
        <w:jc w:val="left"/>
        <w:rPr>
          <w:sz w:val="20"/>
        </w:rPr>
      </w:pPr>
      <w:r>
        <w:rPr>
          <w:sz w:val="20"/>
        </w:rPr>
        <w:t>CPS: Cuentas por segundo del analito</w:t>
      </w:r>
    </w:p>
    <w:p>
      <w:pPr>
        <w:pStyle w:val="BodyText"/>
        <w:rPr>
          <w:sz w:val="20"/>
        </w:rPr>
      </w:pPr>
    </w:p>
    <w:p>
      <w:pPr>
        <w:pStyle w:val="Heading1"/>
        <w:spacing w:before="121"/>
        <w:ind w:left="745"/>
        <w:jc w:val="left"/>
      </w:pPr>
      <w:r>
        <w:rPr/>
        <w:pict>
          <v:group style="position:absolute;margin-left:121.125pt;margin-top:21.55085pt;width:369.25pt;height:202.05pt;mso-position-horizontal-relative:page;mso-position-vertical-relative:paragraph;z-index:3328" coordorigin="2423,431" coordsize="7385,4041">
            <v:shape style="position:absolute;left:4010;top:662;width:5242;height:2931" coordorigin="4010,662" coordsize="5242,2931" path="m4073,3528l4073,662m4010,3528l4073,3528m4010,3050l4073,3050m4010,2572l4073,2572m4010,2095l4073,2095m4010,1617l4073,1617m4010,1140l4073,1140m4010,662l4073,662m4073,3528l9252,3528m4073,3528l4073,3592m5110,3528l5110,3592m6144,3528l6144,3592m7181,3528l7181,3592m8215,3528l8215,3592m9252,3528l9252,3592e" filled="false" stroked="true" strokeweight=".72pt" strokecolor="#858585">
              <v:path arrowok="t"/>
            </v:shape>
            <v:shape style="position:absolute;left:4254;top:3187;width:155;height:155" type="#_x0000_t75" stroked="false">
              <v:imagedata r:id="rId72" o:title=""/>
            </v:shape>
            <v:shape style="position:absolute;left:4513;top:2922;width:155;height:155" type="#_x0000_t75" stroked="false">
              <v:imagedata r:id="rId71" o:title=""/>
            </v:shape>
            <v:shape style="position:absolute;left:5031;top:2772;width:155;height:155" type="#_x0000_t75" stroked="false">
              <v:imagedata r:id="rId71" o:title=""/>
            </v:shape>
            <v:shape style="position:absolute;left:5549;top:2467;width:155;height:155" type="#_x0000_t75" stroked="false">
              <v:imagedata r:id="rId73" o:title=""/>
            </v:shape>
            <v:shape style="position:absolute;left:6066;top:2138;width:155;height:155" type="#_x0000_t75" stroked="false">
              <v:imagedata r:id="rId74" o:title=""/>
            </v:shape>
            <v:shape style="position:absolute;left:6584;top:1823;width:155;height:155" type="#_x0000_t75" stroked="false">
              <v:imagedata r:id="rId74" o:title=""/>
            </v:shape>
            <v:shape style="position:absolute;left:7102;top:1530;width:155;height:155" type="#_x0000_t75" stroked="false">
              <v:imagedata r:id="rId74" o:title=""/>
            </v:shape>
            <v:shape style="position:absolute;left:8138;top:908;width:155;height:155" type="#_x0000_t75" stroked="false">
              <v:imagedata r:id="rId74" o:title=""/>
            </v:shape>
            <v:shape style="position:absolute;left:4332;top:1010;width:3884;height:2237" coordorigin="4332,1010" coordsize="3884,2237" path="m4332,3247l8215,1010m4332,3247l8215,1010m4332,3247l8215,1010m4332,3247l8215,1010m4332,3247l8215,1010m4332,3247l8215,1010e" filled="false" stroked="true" strokeweight=".72pt" strokecolor="#000000">
              <v:path arrowok="t"/>
            </v:shape>
            <v:rect style="position:absolute;left:2430;top:439;width:7370;height:4025" filled="false" stroked="true" strokeweight=".75pt" strokecolor="#858585"/>
            <v:shape style="position:absolute;left:3231;top:569;width:656;height:1633" type="#_x0000_t202" filled="false" stroked="false">
              <v:textbox inset="0,0,0,0">
                <w:txbxContent>
                  <w:p>
                    <w:pPr>
                      <w:spacing w:line="203" w:lineRule="exact" w:before="0"/>
                      <w:ind w:left="0" w:right="-16" w:firstLine="0"/>
                      <w:jc w:val="left"/>
                      <w:rPr>
                        <w:rFonts w:ascii="Calibri"/>
                        <w:sz w:val="20"/>
                      </w:rPr>
                    </w:pPr>
                    <w:r>
                      <w:rPr>
                        <w:rFonts w:ascii="Calibri"/>
                        <w:spacing w:val="-1"/>
                        <w:sz w:val="20"/>
                      </w:rPr>
                      <w:t>0.12000</w:t>
                    </w:r>
                  </w:p>
                  <w:p>
                    <w:pPr>
                      <w:spacing w:line="240" w:lineRule="auto" w:before="3"/>
                      <w:rPr>
                        <w:b/>
                        <w:sz w:val="20"/>
                      </w:rPr>
                    </w:pPr>
                  </w:p>
                  <w:p>
                    <w:pPr>
                      <w:spacing w:before="1"/>
                      <w:ind w:left="0" w:right="-16" w:firstLine="0"/>
                      <w:jc w:val="left"/>
                      <w:rPr>
                        <w:rFonts w:ascii="Calibri"/>
                        <w:sz w:val="20"/>
                      </w:rPr>
                    </w:pPr>
                    <w:r>
                      <w:rPr>
                        <w:rFonts w:ascii="Calibri"/>
                        <w:spacing w:val="-1"/>
                        <w:sz w:val="20"/>
                      </w:rPr>
                      <w:t>0.10000</w:t>
                    </w:r>
                  </w:p>
                  <w:p>
                    <w:pPr>
                      <w:spacing w:line="240" w:lineRule="auto" w:before="4"/>
                      <w:rPr>
                        <w:b/>
                        <w:sz w:val="20"/>
                      </w:rPr>
                    </w:pPr>
                  </w:p>
                  <w:p>
                    <w:pPr>
                      <w:spacing w:before="0"/>
                      <w:ind w:left="0" w:right="-16" w:firstLine="0"/>
                      <w:jc w:val="left"/>
                      <w:rPr>
                        <w:rFonts w:ascii="Calibri"/>
                        <w:sz w:val="20"/>
                      </w:rPr>
                    </w:pPr>
                    <w:r>
                      <w:rPr>
                        <w:rFonts w:ascii="Calibri"/>
                        <w:spacing w:val="-1"/>
                        <w:sz w:val="20"/>
                      </w:rPr>
                      <w:t>0.08000</w:t>
                    </w:r>
                  </w:p>
                  <w:p>
                    <w:pPr>
                      <w:spacing w:line="240" w:lineRule="auto" w:before="3"/>
                      <w:rPr>
                        <w:b/>
                        <w:sz w:val="20"/>
                      </w:rPr>
                    </w:pPr>
                  </w:p>
                  <w:p>
                    <w:pPr>
                      <w:spacing w:line="240" w:lineRule="exact" w:before="0"/>
                      <w:ind w:left="0" w:right="-16" w:firstLine="0"/>
                      <w:jc w:val="left"/>
                      <w:rPr>
                        <w:rFonts w:ascii="Calibri"/>
                        <w:sz w:val="20"/>
                      </w:rPr>
                    </w:pPr>
                    <w:r>
                      <w:rPr>
                        <w:rFonts w:ascii="Calibri"/>
                        <w:spacing w:val="-1"/>
                        <w:sz w:val="20"/>
                      </w:rPr>
                      <w:t>0.06000</w:t>
                    </w:r>
                  </w:p>
                </w:txbxContent>
              </v:textbox>
              <w10:wrap type="none"/>
            </v:shape>
            <v:shape style="position:absolute;left:7978;top:1830;width:1666;height:444" type="#_x0000_t202" filled="false" stroked="false">
              <v:textbox inset="0,0,0,0">
                <w:txbxContent>
                  <w:p>
                    <w:pPr>
                      <w:spacing w:line="203" w:lineRule="exact" w:before="0"/>
                      <w:ind w:left="0" w:right="0" w:firstLine="0"/>
                      <w:jc w:val="center"/>
                      <w:rPr>
                        <w:rFonts w:ascii="Calibri"/>
                        <w:sz w:val="20"/>
                      </w:rPr>
                    </w:pPr>
                    <w:r>
                      <w:rPr>
                        <w:rFonts w:ascii="Calibri"/>
                        <w:sz w:val="20"/>
                      </w:rPr>
                      <w:t>y = 0.0025x +</w:t>
                    </w:r>
                    <w:r>
                      <w:rPr>
                        <w:rFonts w:ascii="Calibri"/>
                        <w:spacing w:val="-8"/>
                        <w:sz w:val="20"/>
                      </w:rPr>
                      <w:t> </w:t>
                    </w:r>
                    <w:r>
                      <w:rPr>
                        <w:rFonts w:ascii="Calibri"/>
                        <w:sz w:val="20"/>
                      </w:rPr>
                      <w:t>0.0055</w:t>
                    </w:r>
                  </w:p>
                  <w:p>
                    <w:pPr>
                      <w:spacing w:line="240" w:lineRule="exact" w:before="0"/>
                      <w:ind w:left="0" w:right="0" w:firstLine="0"/>
                      <w:jc w:val="center"/>
                      <w:rPr>
                        <w:rFonts w:ascii="Calibri" w:hAnsi="Calibri"/>
                        <w:sz w:val="20"/>
                      </w:rPr>
                    </w:pPr>
                    <w:r>
                      <w:rPr>
                        <w:rFonts w:ascii="Calibri" w:hAnsi="Calibri"/>
                        <w:sz w:val="20"/>
                      </w:rPr>
                      <w:t>R² = 1.00</w:t>
                    </w:r>
                  </w:p>
                </w:txbxContent>
              </v:textbox>
              <w10:wrap type="none"/>
            </v:shape>
            <v:shape style="position:absolute;left:3231;top:2481;width:1121;height:1416" type="#_x0000_t202" filled="false" stroked="false">
              <v:textbox inset="0,0,0,0">
                <w:txbxContent>
                  <w:p>
                    <w:pPr>
                      <w:spacing w:line="203" w:lineRule="exact" w:before="0"/>
                      <w:ind w:left="0" w:right="0" w:firstLine="0"/>
                      <w:jc w:val="left"/>
                      <w:rPr>
                        <w:rFonts w:ascii="Calibri"/>
                        <w:sz w:val="20"/>
                      </w:rPr>
                    </w:pPr>
                    <w:r>
                      <w:rPr>
                        <w:rFonts w:ascii="Calibri"/>
                        <w:sz w:val="20"/>
                      </w:rPr>
                      <w:t>0.04000</w:t>
                    </w:r>
                  </w:p>
                  <w:p>
                    <w:pPr>
                      <w:spacing w:line="240" w:lineRule="auto" w:before="3"/>
                      <w:rPr>
                        <w:b/>
                        <w:sz w:val="20"/>
                      </w:rPr>
                    </w:pPr>
                  </w:p>
                  <w:p>
                    <w:pPr>
                      <w:spacing w:before="1"/>
                      <w:ind w:left="0" w:right="0" w:firstLine="0"/>
                      <w:jc w:val="left"/>
                      <w:rPr>
                        <w:rFonts w:ascii="Calibri"/>
                        <w:sz w:val="20"/>
                      </w:rPr>
                    </w:pPr>
                    <w:r>
                      <w:rPr>
                        <w:rFonts w:ascii="Calibri"/>
                        <w:sz w:val="20"/>
                      </w:rPr>
                      <w:t>0.02000</w:t>
                    </w:r>
                  </w:p>
                  <w:p>
                    <w:pPr>
                      <w:spacing w:line="240" w:lineRule="auto" w:before="4"/>
                      <w:rPr>
                        <w:b/>
                        <w:sz w:val="20"/>
                      </w:rPr>
                    </w:pPr>
                  </w:p>
                  <w:p>
                    <w:pPr>
                      <w:spacing w:before="0"/>
                      <w:ind w:left="0" w:right="0" w:firstLine="0"/>
                      <w:jc w:val="left"/>
                      <w:rPr>
                        <w:rFonts w:ascii="Calibri"/>
                        <w:sz w:val="20"/>
                      </w:rPr>
                    </w:pPr>
                    <w:r>
                      <w:rPr>
                        <w:rFonts w:ascii="Calibri"/>
                        <w:sz w:val="20"/>
                      </w:rPr>
                      <w:t>0.00000</w:t>
                    </w:r>
                  </w:p>
                  <w:p>
                    <w:pPr>
                      <w:spacing w:line="240" w:lineRule="exact" w:before="16"/>
                      <w:ind w:left="565" w:right="0" w:firstLine="0"/>
                      <w:jc w:val="left"/>
                      <w:rPr>
                        <w:rFonts w:ascii="Calibri"/>
                        <w:sz w:val="20"/>
                      </w:rPr>
                    </w:pPr>
                    <w:r>
                      <w:rPr>
                        <w:rFonts w:ascii="Calibri"/>
                        <w:w w:val="95"/>
                        <w:sz w:val="20"/>
                      </w:rPr>
                      <w:t>0.0000</w:t>
                    </w:r>
                  </w:p>
                </w:txbxContent>
              </v:textbox>
              <w10:wrap type="none"/>
            </v:shape>
            <v:shape style="position:absolute;left:4782;top:3697;width:4799;height:200" type="#_x0000_t202" filled="false" stroked="false">
              <v:textbox inset="0,0,0,0">
                <w:txbxContent>
                  <w:p>
                    <w:pPr>
                      <w:tabs>
                        <w:tab w:pos="1035" w:val="left" w:leader="none"/>
                        <w:tab w:pos="2071" w:val="left" w:leader="none"/>
                        <w:tab w:pos="3107" w:val="left" w:leader="none"/>
                        <w:tab w:pos="4143" w:val="left" w:leader="none"/>
                      </w:tabs>
                      <w:spacing w:line="199" w:lineRule="exact" w:before="0"/>
                      <w:ind w:left="0" w:right="0" w:firstLine="0"/>
                      <w:jc w:val="left"/>
                      <w:rPr>
                        <w:rFonts w:ascii="Calibri"/>
                        <w:sz w:val="20"/>
                      </w:rPr>
                    </w:pPr>
                    <w:r>
                      <w:rPr>
                        <w:rFonts w:ascii="Calibri"/>
                        <w:sz w:val="20"/>
                      </w:rPr>
                      <w:t>10.0000</w:t>
                      <w:tab/>
                      <w:t>20.0000</w:t>
                      <w:tab/>
                      <w:t>30.0000</w:t>
                      <w:tab/>
                      <w:t>40.0000</w:t>
                      <w:tab/>
                    </w:r>
                    <w:r>
                      <w:rPr>
                        <w:rFonts w:ascii="Calibri"/>
                        <w:spacing w:val="-1"/>
                        <w:sz w:val="20"/>
                      </w:rPr>
                      <w:t>50.0000</w:t>
                    </w:r>
                  </w:p>
                </w:txbxContent>
              </v:textbox>
              <w10:wrap type="none"/>
            </v:shape>
            <v:shape style="position:absolute;left:6432;top:3999;width:509;height:214" type="#_x0000_t202" filled="false" stroked="false">
              <v:textbox inset="0,0,0,0">
                <w:txbxContent>
                  <w:p>
                    <w:pPr>
                      <w:spacing w:line="213" w:lineRule="exact" w:before="0"/>
                      <w:ind w:left="0" w:right="0" w:firstLine="0"/>
                      <w:jc w:val="left"/>
                      <w:rPr>
                        <w:rFonts w:ascii="Calibri" w:hAnsi="Calibri"/>
                        <w:b/>
                        <w:sz w:val="20"/>
                      </w:rPr>
                    </w:pPr>
                    <w:r>
                      <w:rPr>
                        <w:rFonts w:ascii="Symbol" w:hAnsi="Symbol"/>
                        <w:b/>
                        <w:w w:val="95"/>
                        <w:sz w:val="20"/>
                      </w:rPr>
                      <w:t></w:t>
                    </w:r>
                    <w:r>
                      <w:rPr>
                        <w:rFonts w:ascii="Calibri" w:hAnsi="Calibri"/>
                        <w:b/>
                        <w:w w:val="95"/>
                        <w:sz w:val="20"/>
                      </w:rPr>
                      <w:t>g/L)</w:t>
                    </w:r>
                  </w:p>
                </w:txbxContent>
              </v:textbox>
              <w10:wrap type="none"/>
            </v:shape>
            <w10:wrap type="none"/>
          </v:group>
        </w:pict>
      </w:r>
      <w:r>
        <w:rPr/>
        <w:pict>
          <v:shape style="position:absolute;margin-left:135.050003pt;margin-top:58.753075pt;width:25.8pt;height:92.15pt;mso-position-horizontal-relative:page;mso-position-vertical-relative:paragraph;z-index:3352" type="#_x0000_t202" filled="false" stroked="false">
            <v:textbox inset="0,0,0,0" style="layout-flow:vertical;mso-layout-flow-alt:bottom-to-top">
              <w:txbxContent>
                <w:p>
                  <w:pPr>
                    <w:spacing w:line="223" w:lineRule="exact" w:before="0"/>
                    <w:ind w:left="492" w:right="-849" w:firstLine="0"/>
                    <w:jc w:val="left"/>
                    <w:rPr>
                      <w:rFonts w:ascii="Calibri"/>
                      <w:b/>
                      <w:sz w:val="20"/>
                    </w:rPr>
                  </w:pPr>
                  <w:r>
                    <w:rPr>
                      <w:rFonts w:ascii="Calibri"/>
                      <w:b/>
                      <w:w w:val="99"/>
                      <w:sz w:val="20"/>
                    </w:rPr>
                    <w:t>Respuesta</w:t>
                  </w:r>
                </w:p>
                <w:p>
                  <w:pPr>
                    <w:spacing w:before="0"/>
                    <w:ind w:left="20" w:right="-508" w:firstLine="0"/>
                    <w:jc w:val="left"/>
                    <w:rPr>
                      <w:rFonts w:ascii="Calibri" w:hAnsi="Calibri"/>
                      <w:b/>
                      <w:sz w:val="20"/>
                    </w:rPr>
                  </w:pPr>
                  <w:r>
                    <w:rPr>
                      <w:rFonts w:ascii="Calibri" w:hAnsi="Calibri"/>
                      <w:b/>
                      <w:w w:val="99"/>
                      <w:sz w:val="20"/>
                    </w:rPr>
                    <w:t>(Re</w:t>
                  </w:r>
                  <w:r>
                    <w:rPr>
                      <w:rFonts w:ascii="Calibri" w:hAnsi="Calibri"/>
                      <w:b/>
                      <w:spacing w:val="-1"/>
                      <w:w w:val="99"/>
                      <w:sz w:val="20"/>
                    </w:rPr>
                    <w:t>l</w:t>
                  </w:r>
                  <w:r>
                    <w:rPr>
                      <w:rFonts w:ascii="Calibri" w:hAnsi="Calibri"/>
                      <w:b/>
                      <w:w w:val="99"/>
                      <w:sz w:val="20"/>
                    </w:rPr>
                    <w:t>ac</w:t>
                  </w:r>
                  <w:r>
                    <w:rPr>
                      <w:rFonts w:ascii="Calibri" w:hAnsi="Calibri"/>
                      <w:b/>
                      <w:spacing w:val="-1"/>
                      <w:w w:val="99"/>
                      <w:sz w:val="20"/>
                    </w:rPr>
                    <w:t>i</w:t>
                  </w:r>
                  <w:r>
                    <w:rPr>
                      <w:rFonts w:ascii="Calibri" w:hAnsi="Calibri"/>
                      <w:b/>
                      <w:w w:val="99"/>
                      <w:sz w:val="20"/>
                    </w:rPr>
                    <w:t>ón</w:t>
                  </w:r>
                  <w:r>
                    <w:rPr>
                      <w:rFonts w:ascii="Calibri" w:hAnsi="Calibri"/>
                      <w:b/>
                      <w:spacing w:val="-2"/>
                      <w:sz w:val="20"/>
                    </w:rPr>
                    <w:t> </w:t>
                  </w:r>
                  <w:r>
                    <w:rPr>
                      <w:rFonts w:ascii="Calibri" w:hAnsi="Calibri"/>
                      <w:b/>
                      <w:spacing w:val="-1"/>
                      <w:w w:val="99"/>
                      <w:sz w:val="20"/>
                    </w:rPr>
                    <w:t>CP</w:t>
                  </w:r>
                  <w:r>
                    <w:rPr>
                      <w:rFonts w:ascii="Calibri" w:hAnsi="Calibri"/>
                      <w:b/>
                      <w:w w:val="99"/>
                      <w:sz w:val="20"/>
                    </w:rPr>
                    <w:t>S</w:t>
                  </w:r>
                  <w:r>
                    <w:rPr>
                      <w:rFonts w:ascii="Calibri" w:hAnsi="Calibri"/>
                      <w:b/>
                      <w:w w:val="103"/>
                      <w:position w:val="-4"/>
                      <w:sz w:val="13"/>
                    </w:rPr>
                    <w:t>Ni</w:t>
                  </w:r>
                  <w:r>
                    <w:rPr>
                      <w:rFonts w:ascii="Calibri" w:hAnsi="Calibri"/>
                      <w:b/>
                      <w:w w:val="99"/>
                      <w:sz w:val="20"/>
                    </w:rPr>
                    <w:t>/</w:t>
                  </w:r>
                  <w:r>
                    <w:rPr>
                      <w:rFonts w:ascii="Calibri" w:hAnsi="Calibri"/>
                      <w:b/>
                      <w:spacing w:val="-1"/>
                      <w:w w:val="99"/>
                      <w:sz w:val="20"/>
                    </w:rPr>
                    <w:t>CPS</w:t>
                  </w:r>
                  <w:r>
                    <w:rPr>
                      <w:rFonts w:ascii="Calibri" w:hAnsi="Calibri"/>
                      <w:b/>
                      <w:w w:val="103"/>
                      <w:position w:val="-4"/>
                      <w:sz w:val="13"/>
                    </w:rPr>
                    <w:t>In</w:t>
                  </w:r>
                  <w:r>
                    <w:rPr>
                      <w:rFonts w:ascii="Calibri" w:hAnsi="Calibri"/>
                      <w:b/>
                      <w:w w:val="99"/>
                      <w:sz w:val="20"/>
                    </w:rPr>
                    <w:t>)</w:t>
                  </w:r>
                </w:p>
              </w:txbxContent>
            </v:textbox>
            <w10:wrap type="none"/>
          </v:shape>
        </w:pict>
      </w:r>
      <w:r>
        <w:rPr/>
        <w:t>Figura C.III.3. Resultados de la Linealidad de la respuesta para Ni</w:t>
      </w: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3"/>
        <w:rPr>
          <w:b/>
          <w:sz w:val="20"/>
        </w:rPr>
      </w:pPr>
    </w:p>
    <w:tbl>
      <w:tblPr>
        <w:tblW w:w="0" w:type="auto"/>
        <w:jc w:val="left"/>
        <w:tblInd w:w="1926"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081"/>
        <w:gridCol w:w="2974"/>
      </w:tblGrid>
      <w:tr>
        <w:trPr>
          <w:trHeight w:val="420" w:hRule="exact"/>
        </w:trPr>
        <w:tc>
          <w:tcPr>
            <w:tcW w:w="2081" w:type="dxa"/>
            <w:tcBorders>
              <w:bottom w:val="single" w:sz="6" w:space="0" w:color="000000"/>
            </w:tcBorders>
          </w:tcPr>
          <w:p>
            <w:pPr>
              <w:pStyle w:val="TableParagraph"/>
              <w:spacing w:line="264" w:lineRule="exact"/>
              <w:ind w:left="83"/>
              <w:jc w:val="left"/>
              <w:rPr>
                <w:rFonts w:ascii="Calibri" w:hAnsi="Calibri"/>
                <w:b/>
                <w:i/>
                <w:sz w:val="26"/>
              </w:rPr>
            </w:pPr>
            <w:r>
              <w:rPr>
                <w:rFonts w:ascii="Calibri" w:hAnsi="Calibri"/>
                <w:b/>
                <w:i/>
                <w:sz w:val="26"/>
              </w:rPr>
              <w:t>Regresión</w:t>
            </w:r>
          </w:p>
        </w:tc>
        <w:tc>
          <w:tcPr>
            <w:tcW w:w="2974" w:type="dxa"/>
            <w:tcBorders>
              <w:bottom w:val="single" w:sz="6" w:space="0" w:color="000000"/>
            </w:tcBorders>
          </w:tcPr>
          <w:p>
            <w:pPr/>
          </w:p>
        </w:tc>
      </w:tr>
      <w:tr>
        <w:trPr>
          <w:trHeight w:val="295" w:hRule="exact"/>
        </w:trPr>
        <w:tc>
          <w:tcPr>
            <w:tcW w:w="2081" w:type="dxa"/>
            <w:tcBorders>
              <w:top w:val="single" w:sz="6" w:space="0" w:color="000000"/>
            </w:tcBorders>
          </w:tcPr>
          <w:p>
            <w:pPr>
              <w:pStyle w:val="TableParagraph"/>
              <w:spacing w:line="275" w:lineRule="exact"/>
              <w:ind w:left="83"/>
              <w:jc w:val="left"/>
              <w:rPr>
                <w:sz w:val="24"/>
              </w:rPr>
            </w:pPr>
            <w:r>
              <w:rPr>
                <w:sz w:val="24"/>
              </w:rPr>
              <w:t>Constante</w:t>
            </w:r>
          </w:p>
        </w:tc>
        <w:tc>
          <w:tcPr>
            <w:tcW w:w="2974" w:type="dxa"/>
            <w:tcBorders>
              <w:top w:val="single" w:sz="6" w:space="0" w:color="000000"/>
            </w:tcBorders>
          </w:tcPr>
          <w:p>
            <w:pPr>
              <w:pStyle w:val="TableParagraph"/>
              <w:spacing w:line="275" w:lineRule="exact"/>
              <w:ind w:left="393"/>
              <w:jc w:val="left"/>
              <w:rPr>
                <w:sz w:val="24"/>
              </w:rPr>
            </w:pPr>
            <w:r>
              <w:rPr>
                <w:sz w:val="24"/>
              </w:rPr>
              <w:t>0.0055</w:t>
            </w:r>
          </w:p>
        </w:tc>
      </w:tr>
      <w:tr>
        <w:trPr>
          <w:trHeight w:val="276" w:hRule="exact"/>
        </w:trPr>
        <w:tc>
          <w:tcPr>
            <w:tcW w:w="2081" w:type="dxa"/>
          </w:tcPr>
          <w:p>
            <w:pPr>
              <w:pStyle w:val="TableParagraph"/>
              <w:spacing w:line="263" w:lineRule="exact"/>
              <w:ind w:left="83"/>
              <w:jc w:val="left"/>
              <w:rPr>
                <w:sz w:val="24"/>
              </w:rPr>
            </w:pPr>
            <w:r>
              <w:rPr>
                <w:sz w:val="24"/>
              </w:rPr>
              <w:t>Coeficiente X</w:t>
            </w:r>
          </w:p>
        </w:tc>
        <w:tc>
          <w:tcPr>
            <w:tcW w:w="2974" w:type="dxa"/>
          </w:tcPr>
          <w:p>
            <w:pPr>
              <w:pStyle w:val="TableParagraph"/>
              <w:spacing w:line="263" w:lineRule="exact"/>
              <w:ind w:left="393"/>
              <w:jc w:val="left"/>
              <w:rPr>
                <w:sz w:val="24"/>
              </w:rPr>
            </w:pPr>
            <w:r>
              <w:rPr>
                <w:sz w:val="24"/>
              </w:rPr>
              <w:t>0.0025</w:t>
            </w:r>
          </w:p>
        </w:tc>
      </w:tr>
      <w:tr>
        <w:trPr>
          <w:trHeight w:val="276" w:hRule="exact"/>
        </w:trPr>
        <w:tc>
          <w:tcPr>
            <w:tcW w:w="2081" w:type="dxa"/>
          </w:tcPr>
          <w:p>
            <w:pPr>
              <w:pStyle w:val="TableParagraph"/>
              <w:spacing w:line="263" w:lineRule="exact"/>
              <w:ind w:left="83"/>
              <w:jc w:val="left"/>
              <w:rPr>
                <w:sz w:val="24"/>
              </w:rPr>
            </w:pPr>
            <w:r>
              <w:rPr>
                <w:sz w:val="24"/>
              </w:rPr>
              <w:t>R cuadrada</w:t>
            </w:r>
          </w:p>
        </w:tc>
        <w:tc>
          <w:tcPr>
            <w:tcW w:w="2974" w:type="dxa"/>
          </w:tcPr>
          <w:p>
            <w:pPr>
              <w:pStyle w:val="TableParagraph"/>
              <w:spacing w:line="263" w:lineRule="exact"/>
              <w:ind w:left="393"/>
              <w:jc w:val="left"/>
              <w:rPr>
                <w:sz w:val="24"/>
              </w:rPr>
            </w:pPr>
            <w:r>
              <w:rPr>
                <w:sz w:val="24"/>
              </w:rPr>
              <w:t>1.00</w:t>
            </w:r>
          </w:p>
        </w:tc>
      </w:tr>
      <w:tr>
        <w:trPr>
          <w:trHeight w:val="282" w:hRule="exact"/>
        </w:trPr>
        <w:tc>
          <w:tcPr>
            <w:tcW w:w="2081" w:type="dxa"/>
            <w:tcBorders>
              <w:bottom w:val="single" w:sz="12" w:space="0" w:color="000000"/>
            </w:tcBorders>
          </w:tcPr>
          <w:p>
            <w:pPr>
              <w:pStyle w:val="TableParagraph"/>
              <w:spacing w:line="263" w:lineRule="exact"/>
              <w:ind w:left="83"/>
              <w:jc w:val="left"/>
              <w:rPr>
                <w:sz w:val="24"/>
              </w:rPr>
            </w:pPr>
            <w:r>
              <w:rPr>
                <w:sz w:val="24"/>
              </w:rPr>
              <w:t>Observaciones</w:t>
            </w:r>
          </w:p>
        </w:tc>
        <w:tc>
          <w:tcPr>
            <w:tcW w:w="2974" w:type="dxa"/>
            <w:tcBorders>
              <w:bottom w:val="single" w:sz="12" w:space="0" w:color="000000"/>
            </w:tcBorders>
          </w:tcPr>
          <w:p>
            <w:pPr>
              <w:pStyle w:val="TableParagraph"/>
              <w:spacing w:line="263" w:lineRule="exact"/>
              <w:ind w:left="393"/>
              <w:jc w:val="left"/>
              <w:rPr>
                <w:sz w:val="24"/>
              </w:rPr>
            </w:pPr>
            <w:r>
              <w:rPr>
                <w:w w:val="99"/>
                <w:sz w:val="24"/>
              </w:rPr>
              <w:t>8</w:t>
            </w:r>
          </w:p>
        </w:tc>
      </w:tr>
    </w:tbl>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2"/>
        <w:rPr>
          <w:b/>
        </w:rPr>
      </w:pPr>
    </w:p>
    <w:p>
      <w:pPr>
        <w:pStyle w:val="ListParagraph"/>
        <w:numPr>
          <w:ilvl w:val="0"/>
          <w:numId w:val="11"/>
        </w:numPr>
        <w:tabs>
          <w:tab w:pos="761" w:val="left" w:leader="none"/>
          <w:tab w:pos="762" w:val="left" w:leader="none"/>
        </w:tabs>
        <w:spacing w:line="240" w:lineRule="auto" w:before="69" w:after="0"/>
        <w:ind w:left="762" w:right="0" w:hanging="653"/>
        <w:jc w:val="left"/>
        <w:rPr>
          <w:b/>
          <w:sz w:val="24"/>
        </w:rPr>
      </w:pPr>
      <w:r>
        <w:rPr>
          <w:b/>
          <w:sz w:val="24"/>
        </w:rPr>
        <w:t>Limite de</w:t>
      </w:r>
      <w:r>
        <w:rPr>
          <w:b/>
          <w:spacing w:val="-4"/>
          <w:sz w:val="24"/>
        </w:rPr>
        <w:t> </w:t>
      </w:r>
      <w:r>
        <w:rPr>
          <w:b/>
          <w:sz w:val="24"/>
        </w:rPr>
        <w:t>Cuantificación</w:t>
      </w:r>
    </w:p>
    <w:p>
      <w:pPr>
        <w:spacing w:after="0" w:line="240" w:lineRule="auto"/>
        <w:jc w:val="left"/>
        <w:rPr>
          <w:sz w:val="24"/>
        </w:rPr>
        <w:sectPr>
          <w:footerReference w:type="default" r:id="rId78"/>
          <w:pgSz w:w="12240" w:h="15840"/>
          <w:pgMar w:footer="919" w:header="0" w:top="1360" w:bottom="1100" w:left="1660" w:right="1580"/>
        </w:sectPr>
      </w:pPr>
    </w:p>
    <w:p>
      <w:pPr>
        <w:pStyle w:val="BodyText"/>
        <w:spacing w:line="360" w:lineRule="auto" w:before="56"/>
        <w:ind w:left="750" w:right="217"/>
        <w:jc w:val="both"/>
      </w:pPr>
      <w:r>
        <w:rPr>
          <w:color w:val="212121"/>
        </w:rPr>
        <w:t>La solución al límite de cuantificación (LC) se midió en seis ocasiones. El promedio de la relación de respuesta, % DER de la relación de la  respuesta, la concentración en g/L y en ppm de la concentración de la muestra se presenta en la Tabla</w:t>
      </w:r>
      <w:r>
        <w:rPr>
          <w:color w:val="212121"/>
          <w:spacing w:val="-8"/>
        </w:rPr>
        <w:t> </w:t>
      </w:r>
      <w:r>
        <w:rPr>
          <w:color w:val="212121"/>
        </w:rPr>
        <w:t>C.IV.1.</w:t>
      </w:r>
    </w:p>
    <w:p>
      <w:pPr>
        <w:pStyle w:val="Heading1"/>
        <w:spacing w:before="204" w:after="43"/>
        <w:ind w:left="750"/>
      </w:pPr>
      <w:r>
        <w:rPr>
          <w:color w:val="212121"/>
        </w:rPr>
        <w:t>Tabla C.IV.1. Resultados del Límite de Cuantificación para la clase 2A</w:t>
      </w:r>
    </w:p>
    <w:tbl>
      <w:tblPr>
        <w:tblW w:w="0" w:type="auto"/>
        <w:jc w:val="left"/>
        <w:tblInd w:w="210"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CellMar>
          <w:top w:w="0" w:type="dxa"/>
          <w:left w:w="0" w:type="dxa"/>
          <w:bottom w:w="0" w:type="dxa"/>
          <w:right w:w="0" w:type="dxa"/>
        </w:tblCellMar>
        <w:tblLook w:val="01E0"/>
      </w:tblPr>
      <w:tblGrid>
        <w:gridCol w:w="1378"/>
        <w:gridCol w:w="1628"/>
        <w:gridCol w:w="1776"/>
        <w:gridCol w:w="1841"/>
        <w:gridCol w:w="2105"/>
      </w:tblGrid>
      <w:tr>
        <w:trPr>
          <w:trHeight w:val="1322" w:hRule="exact"/>
        </w:trPr>
        <w:tc>
          <w:tcPr>
            <w:tcW w:w="1378" w:type="dxa"/>
            <w:shd w:val="clear" w:color="auto" w:fill="D9D9D9"/>
          </w:tcPr>
          <w:p>
            <w:pPr>
              <w:pStyle w:val="TableParagraph"/>
              <w:spacing w:before="6"/>
              <w:jc w:val="left"/>
              <w:rPr>
                <w:b/>
                <w:sz w:val="35"/>
              </w:rPr>
            </w:pPr>
          </w:p>
          <w:p>
            <w:pPr>
              <w:pStyle w:val="TableParagraph"/>
              <w:ind w:left="266"/>
              <w:jc w:val="left"/>
              <w:rPr>
                <w:b/>
                <w:sz w:val="24"/>
              </w:rPr>
            </w:pPr>
            <w:r>
              <w:rPr>
                <w:b/>
                <w:sz w:val="24"/>
              </w:rPr>
              <w:t>Analito</w:t>
            </w:r>
          </w:p>
        </w:tc>
        <w:tc>
          <w:tcPr>
            <w:tcW w:w="1628" w:type="dxa"/>
            <w:shd w:val="clear" w:color="auto" w:fill="D9D9D9"/>
          </w:tcPr>
          <w:p>
            <w:pPr>
              <w:pStyle w:val="TableParagraph"/>
              <w:spacing w:before="36"/>
              <w:ind w:left="69" w:right="72"/>
              <w:rPr>
                <w:b/>
                <w:sz w:val="20"/>
              </w:rPr>
            </w:pPr>
            <w:r>
              <w:rPr>
                <w:b/>
                <w:sz w:val="24"/>
              </w:rPr>
              <w:t>Promedio de</w:t>
            </w:r>
            <w:r>
              <w:rPr>
                <w:b/>
                <w:w w:val="99"/>
                <w:sz w:val="24"/>
              </w:rPr>
              <w:t> </w:t>
            </w:r>
            <w:r>
              <w:rPr>
                <w:b/>
                <w:sz w:val="24"/>
              </w:rPr>
              <w:t>la respuesta </w:t>
            </w:r>
            <w:r>
              <w:rPr>
                <w:b/>
                <w:sz w:val="20"/>
              </w:rPr>
              <w:t>(Relación CPS</w:t>
            </w:r>
            <w:r>
              <w:rPr>
                <w:b/>
                <w:position w:val="-2"/>
                <w:sz w:val="13"/>
              </w:rPr>
              <w:t>X</w:t>
            </w:r>
            <w:r>
              <w:rPr>
                <w:b/>
                <w:sz w:val="20"/>
              </w:rPr>
              <w:t>/CPS</w:t>
            </w:r>
            <w:r>
              <w:rPr>
                <w:b/>
                <w:position w:val="-2"/>
                <w:sz w:val="13"/>
              </w:rPr>
              <w:t>EI</w:t>
            </w:r>
            <w:r>
              <w:rPr>
                <w:b/>
                <w:sz w:val="20"/>
              </w:rPr>
              <w:t>)</w:t>
            </w:r>
          </w:p>
        </w:tc>
        <w:tc>
          <w:tcPr>
            <w:tcW w:w="1776" w:type="dxa"/>
            <w:shd w:val="clear" w:color="auto" w:fill="D9D9D9"/>
          </w:tcPr>
          <w:p>
            <w:pPr>
              <w:pStyle w:val="TableParagraph"/>
              <w:spacing w:before="36"/>
              <w:ind w:left="204" w:right="208"/>
              <w:rPr>
                <w:b/>
                <w:sz w:val="20"/>
              </w:rPr>
            </w:pPr>
            <w:r>
              <w:rPr>
                <w:b/>
                <w:sz w:val="24"/>
              </w:rPr>
              <w:t>%DER de la</w:t>
            </w:r>
            <w:r>
              <w:rPr>
                <w:b/>
                <w:w w:val="99"/>
                <w:sz w:val="24"/>
              </w:rPr>
              <w:t> </w:t>
            </w:r>
            <w:r>
              <w:rPr>
                <w:b/>
                <w:sz w:val="24"/>
              </w:rPr>
              <w:t>respuesta </w:t>
            </w:r>
            <w:r>
              <w:rPr>
                <w:b/>
                <w:sz w:val="20"/>
              </w:rPr>
              <w:t>(Relación CPS</w:t>
            </w:r>
            <w:r>
              <w:rPr>
                <w:b/>
                <w:position w:val="-2"/>
                <w:sz w:val="13"/>
              </w:rPr>
              <w:t>X</w:t>
            </w:r>
            <w:r>
              <w:rPr>
                <w:b/>
                <w:sz w:val="20"/>
              </w:rPr>
              <w:t>/CPS</w:t>
            </w:r>
            <w:r>
              <w:rPr>
                <w:b/>
                <w:position w:val="-2"/>
                <w:sz w:val="13"/>
              </w:rPr>
              <w:t>EI</w:t>
            </w:r>
            <w:r>
              <w:rPr>
                <w:b/>
                <w:sz w:val="20"/>
              </w:rPr>
              <w:t>)</w:t>
            </w:r>
          </w:p>
        </w:tc>
        <w:tc>
          <w:tcPr>
            <w:tcW w:w="1841" w:type="dxa"/>
            <w:shd w:val="clear" w:color="auto" w:fill="D9D9D9"/>
          </w:tcPr>
          <w:p>
            <w:pPr>
              <w:pStyle w:val="TableParagraph"/>
              <w:spacing w:line="415" w:lineRule="auto" w:before="168"/>
              <w:ind w:left="573" w:right="51" w:hanging="512"/>
              <w:jc w:val="left"/>
              <w:rPr>
                <w:b/>
                <w:sz w:val="24"/>
              </w:rPr>
            </w:pPr>
            <w:r>
              <w:rPr>
                <w:b/>
                <w:sz w:val="24"/>
              </w:rPr>
              <w:t>Concentración (µg/L)</w:t>
            </w:r>
          </w:p>
        </w:tc>
        <w:tc>
          <w:tcPr>
            <w:tcW w:w="2105" w:type="dxa"/>
            <w:shd w:val="clear" w:color="auto" w:fill="D9D9D9"/>
          </w:tcPr>
          <w:p>
            <w:pPr>
              <w:pStyle w:val="TableParagraph"/>
              <w:spacing w:before="130"/>
              <w:ind w:left="215" w:right="217" w:hanging="1"/>
              <w:rPr>
                <w:b/>
                <w:sz w:val="24"/>
              </w:rPr>
            </w:pPr>
            <w:r>
              <w:rPr>
                <w:b/>
                <w:sz w:val="24"/>
              </w:rPr>
              <w:t>ppm de la </w:t>
            </w:r>
            <w:r>
              <w:rPr>
                <w:b/>
                <w:w w:val="95"/>
                <w:sz w:val="24"/>
              </w:rPr>
              <w:t>concentración </w:t>
            </w:r>
            <w:r>
              <w:rPr>
                <w:b/>
                <w:sz w:val="24"/>
              </w:rPr>
              <w:t>de la muestra</w:t>
            </w:r>
          </w:p>
        </w:tc>
      </w:tr>
      <w:tr>
        <w:trPr>
          <w:trHeight w:val="615" w:hRule="exact"/>
        </w:trPr>
        <w:tc>
          <w:tcPr>
            <w:tcW w:w="1378" w:type="dxa"/>
            <w:tcBorders>
              <w:bottom w:val="single" w:sz="8" w:space="0" w:color="000000"/>
            </w:tcBorders>
          </w:tcPr>
          <w:p>
            <w:pPr>
              <w:pStyle w:val="TableParagraph"/>
              <w:spacing w:before="152"/>
              <w:ind w:left="232"/>
              <w:jc w:val="left"/>
              <w:rPr>
                <w:sz w:val="24"/>
              </w:rPr>
            </w:pPr>
            <w:r>
              <w:rPr>
                <w:sz w:val="24"/>
              </w:rPr>
              <w:t>Vanadio</w:t>
            </w:r>
          </w:p>
        </w:tc>
        <w:tc>
          <w:tcPr>
            <w:tcW w:w="1628" w:type="dxa"/>
            <w:tcBorders>
              <w:bottom w:val="single" w:sz="8" w:space="0" w:color="000000"/>
            </w:tcBorders>
          </w:tcPr>
          <w:p>
            <w:pPr>
              <w:pStyle w:val="TableParagraph"/>
              <w:spacing w:before="152"/>
              <w:ind w:left="363"/>
              <w:jc w:val="left"/>
              <w:rPr>
                <w:sz w:val="24"/>
              </w:rPr>
            </w:pPr>
            <w:r>
              <w:rPr>
                <w:sz w:val="24"/>
              </w:rPr>
              <w:t>0.02386</w:t>
            </w:r>
          </w:p>
        </w:tc>
        <w:tc>
          <w:tcPr>
            <w:tcW w:w="1776" w:type="dxa"/>
            <w:tcBorders>
              <w:bottom w:val="single" w:sz="8" w:space="0" w:color="000000"/>
            </w:tcBorders>
          </w:tcPr>
          <w:p>
            <w:pPr>
              <w:pStyle w:val="TableParagraph"/>
              <w:spacing w:before="152"/>
              <w:ind w:right="4"/>
              <w:rPr>
                <w:sz w:val="24"/>
              </w:rPr>
            </w:pPr>
            <w:r>
              <w:rPr>
                <w:w w:val="99"/>
                <w:sz w:val="24"/>
              </w:rPr>
              <w:t>3</w:t>
            </w:r>
          </w:p>
        </w:tc>
        <w:tc>
          <w:tcPr>
            <w:tcW w:w="1841" w:type="dxa"/>
            <w:tcBorders>
              <w:bottom w:val="single" w:sz="8" w:space="0" w:color="000000"/>
            </w:tcBorders>
          </w:tcPr>
          <w:p>
            <w:pPr>
              <w:pStyle w:val="TableParagraph"/>
              <w:spacing w:before="152"/>
              <w:ind w:left="516" w:right="521"/>
              <w:rPr>
                <w:sz w:val="24"/>
              </w:rPr>
            </w:pPr>
            <w:r>
              <w:rPr>
                <w:sz w:val="24"/>
              </w:rPr>
              <w:t>2.5000</w:t>
            </w:r>
          </w:p>
        </w:tc>
        <w:tc>
          <w:tcPr>
            <w:tcW w:w="2105" w:type="dxa"/>
            <w:tcBorders>
              <w:bottom w:val="single" w:sz="8" w:space="0" w:color="000000"/>
            </w:tcBorders>
          </w:tcPr>
          <w:p>
            <w:pPr>
              <w:pStyle w:val="TableParagraph"/>
              <w:spacing w:before="152"/>
              <w:ind w:left="783" w:right="785"/>
              <w:rPr>
                <w:sz w:val="24"/>
              </w:rPr>
            </w:pPr>
            <w:r>
              <w:rPr>
                <w:sz w:val="24"/>
              </w:rPr>
              <w:t>2.50</w:t>
            </w:r>
          </w:p>
        </w:tc>
      </w:tr>
      <w:tr>
        <w:trPr>
          <w:trHeight w:val="607" w:hRule="exact"/>
        </w:trPr>
        <w:tc>
          <w:tcPr>
            <w:tcW w:w="1378" w:type="dxa"/>
            <w:tcBorders>
              <w:top w:val="single" w:sz="8" w:space="0" w:color="000000"/>
              <w:bottom w:val="single" w:sz="8" w:space="0" w:color="000000"/>
            </w:tcBorders>
          </w:tcPr>
          <w:p>
            <w:pPr>
              <w:pStyle w:val="TableParagraph"/>
              <w:spacing w:before="151"/>
              <w:ind w:left="259"/>
              <w:jc w:val="left"/>
              <w:rPr>
                <w:sz w:val="24"/>
              </w:rPr>
            </w:pPr>
            <w:r>
              <w:rPr>
                <w:sz w:val="24"/>
              </w:rPr>
              <w:t>Cobalto</w:t>
            </w:r>
          </w:p>
        </w:tc>
        <w:tc>
          <w:tcPr>
            <w:tcW w:w="1628" w:type="dxa"/>
            <w:tcBorders>
              <w:top w:val="single" w:sz="8" w:space="0" w:color="000000"/>
              <w:bottom w:val="single" w:sz="8" w:space="0" w:color="000000"/>
            </w:tcBorders>
          </w:tcPr>
          <w:p>
            <w:pPr>
              <w:pStyle w:val="TableParagraph"/>
              <w:spacing w:before="151"/>
              <w:ind w:left="363"/>
              <w:jc w:val="left"/>
              <w:rPr>
                <w:sz w:val="24"/>
              </w:rPr>
            </w:pPr>
            <w:r>
              <w:rPr>
                <w:sz w:val="24"/>
              </w:rPr>
              <w:t>0.01149</w:t>
            </w:r>
          </w:p>
        </w:tc>
        <w:tc>
          <w:tcPr>
            <w:tcW w:w="1776" w:type="dxa"/>
            <w:tcBorders>
              <w:top w:val="single" w:sz="8" w:space="0" w:color="000000"/>
              <w:bottom w:val="single" w:sz="8" w:space="0" w:color="000000"/>
            </w:tcBorders>
          </w:tcPr>
          <w:p>
            <w:pPr>
              <w:pStyle w:val="TableParagraph"/>
              <w:spacing w:before="151"/>
              <w:ind w:right="4"/>
              <w:rPr>
                <w:sz w:val="24"/>
              </w:rPr>
            </w:pPr>
            <w:r>
              <w:rPr>
                <w:w w:val="99"/>
                <w:sz w:val="24"/>
              </w:rPr>
              <w:t>1</w:t>
            </w:r>
          </w:p>
        </w:tc>
        <w:tc>
          <w:tcPr>
            <w:tcW w:w="1841" w:type="dxa"/>
            <w:tcBorders>
              <w:top w:val="single" w:sz="8" w:space="0" w:color="000000"/>
              <w:bottom w:val="single" w:sz="8" w:space="0" w:color="000000"/>
            </w:tcBorders>
          </w:tcPr>
          <w:p>
            <w:pPr>
              <w:pStyle w:val="TableParagraph"/>
              <w:spacing w:before="151"/>
              <w:ind w:left="516" w:right="521"/>
              <w:rPr>
                <w:sz w:val="24"/>
              </w:rPr>
            </w:pPr>
            <w:r>
              <w:rPr>
                <w:sz w:val="24"/>
              </w:rPr>
              <w:t>1.2500</w:t>
            </w:r>
          </w:p>
        </w:tc>
        <w:tc>
          <w:tcPr>
            <w:tcW w:w="2105" w:type="dxa"/>
            <w:tcBorders>
              <w:top w:val="single" w:sz="8" w:space="0" w:color="000000"/>
              <w:bottom w:val="single" w:sz="8" w:space="0" w:color="000000"/>
            </w:tcBorders>
          </w:tcPr>
          <w:p>
            <w:pPr>
              <w:pStyle w:val="TableParagraph"/>
              <w:spacing w:before="151"/>
              <w:ind w:left="783" w:right="785"/>
              <w:rPr>
                <w:sz w:val="24"/>
              </w:rPr>
            </w:pPr>
            <w:r>
              <w:rPr>
                <w:sz w:val="24"/>
              </w:rPr>
              <w:t>1.25</w:t>
            </w:r>
          </w:p>
        </w:tc>
      </w:tr>
      <w:tr>
        <w:trPr>
          <w:trHeight w:val="614" w:hRule="exact"/>
        </w:trPr>
        <w:tc>
          <w:tcPr>
            <w:tcW w:w="1378" w:type="dxa"/>
            <w:tcBorders>
              <w:top w:val="single" w:sz="8" w:space="0" w:color="000000"/>
            </w:tcBorders>
          </w:tcPr>
          <w:p>
            <w:pPr>
              <w:pStyle w:val="TableParagraph"/>
              <w:spacing w:before="154"/>
              <w:ind w:left="326"/>
              <w:jc w:val="left"/>
              <w:rPr>
                <w:sz w:val="24"/>
              </w:rPr>
            </w:pPr>
            <w:r>
              <w:rPr>
                <w:sz w:val="24"/>
              </w:rPr>
              <w:t>Níquel</w:t>
            </w:r>
          </w:p>
        </w:tc>
        <w:tc>
          <w:tcPr>
            <w:tcW w:w="1628" w:type="dxa"/>
            <w:tcBorders>
              <w:top w:val="single" w:sz="8" w:space="0" w:color="000000"/>
            </w:tcBorders>
          </w:tcPr>
          <w:p>
            <w:pPr>
              <w:pStyle w:val="TableParagraph"/>
              <w:spacing w:before="154"/>
              <w:ind w:left="363"/>
              <w:jc w:val="left"/>
              <w:rPr>
                <w:sz w:val="24"/>
              </w:rPr>
            </w:pPr>
            <w:r>
              <w:rPr>
                <w:sz w:val="24"/>
              </w:rPr>
              <w:t>0.01645</w:t>
            </w:r>
          </w:p>
        </w:tc>
        <w:tc>
          <w:tcPr>
            <w:tcW w:w="1776" w:type="dxa"/>
            <w:tcBorders>
              <w:top w:val="single" w:sz="8" w:space="0" w:color="000000"/>
            </w:tcBorders>
          </w:tcPr>
          <w:p>
            <w:pPr>
              <w:pStyle w:val="TableParagraph"/>
              <w:spacing w:before="154"/>
              <w:ind w:right="4"/>
              <w:rPr>
                <w:sz w:val="24"/>
              </w:rPr>
            </w:pPr>
            <w:r>
              <w:rPr>
                <w:w w:val="99"/>
                <w:sz w:val="24"/>
              </w:rPr>
              <w:t>1</w:t>
            </w:r>
          </w:p>
        </w:tc>
        <w:tc>
          <w:tcPr>
            <w:tcW w:w="1841" w:type="dxa"/>
            <w:tcBorders>
              <w:top w:val="single" w:sz="8" w:space="0" w:color="000000"/>
            </w:tcBorders>
          </w:tcPr>
          <w:p>
            <w:pPr>
              <w:pStyle w:val="TableParagraph"/>
              <w:spacing w:before="154"/>
              <w:ind w:left="516" w:right="521"/>
              <w:rPr>
                <w:sz w:val="24"/>
              </w:rPr>
            </w:pPr>
            <w:r>
              <w:rPr>
                <w:sz w:val="24"/>
              </w:rPr>
              <w:t>5.0000</w:t>
            </w:r>
          </w:p>
        </w:tc>
        <w:tc>
          <w:tcPr>
            <w:tcW w:w="2105" w:type="dxa"/>
            <w:tcBorders>
              <w:top w:val="single" w:sz="8" w:space="0" w:color="000000"/>
            </w:tcBorders>
          </w:tcPr>
          <w:p>
            <w:pPr>
              <w:pStyle w:val="TableParagraph"/>
              <w:spacing w:before="154"/>
              <w:ind w:left="783" w:right="785"/>
              <w:rPr>
                <w:sz w:val="24"/>
              </w:rPr>
            </w:pPr>
            <w:r>
              <w:rPr>
                <w:sz w:val="24"/>
              </w:rPr>
              <w:t>5.00</w:t>
            </w:r>
          </w:p>
        </w:tc>
      </w:tr>
    </w:tbl>
    <w:p>
      <w:pPr>
        <w:spacing w:before="2"/>
        <w:ind w:left="243" w:right="0" w:firstLine="0"/>
        <w:jc w:val="left"/>
        <w:rPr>
          <w:sz w:val="20"/>
        </w:rPr>
      </w:pPr>
      <w:r>
        <w:rPr>
          <w:color w:val="212121"/>
          <w:sz w:val="20"/>
        </w:rPr>
        <w:t>Donde: X = analito, EI = Estándar Interno</w:t>
      </w:r>
    </w:p>
    <w:p>
      <w:pPr>
        <w:pStyle w:val="BodyText"/>
        <w:rPr>
          <w:sz w:val="20"/>
        </w:rPr>
      </w:pPr>
    </w:p>
    <w:p>
      <w:pPr>
        <w:pStyle w:val="BodyText"/>
        <w:spacing w:before="8"/>
        <w:rPr>
          <w:sz w:val="28"/>
        </w:rPr>
      </w:pPr>
    </w:p>
    <w:p>
      <w:pPr>
        <w:pStyle w:val="Heading1"/>
        <w:numPr>
          <w:ilvl w:val="0"/>
          <w:numId w:val="11"/>
        </w:numPr>
        <w:tabs>
          <w:tab w:pos="761" w:val="left" w:leader="none"/>
          <w:tab w:pos="762" w:val="left" w:leader="none"/>
        </w:tabs>
        <w:spacing w:line="240" w:lineRule="auto" w:before="0" w:after="0"/>
        <w:ind w:left="762" w:right="0" w:hanging="586"/>
        <w:jc w:val="left"/>
      </w:pPr>
      <w:r>
        <w:rPr/>
        <w:t>Limite de</w:t>
      </w:r>
      <w:r>
        <w:rPr>
          <w:spacing w:val="-3"/>
        </w:rPr>
        <w:t> </w:t>
      </w:r>
      <w:r>
        <w:rPr/>
        <w:t>Detección</w:t>
      </w:r>
    </w:p>
    <w:p>
      <w:pPr>
        <w:pStyle w:val="BodyText"/>
        <w:spacing w:before="5"/>
        <w:rPr>
          <w:b/>
          <w:sz w:val="29"/>
        </w:rPr>
      </w:pPr>
    </w:p>
    <w:p>
      <w:pPr>
        <w:pStyle w:val="BodyText"/>
        <w:spacing w:line="360" w:lineRule="auto"/>
        <w:ind w:left="750" w:right="221"/>
        <w:jc w:val="both"/>
      </w:pPr>
      <w:r>
        <w:rPr>
          <w:color w:val="212121"/>
        </w:rPr>
        <w:t>La solución límite de detección (LD) se midió en seis ocasiones. La media de la respuesta, la concentración en g/L y en ppm de la concentración de la muestra se presenta en la Tabla C.V.1</w:t>
      </w:r>
    </w:p>
    <w:p>
      <w:pPr>
        <w:pStyle w:val="BodyText"/>
      </w:pPr>
    </w:p>
    <w:p>
      <w:pPr>
        <w:pStyle w:val="Heading1"/>
        <w:spacing w:before="142"/>
        <w:ind w:left="750"/>
      </w:pPr>
      <w:r>
        <w:rPr>
          <w:color w:val="212121"/>
        </w:rPr>
        <w:t>Tabla C.V.1. Resultados del Límite de Detección para la clase 2A</w:t>
      </w:r>
    </w:p>
    <w:p>
      <w:pPr>
        <w:pStyle w:val="BodyText"/>
        <w:spacing w:before="3"/>
        <w:rPr>
          <w:b/>
          <w:sz w:val="12"/>
        </w:rPr>
      </w:pPr>
    </w:p>
    <w:tbl>
      <w:tblPr>
        <w:tblW w:w="0" w:type="auto"/>
        <w:jc w:val="left"/>
        <w:tblInd w:w="106"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CellMar>
          <w:top w:w="0" w:type="dxa"/>
          <w:left w:w="0" w:type="dxa"/>
          <w:bottom w:w="0" w:type="dxa"/>
          <w:right w:w="0" w:type="dxa"/>
        </w:tblCellMar>
        <w:tblLook w:val="01E0"/>
      </w:tblPr>
      <w:tblGrid>
        <w:gridCol w:w="1769"/>
        <w:gridCol w:w="1903"/>
        <w:gridCol w:w="2280"/>
        <w:gridCol w:w="2730"/>
      </w:tblGrid>
      <w:tr>
        <w:trPr>
          <w:trHeight w:val="1056" w:hRule="exact"/>
        </w:trPr>
        <w:tc>
          <w:tcPr>
            <w:tcW w:w="1769" w:type="dxa"/>
            <w:shd w:val="clear" w:color="auto" w:fill="D9D9D9"/>
          </w:tcPr>
          <w:p>
            <w:pPr>
              <w:pStyle w:val="TableParagraph"/>
              <w:spacing w:before="4"/>
              <w:jc w:val="left"/>
              <w:rPr>
                <w:b/>
                <w:sz w:val="32"/>
              </w:rPr>
            </w:pPr>
          </w:p>
          <w:p>
            <w:pPr>
              <w:pStyle w:val="TableParagraph"/>
              <w:ind w:left="405" w:right="410"/>
              <w:rPr>
                <w:b/>
                <w:sz w:val="24"/>
              </w:rPr>
            </w:pPr>
            <w:r>
              <w:rPr>
                <w:b/>
                <w:sz w:val="24"/>
              </w:rPr>
              <w:t>Analito</w:t>
            </w:r>
          </w:p>
        </w:tc>
        <w:tc>
          <w:tcPr>
            <w:tcW w:w="1903" w:type="dxa"/>
            <w:shd w:val="clear" w:color="auto" w:fill="D9D9D9"/>
          </w:tcPr>
          <w:p>
            <w:pPr>
              <w:pStyle w:val="TableParagraph"/>
              <w:ind w:left="74" w:right="76"/>
              <w:rPr>
                <w:b/>
                <w:bCs/>
                <w:sz w:val="24"/>
                <w:szCs w:val="24"/>
              </w:rPr>
            </w:pPr>
            <w:r>
              <w:rPr>
                <w:b/>
                <w:bCs/>
                <w:sz w:val="24"/>
                <w:szCs w:val="24"/>
              </w:rPr>
              <w:t>Promedio de la respuesta (CPSᵃ)</w:t>
            </w:r>
          </w:p>
        </w:tc>
        <w:tc>
          <w:tcPr>
            <w:tcW w:w="2280" w:type="dxa"/>
            <w:shd w:val="clear" w:color="auto" w:fill="D9D9D9"/>
          </w:tcPr>
          <w:p>
            <w:pPr>
              <w:pStyle w:val="TableParagraph"/>
              <w:spacing w:line="412" w:lineRule="auto" w:before="36"/>
              <w:ind w:left="794" w:right="269" w:hanging="512"/>
              <w:jc w:val="left"/>
              <w:rPr>
                <w:b/>
                <w:sz w:val="24"/>
              </w:rPr>
            </w:pPr>
            <w:r>
              <w:rPr>
                <w:b/>
                <w:sz w:val="24"/>
              </w:rPr>
              <w:t>Concentración (µg/L)</w:t>
            </w:r>
          </w:p>
        </w:tc>
        <w:tc>
          <w:tcPr>
            <w:tcW w:w="2730" w:type="dxa"/>
            <w:shd w:val="clear" w:color="auto" w:fill="D9D9D9"/>
          </w:tcPr>
          <w:p>
            <w:pPr>
              <w:pStyle w:val="TableParagraph"/>
              <w:ind w:left="220" w:right="224" w:firstLine="1"/>
              <w:rPr>
                <w:b/>
                <w:sz w:val="24"/>
              </w:rPr>
            </w:pPr>
            <w:r>
              <w:rPr>
                <w:b/>
                <w:sz w:val="24"/>
              </w:rPr>
              <w:t>ppm de la concentración de la muestra</w:t>
            </w:r>
          </w:p>
        </w:tc>
      </w:tr>
      <w:tr>
        <w:trPr>
          <w:trHeight w:val="646" w:hRule="exact"/>
        </w:trPr>
        <w:tc>
          <w:tcPr>
            <w:tcW w:w="1769" w:type="dxa"/>
            <w:tcBorders>
              <w:bottom w:val="single" w:sz="8" w:space="0" w:color="000000"/>
            </w:tcBorders>
          </w:tcPr>
          <w:p>
            <w:pPr>
              <w:pStyle w:val="TableParagraph"/>
              <w:spacing w:before="168"/>
              <w:ind w:left="408" w:right="410"/>
              <w:rPr>
                <w:sz w:val="24"/>
              </w:rPr>
            </w:pPr>
            <w:r>
              <w:rPr>
                <w:sz w:val="24"/>
              </w:rPr>
              <w:t>Vanadio</w:t>
            </w:r>
          </w:p>
        </w:tc>
        <w:tc>
          <w:tcPr>
            <w:tcW w:w="1903" w:type="dxa"/>
            <w:tcBorders>
              <w:bottom w:val="single" w:sz="8" w:space="0" w:color="000000"/>
            </w:tcBorders>
          </w:tcPr>
          <w:p>
            <w:pPr>
              <w:pStyle w:val="TableParagraph"/>
              <w:spacing w:before="168"/>
              <w:ind w:left="235"/>
              <w:jc w:val="left"/>
              <w:rPr>
                <w:sz w:val="24"/>
              </w:rPr>
            </w:pPr>
            <w:r>
              <w:rPr>
                <w:sz w:val="24"/>
              </w:rPr>
              <w:t>47426.91667</w:t>
            </w:r>
          </w:p>
        </w:tc>
        <w:tc>
          <w:tcPr>
            <w:tcW w:w="2280" w:type="dxa"/>
            <w:tcBorders>
              <w:bottom w:val="single" w:sz="8" w:space="0" w:color="000000"/>
            </w:tcBorders>
          </w:tcPr>
          <w:p>
            <w:pPr>
              <w:pStyle w:val="TableParagraph"/>
              <w:spacing w:before="168"/>
              <w:ind w:left="738" w:right="739"/>
              <w:rPr>
                <w:sz w:val="24"/>
              </w:rPr>
            </w:pPr>
            <w:r>
              <w:rPr>
                <w:sz w:val="24"/>
              </w:rPr>
              <w:t>1.2500</w:t>
            </w:r>
          </w:p>
        </w:tc>
        <w:tc>
          <w:tcPr>
            <w:tcW w:w="2730" w:type="dxa"/>
            <w:tcBorders>
              <w:bottom w:val="single" w:sz="8" w:space="0" w:color="000000"/>
            </w:tcBorders>
          </w:tcPr>
          <w:p>
            <w:pPr>
              <w:pStyle w:val="TableParagraph"/>
              <w:spacing w:before="168"/>
              <w:ind w:left="1049"/>
              <w:jc w:val="left"/>
              <w:rPr>
                <w:sz w:val="24"/>
              </w:rPr>
            </w:pPr>
            <w:r>
              <w:rPr>
                <w:sz w:val="24"/>
              </w:rPr>
              <w:t>1.250</w:t>
            </w:r>
          </w:p>
        </w:tc>
      </w:tr>
      <w:tr>
        <w:trPr>
          <w:trHeight w:val="638" w:hRule="exact"/>
        </w:trPr>
        <w:tc>
          <w:tcPr>
            <w:tcW w:w="1769" w:type="dxa"/>
            <w:tcBorders>
              <w:top w:val="single" w:sz="8" w:space="0" w:color="000000"/>
              <w:bottom w:val="single" w:sz="8" w:space="0" w:color="000000"/>
            </w:tcBorders>
          </w:tcPr>
          <w:p>
            <w:pPr>
              <w:pStyle w:val="TableParagraph"/>
              <w:spacing w:before="168"/>
              <w:ind w:left="408" w:right="410"/>
              <w:rPr>
                <w:sz w:val="24"/>
              </w:rPr>
            </w:pPr>
            <w:r>
              <w:rPr>
                <w:sz w:val="24"/>
              </w:rPr>
              <w:t>Cobalto</w:t>
            </w:r>
          </w:p>
        </w:tc>
        <w:tc>
          <w:tcPr>
            <w:tcW w:w="1903" w:type="dxa"/>
            <w:tcBorders>
              <w:top w:val="single" w:sz="8" w:space="0" w:color="000000"/>
              <w:bottom w:val="single" w:sz="8" w:space="0" w:color="000000"/>
            </w:tcBorders>
          </w:tcPr>
          <w:p>
            <w:pPr>
              <w:pStyle w:val="TableParagraph"/>
              <w:spacing w:before="168"/>
              <w:ind w:left="302"/>
              <w:jc w:val="left"/>
              <w:rPr>
                <w:sz w:val="24"/>
              </w:rPr>
            </w:pPr>
            <w:r>
              <w:rPr>
                <w:sz w:val="24"/>
              </w:rPr>
              <w:t>14946.9000</w:t>
            </w:r>
          </w:p>
        </w:tc>
        <w:tc>
          <w:tcPr>
            <w:tcW w:w="2280" w:type="dxa"/>
            <w:tcBorders>
              <w:top w:val="single" w:sz="8" w:space="0" w:color="000000"/>
              <w:bottom w:val="single" w:sz="8" w:space="0" w:color="000000"/>
            </w:tcBorders>
          </w:tcPr>
          <w:p>
            <w:pPr>
              <w:pStyle w:val="TableParagraph"/>
              <w:spacing w:before="168"/>
              <w:ind w:left="738" w:right="739"/>
              <w:rPr>
                <w:sz w:val="24"/>
              </w:rPr>
            </w:pPr>
            <w:r>
              <w:rPr>
                <w:sz w:val="24"/>
              </w:rPr>
              <w:t>0.6250</w:t>
            </w:r>
          </w:p>
        </w:tc>
        <w:tc>
          <w:tcPr>
            <w:tcW w:w="2730" w:type="dxa"/>
            <w:tcBorders>
              <w:top w:val="single" w:sz="8" w:space="0" w:color="000000"/>
              <w:bottom w:val="single" w:sz="8" w:space="0" w:color="000000"/>
            </w:tcBorders>
          </w:tcPr>
          <w:p>
            <w:pPr>
              <w:pStyle w:val="TableParagraph"/>
              <w:spacing w:before="168"/>
              <w:ind w:left="1049"/>
              <w:jc w:val="left"/>
              <w:rPr>
                <w:sz w:val="24"/>
              </w:rPr>
            </w:pPr>
            <w:r>
              <w:rPr>
                <w:sz w:val="24"/>
              </w:rPr>
              <w:t>0.625</w:t>
            </w:r>
          </w:p>
        </w:tc>
      </w:tr>
      <w:tr>
        <w:trPr>
          <w:trHeight w:val="643" w:hRule="exact"/>
        </w:trPr>
        <w:tc>
          <w:tcPr>
            <w:tcW w:w="1769" w:type="dxa"/>
            <w:tcBorders>
              <w:top w:val="single" w:sz="8" w:space="0" w:color="000000"/>
            </w:tcBorders>
          </w:tcPr>
          <w:p>
            <w:pPr>
              <w:pStyle w:val="TableParagraph"/>
              <w:spacing w:before="182"/>
              <w:ind w:left="408" w:right="410"/>
              <w:rPr>
                <w:sz w:val="22"/>
              </w:rPr>
            </w:pPr>
            <w:r>
              <w:rPr>
                <w:sz w:val="22"/>
              </w:rPr>
              <w:t>Níquel</w:t>
            </w:r>
          </w:p>
        </w:tc>
        <w:tc>
          <w:tcPr>
            <w:tcW w:w="1903" w:type="dxa"/>
            <w:tcBorders>
              <w:top w:val="single" w:sz="8" w:space="0" w:color="000000"/>
            </w:tcBorders>
          </w:tcPr>
          <w:p>
            <w:pPr>
              <w:pStyle w:val="TableParagraph"/>
              <w:spacing w:before="168"/>
              <w:ind w:left="235"/>
              <w:jc w:val="left"/>
              <w:rPr>
                <w:sz w:val="24"/>
              </w:rPr>
            </w:pPr>
            <w:r>
              <w:rPr>
                <w:sz w:val="24"/>
              </w:rPr>
              <w:t>29172.68333</w:t>
            </w:r>
          </w:p>
        </w:tc>
        <w:tc>
          <w:tcPr>
            <w:tcW w:w="2280" w:type="dxa"/>
            <w:tcBorders>
              <w:top w:val="single" w:sz="8" w:space="0" w:color="000000"/>
            </w:tcBorders>
          </w:tcPr>
          <w:p>
            <w:pPr>
              <w:pStyle w:val="TableParagraph"/>
              <w:spacing w:before="168"/>
              <w:ind w:left="738" w:right="739"/>
              <w:rPr>
                <w:sz w:val="24"/>
              </w:rPr>
            </w:pPr>
            <w:r>
              <w:rPr>
                <w:sz w:val="24"/>
              </w:rPr>
              <w:t>2.5000</w:t>
            </w:r>
          </w:p>
        </w:tc>
        <w:tc>
          <w:tcPr>
            <w:tcW w:w="2730" w:type="dxa"/>
            <w:tcBorders>
              <w:top w:val="single" w:sz="8" w:space="0" w:color="000000"/>
            </w:tcBorders>
          </w:tcPr>
          <w:p>
            <w:pPr>
              <w:pStyle w:val="TableParagraph"/>
              <w:spacing w:before="168"/>
              <w:ind w:left="1049"/>
              <w:jc w:val="left"/>
              <w:rPr>
                <w:sz w:val="24"/>
              </w:rPr>
            </w:pPr>
            <w:r>
              <w:rPr>
                <w:sz w:val="24"/>
              </w:rPr>
              <w:t>2.500</w:t>
            </w:r>
          </w:p>
        </w:tc>
      </w:tr>
    </w:tbl>
    <w:p>
      <w:pPr>
        <w:spacing w:line="274" w:lineRule="exact" w:before="0"/>
        <w:ind w:left="750" w:right="0" w:firstLine="0"/>
        <w:jc w:val="left"/>
        <w:rPr>
          <w:sz w:val="20"/>
          <w:szCs w:val="20"/>
        </w:rPr>
      </w:pPr>
      <w:r>
        <w:rPr>
          <w:sz w:val="24"/>
          <w:szCs w:val="24"/>
        </w:rPr>
        <w:t>ᵃ </w:t>
      </w:r>
      <w:r>
        <w:rPr>
          <w:sz w:val="20"/>
          <w:szCs w:val="20"/>
        </w:rPr>
        <w:t>CPS: Cuentas por Segundo del analito</w:t>
      </w:r>
    </w:p>
    <w:p>
      <w:pPr>
        <w:pStyle w:val="BodyText"/>
      </w:pPr>
    </w:p>
    <w:p>
      <w:pPr>
        <w:pStyle w:val="Heading1"/>
        <w:numPr>
          <w:ilvl w:val="0"/>
          <w:numId w:val="11"/>
        </w:numPr>
        <w:tabs>
          <w:tab w:pos="761" w:val="left" w:leader="none"/>
          <w:tab w:pos="762" w:val="left" w:leader="none"/>
        </w:tabs>
        <w:spacing w:line="240" w:lineRule="auto" w:before="184" w:after="0"/>
        <w:ind w:left="762" w:right="0" w:hanging="653"/>
        <w:jc w:val="left"/>
      </w:pPr>
      <w:r>
        <w:rPr/>
        <w:t>Exactitud</w:t>
      </w:r>
    </w:p>
    <w:p>
      <w:pPr>
        <w:spacing w:after="0" w:line="240" w:lineRule="auto"/>
        <w:jc w:val="left"/>
        <w:sectPr>
          <w:footerReference w:type="default" r:id="rId79"/>
          <w:pgSz w:w="12240" w:h="15840"/>
          <w:pgMar w:footer="919" w:header="0" w:top="1360" w:bottom="1100" w:left="1660" w:right="1480"/>
          <w:pgNumType w:start="71"/>
        </w:sectPr>
      </w:pPr>
    </w:p>
    <w:p>
      <w:pPr>
        <w:pStyle w:val="BodyText"/>
        <w:spacing w:before="3"/>
        <w:rPr>
          <w:b/>
          <w:sz w:val="14"/>
        </w:rPr>
      </w:pPr>
    </w:p>
    <w:p>
      <w:pPr>
        <w:pStyle w:val="BodyText"/>
        <w:spacing w:line="360" w:lineRule="auto" w:before="69"/>
        <w:ind w:left="910" w:right="214"/>
        <w:jc w:val="both"/>
      </w:pPr>
      <w:r>
        <w:rPr>
          <w:color w:val="212121"/>
        </w:rPr>
        <w:t>Las soluciones muestra fueron adicionadas con V, Co y Ni al LC, 100 % y 120 % de la concentración objetivo. En cada nivel de estudio, se </w:t>
      </w:r>
      <w:r>
        <w:rPr>
          <w:color w:val="212121"/>
          <w:spacing w:val="64"/>
        </w:rPr>
        <w:t> </w:t>
      </w:r>
      <w:r>
        <w:rPr>
          <w:color w:val="212121"/>
        </w:rPr>
        <w:t>evaluaron</w:t>
      </w:r>
    </w:p>
    <w:p>
      <w:pPr>
        <w:pStyle w:val="BodyText"/>
        <w:spacing w:line="360" w:lineRule="auto" w:before="2"/>
        <w:ind w:left="910" w:right="216"/>
        <w:jc w:val="both"/>
      </w:pPr>
      <w:r>
        <w:rPr>
          <w:color w:val="212121"/>
        </w:rPr>
        <w:t>3 muestras. Estas soluciones se analizaron junto con una solución de muestra no adicionada y cada % de recobro individual se calculó en base a la cantidad del analito adicionado. También se calculó la media del % de recuperación para cada nivel.</w:t>
      </w:r>
    </w:p>
    <w:p>
      <w:pPr>
        <w:pStyle w:val="BodyText"/>
      </w:pPr>
    </w:p>
    <w:p>
      <w:pPr>
        <w:pStyle w:val="BodyText"/>
        <w:spacing w:line="360" w:lineRule="auto" w:before="142"/>
        <w:ind w:left="921" w:right="217"/>
        <w:jc w:val="both"/>
      </w:pPr>
      <w:r>
        <w:rPr>
          <w:color w:val="212121"/>
        </w:rPr>
        <w:t>Los resultados, presentados en la Tabla C.VI.1, indican que la concentración de V, Co y Ni en la muestra se puede determinar con precisión sobre un intervalo de concentración que varía desde el LC hasta el 120 % de la concentración objetivo. El vanadio, cobalto y níquel cumplen con la especificación para % de recuperación de 70 a 150 % ya que los resultados varían desde 89 % -146</w:t>
      </w:r>
      <w:r>
        <w:rPr>
          <w:color w:val="212121"/>
          <w:spacing w:val="-9"/>
        </w:rPr>
        <w:t> </w:t>
      </w:r>
      <w:r>
        <w:rPr>
          <w:color w:val="212121"/>
        </w:rPr>
        <w:t>%.</w:t>
      </w:r>
    </w:p>
    <w:p>
      <w:pPr>
        <w:pStyle w:val="Heading1"/>
        <w:spacing w:before="204"/>
        <w:ind w:left="797"/>
        <w:jc w:val="left"/>
      </w:pPr>
      <w:r>
        <w:rPr/>
        <w:t>Tabla C.VI.1. Resultados de la prueba de Exactitud para la clase 2A</w:t>
      </w:r>
    </w:p>
    <w:p>
      <w:pPr>
        <w:pStyle w:val="BodyText"/>
        <w:spacing w:before="10"/>
        <w:rPr>
          <w:b/>
          <w:sz w:val="20"/>
        </w:rPr>
      </w:pPr>
    </w:p>
    <w:p>
      <w:pPr>
        <w:pStyle w:val="BodyText"/>
        <w:spacing w:after="45"/>
        <w:ind w:left="202"/>
      </w:pPr>
      <w:r>
        <w:rPr/>
        <w:t>A: Límite de cuantificación</w:t>
      </w:r>
    </w:p>
    <w:tbl>
      <w:tblPr>
        <w:tblW w:w="0" w:type="auto"/>
        <w:jc w:val="left"/>
        <w:tblInd w:w="106"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CellMar>
          <w:top w:w="0" w:type="dxa"/>
          <w:left w:w="0" w:type="dxa"/>
          <w:bottom w:w="0" w:type="dxa"/>
          <w:right w:w="0" w:type="dxa"/>
        </w:tblCellMar>
        <w:tblLook w:val="01E0"/>
      </w:tblPr>
      <w:tblGrid>
        <w:gridCol w:w="1981"/>
        <w:gridCol w:w="2160"/>
        <w:gridCol w:w="2341"/>
        <w:gridCol w:w="2520"/>
      </w:tblGrid>
      <w:tr>
        <w:trPr>
          <w:trHeight w:val="665" w:hRule="exact"/>
        </w:trPr>
        <w:tc>
          <w:tcPr>
            <w:tcW w:w="1981" w:type="dxa"/>
            <w:shd w:val="clear" w:color="auto" w:fill="D9D9D9"/>
          </w:tcPr>
          <w:p>
            <w:pPr>
              <w:pStyle w:val="TableParagraph"/>
              <w:spacing w:before="6"/>
              <w:jc w:val="left"/>
              <w:rPr>
                <w:sz w:val="20"/>
              </w:rPr>
            </w:pPr>
          </w:p>
          <w:p>
            <w:pPr>
              <w:pStyle w:val="TableParagraph"/>
              <w:ind w:left="568"/>
              <w:jc w:val="left"/>
              <w:rPr>
                <w:b/>
                <w:sz w:val="24"/>
              </w:rPr>
            </w:pPr>
            <w:r>
              <w:rPr>
                <w:b/>
                <w:sz w:val="24"/>
              </w:rPr>
              <w:t>Analito</w:t>
            </w:r>
          </w:p>
        </w:tc>
        <w:tc>
          <w:tcPr>
            <w:tcW w:w="7021" w:type="dxa"/>
            <w:gridSpan w:val="3"/>
            <w:shd w:val="clear" w:color="auto" w:fill="D9D9D9"/>
          </w:tcPr>
          <w:p>
            <w:pPr>
              <w:pStyle w:val="TableParagraph"/>
              <w:spacing w:before="116"/>
              <w:ind w:left="2849" w:right="2849"/>
              <w:rPr>
                <w:b/>
                <w:sz w:val="24"/>
              </w:rPr>
            </w:pPr>
            <w:r>
              <w:rPr>
                <w:b/>
                <w:sz w:val="24"/>
              </w:rPr>
              <w:t>% Recobro</w:t>
            </w:r>
          </w:p>
        </w:tc>
      </w:tr>
      <w:tr>
        <w:trPr>
          <w:trHeight w:val="302" w:hRule="exact"/>
        </w:trPr>
        <w:tc>
          <w:tcPr>
            <w:tcW w:w="1981" w:type="dxa"/>
            <w:vMerge w:val="restart"/>
          </w:tcPr>
          <w:p>
            <w:pPr>
              <w:pStyle w:val="TableParagraph"/>
              <w:spacing w:before="183"/>
              <w:ind w:left="535"/>
              <w:jc w:val="left"/>
              <w:rPr>
                <w:sz w:val="24"/>
              </w:rPr>
            </w:pPr>
            <w:r>
              <w:rPr>
                <w:sz w:val="24"/>
              </w:rPr>
              <w:t>Vanadio</w:t>
            </w:r>
          </w:p>
        </w:tc>
        <w:tc>
          <w:tcPr>
            <w:tcW w:w="2160" w:type="dxa"/>
            <w:tcBorders>
              <w:bottom w:val="single" w:sz="8" w:space="0" w:color="000000"/>
              <w:right w:val="single" w:sz="12" w:space="0" w:color="000000"/>
            </w:tcBorders>
          </w:tcPr>
          <w:p>
            <w:pPr>
              <w:pStyle w:val="TableParagraph"/>
              <w:spacing w:line="274" w:lineRule="exact"/>
              <w:ind w:left="845" w:right="845"/>
              <w:rPr>
                <w:sz w:val="24"/>
              </w:rPr>
            </w:pPr>
            <w:r>
              <w:rPr>
                <w:sz w:val="24"/>
              </w:rPr>
              <w:t>97</w:t>
            </w:r>
          </w:p>
        </w:tc>
        <w:tc>
          <w:tcPr>
            <w:tcW w:w="2341" w:type="dxa"/>
            <w:vMerge w:val="restart"/>
            <w:tcBorders>
              <w:left w:val="single" w:sz="12" w:space="0" w:color="000000"/>
            </w:tcBorders>
          </w:tcPr>
          <w:p>
            <w:pPr>
              <w:pStyle w:val="TableParagraph"/>
              <w:spacing w:before="3"/>
              <w:jc w:val="left"/>
              <w:rPr>
                <w:sz w:val="26"/>
              </w:rPr>
            </w:pPr>
          </w:p>
          <w:p>
            <w:pPr>
              <w:pStyle w:val="TableParagraph"/>
              <w:spacing w:before="1"/>
              <w:ind w:left="640"/>
              <w:jc w:val="left"/>
              <w:rPr>
                <w:sz w:val="24"/>
              </w:rPr>
            </w:pPr>
            <w:r>
              <w:rPr>
                <w:sz w:val="24"/>
              </w:rPr>
              <w:t>Promedio</w:t>
            </w:r>
          </w:p>
        </w:tc>
        <w:tc>
          <w:tcPr>
            <w:tcW w:w="2520" w:type="dxa"/>
            <w:vMerge w:val="restart"/>
          </w:tcPr>
          <w:p>
            <w:pPr>
              <w:pStyle w:val="TableParagraph"/>
              <w:spacing w:before="3"/>
              <w:jc w:val="left"/>
              <w:rPr>
                <w:sz w:val="26"/>
              </w:rPr>
            </w:pPr>
          </w:p>
          <w:p>
            <w:pPr>
              <w:pStyle w:val="TableParagraph"/>
              <w:spacing w:before="1"/>
              <w:ind w:left="1025" w:right="1025"/>
              <w:rPr>
                <w:sz w:val="24"/>
              </w:rPr>
            </w:pPr>
            <w:r>
              <w:rPr>
                <w:sz w:val="24"/>
              </w:rPr>
              <w:t>102</w:t>
            </w:r>
          </w:p>
        </w:tc>
      </w:tr>
      <w:tr>
        <w:trPr>
          <w:trHeight w:val="305" w:hRule="exact"/>
        </w:trPr>
        <w:tc>
          <w:tcPr>
            <w:tcW w:w="1981" w:type="dxa"/>
            <w:vMerge/>
          </w:tcPr>
          <w:p>
            <w:pPr/>
          </w:p>
        </w:tc>
        <w:tc>
          <w:tcPr>
            <w:tcW w:w="2160" w:type="dxa"/>
            <w:tcBorders>
              <w:top w:val="single" w:sz="8" w:space="0" w:color="000000"/>
              <w:bottom w:val="single" w:sz="8" w:space="0" w:color="000000"/>
              <w:right w:val="single" w:sz="12" w:space="0" w:color="000000"/>
            </w:tcBorders>
          </w:tcPr>
          <w:p>
            <w:pPr>
              <w:pStyle w:val="TableParagraph"/>
              <w:spacing w:before="5"/>
              <w:ind w:left="845" w:right="845"/>
              <w:rPr>
                <w:sz w:val="24"/>
              </w:rPr>
            </w:pPr>
            <w:r>
              <w:rPr>
                <w:sz w:val="24"/>
              </w:rPr>
              <w:t>106</w:t>
            </w:r>
          </w:p>
        </w:tc>
        <w:tc>
          <w:tcPr>
            <w:tcW w:w="2341" w:type="dxa"/>
            <w:vMerge/>
            <w:tcBorders>
              <w:left w:val="single" w:sz="12" w:space="0" w:color="000000"/>
            </w:tcBorders>
          </w:tcPr>
          <w:p>
            <w:pPr/>
          </w:p>
        </w:tc>
        <w:tc>
          <w:tcPr>
            <w:tcW w:w="2520" w:type="dxa"/>
            <w:vMerge/>
          </w:tcPr>
          <w:p>
            <w:pPr/>
          </w:p>
        </w:tc>
      </w:tr>
      <w:tr>
        <w:trPr>
          <w:trHeight w:val="310" w:hRule="exact"/>
        </w:trPr>
        <w:tc>
          <w:tcPr>
            <w:tcW w:w="1981" w:type="dxa"/>
            <w:vMerge/>
          </w:tcPr>
          <w:p>
            <w:pPr/>
          </w:p>
        </w:tc>
        <w:tc>
          <w:tcPr>
            <w:tcW w:w="2160" w:type="dxa"/>
            <w:tcBorders>
              <w:top w:val="single" w:sz="8" w:space="0" w:color="000000"/>
              <w:right w:val="single" w:sz="12" w:space="0" w:color="000000"/>
            </w:tcBorders>
          </w:tcPr>
          <w:p>
            <w:pPr>
              <w:pStyle w:val="TableParagraph"/>
              <w:spacing w:before="5"/>
              <w:ind w:left="845" w:right="845"/>
              <w:rPr>
                <w:sz w:val="24"/>
              </w:rPr>
            </w:pPr>
            <w:r>
              <w:rPr>
                <w:sz w:val="24"/>
              </w:rPr>
              <w:t>103</w:t>
            </w:r>
          </w:p>
        </w:tc>
        <w:tc>
          <w:tcPr>
            <w:tcW w:w="2341" w:type="dxa"/>
            <w:vMerge/>
            <w:tcBorders>
              <w:left w:val="single" w:sz="12" w:space="0" w:color="000000"/>
            </w:tcBorders>
          </w:tcPr>
          <w:p>
            <w:pPr/>
          </w:p>
        </w:tc>
        <w:tc>
          <w:tcPr>
            <w:tcW w:w="2520" w:type="dxa"/>
            <w:vMerge/>
          </w:tcPr>
          <w:p>
            <w:pPr/>
          </w:p>
        </w:tc>
      </w:tr>
      <w:tr>
        <w:trPr>
          <w:trHeight w:val="302" w:hRule="exact"/>
        </w:trPr>
        <w:tc>
          <w:tcPr>
            <w:tcW w:w="1981" w:type="dxa"/>
            <w:vMerge w:val="restart"/>
          </w:tcPr>
          <w:p>
            <w:pPr>
              <w:pStyle w:val="TableParagraph"/>
              <w:spacing w:before="3"/>
              <w:jc w:val="left"/>
              <w:rPr>
                <w:sz w:val="26"/>
              </w:rPr>
            </w:pPr>
          </w:p>
          <w:p>
            <w:pPr>
              <w:pStyle w:val="TableParagraph"/>
              <w:spacing w:before="1"/>
              <w:ind w:left="561"/>
              <w:jc w:val="left"/>
              <w:rPr>
                <w:sz w:val="24"/>
              </w:rPr>
            </w:pPr>
            <w:r>
              <w:rPr>
                <w:sz w:val="24"/>
              </w:rPr>
              <w:t>Cobalto</w:t>
            </w:r>
          </w:p>
        </w:tc>
        <w:tc>
          <w:tcPr>
            <w:tcW w:w="2160" w:type="dxa"/>
            <w:tcBorders>
              <w:bottom w:val="single" w:sz="8" w:space="0" w:color="000000"/>
              <w:right w:val="single" w:sz="12" w:space="0" w:color="000000"/>
            </w:tcBorders>
          </w:tcPr>
          <w:p>
            <w:pPr>
              <w:pStyle w:val="TableParagraph"/>
              <w:spacing w:line="274" w:lineRule="exact"/>
              <w:ind w:left="845" w:right="845"/>
              <w:rPr>
                <w:sz w:val="24"/>
              </w:rPr>
            </w:pPr>
            <w:r>
              <w:rPr>
                <w:sz w:val="24"/>
              </w:rPr>
              <w:t>101</w:t>
            </w:r>
          </w:p>
        </w:tc>
        <w:tc>
          <w:tcPr>
            <w:tcW w:w="2341" w:type="dxa"/>
            <w:vMerge w:val="restart"/>
            <w:tcBorders>
              <w:left w:val="single" w:sz="12" w:space="0" w:color="000000"/>
            </w:tcBorders>
          </w:tcPr>
          <w:p>
            <w:pPr>
              <w:pStyle w:val="TableParagraph"/>
              <w:spacing w:before="3"/>
              <w:jc w:val="left"/>
              <w:rPr>
                <w:sz w:val="26"/>
              </w:rPr>
            </w:pPr>
          </w:p>
          <w:p>
            <w:pPr>
              <w:pStyle w:val="TableParagraph"/>
              <w:spacing w:before="1"/>
              <w:ind w:left="640"/>
              <w:jc w:val="left"/>
              <w:rPr>
                <w:sz w:val="24"/>
              </w:rPr>
            </w:pPr>
            <w:r>
              <w:rPr>
                <w:sz w:val="24"/>
              </w:rPr>
              <w:t>Promedio</w:t>
            </w:r>
          </w:p>
        </w:tc>
        <w:tc>
          <w:tcPr>
            <w:tcW w:w="2520" w:type="dxa"/>
            <w:vMerge w:val="restart"/>
          </w:tcPr>
          <w:p>
            <w:pPr>
              <w:pStyle w:val="TableParagraph"/>
              <w:spacing w:before="3"/>
              <w:jc w:val="left"/>
              <w:rPr>
                <w:sz w:val="26"/>
              </w:rPr>
            </w:pPr>
          </w:p>
          <w:p>
            <w:pPr>
              <w:pStyle w:val="TableParagraph"/>
              <w:spacing w:before="1"/>
              <w:ind w:left="1025" w:right="1025"/>
              <w:rPr>
                <w:sz w:val="24"/>
              </w:rPr>
            </w:pPr>
            <w:r>
              <w:rPr>
                <w:sz w:val="24"/>
              </w:rPr>
              <w:t>104</w:t>
            </w:r>
          </w:p>
        </w:tc>
      </w:tr>
      <w:tr>
        <w:trPr>
          <w:trHeight w:val="305" w:hRule="exact"/>
        </w:trPr>
        <w:tc>
          <w:tcPr>
            <w:tcW w:w="1981" w:type="dxa"/>
            <w:vMerge/>
          </w:tcPr>
          <w:p>
            <w:pPr/>
          </w:p>
        </w:tc>
        <w:tc>
          <w:tcPr>
            <w:tcW w:w="2160" w:type="dxa"/>
            <w:tcBorders>
              <w:top w:val="single" w:sz="8" w:space="0" w:color="000000"/>
              <w:bottom w:val="single" w:sz="8" w:space="0" w:color="000000"/>
              <w:right w:val="single" w:sz="12" w:space="0" w:color="000000"/>
            </w:tcBorders>
          </w:tcPr>
          <w:p>
            <w:pPr>
              <w:pStyle w:val="TableParagraph"/>
              <w:spacing w:before="5"/>
              <w:ind w:left="845" w:right="845"/>
              <w:rPr>
                <w:sz w:val="24"/>
              </w:rPr>
            </w:pPr>
            <w:r>
              <w:rPr>
                <w:sz w:val="24"/>
              </w:rPr>
              <w:t>104</w:t>
            </w:r>
          </w:p>
        </w:tc>
        <w:tc>
          <w:tcPr>
            <w:tcW w:w="2341" w:type="dxa"/>
            <w:vMerge/>
            <w:tcBorders>
              <w:left w:val="single" w:sz="12" w:space="0" w:color="000000"/>
            </w:tcBorders>
          </w:tcPr>
          <w:p>
            <w:pPr/>
          </w:p>
        </w:tc>
        <w:tc>
          <w:tcPr>
            <w:tcW w:w="2520" w:type="dxa"/>
            <w:vMerge/>
          </w:tcPr>
          <w:p>
            <w:pPr/>
          </w:p>
        </w:tc>
      </w:tr>
      <w:tr>
        <w:trPr>
          <w:trHeight w:val="312" w:hRule="exact"/>
        </w:trPr>
        <w:tc>
          <w:tcPr>
            <w:tcW w:w="1981" w:type="dxa"/>
            <w:vMerge/>
          </w:tcPr>
          <w:p>
            <w:pPr/>
          </w:p>
        </w:tc>
        <w:tc>
          <w:tcPr>
            <w:tcW w:w="2160" w:type="dxa"/>
            <w:tcBorders>
              <w:top w:val="single" w:sz="8" w:space="0" w:color="000000"/>
              <w:right w:val="single" w:sz="12" w:space="0" w:color="000000"/>
            </w:tcBorders>
          </w:tcPr>
          <w:p>
            <w:pPr>
              <w:pStyle w:val="TableParagraph"/>
              <w:spacing w:before="7"/>
              <w:ind w:left="845" w:right="845"/>
              <w:rPr>
                <w:sz w:val="24"/>
              </w:rPr>
            </w:pPr>
            <w:r>
              <w:rPr>
                <w:sz w:val="24"/>
              </w:rPr>
              <w:t>106</w:t>
            </w:r>
          </w:p>
        </w:tc>
        <w:tc>
          <w:tcPr>
            <w:tcW w:w="2341" w:type="dxa"/>
            <w:vMerge/>
            <w:tcBorders>
              <w:left w:val="single" w:sz="12" w:space="0" w:color="000000"/>
            </w:tcBorders>
          </w:tcPr>
          <w:p>
            <w:pPr/>
          </w:p>
        </w:tc>
        <w:tc>
          <w:tcPr>
            <w:tcW w:w="2520" w:type="dxa"/>
            <w:vMerge/>
          </w:tcPr>
          <w:p>
            <w:pPr/>
          </w:p>
        </w:tc>
      </w:tr>
      <w:tr>
        <w:trPr>
          <w:trHeight w:val="300" w:hRule="exact"/>
        </w:trPr>
        <w:tc>
          <w:tcPr>
            <w:tcW w:w="1981" w:type="dxa"/>
            <w:vMerge w:val="restart"/>
          </w:tcPr>
          <w:p>
            <w:pPr>
              <w:pStyle w:val="TableParagraph"/>
              <w:spacing w:before="5"/>
              <w:jc w:val="left"/>
              <w:rPr>
                <w:sz w:val="25"/>
              </w:rPr>
            </w:pPr>
          </w:p>
          <w:p>
            <w:pPr>
              <w:pStyle w:val="TableParagraph"/>
              <w:spacing w:before="1"/>
              <w:ind w:left="628"/>
              <w:jc w:val="left"/>
              <w:rPr>
                <w:sz w:val="24"/>
              </w:rPr>
            </w:pPr>
            <w:r>
              <w:rPr>
                <w:sz w:val="24"/>
              </w:rPr>
              <w:t>Níquel</w:t>
            </w:r>
          </w:p>
        </w:tc>
        <w:tc>
          <w:tcPr>
            <w:tcW w:w="2160" w:type="dxa"/>
            <w:tcBorders>
              <w:bottom w:val="single" w:sz="8" w:space="0" w:color="000000"/>
              <w:right w:val="single" w:sz="12" w:space="0" w:color="000000"/>
            </w:tcBorders>
          </w:tcPr>
          <w:p>
            <w:pPr>
              <w:pStyle w:val="TableParagraph"/>
              <w:spacing w:line="272" w:lineRule="exact"/>
              <w:ind w:left="845" w:right="845"/>
              <w:rPr>
                <w:sz w:val="24"/>
              </w:rPr>
            </w:pPr>
            <w:r>
              <w:rPr>
                <w:sz w:val="24"/>
              </w:rPr>
              <w:t>96</w:t>
            </w:r>
          </w:p>
        </w:tc>
        <w:tc>
          <w:tcPr>
            <w:tcW w:w="2341" w:type="dxa"/>
            <w:vMerge w:val="restart"/>
            <w:tcBorders>
              <w:left w:val="single" w:sz="12" w:space="0" w:color="000000"/>
            </w:tcBorders>
          </w:tcPr>
          <w:p>
            <w:pPr>
              <w:pStyle w:val="TableParagraph"/>
              <w:spacing w:before="5"/>
              <w:jc w:val="left"/>
              <w:rPr>
                <w:sz w:val="25"/>
              </w:rPr>
            </w:pPr>
          </w:p>
          <w:p>
            <w:pPr>
              <w:pStyle w:val="TableParagraph"/>
              <w:spacing w:before="1"/>
              <w:ind w:left="640"/>
              <w:jc w:val="left"/>
              <w:rPr>
                <w:sz w:val="24"/>
              </w:rPr>
            </w:pPr>
            <w:r>
              <w:rPr>
                <w:sz w:val="24"/>
              </w:rPr>
              <w:t>Promedio</w:t>
            </w:r>
          </w:p>
        </w:tc>
        <w:tc>
          <w:tcPr>
            <w:tcW w:w="2520" w:type="dxa"/>
            <w:vMerge w:val="restart"/>
          </w:tcPr>
          <w:p>
            <w:pPr>
              <w:pStyle w:val="TableParagraph"/>
              <w:spacing w:before="5"/>
              <w:jc w:val="left"/>
              <w:rPr>
                <w:sz w:val="25"/>
              </w:rPr>
            </w:pPr>
          </w:p>
          <w:p>
            <w:pPr>
              <w:pStyle w:val="TableParagraph"/>
              <w:spacing w:before="1"/>
              <w:ind w:left="1025" w:right="1025"/>
              <w:rPr>
                <w:sz w:val="24"/>
              </w:rPr>
            </w:pPr>
            <w:r>
              <w:rPr>
                <w:sz w:val="24"/>
              </w:rPr>
              <w:t>114</w:t>
            </w:r>
          </w:p>
        </w:tc>
      </w:tr>
      <w:tr>
        <w:trPr>
          <w:trHeight w:val="298" w:hRule="exact"/>
        </w:trPr>
        <w:tc>
          <w:tcPr>
            <w:tcW w:w="1981" w:type="dxa"/>
            <w:vMerge/>
          </w:tcPr>
          <w:p>
            <w:pPr/>
          </w:p>
        </w:tc>
        <w:tc>
          <w:tcPr>
            <w:tcW w:w="2160" w:type="dxa"/>
            <w:tcBorders>
              <w:top w:val="single" w:sz="8" w:space="0" w:color="000000"/>
              <w:bottom w:val="single" w:sz="8" w:space="0" w:color="000000"/>
              <w:right w:val="single" w:sz="12" w:space="0" w:color="000000"/>
            </w:tcBorders>
          </w:tcPr>
          <w:p>
            <w:pPr>
              <w:pStyle w:val="TableParagraph"/>
              <w:spacing w:line="274" w:lineRule="exact"/>
              <w:ind w:left="845" w:right="845"/>
              <w:rPr>
                <w:sz w:val="24"/>
              </w:rPr>
            </w:pPr>
            <w:r>
              <w:rPr>
                <w:sz w:val="24"/>
              </w:rPr>
              <w:t>101</w:t>
            </w:r>
          </w:p>
        </w:tc>
        <w:tc>
          <w:tcPr>
            <w:tcW w:w="2341" w:type="dxa"/>
            <w:vMerge/>
            <w:tcBorders>
              <w:left w:val="single" w:sz="12" w:space="0" w:color="000000"/>
            </w:tcBorders>
          </w:tcPr>
          <w:p>
            <w:pPr/>
          </w:p>
        </w:tc>
        <w:tc>
          <w:tcPr>
            <w:tcW w:w="2520" w:type="dxa"/>
            <w:vMerge/>
          </w:tcPr>
          <w:p>
            <w:pPr/>
          </w:p>
        </w:tc>
      </w:tr>
      <w:tr>
        <w:trPr>
          <w:trHeight w:val="300" w:hRule="exact"/>
        </w:trPr>
        <w:tc>
          <w:tcPr>
            <w:tcW w:w="1981" w:type="dxa"/>
            <w:vMerge/>
          </w:tcPr>
          <w:p>
            <w:pPr/>
          </w:p>
        </w:tc>
        <w:tc>
          <w:tcPr>
            <w:tcW w:w="2160" w:type="dxa"/>
            <w:tcBorders>
              <w:top w:val="single" w:sz="8" w:space="0" w:color="000000"/>
              <w:right w:val="single" w:sz="12" w:space="0" w:color="000000"/>
            </w:tcBorders>
          </w:tcPr>
          <w:p>
            <w:pPr>
              <w:pStyle w:val="TableParagraph"/>
              <w:spacing w:line="272" w:lineRule="exact"/>
              <w:ind w:left="845" w:right="845"/>
              <w:rPr>
                <w:sz w:val="24"/>
              </w:rPr>
            </w:pPr>
            <w:r>
              <w:rPr>
                <w:sz w:val="24"/>
              </w:rPr>
              <w:t>146</w:t>
            </w:r>
          </w:p>
        </w:tc>
        <w:tc>
          <w:tcPr>
            <w:tcW w:w="2341" w:type="dxa"/>
            <w:vMerge/>
            <w:tcBorders>
              <w:left w:val="single" w:sz="12" w:space="0" w:color="000000"/>
            </w:tcBorders>
          </w:tcPr>
          <w:p>
            <w:pPr/>
          </w:p>
        </w:tc>
        <w:tc>
          <w:tcPr>
            <w:tcW w:w="2520" w:type="dxa"/>
            <w:vMerge/>
          </w:tcPr>
          <w:p>
            <w:pPr/>
          </w:p>
        </w:tc>
      </w:tr>
    </w:tbl>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9"/>
        <w:rPr>
          <w:sz w:val="21"/>
        </w:rPr>
      </w:pPr>
    </w:p>
    <w:p>
      <w:pPr>
        <w:pStyle w:val="BodyText"/>
        <w:spacing w:before="69" w:after="44"/>
        <w:ind w:left="202"/>
      </w:pPr>
      <w:r>
        <w:rPr/>
        <w:t>B: 100%</w:t>
      </w:r>
    </w:p>
    <w:tbl>
      <w:tblPr>
        <w:tblW w:w="0" w:type="auto"/>
        <w:jc w:val="left"/>
        <w:tblInd w:w="106"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CellMar>
          <w:top w:w="0" w:type="dxa"/>
          <w:left w:w="0" w:type="dxa"/>
          <w:bottom w:w="0" w:type="dxa"/>
          <w:right w:w="0" w:type="dxa"/>
        </w:tblCellMar>
        <w:tblLook w:val="01E0"/>
      </w:tblPr>
      <w:tblGrid>
        <w:gridCol w:w="1981"/>
        <w:gridCol w:w="2160"/>
        <w:gridCol w:w="2341"/>
        <w:gridCol w:w="2520"/>
      </w:tblGrid>
      <w:tr>
        <w:trPr>
          <w:trHeight w:val="666" w:hRule="exact"/>
        </w:trPr>
        <w:tc>
          <w:tcPr>
            <w:tcW w:w="1981" w:type="dxa"/>
            <w:shd w:val="clear" w:color="auto" w:fill="D9D9D9"/>
          </w:tcPr>
          <w:p>
            <w:pPr>
              <w:pStyle w:val="TableParagraph"/>
              <w:spacing w:before="6"/>
              <w:jc w:val="left"/>
              <w:rPr>
                <w:sz w:val="20"/>
              </w:rPr>
            </w:pPr>
          </w:p>
          <w:p>
            <w:pPr>
              <w:pStyle w:val="TableParagraph"/>
              <w:spacing w:before="1"/>
              <w:ind w:left="515" w:right="515"/>
              <w:rPr>
                <w:b/>
                <w:sz w:val="24"/>
              </w:rPr>
            </w:pPr>
            <w:r>
              <w:rPr>
                <w:b/>
                <w:sz w:val="24"/>
              </w:rPr>
              <w:t>Analito</w:t>
            </w:r>
          </w:p>
        </w:tc>
        <w:tc>
          <w:tcPr>
            <w:tcW w:w="7021" w:type="dxa"/>
            <w:gridSpan w:val="3"/>
            <w:shd w:val="clear" w:color="auto" w:fill="D9D9D9"/>
          </w:tcPr>
          <w:p>
            <w:pPr>
              <w:pStyle w:val="TableParagraph"/>
              <w:spacing w:before="117"/>
              <w:ind w:left="2848" w:right="2849"/>
              <w:rPr>
                <w:b/>
                <w:sz w:val="24"/>
              </w:rPr>
            </w:pPr>
            <w:r>
              <w:rPr>
                <w:b/>
                <w:sz w:val="24"/>
              </w:rPr>
              <w:t>% Recobro</w:t>
            </w:r>
          </w:p>
        </w:tc>
      </w:tr>
      <w:tr>
        <w:trPr>
          <w:trHeight w:val="307" w:hRule="exact"/>
        </w:trPr>
        <w:tc>
          <w:tcPr>
            <w:tcW w:w="1981" w:type="dxa"/>
          </w:tcPr>
          <w:p>
            <w:pPr>
              <w:pStyle w:val="TableParagraph"/>
              <w:spacing w:line="272" w:lineRule="exact"/>
              <w:ind w:left="515" w:right="515"/>
              <w:rPr>
                <w:sz w:val="24"/>
              </w:rPr>
            </w:pPr>
            <w:r>
              <w:rPr>
                <w:sz w:val="24"/>
              </w:rPr>
              <w:t>Vanadio</w:t>
            </w:r>
          </w:p>
        </w:tc>
        <w:tc>
          <w:tcPr>
            <w:tcW w:w="2160" w:type="dxa"/>
            <w:tcBorders>
              <w:bottom w:val="single" w:sz="8" w:space="0" w:color="000000"/>
              <w:right w:val="single" w:sz="12" w:space="0" w:color="000000"/>
            </w:tcBorders>
          </w:tcPr>
          <w:p>
            <w:pPr>
              <w:pStyle w:val="TableParagraph"/>
              <w:spacing w:line="272" w:lineRule="exact"/>
              <w:ind w:left="845" w:right="845"/>
              <w:rPr>
                <w:sz w:val="24"/>
              </w:rPr>
            </w:pPr>
            <w:r>
              <w:rPr>
                <w:sz w:val="24"/>
              </w:rPr>
              <w:t>91</w:t>
            </w:r>
          </w:p>
        </w:tc>
        <w:tc>
          <w:tcPr>
            <w:tcW w:w="2341" w:type="dxa"/>
            <w:tcBorders>
              <w:left w:val="single" w:sz="12" w:space="0" w:color="000000"/>
            </w:tcBorders>
          </w:tcPr>
          <w:p>
            <w:pPr>
              <w:pStyle w:val="TableParagraph"/>
              <w:spacing w:line="272" w:lineRule="exact"/>
              <w:ind w:left="640"/>
              <w:jc w:val="left"/>
              <w:rPr>
                <w:sz w:val="24"/>
              </w:rPr>
            </w:pPr>
            <w:r>
              <w:rPr>
                <w:sz w:val="24"/>
              </w:rPr>
              <w:t>Promedio</w:t>
            </w:r>
          </w:p>
        </w:tc>
        <w:tc>
          <w:tcPr>
            <w:tcW w:w="2520" w:type="dxa"/>
          </w:tcPr>
          <w:p>
            <w:pPr>
              <w:pStyle w:val="TableParagraph"/>
              <w:spacing w:line="272" w:lineRule="exact"/>
              <w:ind w:left="1025" w:right="1025"/>
              <w:rPr>
                <w:sz w:val="24"/>
              </w:rPr>
            </w:pPr>
            <w:r>
              <w:rPr>
                <w:sz w:val="24"/>
              </w:rPr>
              <w:t>91</w:t>
            </w:r>
          </w:p>
        </w:tc>
      </w:tr>
    </w:tbl>
    <w:p>
      <w:pPr>
        <w:spacing w:after="0" w:line="272" w:lineRule="exact"/>
        <w:rPr>
          <w:sz w:val="24"/>
        </w:rPr>
        <w:sectPr>
          <w:pgSz w:w="12240" w:h="15840"/>
          <w:pgMar w:header="0" w:footer="919" w:top="1500" w:bottom="1100" w:left="1500" w:right="1480"/>
        </w:sectPr>
      </w:pPr>
    </w:p>
    <w:tbl>
      <w:tblPr>
        <w:tblW w:w="0" w:type="auto"/>
        <w:jc w:val="left"/>
        <w:tblInd w:w="106"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981"/>
        <w:gridCol w:w="2160"/>
        <w:gridCol w:w="2341"/>
        <w:gridCol w:w="2520"/>
      </w:tblGrid>
      <w:tr>
        <w:trPr>
          <w:trHeight w:val="300" w:hRule="exact"/>
        </w:trPr>
        <w:tc>
          <w:tcPr>
            <w:tcW w:w="1981" w:type="dxa"/>
            <w:vMerge w:val="restart"/>
            <w:tcBorders>
              <w:left w:val="single" w:sz="12" w:space="0" w:color="000000"/>
              <w:right w:val="single" w:sz="12" w:space="0" w:color="000000"/>
            </w:tcBorders>
          </w:tcPr>
          <w:p>
            <w:pPr/>
          </w:p>
        </w:tc>
        <w:tc>
          <w:tcPr>
            <w:tcW w:w="2160" w:type="dxa"/>
            <w:tcBorders>
              <w:top w:val="single" w:sz="8" w:space="0" w:color="000000"/>
              <w:left w:val="single" w:sz="12" w:space="0" w:color="000000"/>
              <w:bottom w:val="single" w:sz="8" w:space="0" w:color="000000"/>
              <w:right w:val="single" w:sz="12" w:space="0" w:color="000000"/>
            </w:tcBorders>
          </w:tcPr>
          <w:p>
            <w:pPr>
              <w:pStyle w:val="TableParagraph"/>
              <w:ind w:left="845" w:right="845"/>
              <w:rPr>
                <w:sz w:val="24"/>
              </w:rPr>
            </w:pPr>
            <w:r>
              <w:rPr>
                <w:sz w:val="24"/>
              </w:rPr>
              <w:t>91</w:t>
            </w:r>
          </w:p>
        </w:tc>
        <w:tc>
          <w:tcPr>
            <w:tcW w:w="2341" w:type="dxa"/>
            <w:vMerge w:val="restart"/>
            <w:tcBorders>
              <w:top w:val="single" w:sz="12" w:space="0" w:color="000000"/>
              <w:left w:val="single" w:sz="12" w:space="0" w:color="000000"/>
              <w:right w:val="single" w:sz="12" w:space="0" w:color="000000"/>
            </w:tcBorders>
          </w:tcPr>
          <w:p>
            <w:pPr/>
          </w:p>
        </w:tc>
        <w:tc>
          <w:tcPr>
            <w:tcW w:w="2520" w:type="dxa"/>
            <w:vMerge w:val="restart"/>
            <w:tcBorders>
              <w:top w:val="single" w:sz="12" w:space="0" w:color="000000"/>
              <w:left w:val="single" w:sz="12" w:space="0" w:color="000000"/>
              <w:right w:val="single" w:sz="12" w:space="0" w:color="000000"/>
            </w:tcBorders>
          </w:tcPr>
          <w:p>
            <w:pPr/>
          </w:p>
        </w:tc>
      </w:tr>
      <w:tr>
        <w:trPr>
          <w:trHeight w:val="312" w:hRule="exact"/>
        </w:trPr>
        <w:tc>
          <w:tcPr>
            <w:tcW w:w="1981" w:type="dxa"/>
            <w:vMerge/>
            <w:tcBorders>
              <w:left w:val="single" w:sz="12" w:space="0" w:color="000000"/>
              <w:bottom w:val="single" w:sz="12" w:space="0" w:color="000000"/>
              <w:right w:val="single" w:sz="12" w:space="0" w:color="000000"/>
            </w:tcBorders>
          </w:tcPr>
          <w:p>
            <w:pPr/>
          </w:p>
        </w:tc>
        <w:tc>
          <w:tcPr>
            <w:tcW w:w="2160" w:type="dxa"/>
            <w:tcBorders>
              <w:top w:val="single" w:sz="8" w:space="0" w:color="000000"/>
              <w:left w:val="single" w:sz="12" w:space="0" w:color="000000"/>
              <w:bottom w:val="single" w:sz="12" w:space="0" w:color="000000"/>
              <w:right w:val="single" w:sz="12" w:space="0" w:color="000000"/>
            </w:tcBorders>
          </w:tcPr>
          <w:p>
            <w:pPr>
              <w:pStyle w:val="TableParagraph"/>
              <w:spacing w:before="7"/>
              <w:ind w:left="845" w:right="845"/>
              <w:rPr>
                <w:sz w:val="24"/>
              </w:rPr>
            </w:pPr>
            <w:r>
              <w:rPr>
                <w:sz w:val="24"/>
              </w:rPr>
              <w:t>91</w:t>
            </w:r>
          </w:p>
        </w:tc>
        <w:tc>
          <w:tcPr>
            <w:tcW w:w="2341" w:type="dxa"/>
            <w:vMerge/>
            <w:tcBorders>
              <w:left w:val="single" w:sz="12" w:space="0" w:color="000000"/>
              <w:bottom w:val="single" w:sz="12" w:space="0" w:color="000000"/>
              <w:right w:val="single" w:sz="12" w:space="0" w:color="000000"/>
            </w:tcBorders>
          </w:tcPr>
          <w:p>
            <w:pPr/>
          </w:p>
        </w:tc>
        <w:tc>
          <w:tcPr>
            <w:tcW w:w="2520" w:type="dxa"/>
            <w:vMerge/>
            <w:tcBorders>
              <w:left w:val="single" w:sz="12" w:space="0" w:color="000000"/>
              <w:bottom w:val="single" w:sz="12" w:space="0" w:color="000000"/>
              <w:right w:val="single" w:sz="12" w:space="0" w:color="000000"/>
            </w:tcBorders>
          </w:tcPr>
          <w:p>
            <w:pPr/>
          </w:p>
        </w:tc>
      </w:tr>
      <w:tr>
        <w:trPr>
          <w:trHeight w:val="300" w:hRule="exact"/>
        </w:trPr>
        <w:tc>
          <w:tcPr>
            <w:tcW w:w="1981" w:type="dxa"/>
            <w:vMerge w:val="restart"/>
            <w:tcBorders>
              <w:top w:val="single" w:sz="12" w:space="0" w:color="000000"/>
              <w:left w:val="single" w:sz="12" w:space="0" w:color="000000"/>
              <w:right w:val="single" w:sz="12" w:space="0" w:color="000000"/>
            </w:tcBorders>
          </w:tcPr>
          <w:p>
            <w:pPr>
              <w:pStyle w:val="TableParagraph"/>
              <w:spacing w:before="3"/>
              <w:jc w:val="left"/>
              <w:rPr>
                <w:sz w:val="26"/>
              </w:rPr>
            </w:pPr>
          </w:p>
          <w:p>
            <w:pPr>
              <w:pStyle w:val="TableParagraph"/>
              <w:spacing w:before="1"/>
              <w:ind w:left="561"/>
              <w:jc w:val="left"/>
              <w:rPr>
                <w:sz w:val="24"/>
              </w:rPr>
            </w:pPr>
            <w:r>
              <w:rPr>
                <w:sz w:val="24"/>
              </w:rPr>
              <w:t>Cobalto</w:t>
            </w:r>
          </w:p>
        </w:tc>
        <w:tc>
          <w:tcPr>
            <w:tcW w:w="2160" w:type="dxa"/>
            <w:tcBorders>
              <w:top w:val="single" w:sz="12" w:space="0" w:color="000000"/>
              <w:left w:val="single" w:sz="12" w:space="0" w:color="000000"/>
              <w:bottom w:val="single" w:sz="8" w:space="0" w:color="000000"/>
              <w:right w:val="single" w:sz="12" w:space="0" w:color="000000"/>
            </w:tcBorders>
          </w:tcPr>
          <w:p>
            <w:pPr>
              <w:pStyle w:val="TableParagraph"/>
              <w:spacing w:line="272" w:lineRule="exact"/>
              <w:ind w:left="845" w:right="845"/>
              <w:rPr>
                <w:sz w:val="24"/>
              </w:rPr>
            </w:pPr>
            <w:r>
              <w:rPr>
                <w:sz w:val="24"/>
              </w:rPr>
              <w:t>91</w:t>
            </w:r>
          </w:p>
        </w:tc>
        <w:tc>
          <w:tcPr>
            <w:tcW w:w="2341" w:type="dxa"/>
            <w:vMerge w:val="restart"/>
            <w:tcBorders>
              <w:top w:val="single" w:sz="12" w:space="0" w:color="000000"/>
              <w:left w:val="single" w:sz="12" w:space="0" w:color="000000"/>
              <w:right w:val="single" w:sz="12" w:space="0" w:color="000000"/>
            </w:tcBorders>
          </w:tcPr>
          <w:p>
            <w:pPr>
              <w:pStyle w:val="TableParagraph"/>
              <w:spacing w:before="3"/>
              <w:jc w:val="left"/>
              <w:rPr>
                <w:sz w:val="26"/>
              </w:rPr>
            </w:pPr>
          </w:p>
          <w:p>
            <w:pPr>
              <w:pStyle w:val="TableParagraph"/>
              <w:spacing w:before="1"/>
              <w:ind w:left="640"/>
              <w:jc w:val="left"/>
              <w:rPr>
                <w:sz w:val="24"/>
              </w:rPr>
            </w:pPr>
            <w:r>
              <w:rPr>
                <w:sz w:val="24"/>
              </w:rPr>
              <w:t>Promedio</w:t>
            </w:r>
          </w:p>
        </w:tc>
        <w:tc>
          <w:tcPr>
            <w:tcW w:w="2520" w:type="dxa"/>
            <w:vMerge w:val="restart"/>
            <w:tcBorders>
              <w:top w:val="single" w:sz="12" w:space="0" w:color="000000"/>
              <w:left w:val="single" w:sz="12" w:space="0" w:color="000000"/>
              <w:right w:val="single" w:sz="12" w:space="0" w:color="000000"/>
            </w:tcBorders>
          </w:tcPr>
          <w:p>
            <w:pPr>
              <w:pStyle w:val="TableParagraph"/>
              <w:spacing w:before="3"/>
              <w:jc w:val="left"/>
              <w:rPr>
                <w:sz w:val="26"/>
              </w:rPr>
            </w:pPr>
          </w:p>
          <w:p>
            <w:pPr>
              <w:pStyle w:val="TableParagraph"/>
              <w:spacing w:before="1"/>
              <w:ind w:left="1025" w:right="1025"/>
              <w:rPr>
                <w:sz w:val="24"/>
              </w:rPr>
            </w:pPr>
            <w:r>
              <w:rPr>
                <w:sz w:val="24"/>
              </w:rPr>
              <w:t>91</w:t>
            </w:r>
          </w:p>
        </w:tc>
      </w:tr>
      <w:tr>
        <w:trPr>
          <w:trHeight w:val="307" w:hRule="exact"/>
        </w:trPr>
        <w:tc>
          <w:tcPr>
            <w:tcW w:w="1981" w:type="dxa"/>
            <w:vMerge/>
            <w:tcBorders>
              <w:left w:val="single" w:sz="12" w:space="0" w:color="000000"/>
              <w:right w:val="single" w:sz="12" w:space="0" w:color="000000"/>
            </w:tcBorders>
          </w:tcPr>
          <w:p>
            <w:pPr/>
          </w:p>
        </w:tc>
        <w:tc>
          <w:tcPr>
            <w:tcW w:w="2160" w:type="dxa"/>
            <w:tcBorders>
              <w:top w:val="single" w:sz="8" w:space="0" w:color="000000"/>
              <w:left w:val="single" w:sz="12" w:space="0" w:color="000000"/>
              <w:bottom w:val="single" w:sz="8" w:space="0" w:color="000000"/>
              <w:right w:val="single" w:sz="12" w:space="0" w:color="000000"/>
            </w:tcBorders>
          </w:tcPr>
          <w:p>
            <w:pPr>
              <w:pStyle w:val="TableParagraph"/>
              <w:spacing w:before="7"/>
              <w:ind w:left="845" w:right="845"/>
              <w:rPr>
                <w:sz w:val="24"/>
              </w:rPr>
            </w:pPr>
            <w:r>
              <w:rPr>
                <w:sz w:val="24"/>
              </w:rPr>
              <w:t>92</w:t>
            </w:r>
          </w:p>
        </w:tc>
        <w:tc>
          <w:tcPr>
            <w:tcW w:w="2341" w:type="dxa"/>
            <w:vMerge/>
            <w:tcBorders>
              <w:left w:val="single" w:sz="12" w:space="0" w:color="000000"/>
              <w:right w:val="single" w:sz="12" w:space="0" w:color="000000"/>
            </w:tcBorders>
          </w:tcPr>
          <w:p>
            <w:pPr/>
          </w:p>
        </w:tc>
        <w:tc>
          <w:tcPr>
            <w:tcW w:w="2520" w:type="dxa"/>
            <w:vMerge/>
            <w:tcBorders>
              <w:left w:val="single" w:sz="12" w:space="0" w:color="000000"/>
              <w:right w:val="single" w:sz="12" w:space="0" w:color="000000"/>
            </w:tcBorders>
          </w:tcPr>
          <w:p>
            <w:pPr/>
          </w:p>
        </w:tc>
      </w:tr>
      <w:tr>
        <w:trPr>
          <w:trHeight w:val="310" w:hRule="exact"/>
        </w:trPr>
        <w:tc>
          <w:tcPr>
            <w:tcW w:w="1981" w:type="dxa"/>
            <w:vMerge/>
            <w:tcBorders>
              <w:left w:val="single" w:sz="12" w:space="0" w:color="000000"/>
              <w:bottom w:val="single" w:sz="12" w:space="0" w:color="000000"/>
              <w:right w:val="single" w:sz="12" w:space="0" w:color="000000"/>
            </w:tcBorders>
          </w:tcPr>
          <w:p>
            <w:pPr/>
          </w:p>
        </w:tc>
        <w:tc>
          <w:tcPr>
            <w:tcW w:w="2160" w:type="dxa"/>
            <w:tcBorders>
              <w:top w:val="single" w:sz="8" w:space="0" w:color="000000"/>
              <w:left w:val="single" w:sz="12" w:space="0" w:color="000000"/>
              <w:bottom w:val="single" w:sz="12" w:space="0" w:color="000000"/>
              <w:right w:val="single" w:sz="12" w:space="0" w:color="000000"/>
            </w:tcBorders>
          </w:tcPr>
          <w:p>
            <w:pPr>
              <w:pStyle w:val="TableParagraph"/>
              <w:spacing w:before="5"/>
              <w:ind w:left="845" w:right="845"/>
              <w:rPr>
                <w:sz w:val="24"/>
              </w:rPr>
            </w:pPr>
            <w:r>
              <w:rPr>
                <w:sz w:val="24"/>
              </w:rPr>
              <w:t>90</w:t>
            </w:r>
          </w:p>
        </w:tc>
        <w:tc>
          <w:tcPr>
            <w:tcW w:w="2341" w:type="dxa"/>
            <w:vMerge/>
            <w:tcBorders>
              <w:left w:val="single" w:sz="12" w:space="0" w:color="000000"/>
              <w:bottom w:val="single" w:sz="12" w:space="0" w:color="000000"/>
              <w:right w:val="single" w:sz="12" w:space="0" w:color="000000"/>
            </w:tcBorders>
          </w:tcPr>
          <w:p>
            <w:pPr/>
          </w:p>
        </w:tc>
        <w:tc>
          <w:tcPr>
            <w:tcW w:w="2520" w:type="dxa"/>
            <w:vMerge/>
            <w:tcBorders>
              <w:left w:val="single" w:sz="12" w:space="0" w:color="000000"/>
              <w:bottom w:val="single" w:sz="12" w:space="0" w:color="000000"/>
              <w:right w:val="single" w:sz="12" w:space="0" w:color="000000"/>
            </w:tcBorders>
          </w:tcPr>
          <w:p>
            <w:pPr/>
          </w:p>
        </w:tc>
      </w:tr>
      <w:tr>
        <w:trPr>
          <w:trHeight w:val="302" w:hRule="exact"/>
        </w:trPr>
        <w:tc>
          <w:tcPr>
            <w:tcW w:w="1981" w:type="dxa"/>
            <w:vMerge w:val="restart"/>
            <w:tcBorders>
              <w:top w:val="single" w:sz="12" w:space="0" w:color="000000"/>
              <w:left w:val="single" w:sz="12" w:space="0" w:color="000000"/>
              <w:right w:val="single" w:sz="12" w:space="0" w:color="000000"/>
            </w:tcBorders>
          </w:tcPr>
          <w:p>
            <w:pPr>
              <w:pStyle w:val="TableParagraph"/>
              <w:spacing w:before="3"/>
              <w:jc w:val="left"/>
              <w:rPr>
                <w:sz w:val="26"/>
              </w:rPr>
            </w:pPr>
          </w:p>
          <w:p>
            <w:pPr>
              <w:pStyle w:val="TableParagraph"/>
              <w:spacing w:before="1"/>
              <w:ind w:left="628"/>
              <w:jc w:val="left"/>
              <w:rPr>
                <w:sz w:val="24"/>
              </w:rPr>
            </w:pPr>
            <w:r>
              <w:rPr>
                <w:sz w:val="24"/>
              </w:rPr>
              <w:t>Níquel</w:t>
            </w:r>
          </w:p>
        </w:tc>
        <w:tc>
          <w:tcPr>
            <w:tcW w:w="2160" w:type="dxa"/>
            <w:tcBorders>
              <w:top w:val="single" w:sz="12" w:space="0" w:color="000000"/>
              <w:left w:val="single" w:sz="12" w:space="0" w:color="000000"/>
              <w:bottom w:val="single" w:sz="8" w:space="0" w:color="000000"/>
              <w:right w:val="single" w:sz="12" w:space="0" w:color="000000"/>
            </w:tcBorders>
          </w:tcPr>
          <w:p>
            <w:pPr>
              <w:pStyle w:val="TableParagraph"/>
              <w:spacing w:line="274" w:lineRule="exact"/>
              <w:ind w:left="845" w:right="845"/>
              <w:rPr>
                <w:sz w:val="24"/>
              </w:rPr>
            </w:pPr>
            <w:r>
              <w:rPr>
                <w:sz w:val="24"/>
              </w:rPr>
              <w:t>90</w:t>
            </w:r>
          </w:p>
        </w:tc>
        <w:tc>
          <w:tcPr>
            <w:tcW w:w="2341" w:type="dxa"/>
            <w:vMerge w:val="restart"/>
            <w:tcBorders>
              <w:top w:val="single" w:sz="12" w:space="0" w:color="000000"/>
              <w:left w:val="single" w:sz="12" w:space="0" w:color="000000"/>
              <w:right w:val="single" w:sz="12" w:space="0" w:color="000000"/>
            </w:tcBorders>
          </w:tcPr>
          <w:p>
            <w:pPr>
              <w:pStyle w:val="TableParagraph"/>
              <w:spacing w:before="3"/>
              <w:jc w:val="left"/>
              <w:rPr>
                <w:sz w:val="26"/>
              </w:rPr>
            </w:pPr>
          </w:p>
          <w:p>
            <w:pPr>
              <w:pStyle w:val="TableParagraph"/>
              <w:spacing w:before="1"/>
              <w:ind w:left="640"/>
              <w:jc w:val="left"/>
              <w:rPr>
                <w:sz w:val="24"/>
              </w:rPr>
            </w:pPr>
            <w:r>
              <w:rPr>
                <w:sz w:val="24"/>
              </w:rPr>
              <w:t>Promedio</w:t>
            </w:r>
          </w:p>
        </w:tc>
        <w:tc>
          <w:tcPr>
            <w:tcW w:w="2520" w:type="dxa"/>
            <w:vMerge w:val="restart"/>
            <w:tcBorders>
              <w:top w:val="single" w:sz="12" w:space="0" w:color="000000"/>
              <w:left w:val="single" w:sz="12" w:space="0" w:color="000000"/>
              <w:right w:val="single" w:sz="12" w:space="0" w:color="000000"/>
            </w:tcBorders>
          </w:tcPr>
          <w:p>
            <w:pPr>
              <w:pStyle w:val="TableParagraph"/>
              <w:spacing w:before="3"/>
              <w:jc w:val="left"/>
              <w:rPr>
                <w:sz w:val="26"/>
              </w:rPr>
            </w:pPr>
          </w:p>
          <w:p>
            <w:pPr>
              <w:pStyle w:val="TableParagraph"/>
              <w:spacing w:before="1"/>
              <w:ind w:left="1025" w:right="1025"/>
              <w:rPr>
                <w:sz w:val="24"/>
              </w:rPr>
            </w:pPr>
            <w:r>
              <w:rPr>
                <w:sz w:val="24"/>
              </w:rPr>
              <w:t>90</w:t>
            </w:r>
          </w:p>
        </w:tc>
      </w:tr>
      <w:tr>
        <w:trPr>
          <w:trHeight w:val="305" w:hRule="exact"/>
        </w:trPr>
        <w:tc>
          <w:tcPr>
            <w:tcW w:w="1981" w:type="dxa"/>
            <w:vMerge/>
            <w:tcBorders>
              <w:left w:val="single" w:sz="12" w:space="0" w:color="000000"/>
              <w:right w:val="single" w:sz="12" w:space="0" w:color="000000"/>
            </w:tcBorders>
          </w:tcPr>
          <w:p>
            <w:pPr/>
          </w:p>
        </w:tc>
        <w:tc>
          <w:tcPr>
            <w:tcW w:w="2160" w:type="dxa"/>
            <w:tcBorders>
              <w:top w:val="single" w:sz="8" w:space="0" w:color="000000"/>
              <w:left w:val="single" w:sz="12" w:space="0" w:color="000000"/>
              <w:bottom w:val="single" w:sz="8" w:space="0" w:color="000000"/>
              <w:right w:val="single" w:sz="12" w:space="0" w:color="000000"/>
            </w:tcBorders>
          </w:tcPr>
          <w:p>
            <w:pPr>
              <w:pStyle w:val="TableParagraph"/>
              <w:spacing w:before="5"/>
              <w:ind w:left="845" w:right="845"/>
              <w:rPr>
                <w:sz w:val="24"/>
              </w:rPr>
            </w:pPr>
            <w:r>
              <w:rPr>
                <w:sz w:val="24"/>
              </w:rPr>
              <w:t>91</w:t>
            </w:r>
          </w:p>
        </w:tc>
        <w:tc>
          <w:tcPr>
            <w:tcW w:w="2341" w:type="dxa"/>
            <w:vMerge/>
            <w:tcBorders>
              <w:left w:val="single" w:sz="12" w:space="0" w:color="000000"/>
              <w:right w:val="single" w:sz="12" w:space="0" w:color="000000"/>
            </w:tcBorders>
          </w:tcPr>
          <w:p>
            <w:pPr/>
          </w:p>
        </w:tc>
        <w:tc>
          <w:tcPr>
            <w:tcW w:w="2520" w:type="dxa"/>
            <w:vMerge/>
            <w:tcBorders>
              <w:left w:val="single" w:sz="12" w:space="0" w:color="000000"/>
              <w:right w:val="single" w:sz="12" w:space="0" w:color="000000"/>
            </w:tcBorders>
          </w:tcPr>
          <w:p>
            <w:pPr/>
          </w:p>
        </w:tc>
      </w:tr>
      <w:tr>
        <w:trPr>
          <w:trHeight w:val="312" w:hRule="exact"/>
        </w:trPr>
        <w:tc>
          <w:tcPr>
            <w:tcW w:w="1981" w:type="dxa"/>
            <w:vMerge/>
            <w:tcBorders>
              <w:left w:val="single" w:sz="12" w:space="0" w:color="000000"/>
              <w:bottom w:val="single" w:sz="12" w:space="0" w:color="000000"/>
              <w:right w:val="single" w:sz="12" w:space="0" w:color="000000"/>
            </w:tcBorders>
          </w:tcPr>
          <w:p>
            <w:pPr/>
          </w:p>
        </w:tc>
        <w:tc>
          <w:tcPr>
            <w:tcW w:w="2160" w:type="dxa"/>
            <w:tcBorders>
              <w:top w:val="single" w:sz="8" w:space="0" w:color="000000"/>
              <w:left w:val="single" w:sz="12" w:space="0" w:color="000000"/>
              <w:bottom w:val="single" w:sz="12" w:space="0" w:color="000000"/>
              <w:right w:val="single" w:sz="12" w:space="0" w:color="000000"/>
            </w:tcBorders>
          </w:tcPr>
          <w:p>
            <w:pPr>
              <w:pStyle w:val="TableParagraph"/>
              <w:spacing w:before="7"/>
              <w:ind w:left="845" w:right="845"/>
              <w:rPr>
                <w:sz w:val="24"/>
              </w:rPr>
            </w:pPr>
            <w:r>
              <w:rPr>
                <w:sz w:val="24"/>
              </w:rPr>
              <w:t>89</w:t>
            </w:r>
          </w:p>
        </w:tc>
        <w:tc>
          <w:tcPr>
            <w:tcW w:w="2341" w:type="dxa"/>
            <w:vMerge/>
            <w:tcBorders>
              <w:left w:val="single" w:sz="12" w:space="0" w:color="000000"/>
              <w:bottom w:val="single" w:sz="12" w:space="0" w:color="000000"/>
              <w:right w:val="single" w:sz="12" w:space="0" w:color="000000"/>
            </w:tcBorders>
          </w:tcPr>
          <w:p>
            <w:pPr/>
          </w:p>
        </w:tc>
        <w:tc>
          <w:tcPr>
            <w:tcW w:w="2520" w:type="dxa"/>
            <w:vMerge/>
            <w:tcBorders>
              <w:left w:val="single" w:sz="12" w:space="0" w:color="000000"/>
              <w:bottom w:val="single" w:sz="12" w:space="0" w:color="000000"/>
              <w:right w:val="single" w:sz="12" w:space="0" w:color="000000"/>
            </w:tcBorders>
          </w:tcPr>
          <w:p>
            <w:pPr/>
          </w:p>
        </w:tc>
      </w:tr>
    </w:tbl>
    <w:p>
      <w:pPr>
        <w:pStyle w:val="BodyText"/>
        <w:spacing w:before="7"/>
        <w:rPr>
          <w:sz w:val="17"/>
        </w:rPr>
      </w:pPr>
    </w:p>
    <w:p>
      <w:pPr>
        <w:pStyle w:val="BodyText"/>
        <w:spacing w:before="70" w:after="44"/>
        <w:ind w:left="202"/>
      </w:pPr>
      <w:r>
        <w:rPr/>
        <w:t>C: 120%</w:t>
      </w:r>
    </w:p>
    <w:tbl>
      <w:tblPr>
        <w:tblW w:w="0" w:type="auto"/>
        <w:jc w:val="left"/>
        <w:tblInd w:w="106"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CellMar>
          <w:top w:w="0" w:type="dxa"/>
          <w:left w:w="0" w:type="dxa"/>
          <w:bottom w:w="0" w:type="dxa"/>
          <w:right w:w="0" w:type="dxa"/>
        </w:tblCellMar>
        <w:tblLook w:val="01E0"/>
      </w:tblPr>
      <w:tblGrid>
        <w:gridCol w:w="1981"/>
        <w:gridCol w:w="2160"/>
        <w:gridCol w:w="2341"/>
        <w:gridCol w:w="2520"/>
      </w:tblGrid>
      <w:tr>
        <w:trPr>
          <w:trHeight w:val="546" w:hRule="exact"/>
        </w:trPr>
        <w:tc>
          <w:tcPr>
            <w:tcW w:w="1981" w:type="dxa"/>
            <w:tcBorders>
              <w:bottom w:val="single" w:sz="12" w:space="0" w:color="000000"/>
            </w:tcBorders>
            <w:shd w:val="clear" w:color="auto" w:fill="D9D9D9"/>
          </w:tcPr>
          <w:p>
            <w:pPr>
              <w:pStyle w:val="TableParagraph"/>
              <w:spacing w:before="117"/>
              <w:ind w:left="568"/>
              <w:jc w:val="left"/>
              <w:rPr>
                <w:b/>
                <w:sz w:val="24"/>
              </w:rPr>
            </w:pPr>
            <w:r>
              <w:rPr>
                <w:b/>
                <w:sz w:val="24"/>
              </w:rPr>
              <w:t>Analito</w:t>
            </w:r>
          </w:p>
        </w:tc>
        <w:tc>
          <w:tcPr>
            <w:tcW w:w="7021" w:type="dxa"/>
            <w:gridSpan w:val="3"/>
            <w:tcBorders>
              <w:bottom w:val="single" w:sz="12" w:space="0" w:color="000000"/>
            </w:tcBorders>
            <w:shd w:val="clear" w:color="auto" w:fill="D9D9D9"/>
          </w:tcPr>
          <w:p>
            <w:pPr>
              <w:pStyle w:val="TableParagraph"/>
              <w:spacing w:line="273" w:lineRule="exact"/>
              <w:ind w:left="2848" w:right="2849"/>
              <w:rPr>
                <w:b/>
                <w:sz w:val="24"/>
              </w:rPr>
            </w:pPr>
            <w:r>
              <w:rPr>
                <w:b/>
                <w:sz w:val="24"/>
              </w:rPr>
              <w:t>% Recobro</w:t>
            </w:r>
          </w:p>
        </w:tc>
      </w:tr>
      <w:tr>
        <w:trPr>
          <w:trHeight w:val="300" w:hRule="exact"/>
        </w:trPr>
        <w:tc>
          <w:tcPr>
            <w:tcW w:w="1981" w:type="dxa"/>
            <w:vMerge w:val="restart"/>
            <w:tcBorders>
              <w:top w:val="single" w:sz="12" w:space="0" w:color="000000"/>
            </w:tcBorders>
          </w:tcPr>
          <w:p>
            <w:pPr>
              <w:pStyle w:val="TableParagraph"/>
              <w:spacing w:before="183"/>
              <w:ind w:left="535"/>
              <w:jc w:val="left"/>
              <w:rPr>
                <w:sz w:val="24"/>
              </w:rPr>
            </w:pPr>
            <w:r>
              <w:rPr>
                <w:sz w:val="24"/>
              </w:rPr>
              <w:t>Vanadio</w:t>
            </w:r>
          </w:p>
        </w:tc>
        <w:tc>
          <w:tcPr>
            <w:tcW w:w="2160" w:type="dxa"/>
            <w:tcBorders>
              <w:top w:val="single" w:sz="12" w:space="0" w:color="000000"/>
              <w:bottom w:val="single" w:sz="8" w:space="0" w:color="000000"/>
              <w:right w:val="single" w:sz="12" w:space="0" w:color="000000"/>
            </w:tcBorders>
          </w:tcPr>
          <w:p>
            <w:pPr>
              <w:pStyle w:val="TableParagraph"/>
              <w:spacing w:line="272" w:lineRule="exact"/>
              <w:ind w:left="845" w:right="845"/>
              <w:rPr>
                <w:sz w:val="24"/>
              </w:rPr>
            </w:pPr>
            <w:r>
              <w:rPr>
                <w:sz w:val="24"/>
              </w:rPr>
              <w:t>102</w:t>
            </w:r>
          </w:p>
        </w:tc>
        <w:tc>
          <w:tcPr>
            <w:tcW w:w="2341" w:type="dxa"/>
            <w:vMerge w:val="restart"/>
            <w:tcBorders>
              <w:top w:val="single" w:sz="12" w:space="0" w:color="000000"/>
              <w:left w:val="single" w:sz="12" w:space="0" w:color="000000"/>
            </w:tcBorders>
          </w:tcPr>
          <w:p>
            <w:pPr>
              <w:pStyle w:val="TableParagraph"/>
              <w:spacing w:before="3"/>
              <w:jc w:val="left"/>
              <w:rPr>
                <w:sz w:val="26"/>
              </w:rPr>
            </w:pPr>
          </w:p>
          <w:p>
            <w:pPr>
              <w:pStyle w:val="TableParagraph"/>
              <w:spacing w:before="1"/>
              <w:ind w:left="640"/>
              <w:jc w:val="left"/>
              <w:rPr>
                <w:sz w:val="24"/>
              </w:rPr>
            </w:pPr>
            <w:r>
              <w:rPr>
                <w:sz w:val="24"/>
              </w:rPr>
              <w:t>Promedio</w:t>
            </w:r>
          </w:p>
        </w:tc>
        <w:tc>
          <w:tcPr>
            <w:tcW w:w="2520" w:type="dxa"/>
            <w:vMerge w:val="restart"/>
            <w:tcBorders>
              <w:top w:val="single" w:sz="12" w:space="0" w:color="000000"/>
            </w:tcBorders>
          </w:tcPr>
          <w:p>
            <w:pPr>
              <w:pStyle w:val="TableParagraph"/>
              <w:spacing w:before="3"/>
              <w:jc w:val="left"/>
              <w:rPr>
                <w:sz w:val="26"/>
              </w:rPr>
            </w:pPr>
          </w:p>
          <w:p>
            <w:pPr>
              <w:pStyle w:val="TableParagraph"/>
              <w:spacing w:before="1"/>
              <w:ind w:left="1025" w:right="1025"/>
              <w:rPr>
                <w:sz w:val="24"/>
              </w:rPr>
            </w:pPr>
            <w:r>
              <w:rPr>
                <w:sz w:val="24"/>
              </w:rPr>
              <w:t>103</w:t>
            </w:r>
          </w:p>
        </w:tc>
      </w:tr>
      <w:tr>
        <w:trPr>
          <w:trHeight w:val="307" w:hRule="exact"/>
        </w:trPr>
        <w:tc>
          <w:tcPr>
            <w:tcW w:w="1981" w:type="dxa"/>
            <w:vMerge/>
          </w:tcPr>
          <w:p>
            <w:pPr/>
          </w:p>
        </w:tc>
        <w:tc>
          <w:tcPr>
            <w:tcW w:w="2160" w:type="dxa"/>
            <w:tcBorders>
              <w:top w:val="single" w:sz="8" w:space="0" w:color="000000"/>
              <w:bottom w:val="single" w:sz="8" w:space="0" w:color="000000"/>
              <w:right w:val="single" w:sz="12" w:space="0" w:color="000000"/>
            </w:tcBorders>
          </w:tcPr>
          <w:p>
            <w:pPr>
              <w:pStyle w:val="TableParagraph"/>
              <w:spacing w:before="7"/>
              <w:ind w:left="845" w:right="845"/>
              <w:rPr>
                <w:sz w:val="24"/>
              </w:rPr>
            </w:pPr>
            <w:r>
              <w:rPr>
                <w:sz w:val="24"/>
              </w:rPr>
              <w:t>103</w:t>
            </w:r>
          </w:p>
        </w:tc>
        <w:tc>
          <w:tcPr>
            <w:tcW w:w="2341" w:type="dxa"/>
            <w:vMerge/>
            <w:tcBorders>
              <w:left w:val="single" w:sz="12" w:space="0" w:color="000000"/>
            </w:tcBorders>
          </w:tcPr>
          <w:p>
            <w:pPr/>
          </w:p>
        </w:tc>
        <w:tc>
          <w:tcPr>
            <w:tcW w:w="2520" w:type="dxa"/>
            <w:vMerge/>
          </w:tcPr>
          <w:p>
            <w:pPr/>
          </w:p>
        </w:tc>
      </w:tr>
      <w:tr>
        <w:trPr>
          <w:trHeight w:val="310" w:hRule="exact"/>
        </w:trPr>
        <w:tc>
          <w:tcPr>
            <w:tcW w:w="1981" w:type="dxa"/>
            <w:vMerge/>
          </w:tcPr>
          <w:p>
            <w:pPr/>
          </w:p>
        </w:tc>
        <w:tc>
          <w:tcPr>
            <w:tcW w:w="2160" w:type="dxa"/>
            <w:tcBorders>
              <w:top w:val="single" w:sz="8" w:space="0" w:color="000000"/>
              <w:right w:val="single" w:sz="12" w:space="0" w:color="000000"/>
            </w:tcBorders>
          </w:tcPr>
          <w:p>
            <w:pPr>
              <w:pStyle w:val="TableParagraph"/>
              <w:spacing w:before="5"/>
              <w:ind w:left="845" w:right="845"/>
              <w:rPr>
                <w:sz w:val="24"/>
              </w:rPr>
            </w:pPr>
            <w:r>
              <w:rPr>
                <w:sz w:val="24"/>
              </w:rPr>
              <w:t>103</w:t>
            </w:r>
          </w:p>
        </w:tc>
        <w:tc>
          <w:tcPr>
            <w:tcW w:w="2341" w:type="dxa"/>
            <w:vMerge/>
            <w:tcBorders>
              <w:left w:val="single" w:sz="12" w:space="0" w:color="000000"/>
            </w:tcBorders>
          </w:tcPr>
          <w:p>
            <w:pPr/>
          </w:p>
        </w:tc>
        <w:tc>
          <w:tcPr>
            <w:tcW w:w="2520" w:type="dxa"/>
            <w:vMerge/>
          </w:tcPr>
          <w:p>
            <w:pPr/>
          </w:p>
        </w:tc>
      </w:tr>
      <w:tr>
        <w:trPr>
          <w:trHeight w:val="302" w:hRule="exact"/>
        </w:trPr>
        <w:tc>
          <w:tcPr>
            <w:tcW w:w="1981" w:type="dxa"/>
            <w:vMerge w:val="restart"/>
          </w:tcPr>
          <w:p>
            <w:pPr>
              <w:pStyle w:val="TableParagraph"/>
              <w:spacing w:before="3"/>
              <w:jc w:val="left"/>
              <w:rPr>
                <w:sz w:val="26"/>
              </w:rPr>
            </w:pPr>
          </w:p>
          <w:p>
            <w:pPr>
              <w:pStyle w:val="TableParagraph"/>
              <w:spacing w:before="1"/>
              <w:ind w:left="561"/>
              <w:jc w:val="left"/>
              <w:rPr>
                <w:sz w:val="24"/>
              </w:rPr>
            </w:pPr>
            <w:r>
              <w:rPr>
                <w:sz w:val="24"/>
              </w:rPr>
              <w:t>Cobalto</w:t>
            </w:r>
          </w:p>
        </w:tc>
        <w:tc>
          <w:tcPr>
            <w:tcW w:w="2160" w:type="dxa"/>
            <w:tcBorders>
              <w:bottom w:val="single" w:sz="8" w:space="0" w:color="000000"/>
              <w:right w:val="single" w:sz="12" w:space="0" w:color="000000"/>
            </w:tcBorders>
          </w:tcPr>
          <w:p>
            <w:pPr>
              <w:pStyle w:val="TableParagraph"/>
              <w:spacing w:line="274" w:lineRule="exact"/>
              <w:ind w:left="845" w:right="845"/>
              <w:rPr>
                <w:sz w:val="24"/>
              </w:rPr>
            </w:pPr>
            <w:r>
              <w:rPr>
                <w:sz w:val="24"/>
              </w:rPr>
              <w:t>102</w:t>
            </w:r>
          </w:p>
        </w:tc>
        <w:tc>
          <w:tcPr>
            <w:tcW w:w="2341" w:type="dxa"/>
            <w:vMerge w:val="restart"/>
            <w:tcBorders>
              <w:left w:val="single" w:sz="12" w:space="0" w:color="000000"/>
            </w:tcBorders>
          </w:tcPr>
          <w:p>
            <w:pPr>
              <w:pStyle w:val="TableParagraph"/>
              <w:spacing w:before="3"/>
              <w:jc w:val="left"/>
              <w:rPr>
                <w:sz w:val="26"/>
              </w:rPr>
            </w:pPr>
          </w:p>
          <w:p>
            <w:pPr>
              <w:pStyle w:val="TableParagraph"/>
              <w:spacing w:before="1"/>
              <w:ind w:left="640"/>
              <w:jc w:val="left"/>
              <w:rPr>
                <w:sz w:val="24"/>
              </w:rPr>
            </w:pPr>
            <w:r>
              <w:rPr>
                <w:sz w:val="24"/>
              </w:rPr>
              <w:t>Promedio</w:t>
            </w:r>
          </w:p>
        </w:tc>
        <w:tc>
          <w:tcPr>
            <w:tcW w:w="2520" w:type="dxa"/>
            <w:vMerge w:val="restart"/>
          </w:tcPr>
          <w:p>
            <w:pPr>
              <w:pStyle w:val="TableParagraph"/>
              <w:spacing w:before="3"/>
              <w:jc w:val="left"/>
              <w:rPr>
                <w:sz w:val="26"/>
              </w:rPr>
            </w:pPr>
          </w:p>
          <w:p>
            <w:pPr>
              <w:pStyle w:val="TableParagraph"/>
              <w:spacing w:before="1"/>
              <w:ind w:left="1025" w:right="1025"/>
              <w:rPr>
                <w:sz w:val="24"/>
              </w:rPr>
            </w:pPr>
            <w:r>
              <w:rPr>
                <w:sz w:val="24"/>
              </w:rPr>
              <w:t>101</w:t>
            </w:r>
          </w:p>
        </w:tc>
      </w:tr>
      <w:tr>
        <w:trPr>
          <w:trHeight w:val="305" w:hRule="exact"/>
        </w:trPr>
        <w:tc>
          <w:tcPr>
            <w:tcW w:w="1981" w:type="dxa"/>
            <w:vMerge/>
          </w:tcPr>
          <w:p>
            <w:pPr/>
          </w:p>
        </w:tc>
        <w:tc>
          <w:tcPr>
            <w:tcW w:w="2160" w:type="dxa"/>
            <w:tcBorders>
              <w:top w:val="single" w:sz="8" w:space="0" w:color="000000"/>
              <w:bottom w:val="single" w:sz="8" w:space="0" w:color="000000"/>
              <w:right w:val="single" w:sz="12" w:space="0" w:color="000000"/>
            </w:tcBorders>
          </w:tcPr>
          <w:p>
            <w:pPr>
              <w:pStyle w:val="TableParagraph"/>
              <w:spacing w:before="5"/>
              <w:ind w:left="845" w:right="845"/>
              <w:rPr>
                <w:sz w:val="24"/>
              </w:rPr>
            </w:pPr>
            <w:r>
              <w:rPr>
                <w:sz w:val="24"/>
              </w:rPr>
              <w:t>101</w:t>
            </w:r>
          </w:p>
        </w:tc>
        <w:tc>
          <w:tcPr>
            <w:tcW w:w="2341" w:type="dxa"/>
            <w:vMerge/>
            <w:tcBorders>
              <w:left w:val="single" w:sz="12" w:space="0" w:color="000000"/>
            </w:tcBorders>
          </w:tcPr>
          <w:p>
            <w:pPr/>
          </w:p>
        </w:tc>
        <w:tc>
          <w:tcPr>
            <w:tcW w:w="2520" w:type="dxa"/>
            <w:vMerge/>
          </w:tcPr>
          <w:p>
            <w:pPr/>
          </w:p>
        </w:tc>
      </w:tr>
      <w:tr>
        <w:trPr>
          <w:trHeight w:val="312" w:hRule="exact"/>
        </w:trPr>
        <w:tc>
          <w:tcPr>
            <w:tcW w:w="1981" w:type="dxa"/>
            <w:vMerge/>
          </w:tcPr>
          <w:p>
            <w:pPr/>
          </w:p>
        </w:tc>
        <w:tc>
          <w:tcPr>
            <w:tcW w:w="2160" w:type="dxa"/>
            <w:tcBorders>
              <w:top w:val="single" w:sz="8" w:space="0" w:color="000000"/>
              <w:right w:val="single" w:sz="12" w:space="0" w:color="000000"/>
            </w:tcBorders>
          </w:tcPr>
          <w:p>
            <w:pPr>
              <w:pStyle w:val="TableParagraph"/>
              <w:spacing w:before="7"/>
              <w:ind w:left="845" w:right="845"/>
              <w:rPr>
                <w:sz w:val="24"/>
              </w:rPr>
            </w:pPr>
            <w:r>
              <w:rPr>
                <w:sz w:val="24"/>
              </w:rPr>
              <w:t>101</w:t>
            </w:r>
          </w:p>
        </w:tc>
        <w:tc>
          <w:tcPr>
            <w:tcW w:w="2341" w:type="dxa"/>
            <w:vMerge/>
            <w:tcBorders>
              <w:left w:val="single" w:sz="12" w:space="0" w:color="000000"/>
            </w:tcBorders>
          </w:tcPr>
          <w:p>
            <w:pPr/>
          </w:p>
        </w:tc>
        <w:tc>
          <w:tcPr>
            <w:tcW w:w="2520" w:type="dxa"/>
            <w:vMerge/>
          </w:tcPr>
          <w:p>
            <w:pPr/>
          </w:p>
        </w:tc>
      </w:tr>
      <w:tr>
        <w:trPr>
          <w:trHeight w:val="300" w:hRule="exact"/>
        </w:trPr>
        <w:tc>
          <w:tcPr>
            <w:tcW w:w="1981" w:type="dxa"/>
            <w:vMerge w:val="restart"/>
          </w:tcPr>
          <w:p>
            <w:pPr>
              <w:pStyle w:val="TableParagraph"/>
              <w:spacing w:before="10"/>
              <w:jc w:val="left"/>
              <w:rPr>
                <w:sz w:val="29"/>
              </w:rPr>
            </w:pPr>
          </w:p>
          <w:p>
            <w:pPr>
              <w:pStyle w:val="TableParagraph"/>
              <w:ind w:left="628"/>
              <w:jc w:val="left"/>
              <w:rPr>
                <w:sz w:val="24"/>
              </w:rPr>
            </w:pPr>
            <w:r>
              <w:rPr>
                <w:sz w:val="24"/>
              </w:rPr>
              <w:t>Níquel</w:t>
            </w:r>
          </w:p>
        </w:tc>
        <w:tc>
          <w:tcPr>
            <w:tcW w:w="2160" w:type="dxa"/>
            <w:tcBorders>
              <w:bottom w:val="single" w:sz="8" w:space="0" w:color="000000"/>
              <w:right w:val="single" w:sz="12" w:space="0" w:color="000000"/>
            </w:tcBorders>
          </w:tcPr>
          <w:p>
            <w:pPr>
              <w:pStyle w:val="TableParagraph"/>
              <w:spacing w:line="272" w:lineRule="exact"/>
              <w:ind w:left="845" w:right="845"/>
              <w:rPr>
                <w:sz w:val="24"/>
              </w:rPr>
            </w:pPr>
            <w:r>
              <w:rPr>
                <w:sz w:val="24"/>
              </w:rPr>
              <w:t>101</w:t>
            </w:r>
          </w:p>
        </w:tc>
        <w:tc>
          <w:tcPr>
            <w:tcW w:w="2341" w:type="dxa"/>
            <w:vMerge w:val="restart"/>
            <w:tcBorders>
              <w:left w:val="single" w:sz="12" w:space="0" w:color="000000"/>
            </w:tcBorders>
          </w:tcPr>
          <w:p>
            <w:pPr>
              <w:pStyle w:val="TableParagraph"/>
              <w:spacing w:before="10"/>
              <w:jc w:val="left"/>
              <w:rPr>
                <w:sz w:val="29"/>
              </w:rPr>
            </w:pPr>
          </w:p>
          <w:p>
            <w:pPr>
              <w:pStyle w:val="TableParagraph"/>
              <w:ind w:left="640"/>
              <w:jc w:val="left"/>
              <w:rPr>
                <w:sz w:val="24"/>
              </w:rPr>
            </w:pPr>
            <w:r>
              <w:rPr>
                <w:sz w:val="24"/>
              </w:rPr>
              <w:t>Promedio</w:t>
            </w:r>
          </w:p>
        </w:tc>
        <w:tc>
          <w:tcPr>
            <w:tcW w:w="2520" w:type="dxa"/>
            <w:vMerge w:val="restart"/>
          </w:tcPr>
          <w:p>
            <w:pPr>
              <w:pStyle w:val="TableParagraph"/>
              <w:spacing w:before="10"/>
              <w:jc w:val="left"/>
              <w:rPr>
                <w:sz w:val="29"/>
              </w:rPr>
            </w:pPr>
          </w:p>
          <w:p>
            <w:pPr>
              <w:pStyle w:val="TableParagraph"/>
              <w:ind w:left="1025" w:right="1025"/>
              <w:rPr>
                <w:sz w:val="24"/>
              </w:rPr>
            </w:pPr>
            <w:r>
              <w:rPr>
                <w:sz w:val="24"/>
              </w:rPr>
              <w:t>101</w:t>
            </w:r>
          </w:p>
        </w:tc>
      </w:tr>
      <w:tr>
        <w:trPr>
          <w:trHeight w:val="348" w:hRule="exact"/>
        </w:trPr>
        <w:tc>
          <w:tcPr>
            <w:tcW w:w="1981" w:type="dxa"/>
            <w:vMerge/>
          </w:tcPr>
          <w:p>
            <w:pPr/>
          </w:p>
        </w:tc>
        <w:tc>
          <w:tcPr>
            <w:tcW w:w="2160" w:type="dxa"/>
            <w:tcBorders>
              <w:top w:val="single" w:sz="8" w:space="0" w:color="000000"/>
              <w:bottom w:val="single" w:sz="8" w:space="0" w:color="000000"/>
              <w:right w:val="single" w:sz="12" w:space="0" w:color="000000"/>
            </w:tcBorders>
          </w:tcPr>
          <w:p>
            <w:pPr>
              <w:pStyle w:val="TableParagraph"/>
              <w:spacing w:before="10"/>
              <w:ind w:left="845" w:right="845"/>
              <w:rPr>
                <w:sz w:val="24"/>
              </w:rPr>
            </w:pPr>
            <w:r>
              <w:rPr>
                <w:sz w:val="24"/>
              </w:rPr>
              <w:t>102</w:t>
            </w:r>
          </w:p>
        </w:tc>
        <w:tc>
          <w:tcPr>
            <w:tcW w:w="2341" w:type="dxa"/>
            <w:vMerge/>
            <w:tcBorders>
              <w:left w:val="single" w:sz="12" w:space="0" w:color="000000"/>
            </w:tcBorders>
          </w:tcPr>
          <w:p>
            <w:pPr/>
          </w:p>
        </w:tc>
        <w:tc>
          <w:tcPr>
            <w:tcW w:w="2520" w:type="dxa"/>
            <w:vMerge/>
          </w:tcPr>
          <w:p>
            <w:pPr/>
          </w:p>
        </w:tc>
      </w:tr>
      <w:tr>
        <w:trPr>
          <w:trHeight w:val="353" w:hRule="exact"/>
        </w:trPr>
        <w:tc>
          <w:tcPr>
            <w:tcW w:w="1981" w:type="dxa"/>
            <w:vMerge/>
          </w:tcPr>
          <w:p>
            <w:pPr/>
          </w:p>
        </w:tc>
        <w:tc>
          <w:tcPr>
            <w:tcW w:w="2160" w:type="dxa"/>
            <w:tcBorders>
              <w:top w:val="single" w:sz="8" w:space="0" w:color="000000"/>
              <w:right w:val="single" w:sz="12" w:space="0" w:color="000000"/>
            </w:tcBorders>
          </w:tcPr>
          <w:p>
            <w:pPr>
              <w:pStyle w:val="TableParagraph"/>
              <w:spacing w:before="10"/>
              <w:ind w:left="845" w:right="845"/>
              <w:rPr>
                <w:sz w:val="24"/>
              </w:rPr>
            </w:pPr>
            <w:r>
              <w:rPr>
                <w:sz w:val="24"/>
              </w:rPr>
              <w:t>100</w:t>
            </w:r>
          </w:p>
        </w:tc>
        <w:tc>
          <w:tcPr>
            <w:tcW w:w="2341" w:type="dxa"/>
            <w:vMerge/>
            <w:tcBorders>
              <w:left w:val="single" w:sz="12" w:space="0" w:color="000000"/>
            </w:tcBorders>
          </w:tcPr>
          <w:p>
            <w:pPr/>
          </w:p>
        </w:tc>
        <w:tc>
          <w:tcPr>
            <w:tcW w:w="2520" w:type="dxa"/>
            <w:vMerge/>
          </w:tcPr>
          <w:p>
            <w:pPr/>
          </w:p>
        </w:tc>
      </w:tr>
    </w:tbl>
    <w:p>
      <w:pPr>
        <w:pStyle w:val="BodyText"/>
        <w:rPr>
          <w:sz w:val="20"/>
        </w:rPr>
      </w:pPr>
    </w:p>
    <w:p>
      <w:pPr>
        <w:pStyle w:val="BodyText"/>
        <w:rPr>
          <w:sz w:val="20"/>
        </w:rPr>
      </w:pPr>
    </w:p>
    <w:p>
      <w:pPr>
        <w:pStyle w:val="BodyText"/>
        <w:rPr>
          <w:sz w:val="20"/>
        </w:rPr>
      </w:pPr>
    </w:p>
    <w:p>
      <w:pPr>
        <w:pStyle w:val="BodyText"/>
        <w:spacing w:before="8"/>
        <w:rPr>
          <w:sz w:val="16"/>
        </w:rPr>
      </w:pPr>
    </w:p>
    <w:p>
      <w:pPr>
        <w:pStyle w:val="Heading1"/>
        <w:numPr>
          <w:ilvl w:val="0"/>
          <w:numId w:val="11"/>
        </w:numPr>
        <w:tabs>
          <w:tab w:pos="921" w:val="left" w:leader="none"/>
          <w:tab w:pos="922" w:val="left" w:leader="none"/>
        </w:tabs>
        <w:spacing w:line="240" w:lineRule="auto" w:before="69" w:after="0"/>
        <w:ind w:left="922" w:right="0" w:hanging="720"/>
        <w:jc w:val="left"/>
      </w:pPr>
      <w:r>
        <w:rPr/>
        <w:t>Precisión</w:t>
      </w:r>
    </w:p>
    <w:p>
      <w:pPr>
        <w:pStyle w:val="BodyText"/>
        <w:spacing w:before="3"/>
        <w:rPr>
          <w:b/>
          <w:sz w:val="31"/>
        </w:rPr>
      </w:pPr>
    </w:p>
    <w:p>
      <w:pPr>
        <w:spacing w:before="0"/>
        <w:ind w:left="921" w:right="0" w:firstLine="0"/>
        <w:jc w:val="both"/>
        <w:rPr>
          <w:b/>
          <w:sz w:val="24"/>
        </w:rPr>
      </w:pPr>
      <w:r>
        <w:rPr>
          <w:b/>
          <w:color w:val="212121"/>
          <w:sz w:val="24"/>
        </w:rPr>
        <w:t>Repetibilidad (Analista 1), Día 1, Instrumento 1</w:t>
      </w:r>
    </w:p>
    <w:p>
      <w:pPr>
        <w:pStyle w:val="BodyText"/>
        <w:spacing w:before="1"/>
        <w:rPr>
          <w:b/>
          <w:sz w:val="31"/>
        </w:rPr>
      </w:pPr>
    </w:p>
    <w:p>
      <w:pPr>
        <w:pStyle w:val="BodyText"/>
        <w:spacing w:line="360" w:lineRule="auto"/>
        <w:ind w:left="910" w:right="218"/>
        <w:jc w:val="both"/>
      </w:pPr>
      <w:r>
        <w:rPr>
          <w:color w:val="212121"/>
        </w:rPr>
        <w:t>El analista 1 preparó y analizó 6 muestras independientes, las preparaciones fueron adicionadas con V, Co y Ni al 100 % de la concentración como se define en el método. Se calculó el % de recobro y</w:t>
      </w:r>
      <w:r>
        <w:rPr>
          <w:color w:val="212121"/>
          <w:spacing w:val="28"/>
        </w:rPr>
        <w:t> </w:t>
      </w:r>
      <w:r>
        <w:rPr>
          <w:color w:val="212121"/>
        </w:rPr>
        <w:t>el</w:t>
      </w:r>
    </w:p>
    <w:p>
      <w:pPr>
        <w:pStyle w:val="BodyText"/>
        <w:spacing w:line="360" w:lineRule="auto" w:before="5"/>
        <w:ind w:left="910" w:right="218"/>
        <w:jc w:val="both"/>
      </w:pPr>
      <w:r>
        <w:rPr>
          <w:color w:val="212121"/>
        </w:rPr>
        <w:t>% DER de las 6 muestras que se utilizaron para la evaluación de la precisión. Los resultados se presentan en la Tabla C.VII.1. El valor de % de DER para el recobro de V, Co y Ni cumple con el requisito de NMT 20 %.</w:t>
      </w:r>
    </w:p>
    <w:p>
      <w:pPr>
        <w:pStyle w:val="BodyText"/>
        <w:spacing w:before="11"/>
        <w:rPr>
          <w:sz w:val="27"/>
        </w:rPr>
      </w:pPr>
    </w:p>
    <w:p>
      <w:pPr>
        <w:pStyle w:val="Heading1"/>
        <w:ind w:left="921"/>
      </w:pPr>
      <w:r>
        <w:rPr>
          <w:color w:val="212121"/>
        </w:rPr>
        <w:t>Repetibilidad (Analista 2), Día 2, Instrumento 1</w:t>
      </w:r>
    </w:p>
    <w:p>
      <w:pPr>
        <w:pStyle w:val="BodyText"/>
        <w:spacing w:before="3"/>
        <w:rPr>
          <w:b/>
          <w:sz w:val="31"/>
        </w:rPr>
      </w:pPr>
    </w:p>
    <w:p>
      <w:pPr>
        <w:pStyle w:val="BodyText"/>
        <w:spacing w:line="360" w:lineRule="auto"/>
        <w:ind w:left="921" w:right="219"/>
        <w:jc w:val="both"/>
      </w:pPr>
      <w:r>
        <w:rPr>
          <w:color w:val="212121"/>
        </w:rPr>
        <w:t>Con el fin de determinar la robustez del método, se realizaron pruebas en días diferentes y por diferentes analistas.</w:t>
      </w:r>
    </w:p>
    <w:p>
      <w:pPr>
        <w:spacing w:after="0" w:line="360" w:lineRule="auto"/>
        <w:jc w:val="both"/>
        <w:sectPr>
          <w:pgSz w:w="12240" w:h="15840"/>
          <w:pgMar w:header="0" w:footer="919" w:top="1420" w:bottom="1100" w:left="1500" w:right="1480"/>
        </w:sectPr>
      </w:pPr>
    </w:p>
    <w:p>
      <w:pPr>
        <w:pStyle w:val="BodyText"/>
        <w:spacing w:before="7"/>
        <w:rPr>
          <w:sz w:val="22"/>
        </w:rPr>
      </w:pPr>
    </w:p>
    <w:p>
      <w:pPr>
        <w:pStyle w:val="BodyText"/>
        <w:spacing w:line="360" w:lineRule="auto" w:before="69"/>
        <w:ind w:left="701" w:right="214"/>
        <w:jc w:val="both"/>
      </w:pPr>
      <w:r>
        <w:rPr>
          <w:color w:val="212121"/>
        </w:rPr>
        <w:t>De acuerdo al método se prepararon seis muestras adicionadas con V, Co  y Ni al 100 % de la concentración objetivo y se analizaron por un segundo analista en un día diferente; en ausencia de un segundo instrumento, se utilizó mismo instrumento usado en la prueba de repetibilidad. Se calculó </w:t>
      </w:r>
      <w:r>
        <w:rPr>
          <w:color w:val="212121"/>
          <w:spacing w:val="14"/>
        </w:rPr>
        <w:t> </w:t>
      </w:r>
      <w:r>
        <w:rPr>
          <w:color w:val="212121"/>
        </w:rPr>
        <w:t>el</w:t>
      </w:r>
    </w:p>
    <w:p>
      <w:pPr>
        <w:pStyle w:val="BodyText"/>
        <w:spacing w:line="360" w:lineRule="auto" w:before="2"/>
        <w:ind w:left="701" w:right="216"/>
        <w:jc w:val="both"/>
      </w:pPr>
      <w:r>
        <w:rPr>
          <w:color w:val="212121"/>
        </w:rPr>
        <w:t>% de recuperación y el % DER de las 6 muestras que se utilizaron para la evaluación de la precisión. Los resultados se presentan en la Tabla C.VII.2.</w:t>
      </w:r>
    </w:p>
    <w:p>
      <w:pPr>
        <w:pStyle w:val="BodyText"/>
      </w:pPr>
    </w:p>
    <w:p>
      <w:pPr>
        <w:pStyle w:val="BodyText"/>
        <w:spacing w:before="142"/>
        <w:ind w:left="701"/>
        <w:jc w:val="both"/>
      </w:pPr>
      <w:r>
        <w:rPr>
          <w:color w:val="212121"/>
        </w:rPr>
        <w:t>El %DER del recobro cumple con el requisito de NMT 20 %.</w:t>
      </w:r>
    </w:p>
    <w:p>
      <w:pPr>
        <w:pStyle w:val="BodyText"/>
        <w:spacing w:line="360" w:lineRule="auto" w:before="137"/>
        <w:ind w:left="701" w:right="215"/>
        <w:jc w:val="both"/>
      </w:pPr>
      <w:r>
        <w:rPr>
          <w:color w:val="212121"/>
        </w:rPr>
        <w:t>La calculo la diferencia absoluta de la media del % de recobro de V, Co y Ni para la evaluación de la precisión. Los datos mostrados en la Tabla C.VII.3 demuestran que diferencia absoluta cumple con el requisito de NMT 15 %, lo que demuestra que el método es preciso.</w:t>
      </w:r>
    </w:p>
    <w:p>
      <w:pPr>
        <w:pStyle w:val="Heading1"/>
        <w:spacing w:before="199"/>
        <w:ind w:left="651"/>
      </w:pPr>
      <w:r>
        <w:rPr/>
        <w:t>Tabla C.VII.1. Resultados de la prueba de Repetibilidad para </w:t>
      </w:r>
      <w:r>
        <w:rPr>
          <w:color w:val="212121"/>
        </w:rPr>
        <w:t>la clase 2A</w:t>
      </w:r>
    </w:p>
    <w:p>
      <w:pPr>
        <w:pStyle w:val="BodyText"/>
        <w:spacing w:before="10"/>
        <w:rPr>
          <w:b/>
          <w:sz w:val="10"/>
        </w:rPr>
      </w:pPr>
    </w:p>
    <w:tbl>
      <w:tblPr>
        <w:tblW w:w="0" w:type="auto"/>
        <w:jc w:val="left"/>
        <w:tblInd w:w="1057"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CellMar>
          <w:top w:w="0" w:type="dxa"/>
          <w:left w:w="0" w:type="dxa"/>
          <w:bottom w:w="0" w:type="dxa"/>
          <w:right w:w="0" w:type="dxa"/>
        </w:tblCellMar>
        <w:tblLook w:val="01E0"/>
      </w:tblPr>
      <w:tblGrid>
        <w:gridCol w:w="1954"/>
        <w:gridCol w:w="1956"/>
        <w:gridCol w:w="1954"/>
        <w:gridCol w:w="1956"/>
      </w:tblGrid>
      <w:tr>
        <w:trPr>
          <w:trHeight w:val="546" w:hRule="exact"/>
        </w:trPr>
        <w:tc>
          <w:tcPr>
            <w:tcW w:w="7821" w:type="dxa"/>
            <w:gridSpan w:val="4"/>
            <w:shd w:val="clear" w:color="auto" w:fill="D9D9D9"/>
          </w:tcPr>
          <w:p>
            <w:pPr>
              <w:pStyle w:val="TableParagraph"/>
              <w:spacing w:before="117"/>
              <w:ind w:left="3247" w:right="3249"/>
              <w:rPr>
                <w:b/>
                <w:sz w:val="24"/>
              </w:rPr>
            </w:pPr>
            <w:r>
              <w:rPr>
                <w:b/>
                <w:sz w:val="24"/>
              </w:rPr>
              <w:t>% Recobro</w:t>
            </w:r>
          </w:p>
        </w:tc>
      </w:tr>
      <w:tr>
        <w:trPr>
          <w:trHeight w:val="701" w:hRule="exact"/>
        </w:trPr>
        <w:tc>
          <w:tcPr>
            <w:tcW w:w="1954" w:type="dxa"/>
            <w:shd w:val="clear" w:color="auto" w:fill="D9D9D9"/>
          </w:tcPr>
          <w:p>
            <w:pPr>
              <w:pStyle w:val="TableParagraph"/>
              <w:ind w:left="494" w:right="318" w:hanging="161"/>
              <w:jc w:val="left"/>
              <w:rPr>
                <w:b/>
                <w:sz w:val="24"/>
              </w:rPr>
            </w:pPr>
            <w:r>
              <w:rPr>
                <w:b/>
                <w:sz w:val="24"/>
              </w:rPr>
              <w:t>Número de muestra</w:t>
            </w:r>
          </w:p>
        </w:tc>
        <w:tc>
          <w:tcPr>
            <w:tcW w:w="1956" w:type="dxa"/>
            <w:shd w:val="clear" w:color="auto" w:fill="D9D9D9"/>
          </w:tcPr>
          <w:p>
            <w:pPr>
              <w:pStyle w:val="TableParagraph"/>
              <w:spacing w:before="2"/>
              <w:jc w:val="left"/>
              <w:rPr>
                <w:b/>
                <w:sz w:val="22"/>
              </w:rPr>
            </w:pPr>
          </w:p>
          <w:p>
            <w:pPr>
              <w:pStyle w:val="TableParagraph"/>
              <w:ind w:left="477" w:right="477"/>
              <w:rPr>
                <w:b/>
                <w:sz w:val="24"/>
              </w:rPr>
            </w:pPr>
            <w:r>
              <w:rPr>
                <w:b/>
                <w:sz w:val="24"/>
              </w:rPr>
              <w:t>Vanadio</w:t>
            </w:r>
          </w:p>
        </w:tc>
        <w:tc>
          <w:tcPr>
            <w:tcW w:w="1954" w:type="dxa"/>
            <w:shd w:val="clear" w:color="auto" w:fill="D9D9D9"/>
          </w:tcPr>
          <w:p>
            <w:pPr>
              <w:pStyle w:val="TableParagraph"/>
              <w:spacing w:before="2"/>
              <w:jc w:val="left"/>
              <w:rPr>
                <w:b/>
                <w:sz w:val="22"/>
              </w:rPr>
            </w:pPr>
          </w:p>
          <w:p>
            <w:pPr>
              <w:pStyle w:val="TableParagraph"/>
              <w:ind w:left="229" w:right="229"/>
              <w:rPr>
                <w:b/>
                <w:sz w:val="24"/>
              </w:rPr>
            </w:pPr>
            <w:r>
              <w:rPr>
                <w:b/>
                <w:sz w:val="24"/>
              </w:rPr>
              <w:t>Cobalto</w:t>
            </w:r>
          </w:p>
        </w:tc>
        <w:tc>
          <w:tcPr>
            <w:tcW w:w="1956" w:type="dxa"/>
            <w:shd w:val="clear" w:color="auto" w:fill="D9D9D9"/>
          </w:tcPr>
          <w:p>
            <w:pPr>
              <w:pStyle w:val="TableParagraph"/>
              <w:spacing w:before="2"/>
              <w:jc w:val="left"/>
              <w:rPr>
                <w:b/>
                <w:sz w:val="22"/>
              </w:rPr>
            </w:pPr>
          </w:p>
          <w:p>
            <w:pPr>
              <w:pStyle w:val="TableParagraph"/>
              <w:ind w:right="597"/>
              <w:jc w:val="right"/>
              <w:rPr>
                <w:b/>
                <w:sz w:val="24"/>
              </w:rPr>
            </w:pPr>
            <w:r>
              <w:rPr>
                <w:b/>
                <w:w w:val="95"/>
                <w:sz w:val="24"/>
              </w:rPr>
              <w:t>Níquel</w:t>
            </w:r>
          </w:p>
        </w:tc>
      </w:tr>
      <w:tr>
        <w:trPr>
          <w:trHeight w:val="362" w:hRule="exact"/>
        </w:trPr>
        <w:tc>
          <w:tcPr>
            <w:tcW w:w="1954" w:type="dxa"/>
            <w:tcBorders>
              <w:bottom w:val="single" w:sz="8" w:space="0" w:color="000000"/>
            </w:tcBorders>
          </w:tcPr>
          <w:p>
            <w:pPr>
              <w:pStyle w:val="TableParagraph"/>
              <w:spacing w:before="58"/>
              <w:rPr>
                <w:sz w:val="24"/>
              </w:rPr>
            </w:pPr>
            <w:r>
              <w:rPr>
                <w:w w:val="99"/>
                <w:sz w:val="24"/>
              </w:rPr>
              <w:t>1</w:t>
            </w:r>
          </w:p>
        </w:tc>
        <w:tc>
          <w:tcPr>
            <w:tcW w:w="1956" w:type="dxa"/>
            <w:tcBorders>
              <w:bottom w:val="single" w:sz="8" w:space="0" w:color="000000"/>
            </w:tcBorders>
          </w:tcPr>
          <w:p>
            <w:pPr>
              <w:pStyle w:val="TableParagraph"/>
              <w:spacing w:before="27"/>
              <w:ind w:left="476" w:right="477"/>
              <w:rPr>
                <w:sz w:val="24"/>
              </w:rPr>
            </w:pPr>
            <w:r>
              <w:rPr>
                <w:sz w:val="24"/>
              </w:rPr>
              <w:t>91.37</w:t>
            </w:r>
          </w:p>
        </w:tc>
        <w:tc>
          <w:tcPr>
            <w:tcW w:w="1954" w:type="dxa"/>
            <w:tcBorders>
              <w:bottom w:val="single" w:sz="8" w:space="0" w:color="000000"/>
            </w:tcBorders>
          </w:tcPr>
          <w:p>
            <w:pPr>
              <w:pStyle w:val="TableParagraph"/>
              <w:spacing w:before="27"/>
              <w:ind w:left="229" w:right="229"/>
              <w:rPr>
                <w:sz w:val="24"/>
              </w:rPr>
            </w:pPr>
            <w:r>
              <w:rPr>
                <w:sz w:val="24"/>
              </w:rPr>
              <w:t>91.36</w:t>
            </w:r>
          </w:p>
        </w:tc>
        <w:tc>
          <w:tcPr>
            <w:tcW w:w="1956" w:type="dxa"/>
            <w:tcBorders>
              <w:bottom w:val="single" w:sz="8" w:space="0" w:color="000000"/>
            </w:tcBorders>
          </w:tcPr>
          <w:p>
            <w:pPr>
              <w:pStyle w:val="TableParagraph"/>
              <w:spacing w:before="27"/>
              <w:ind w:right="662"/>
              <w:jc w:val="right"/>
              <w:rPr>
                <w:sz w:val="24"/>
              </w:rPr>
            </w:pPr>
            <w:r>
              <w:rPr>
                <w:sz w:val="24"/>
              </w:rPr>
              <w:t>89.59</w:t>
            </w:r>
          </w:p>
        </w:tc>
      </w:tr>
      <w:tr>
        <w:trPr>
          <w:trHeight w:val="355" w:hRule="exact"/>
        </w:trPr>
        <w:tc>
          <w:tcPr>
            <w:tcW w:w="1954" w:type="dxa"/>
            <w:tcBorders>
              <w:top w:val="single" w:sz="8" w:space="0" w:color="000000"/>
              <w:bottom w:val="single" w:sz="8" w:space="0" w:color="000000"/>
            </w:tcBorders>
          </w:tcPr>
          <w:p>
            <w:pPr>
              <w:pStyle w:val="TableParagraph"/>
              <w:spacing w:before="55"/>
              <w:rPr>
                <w:sz w:val="24"/>
              </w:rPr>
            </w:pPr>
            <w:r>
              <w:rPr>
                <w:w w:val="99"/>
                <w:sz w:val="24"/>
              </w:rPr>
              <w:t>2</w:t>
            </w:r>
          </w:p>
        </w:tc>
        <w:tc>
          <w:tcPr>
            <w:tcW w:w="1956" w:type="dxa"/>
            <w:tcBorders>
              <w:top w:val="single" w:sz="8" w:space="0" w:color="000000"/>
              <w:bottom w:val="single" w:sz="8" w:space="0" w:color="000000"/>
            </w:tcBorders>
          </w:tcPr>
          <w:p>
            <w:pPr>
              <w:pStyle w:val="TableParagraph"/>
              <w:spacing w:before="27"/>
              <w:ind w:left="476" w:right="477"/>
              <w:rPr>
                <w:sz w:val="24"/>
              </w:rPr>
            </w:pPr>
            <w:r>
              <w:rPr>
                <w:sz w:val="24"/>
              </w:rPr>
              <w:t>91.08</w:t>
            </w:r>
          </w:p>
        </w:tc>
        <w:tc>
          <w:tcPr>
            <w:tcW w:w="1954" w:type="dxa"/>
            <w:tcBorders>
              <w:top w:val="single" w:sz="8" w:space="0" w:color="000000"/>
              <w:bottom w:val="single" w:sz="8" w:space="0" w:color="000000"/>
            </w:tcBorders>
          </w:tcPr>
          <w:p>
            <w:pPr>
              <w:pStyle w:val="TableParagraph"/>
              <w:spacing w:before="27"/>
              <w:ind w:left="229" w:right="229"/>
              <w:rPr>
                <w:sz w:val="24"/>
              </w:rPr>
            </w:pPr>
            <w:r>
              <w:rPr>
                <w:sz w:val="24"/>
              </w:rPr>
              <w:t>91.58</w:t>
            </w:r>
          </w:p>
        </w:tc>
        <w:tc>
          <w:tcPr>
            <w:tcW w:w="1956" w:type="dxa"/>
            <w:tcBorders>
              <w:top w:val="single" w:sz="8" w:space="0" w:color="000000"/>
              <w:bottom w:val="single" w:sz="8" w:space="0" w:color="000000"/>
            </w:tcBorders>
          </w:tcPr>
          <w:p>
            <w:pPr>
              <w:pStyle w:val="TableParagraph"/>
              <w:spacing w:before="27"/>
              <w:ind w:right="662"/>
              <w:jc w:val="right"/>
              <w:rPr>
                <w:sz w:val="24"/>
              </w:rPr>
            </w:pPr>
            <w:r>
              <w:rPr>
                <w:sz w:val="24"/>
              </w:rPr>
              <w:t>91.33</w:t>
            </w:r>
          </w:p>
        </w:tc>
      </w:tr>
      <w:tr>
        <w:trPr>
          <w:trHeight w:val="358" w:hRule="exact"/>
        </w:trPr>
        <w:tc>
          <w:tcPr>
            <w:tcW w:w="1954" w:type="dxa"/>
            <w:tcBorders>
              <w:top w:val="single" w:sz="8" w:space="0" w:color="000000"/>
              <w:bottom w:val="single" w:sz="8" w:space="0" w:color="000000"/>
            </w:tcBorders>
          </w:tcPr>
          <w:p>
            <w:pPr>
              <w:pStyle w:val="TableParagraph"/>
              <w:spacing w:before="58"/>
              <w:rPr>
                <w:sz w:val="24"/>
              </w:rPr>
            </w:pPr>
            <w:r>
              <w:rPr>
                <w:w w:val="99"/>
                <w:sz w:val="24"/>
              </w:rPr>
              <w:t>3</w:t>
            </w:r>
          </w:p>
        </w:tc>
        <w:tc>
          <w:tcPr>
            <w:tcW w:w="1956" w:type="dxa"/>
            <w:tcBorders>
              <w:top w:val="single" w:sz="8" w:space="0" w:color="000000"/>
              <w:bottom w:val="single" w:sz="8" w:space="0" w:color="000000"/>
            </w:tcBorders>
          </w:tcPr>
          <w:p>
            <w:pPr>
              <w:pStyle w:val="TableParagraph"/>
              <w:spacing w:before="27"/>
              <w:ind w:left="476" w:right="477"/>
              <w:rPr>
                <w:sz w:val="24"/>
              </w:rPr>
            </w:pPr>
            <w:r>
              <w:rPr>
                <w:sz w:val="24"/>
              </w:rPr>
              <w:t>91.01</w:t>
            </w:r>
          </w:p>
        </w:tc>
        <w:tc>
          <w:tcPr>
            <w:tcW w:w="1954" w:type="dxa"/>
            <w:tcBorders>
              <w:top w:val="single" w:sz="8" w:space="0" w:color="000000"/>
              <w:bottom w:val="single" w:sz="8" w:space="0" w:color="000000"/>
            </w:tcBorders>
          </w:tcPr>
          <w:p>
            <w:pPr>
              <w:pStyle w:val="TableParagraph"/>
              <w:spacing w:before="27"/>
              <w:ind w:left="229" w:right="229"/>
              <w:rPr>
                <w:sz w:val="24"/>
              </w:rPr>
            </w:pPr>
            <w:r>
              <w:rPr>
                <w:sz w:val="24"/>
              </w:rPr>
              <w:t>90.47</w:t>
            </w:r>
          </w:p>
        </w:tc>
        <w:tc>
          <w:tcPr>
            <w:tcW w:w="1956" w:type="dxa"/>
            <w:tcBorders>
              <w:top w:val="single" w:sz="8" w:space="0" w:color="000000"/>
              <w:bottom w:val="single" w:sz="8" w:space="0" w:color="000000"/>
            </w:tcBorders>
          </w:tcPr>
          <w:p>
            <w:pPr>
              <w:pStyle w:val="TableParagraph"/>
              <w:spacing w:before="27"/>
              <w:ind w:right="662"/>
              <w:jc w:val="right"/>
              <w:rPr>
                <w:sz w:val="24"/>
              </w:rPr>
            </w:pPr>
            <w:r>
              <w:rPr>
                <w:sz w:val="24"/>
              </w:rPr>
              <w:t>88.83</w:t>
            </w:r>
          </w:p>
        </w:tc>
      </w:tr>
      <w:tr>
        <w:trPr>
          <w:trHeight w:val="355" w:hRule="exact"/>
        </w:trPr>
        <w:tc>
          <w:tcPr>
            <w:tcW w:w="1954" w:type="dxa"/>
            <w:tcBorders>
              <w:top w:val="single" w:sz="8" w:space="0" w:color="000000"/>
              <w:bottom w:val="single" w:sz="8" w:space="0" w:color="000000"/>
            </w:tcBorders>
          </w:tcPr>
          <w:p>
            <w:pPr>
              <w:pStyle w:val="TableParagraph"/>
              <w:spacing w:before="55"/>
              <w:rPr>
                <w:sz w:val="24"/>
              </w:rPr>
            </w:pPr>
            <w:r>
              <w:rPr>
                <w:w w:val="99"/>
                <w:sz w:val="24"/>
              </w:rPr>
              <w:t>4</w:t>
            </w:r>
          </w:p>
        </w:tc>
        <w:tc>
          <w:tcPr>
            <w:tcW w:w="1956" w:type="dxa"/>
            <w:tcBorders>
              <w:top w:val="single" w:sz="8" w:space="0" w:color="000000"/>
              <w:bottom w:val="single" w:sz="8" w:space="0" w:color="000000"/>
            </w:tcBorders>
          </w:tcPr>
          <w:p>
            <w:pPr>
              <w:pStyle w:val="TableParagraph"/>
              <w:spacing w:before="24"/>
              <w:ind w:left="476" w:right="477"/>
              <w:rPr>
                <w:sz w:val="24"/>
              </w:rPr>
            </w:pPr>
            <w:r>
              <w:rPr>
                <w:sz w:val="24"/>
              </w:rPr>
              <w:t>91.57</w:t>
            </w:r>
          </w:p>
        </w:tc>
        <w:tc>
          <w:tcPr>
            <w:tcW w:w="1954" w:type="dxa"/>
            <w:tcBorders>
              <w:top w:val="single" w:sz="8" w:space="0" w:color="000000"/>
              <w:bottom w:val="single" w:sz="8" w:space="0" w:color="000000"/>
            </w:tcBorders>
          </w:tcPr>
          <w:p>
            <w:pPr>
              <w:pStyle w:val="TableParagraph"/>
              <w:spacing w:before="24"/>
              <w:ind w:left="229" w:right="229"/>
              <w:rPr>
                <w:sz w:val="24"/>
              </w:rPr>
            </w:pPr>
            <w:r>
              <w:rPr>
                <w:sz w:val="24"/>
              </w:rPr>
              <w:t>92.21</w:t>
            </w:r>
          </w:p>
        </w:tc>
        <w:tc>
          <w:tcPr>
            <w:tcW w:w="1956" w:type="dxa"/>
            <w:tcBorders>
              <w:top w:val="single" w:sz="8" w:space="0" w:color="000000"/>
              <w:bottom w:val="single" w:sz="8" w:space="0" w:color="000000"/>
            </w:tcBorders>
          </w:tcPr>
          <w:p>
            <w:pPr>
              <w:pStyle w:val="TableParagraph"/>
              <w:spacing w:before="24"/>
              <w:ind w:right="662"/>
              <w:jc w:val="right"/>
              <w:rPr>
                <w:sz w:val="24"/>
              </w:rPr>
            </w:pPr>
            <w:r>
              <w:rPr>
                <w:sz w:val="24"/>
              </w:rPr>
              <w:t>89.91</w:t>
            </w:r>
          </w:p>
        </w:tc>
      </w:tr>
      <w:tr>
        <w:trPr>
          <w:trHeight w:val="355" w:hRule="exact"/>
        </w:trPr>
        <w:tc>
          <w:tcPr>
            <w:tcW w:w="1954" w:type="dxa"/>
            <w:tcBorders>
              <w:top w:val="single" w:sz="8" w:space="0" w:color="000000"/>
              <w:bottom w:val="single" w:sz="8" w:space="0" w:color="000000"/>
            </w:tcBorders>
          </w:tcPr>
          <w:p>
            <w:pPr>
              <w:pStyle w:val="TableParagraph"/>
              <w:spacing w:before="55"/>
              <w:rPr>
                <w:sz w:val="24"/>
              </w:rPr>
            </w:pPr>
            <w:r>
              <w:rPr>
                <w:w w:val="99"/>
                <w:sz w:val="24"/>
              </w:rPr>
              <w:t>5</w:t>
            </w:r>
          </w:p>
        </w:tc>
        <w:tc>
          <w:tcPr>
            <w:tcW w:w="1956" w:type="dxa"/>
            <w:tcBorders>
              <w:top w:val="single" w:sz="8" w:space="0" w:color="000000"/>
              <w:bottom w:val="single" w:sz="8" w:space="0" w:color="000000"/>
            </w:tcBorders>
          </w:tcPr>
          <w:p>
            <w:pPr>
              <w:pStyle w:val="TableParagraph"/>
              <w:spacing w:before="27"/>
              <w:ind w:left="476" w:right="477"/>
              <w:rPr>
                <w:sz w:val="24"/>
              </w:rPr>
            </w:pPr>
            <w:r>
              <w:rPr>
                <w:sz w:val="24"/>
              </w:rPr>
              <w:t>93.19</w:t>
            </w:r>
          </w:p>
        </w:tc>
        <w:tc>
          <w:tcPr>
            <w:tcW w:w="1954" w:type="dxa"/>
            <w:tcBorders>
              <w:top w:val="single" w:sz="8" w:space="0" w:color="000000"/>
              <w:bottom w:val="single" w:sz="8" w:space="0" w:color="000000"/>
            </w:tcBorders>
          </w:tcPr>
          <w:p>
            <w:pPr>
              <w:pStyle w:val="TableParagraph"/>
              <w:spacing w:before="27"/>
              <w:ind w:left="229" w:right="229"/>
              <w:rPr>
                <w:sz w:val="24"/>
              </w:rPr>
            </w:pPr>
            <w:r>
              <w:rPr>
                <w:sz w:val="24"/>
              </w:rPr>
              <w:t>91.48</w:t>
            </w:r>
          </w:p>
        </w:tc>
        <w:tc>
          <w:tcPr>
            <w:tcW w:w="1956" w:type="dxa"/>
            <w:tcBorders>
              <w:top w:val="single" w:sz="8" w:space="0" w:color="000000"/>
              <w:bottom w:val="single" w:sz="8" w:space="0" w:color="000000"/>
            </w:tcBorders>
          </w:tcPr>
          <w:p>
            <w:pPr>
              <w:pStyle w:val="TableParagraph"/>
              <w:spacing w:before="27"/>
              <w:ind w:right="662"/>
              <w:jc w:val="right"/>
              <w:rPr>
                <w:sz w:val="24"/>
              </w:rPr>
            </w:pPr>
            <w:r>
              <w:rPr>
                <w:sz w:val="24"/>
              </w:rPr>
              <w:t>92.62</w:t>
            </w:r>
          </w:p>
        </w:tc>
      </w:tr>
      <w:tr>
        <w:trPr>
          <w:trHeight w:val="362" w:hRule="exact"/>
        </w:trPr>
        <w:tc>
          <w:tcPr>
            <w:tcW w:w="1954" w:type="dxa"/>
            <w:tcBorders>
              <w:top w:val="single" w:sz="8" w:space="0" w:color="000000"/>
            </w:tcBorders>
          </w:tcPr>
          <w:p>
            <w:pPr>
              <w:pStyle w:val="TableParagraph"/>
              <w:spacing w:before="58"/>
              <w:rPr>
                <w:sz w:val="24"/>
              </w:rPr>
            </w:pPr>
            <w:r>
              <w:rPr>
                <w:w w:val="99"/>
                <w:sz w:val="24"/>
              </w:rPr>
              <w:t>6</w:t>
            </w:r>
          </w:p>
        </w:tc>
        <w:tc>
          <w:tcPr>
            <w:tcW w:w="1956" w:type="dxa"/>
            <w:tcBorders>
              <w:top w:val="single" w:sz="8" w:space="0" w:color="000000"/>
            </w:tcBorders>
          </w:tcPr>
          <w:p>
            <w:pPr>
              <w:pStyle w:val="TableParagraph"/>
              <w:spacing w:before="27"/>
              <w:ind w:left="476" w:right="477"/>
              <w:rPr>
                <w:sz w:val="24"/>
              </w:rPr>
            </w:pPr>
            <w:r>
              <w:rPr>
                <w:sz w:val="24"/>
              </w:rPr>
              <w:t>93.28</w:t>
            </w:r>
          </w:p>
        </w:tc>
        <w:tc>
          <w:tcPr>
            <w:tcW w:w="1954" w:type="dxa"/>
            <w:tcBorders>
              <w:top w:val="single" w:sz="8" w:space="0" w:color="000000"/>
            </w:tcBorders>
          </w:tcPr>
          <w:p>
            <w:pPr>
              <w:pStyle w:val="TableParagraph"/>
              <w:spacing w:before="27"/>
              <w:ind w:left="229" w:right="229"/>
              <w:rPr>
                <w:sz w:val="24"/>
              </w:rPr>
            </w:pPr>
            <w:r>
              <w:rPr>
                <w:sz w:val="24"/>
              </w:rPr>
              <w:t>91.61</w:t>
            </w:r>
          </w:p>
        </w:tc>
        <w:tc>
          <w:tcPr>
            <w:tcW w:w="1956" w:type="dxa"/>
            <w:tcBorders>
              <w:top w:val="single" w:sz="8" w:space="0" w:color="000000"/>
            </w:tcBorders>
          </w:tcPr>
          <w:p>
            <w:pPr>
              <w:pStyle w:val="TableParagraph"/>
              <w:spacing w:before="27"/>
              <w:ind w:right="662"/>
              <w:jc w:val="right"/>
              <w:rPr>
                <w:sz w:val="24"/>
              </w:rPr>
            </w:pPr>
            <w:r>
              <w:rPr>
                <w:sz w:val="24"/>
              </w:rPr>
              <w:t>91.31</w:t>
            </w:r>
          </w:p>
        </w:tc>
      </w:tr>
      <w:tr>
        <w:trPr>
          <w:trHeight w:val="299" w:hRule="exact"/>
        </w:trPr>
        <w:tc>
          <w:tcPr>
            <w:tcW w:w="1954" w:type="dxa"/>
            <w:tcBorders>
              <w:bottom w:val="nil"/>
            </w:tcBorders>
          </w:tcPr>
          <w:p>
            <w:pPr>
              <w:pStyle w:val="TableParagraph"/>
              <w:spacing w:line="272" w:lineRule="exact"/>
              <w:ind w:left="229" w:right="229"/>
              <w:rPr>
                <w:sz w:val="24"/>
              </w:rPr>
            </w:pPr>
            <w:r>
              <w:rPr>
                <w:sz w:val="24"/>
              </w:rPr>
              <w:t>Promedio</w:t>
            </w:r>
          </w:p>
        </w:tc>
        <w:tc>
          <w:tcPr>
            <w:tcW w:w="1956" w:type="dxa"/>
            <w:tcBorders>
              <w:bottom w:val="nil"/>
            </w:tcBorders>
          </w:tcPr>
          <w:p>
            <w:pPr>
              <w:pStyle w:val="TableParagraph"/>
              <w:spacing w:line="272" w:lineRule="exact"/>
              <w:ind w:left="476" w:right="477"/>
              <w:rPr>
                <w:sz w:val="24"/>
              </w:rPr>
            </w:pPr>
            <w:r>
              <w:rPr>
                <w:sz w:val="24"/>
              </w:rPr>
              <w:t>91.92</w:t>
            </w:r>
          </w:p>
        </w:tc>
        <w:tc>
          <w:tcPr>
            <w:tcW w:w="1954" w:type="dxa"/>
            <w:tcBorders>
              <w:bottom w:val="nil"/>
            </w:tcBorders>
          </w:tcPr>
          <w:p>
            <w:pPr>
              <w:pStyle w:val="TableParagraph"/>
              <w:spacing w:line="272" w:lineRule="exact"/>
              <w:ind w:left="229" w:right="229"/>
              <w:rPr>
                <w:sz w:val="24"/>
              </w:rPr>
            </w:pPr>
            <w:r>
              <w:rPr>
                <w:sz w:val="24"/>
              </w:rPr>
              <w:t>91.45</w:t>
            </w:r>
          </w:p>
        </w:tc>
        <w:tc>
          <w:tcPr>
            <w:tcW w:w="1956" w:type="dxa"/>
            <w:tcBorders>
              <w:bottom w:val="nil"/>
            </w:tcBorders>
          </w:tcPr>
          <w:p>
            <w:pPr>
              <w:pStyle w:val="TableParagraph"/>
              <w:spacing w:line="272" w:lineRule="exact"/>
              <w:ind w:right="662"/>
              <w:jc w:val="right"/>
              <w:rPr>
                <w:sz w:val="24"/>
              </w:rPr>
            </w:pPr>
            <w:r>
              <w:rPr>
                <w:sz w:val="24"/>
              </w:rPr>
              <w:t>90.60</w:t>
            </w:r>
          </w:p>
        </w:tc>
      </w:tr>
      <w:tr>
        <w:trPr>
          <w:trHeight w:val="276" w:hRule="exact"/>
        </w:trPr>
        <w:tc>
          <w:tcPr>
            <w:tcW w:w="1954" w:type="dxa"/>
            <w:tcBorders>
              <w:top w:val="nil"/>
              <w:bottom w:val="nil"/>
            </w:tcBorders>
          </w:tcPr>
          <w:p>
            <w:pPr>
              <w:pStyle w:val="TableParagraph"/>
              <w:spacing w:line="263" w:lineRule="exact"/>
              <w:ind w:left="228" w:right="229"/>
              <w:rPr>
                <w:sz w:val="24"/>
              </w:rPr>
            </w:pPr>
            <w:r>
              <w:rPr>
                <w:sz w:val="24"/>
              </w:rPr>
              <w:t>Desv. Std</w:t>
            </w:r>
          </w:p>
        </w:tc>
        <w:tc>
          <w:tcPr>
            <w:tcW w:w="1956" w:type="dxa"/>
            <w:tcBorders>
              <w:top w:val="nil"/>
              <w:bottom w:val="nil"/>
            </w:tcBorders>
          </w:tcPr>
          <w:p>
            <w:pPr>
              <w:pStyle w:val="TableParagraph"/>
              <w:spacing w:line="263" w:lineRule="exact"/>
              <w:ind w:left="475" w:right="477"/>
              <w:rPr>
                <w:sz w:val="24"/>
              </w:rPr>
            </w:pPr>
            <w:r>
              <w:rPr>
                <w:sz w:val="24"/>
              </w:rPr>
              <w:t>1.04</w:t>
            </w:r>
          </w:p>
        </w:tc>
        <w:tc>
          <w:tcPr>
            <w:tcW w:w="1954" w:type="dxa"/>
            <w:tcBorders>
              <w:top w:val="nil"/>
              <w:bottom w:val="nil"/>
            </w:tcBorders>
          </w:tcPr>
          <w:p>
            <w:pPr>
              <w:pStyle w:val="TableParagraph"/>
              <w:spacing w:line="263" w:lineRule="exact"/>
              <w:ind w:left="229" w:right="229"/>
              <w:rPr>
                <w:sz w:val="24"/>
              </w:rPr>
            </w:pPr>
            <w:r>
              <w:rPr>
                <w:sz w:val="24"/>
              </w:rPr>
              <w:t>0.56</w:t>
            </w:r>
          </w:p>
        </w:tc>
        <w:tc>
          <w:tcPr>
            <w:tcW w:w="1956" w:type="dxa"/>
            <w:tcBorders>
              <w:top w:val="nil"/>
              <w:bottom w:val="nil"/>
            </w:tcBorders>
          </w:tcPr>
          <w:p>
            <w:pPr>
              <w:pStyle w:val="TableParagraph"/>
              <w:spacing w:line="263" w:lineRule="exact"/>
              <w:ind w:left="475" w:right="477"/>
              <w:rPr>
                <w:sz w:val="24"/>
              </w:rPr>
            </w:pPr>
            <w:r>
              <w:rPr>
                <w:sz w:val="24"/>
              </w:rPr>
              <w:t>1.40</w:t>
            </w:r>
          </w:p>
        </w:tc>
      </w:tr>
      <w:tr>
        <w:trPr>
          <w:trHeight w:val="284" w:hRule="exact"/>
        </w:trPr>
        <w:tc>
          <w:tcPr>
            <w:tcW w:w="1954" w:type="dxa"/>
            <w:tcBorders>
              <w:top w:val="nil"/>
            </w:tcBorders>
          </w:tcPr>
          <w:p>
            <w:pPr>
              <w:pStyle w:val="TableParagraph"/>
              <w:spacing w:line="263" w:lineRule="exact"/>
              <w:ind w:left="229" w:right="229"/>
              <w:rPr>
                <w:sz w:val="24"/>
              </w:rPr>
            </w:pPr>
            <w:r>
              <w:rPr>
                <w:sz w:val="24"/>
              </w:rPr>
              <w:t>% DER</w:t>
            </w:r>
          </w:p>
        </w:tc>
        <w:tc>
          <w:tcPr>
            <w:tcW w:w="1956" w:type="dxa"/>
            <w:tcBorders>
              <w:top w:val="nil"/>
            </w:tcBorders>
          </w:tcPr>
          <w:p>
            <w:pPr>
              <w:pStyle w:val="TableParagraph"/>
              <w:spacing w:line="263" w:lineRule="exact"/>
              <w:ind w:right="1"/>
              <w:rPr>
                <w:sz w:val="24"/>
              </w:rPr>
            </w:pPr>
            <w:r>
              <w:rPr>
                <w:w w:val="99"/>
                <w:sz w:val="24"/>
              </w:rPr>
              <w:t>1</w:t>
            </w:r>
          </w:p>
        </w:tc>
        <w:tc>
          <w:tcPr>
            <w:tcW w:w="1954" w:type="dxa"/>
            <w:tcBorders>
              <w:top w:val="nil"/>
            </w:tcBorders>
          </w:tcPr>
          <w:p>
            <w:pPr>
              <w:pStyle w:val="TableParagraph"/>
              <w:spacing w:line="263" w:lineRule="exact"/>
              <w:ind w:right="1"/>
              <w:rPr>
                <w:sz w:val="24"/>
              </w:rPr>
            </w:pPr>
            <w:r>
              <w:rPr>
                <w:w w:val="99"/>
                <w:sz w:val="24"/>
              </w:rPr>
              <w:t>1</w:t>
            </w:r>
          </w:p>
        </w:tc>
        <w:tc>
          <w:tcPr>
            <w:tcW w:w="1956" w:type="dxa"/>
            <w:tcBorders>
              <w:top w:val="nil"/>
            </w:tcBorders>
          </w:tcPr>
          <w:p>
            <w:pPr>
              <w:pStyle w:val="TableParagraph"/>
              <w:spacing w:line="263" w:lineRule="exact"/>
              <w:ind w:right="1"/>
              <w:rPr>
                <w:sz w:val="24"/>
              </w:rPr>
            </w:pPr>
            <w:r>
              <w:rPr>
                <w:w w:val="99"/>
                <w:sz w:val="24"/>
              </w:rPr>
              <w:t>2</w:t>
            </w:r>
          </w:p>
        </w:tc>
      </w:tr>
    </w:tbl>
    <w:p>
      <w:pPr>
        <w:pStyle w:val="BodyText"/>
        <w:rPr>
          <w:b/>
          <w:sz w:val="20"/>
        </w:rPr>
      </w:pPr>
    </w:p>
    <w:p>
      <w:pPr>
        <w:pStyle w:val="BodyText"/>
        <w:rPr>
          <w:b/>
          <w:sz w:val="20"/>
        </w:rPr>
      </w:pPr>
    </w:p>
    <w:p>
      <w:pPr>
        <w:pStyle w:val="BodyText"/>
        <w:rPr>
          <w:b/>
          <w:sz w:val="20"/>
        </w:rPr>
      </w:pPr>
    </w:p>
    <w:p>
      <w:pPr>
        <w:pStyle w:val="BodyText"/>
        <w:spacing w:before="5"/>
        <w:rPr>
          <w:b/>
          <w:sz w:val="16"/>
        </w:rPr>
      </w:pPr>
    </w:p>
    <w:p>
      <w:pPr>
        <w:spacing w:line="276" w:lineRule="auto" w:before="70" w:after="5"/>
        <w:ind w:left="690" w:right="380" w:firstLine="0"/>
        <w:jc w:val="left"/>
        <w:rPr>
          <w:b/>
          <w:sz w:val="24"/>
        </w:rPr>
      </w:pPr>
      <w:r>
        <w:rPr>
          <w:b/>
          <w:sz w:val="24"/>
        </w:rPr>
        <w:t>Tabla C.VII.2. Resultados de la prueba de Precisión Intermedia para </w:t>
      </w:r>
      <w:r>
        <w:rPr>
          <w:b/>
          <w:color w:val="212121"/>
          <w:sz w:val="24"/>
        </w:rPr>
        <w:t>la clase 2A</w:t>
      </w:r>
    </w:p>
    <w:tbl>
      <w:tblPr>
        <w:tblW w:w="0" w:type="auto"/>
        <w:jc w:val="left"/>
        <w:tblInd w:w="1057"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CellMar>
          <w:top w:w="0" w:type="dxa"/>
          <w:left w:w="0" w:type="dxa"/>
          <w:bottom w:w="0" w:type="dxa"/>
          <w:right w:w="0" w:type="dxa"/>
        </w:tblCellMar>
        <w:tblLook w:val="01E0"/>
      </w:tblPr>
      <w:tblGrid>
        <w:gridCol w:w="1954"/>
        <w:gridCol w:w="1956"/>
        <w:gridCol w:w="1954"/>
        <w:gridCol w:w="1955"/>
      </w:tblGrid>
      <w:tr>
        <w:trPr>
          <w:trHeight w:val="426" w:hRule="exact"/>
        </w:trPr>
        <w:tc>
          <w:tcPr>
            <w:tcW w:w="7820" w:type="dxa"/>
            <w:gridSpan w:val="4"/>
            <w:shd w:val="clear" w:color="auto" w:fill="D9D9D9"/>
          </w:tcPr>
          <w:p>
            <w:pPr>
              <w:pStyle w:val="TableParagraph"/>
              <w:spacing w:before="115"/>
              <w:ind w:left="3248" w:right="3249"/>
              <w:rPr>
                <w:b/>
                <w:sz w:val="24"/>
              </w:rPr>
            </w:pPr>
            <w:r>
              <w:rPr>
                <w:b/>
                <w:sz w:val="24"/>
              </w:rPr>
              <w:t>% Recobro</w:t>
            </w:r>
          </w:p>
        </w:tc>
      </w:tr>
      <w:tr>
        <w:trPr>
          <w:trHeight w:val="582" w:hRule="exact"/>
        </w:trPr>
        <w:tc>
          <w:tcPr>
            <w:tcW w:w="1954" w:type="dxa"/>
            <w:shd w:val="clear" w:color="auto" w:fill="D9D9D9"/>
          </w:tcPr>
          <w:p>
            <w:pPr>
              <w:pStyle w:val="TableParagraph"/>
              <w:ind w:left="494" w:right="318" w:hanging="161"/>
              <w:jc w:val="left"/>
              <w:rPr>
                <w:b/>
                <w:sz w:val="24"/>
              </w:rPr>
            </w:pPr>
            <w:r>
              <w:rPr>
                <w:b/>
                <w:sz w:val="24"/>
              </w:rPr>
              <w:t>Número de muestra</w:t>
            </w:r>
          </w:p>
        </w:tc>
        <w:tc>
          <w:tcPr>
            <w:tcW w:w="1956" w:type="dxa"/>
            <w:shd w:val="clear" w:color="auto" w:fill="D9D9D9"/>
          </w:tcPr>
          <w:p>
            <w:pPr>
              <w:pStyle w:val="TableParagraph"/>
              <w:spacing w:before="193"/>
              <w:ind w:left="494"/>
              <w:jc w:val="left"/>
              <w:rPr>
                <w:b/>
                <w:sz w:val="24"/>
              </w:rPr>
            </w:pPr>
            <w:r>
              <w:rPr>
                <w:b/>
                <w:sz w:val="24"/>
              </w:rPr>
              <w:t>Vanadio</w:t>
            </w:r>
          </w:p>
        </w:tc>
        <w:tc>
          <w:tcPr>
            <w:tcW w:w="1954" w:type="dxa"/>
            <w:shd w:val="clear" w:color="auto" w:fill="D9D9D9"/>
          </w:tcPr>
          <w:p>
            <w:pPr>
              <w:pStyle w:val="TableParagraph"/>
              <w:spacing w:before="193"/>
              <w:ind w:left="515" w:right="318"/>
              <w:jc w:val="left"/>
              <w:rPr>
                <w:b/>
                <w:sz w:val="24"/>
              </w:rPr>
            </w:pPr>
            <w:r>
              <w:rPr>
                <w:b/>
                <w:sz w:val="24"/>
              </w:rPr>
              <w:t>Cobalto</w:t>
            </w:r>
          </w:p>
        </w:tc>
        <w:tc>
          <w:tcPr>
            <w:tcW w:w="1955" w:type="dxa"/>
            <w:shd w:val="clear" w:color="auto" w:fill="D9D9D9"/>
          </w:tcPr>
          <w:p>
            <w:pPr>
              <w:pStyle w:val="TableParagraph"/>
              <w:spacing w:before="193"/>
              <w:ind w:left="595"/>
              <w:jc w:val="left"/>
              <w:rPr>
                <w:b/>
                <w:sz w:val="24"/>
              </w:rPr>
            </w:pPr>
            <w:r>
              <w:rPr>
                <w:b/>
                <w:sz w:val="24"/>
              </w:rPr>
              <w:t>Níquel</w:t>
            </w:r>
          </w:p>
        </w:tc>
      </w:tr>
    </w:tbl>
    <w:p>
      <w:pPr>
        <w:spacing w:after="0"/>
        <w:jc w:val="left"/>
        <w:rPr>
          <w:sz w:val="24"/>
        </w:rPr>
        <w:sectPr>
          <w:pgSz w:w="12240" w:h="15840"/>
          <w:pgMar w:header="0" w:footer="919" w:top="1500" w:bottom="1100" w:left="1720" w:right="1480"/>
        </w:sectPr>
      </w:pPr>
    </w:p>
    <w:tbl>
      <w:tblPr>
        <w:tblW w:w="0" w:type="auto"/>
        <w:jc w:val="left"/>
        <w:tblInd w:w="1257"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CellMar>
          <w:top w:w="0" w:type="dxa"/>
          <w:left w:w="0" w:type="dxa"/>
          <w:bottom w:w="0" w:type="dxa"/>
          <w:right w:w="0" w:type="dxa"/>
        </w:tblCellMar>
        <w:tblLook w:val="01E0"/>
      </w:tblPr>
      <w:tblGrid>
        <w:gridCol w:w="1954"/>
        <w:gridCol w:w="1956"/>
        <w:gridCol w:w="1954"/>
        <w:gridCol w:w="1956"/>
      </w:tblGrid>
      <w:tr>
        <w:trPr>
          <w:trHeight w:val="360" w:hRule="exact"/>
        </w:trPr>
        <w:tc>
          <w:tcPr>
            <w:tcW w:w="1954" w:type="dxa"/>
            <w:tcBorders>
              <w:bottom w:val="single" w:sz="8" w:space="0" w:color="000000"/>
            </w:tcBorders>
          </w:tcPr>
          <w:p>
            <w:pPr>
              <w:pStyle w:val="TableParagraph"/>
              <w:spacing w:before="56"/>
              <w:rPr>
                <w:sz w:val="24"/>
              </w:rPr>
            </w:pPr>
            <w:r>
              <w:rPr>
                <w:w w:val="99"/>
                <w:sz w:val="24"/>
              </w:rPr>
              <w:t>1</w:t>
            </w:r>
          </w:p>
        </w:tc>
        <w:tc>
          <w:tcPr>
            <w:tcW w:w="1956" w:type="dxa"/>
            <w:tcBorders>
              <w:bottom w:val="single" w:sz="8" w:space="0" w:color="000000"/>
            </w:tcBorders>
          </w:tcPr>
          <w:p>
            <w:pPr>
              <w:pStyle w:val="TableParagraph"/>
              <w:spacing w:before="27"/>
              <w:ind w:left="477" w:right="477"/>
              <w:rPr>
                <w:sz w:val="24"/>
              </w:rPr>
            </w:pPr>
            <w:r>
              <w:rPr>
                <w:sz w:val="24"/>
              </w:rPr>
              <w:t>103.83</w:t>
            </w:r>
          </w:p>
        </w:tc>
        <w:tc>
          <w:tcPr>
            <w:tcW w:w="1954" w:type="dxa"/>
            <w:tcBorders>
              <w:bottom w:val="single" w:sz="8" w:space="0" w:color="000000"/>
            </w:tcBorders>
          </w:tcPr>
          <w:p>
            <w:pPr>
              <w:pStyle w:val="TableParagraph"/>
              <w:spacing w:before="27"/>
              <w:ind w:left="229" w:right="229"/>
              <w:rPr>
                <w:sz w:val="24"/>
              </w:rPr>
            </w:pPr>
            <w:r>
              <w:rPr>
                <w:sz w:val="24"/>
              </w:rPr>
              <w:t>102.22</w:t>
            </w:r>
          </w:p>
        </w:tc>
        <w:tc>
          <w:tcPr>
            <w:tcW w:w="1956" w:type="dxa"/>
            <w:tcBorders>
              <w:bottom w:val="single" w:sz="8" w:space="0" w:color="000000"/>
            </w:tcBorders>
          </w:tcPr>
          <w:p>
            <w:pPr>
              <w:pStyle w:val="TableParagraph"/>
              <w:spacing w:before="27"/>
              <w:ind w:left="476" w:right="477"/>
              <w:rPr>
                <w:sz w:val="24"/>
              </w:rPr>
            </w:pPr>
            <w:r>
              <w:rPr>
                <w:sz w:val="24"/>
              </w:rPr>
              <w:t>99.95</w:t>
            </w:r>
          </w:p>
        </w:tc>
      </w:tr>
      <w:tr>
        <w:trPr>
          <w:trHeight w:val="358" w:hRule="exact"/>
        </w:trPr>
        <w:tc>
          <w:tcPr>
            <w:tcW w:w="1954" w:type="dxa"/>
            <w:tcBorders>
              <w:top w:val="single" w:sz="8" w:space="0" w:color="000000"/>
              <w:bottom w:val="single" w:sz="8" w:space="0" w:color="000000"/>
            </w:tcBorders>
          </w:tcPr>
          <w:p>
            <w:pPr>
              <w:pStyle w:val="TableParagraph"/>
              <w:spacing w:before="58"/>
              <w:rPr>
                <w:sz w:val="24"/>
              </w:rPr>
            </w:pPr>
            <w:r>
              <w:rPr>
                <w:w w:val="99"/>
                <w:sz w:val="24"/>
              </w:rPr>
              <w:t>2</w:t>
            </w:r>
          </w:p>
        </w:tc>
        <w:tc>
          <w:tcPr>
            <w:tcW w:w="1956" w:type="dxa"/>
            <w:tcBorders>
              <w:top w:val="single" w:sz="8" w:space="0" w:color="000000"/>
              <w:bottom w:val="single" w:sz="8" w:space="0" w:color="000000"/>
            </w:tcBorders>
          </w:tcPr>
          <w:p>
            <w:pPr>
              <w:pStyle w:val="TableParagraph"/>
              <w:spacing w:before="27"/>
              <w:ind w:left="477" w:right="477"/>
              <w:rPr>
                <w:sz w:val="24"/>
              </w:rPr>
            </w:pPr>
            <w:r>
              <w:rPr>
                <w:sz w:val="24"/>
              </w:rPr>
              <w:t>103.60</w:t>
            </w:r>
          </w:p>
        </w:tc>
        <w:tc>
          <w:tcPr>
            <w:tcW w:w="1954" w:type="dxa"/>
            <w:tcBorders>
              <w:top w:val="single" w:sz="8" w:space="0" w:color="000000"/>
              <w:bottom w:val="single" w:sz="8" w:space="0" w:color="000000"/>
            </w:tcBorders>
          </w:tcPr>
          <w:p>
            <w:pPr>
              <w:pStyle w:val="TableParagraph"/>
              <w:spacing w:before="27"/>
              <w:ind w:left="229" w:right="229"/>
              <w:rPr>
                <w:sz w:val="24"/>
              </w:rPr>
            </w:pPr>
            <w:r>
              <w:rPr>
                <w:sz w:val="24"/>
              </w:rPr>
              <w:t>102.46</w:t>
            </w:r>
          </w:p>
        </w:tc>
        <w:tc>
          <w:tcPr>
            <w:tcW w:w="1956" w:type="dxa"/>
            <w:tcBorders>
              <w:top w:val="single" w:sz="8" w:space="0" w:color="000000"/>
              <w:bottom w:val="single" w:sz="8" w:space="0" w:color="000000"/>
            </w:tcBorders>
          </w:tcPr>
          <w:p>
            <w:pPr>
              <w:pStyle w:val="TableParagraph"/>
              <w:spacing w:before="27"/>
              <w:ind w:left="477" w:right="477"/>
              <w:rPr>
                <w:sz w:val="24"/>
              </w:rPr>
            </w:pPr>
            <w:r>
              <w:rPr>
                <w:sz w:val="24"/>
              </w:rPr>
              <w:t>100.83</w:t>
            </w:r>
          </w:p>
        </w:tc>
      </w:tr>
      <w:tr>
        <w:trPr>
          <w:trHeight w:val="355" w:hRule="exact"/>
        </w:trPr>
        <w:tc>
          <w:tcPr>
            <w:tcW w:w="1954" w:type="dxa"/>
            <w:tcBorders>
              <w:top w:val="single" w:sz="8" w:space="0" w:color="000000"/>
              <w:bottom w:val="single" w:sz="8" w:space="0" w:color="000000"/>
            </w:tcBorders>
          </w:tcPr>
          <w:p>
            <w:pPr>
              <w:pStyle w:val="TableParagraph"/>
              <w:spacing w:before="55"/>
              <w:rPr>
                <w:sz w:val="24"/>
              </w:rPr>
            </w:pPr>
            <w:r>
              <w:rPr>
                <w:w w:val="99"/>
                <w:sz w:val="24"/>
              </w:rPr>
              <w:t>3</w:t>
            </w:r>
          </w:p>
        </w:tc>
        <w:tc>
          <w:tcPr>
            <w:tcW w:w="1956" w:type="dxa"/>
            <w:tcBorders>
              <w:top w:val="single" w:sz="8" w:space="0" w:color="000000"/>
              <w:bottom w:val="single" w:sz="8" w:space="0" w:color="000000"/>
            </w:tcBorders>
          </w:tcPr>
          <w:p>
            <w:pPr>
              <w:pStyle w:val="TableParagraph"/>
              <w:spacing w:before="24"/>
              <w:ind w:left="477" w:right="477"/>
              <w:rPr>
                <w:sz w:val="24"/>
              </w:rPr>
            </w:pPr>
            <w:r>
              <w:rPr>
                <w:sz w:val="24"/>
              </w:rPr>
              <w:t>103.40</w:t>
            </w:r>
          </w:p>
        </w:tc>
        <w:tc>
          <w:tcPr>
            <w:tcW w:w="1954" w:type="dxa"/>
            <w:tcBorders>
              <w:top w:val="single" w:sz="8" w:space="0" w:color="000000"/>
              <w:bottom w:val="single" w:sz="8" w:space="0" w:color="000000"/>
            </w:tcBorders>
          </w:tcPr>
          <w:p>
            <w:pPr>
              <w:pStyle w:val="TableParagraph"/>
              <w:spacing w:before="24"/>
              <w:ind w:left="229" w:right="229"/>
              <w:rPr>
                <w:sz w:val="24"/>
              </w:rPr>
            </w:pPr>
            <w:r>
              <w:rPr>
                <w:sz w:val="24"/>
              </w:rPr>
              <w:t>102.84</w:t>
            </w:r>
          </w:p>
        </w:tc>
        <w:tc>
          <w:tcPr>
            <w:tcW w:w="1956" w:type="dxa"/>
            <w:tcBorders>
              <w:top w:val="single" w:sz="8" w:space="0" w:color="000000"/>
              <w:bottom w:val="single" w:sz="8" w:space="0" w:color="000000"/>
            </w:tcBorders>
          </w:tcPr>
          <w:p>
            <w:pPr>
              <w:pStyle w:val="TableParagraph"/>
              <w:spacing w:before="24"/>
              <w:ind w:left="476" w:right="477"/>
              <w:rPr>
                <w:sz w:val="24"/>
              </w:rPr>
            </w:pPr>
            <w:r>
              <w:rPr>
                <w:sz w:val="24"/>
              </w:rPr>
              <w:t>99.92</w:t>
            </w:r>
          </w:p>
        </w:tc>
      </w:tr>
      <w:tr>
        <w:trPr>
          <w:trHeight w:val="355" w:hRule="exact"/>
        </w:trPr>
        <w:tc>
          <w:tcPr>
            <w:tcW w:w="1954" w:type="dxa"/>
            <w:tcBorders>
              <w:top w:val="single" w:sz="8" w:space="0" w:color="000000"/>
              <w:bottom w:val="single" w:sz="8" w:space="0" w:color="000000"/>
            </w:tcBorders>
          </w:tcPr>
          <w:p>
            <w:pPr>
              <w:pStyle w:val="TableParagraph"/>
              <w:spacing w:before="55"/>
              <w:rPr>
                <w:sz w:val="24"/>
              </w:rPr>
            </w:pPr>
            <w:r>
              <w:rPr>
                <w:w w:val="99"/>
                <w:sz w:val="24"/>
              </w:rPr>
              <w:t>4</w:t>
            </w:r>
          </w:p>
        </w:tc>
        <w:tc>
          <w:tcPr>
            <w:tcW w:w="1956" w:type="dxa"/>
            <w:tcBorders>
              <w:top w:val="single" w:sz="8" w:space="0" w:color="000000"/>
              <w:bottom w:val="single" w:sz="8" w:space="0" w:color="000000"/>
            </w:tcBorders>
          </w:tcPr>
          <w:p>
            <w:pPr>
              <w:pStyle w:val="TableParagraph"/>
              <w:spacing w:before="27"/>
              <w:ind w:left="477" w:right="477"/>
              <w:rPr>
                <w:sz w:val="24"/>
              </w:rPr>
            </w:pPr>
            <w:r>
              <w:rPr>
                <w:sz w:val="24"/>
              </w:rPr>
              <w:t>103.23</w:t>
            </w:r>
          </w:p>
        </w:tc>
        <w:tc>
          <w:tcPr>
            <w:tcW w:w="1954" w:type="dxa"/>
            <w:tcBorders>
              <w:top w:val="single" w:sz="8" w:space="0" w:color="000000"/>
              <w:bottom w:val="single" w:sz="8" w:space="0" w:color="000000"/>
            </w:tcBorders>
          </w:tcPr>
          <w:p>
            <w:pPr>
              <w:pStyle w:val="TableParagraph"/>
              <w:spacing w:before="27"/>
              <w:ind w:left="229" w:right="229"/>
              <w:rPr>
                <w:sz w:val="24"/>
              </w:rPr>
            </w:pPr>
            <w:r>
              <w:rPr>
                <w:sz w:val="24"/>
              </w:rPr>
              <w:t>101.72</w:t>
            </w:r>
          </w:p>
        </w:tc>
        <w:tc>
          <w:tcPr>
            <w:tcW w:w="1956" w:type="dxa"/>
            <w:tcBorders>
              <w:top w:val="single" w:sz="8" w:space="0" w:color="000000"/>
              <w:bottom w:val="single" w:sz="8" w:space="0" w:color="000000"/>
            </w:tcBorders>
          </w:tcPr>
          <w:p>
            <w:pPr>
              <w:pStyle w:val="TableParagraph"/>
              <w:spacing w:before="27"/>
              <w:ind w:left="476" w:right="477"/>
              <w:rPr>
                <w:sz w:val="24"/>
              </w:rPr>
            </w:pPr>
            <w:r>
              <w:rPr>
                <w:sz w:val="24"/>
              </w:rPr>
              <w:t>99.52</w:t>
            </w:r>
          </w:p>
        </w:tc>
      </w:tr>
      <w:tr>
        <w:trPr>
          <w:trHeight w:val="358" w:hRule="exact"/>
        </w:trPr>
        <w:tc>
          <w:tcPr>
            <w:tcW w:w="1954" w:type="dxa"/>
            <w:tcBorders>
              <w:top w:val="single" w:sz="8" w:space="0" w:color="000000"/>
              <w:bottom w:val="single" w:sz="8" w:space="0" w:color="000000"/>
            </w:tcBorders>
          </w:tcPr>
          <w:p>
            <w:pPr>
              <w:pStyle w:val="TableParagraph"/>
              <w:spacing w:before="58"/>
              <w:rPr>
                <w:sz w:val="24"/>
              </w:rPr>
            </w:pPr>
            <w:r>
              <w:rPr>
                <w:w w:val="99"/>
                <w:sz w:val="24"/>
              </w:rPr>
              <w:t>5</w:t>
            </w:r>
          </w:p>
        </w:tc>
        <w:tc>
          <w:tcPr>
            <w:tcW w:w="1956" w:type="dxa"/>
            <w:tcBorders>
              <w:top w:val="single" w:sz="8" w:space="0" w:color="000000"/>
              <w:bottom w:val="single" w:sz="8" w:space="0" w:color="000000"/>
            </w:tcBorders>
          </w:tcPr>
          <w:p>
            <w:pPr>
              <w:pStyle w:val="TableParagraph"/>
              <w:spacing w:before="27"/>
              <w:ind w:left="477" w:right="477"/>
              <w:rPr>
                <w:sz w:val="24"/>
              </w:rPr>
            </w:pPr>
            <w:r>
              <w:rPr>
                <w:sz w:val="24"/>
              </w:rPr>
              <w:t>103.67</w:t>
            </w:r>
          </w:p>
        </w:tc>
        <w:tc>
          <w:tcPr>
            <w:tcW w:w="1954" w:type="dxa"/>
            <w:tcBorders>
              <w:top w:val="single" w:sz="8" w:space="0" w:color="000000"/>
              <w:bottom w:val="single" w:sz="8" w:space="0" w:color="000000"/>
            </w:tcBorders>
          </w:tcPr>
          <w:p>
            <w:pPr>
              <w:pStyle w:val="TableParagraph"/>
              <w:spacing w:before="27"/>
              <w:ind w:left="229" w:right="229"/>
              <w:rPr>
                <w:sz w:val="24"/>
              </w:rPr>
            </w:pPr>
            <w:r>
              <w:rPr>
                <w:sz w:val="24"/>
              </w:rPr>
              <w:t>102.55</w:t>
            </w:r>
          </w:p>
        </w:tc>
        <w:tc>
          <w:tcPr>
            <w:tcW w:w="1956" w:type="dxa"/>
            <w:tcBorders>
              <w:top w:val="single" w:sz="8" w:space="0" w:color="000000"/>
              <w:bottom w:val="single" w:sz="8" w:space="0" w:color="000000"/>
            </w:tcBorders>
          </w:tcPr>
          <w:p>
            <w:pPr>
              <w:pStyle w:val="TableParagraph"/>
              <w:spacing w:before="27"/>
              <w:ind w:left="476" w:right="477"/>
              <w:rPr>
                <w:sz w:val="24"/>
              </w:rPr>
            </w:pPr>
            <w:r>
              <w:rPr>
                <w:sz w:val="24"/>
              </w:rPr>
              <w:t>99.33</w:t>
            </w:r>
          </w:p>
        </w:tc>
      </w:tr>
      <w:tr>
        <w:trPr>
          <w:trHeight w:val="360" w:hRule="exact"/>
        </w:trPr>
        <w:tc>
          <w:tcPr>
            <w:tcW w:w="1954" w:type="dxa"/>
            <w:tcBorders>
              <w:top w:val="single" w:sz="8" w:space="0" w:color="000000"/>
            </w:tcBorders>
          </w:tcPr>
          <w:p>
            <w:pPr>
              <w:pStyle w:val="TableParagraph"/>
              <w:spacing w:before="55"/>
              <w:rPr>
                <w:sz w:val="24"/>
              </w:rPr>
            </w:pPr>
            <w:r>
              <w:rPr>
                <w:w w:val="99"/>
                <w:sz w:val="24"/>
              </w:rPr>
              <w:t>6</w:t>
            </w:r>
          </w:p>
        </w:tc>
        <w:tc>
          <w:tcPr>
            <w:tcW w:w="1956" w:type="dxa"/>
            <w:tcBorders>
              <w:top w:val="single" w:sz="8" w:space="0" w:color="000000"/>
            </w:tcBorders>
          </w:tcPr>
          <w:p>
            <w:pPr>
              <w:pStyle w:val="TableParagraph"/>
              <w:spacing w:before="24"/>
              <w:ind w:left="477" w:right="477"/>
              <w:rPr>
                <w:sz w:val="24"/>
              </w:rPr>
            </w:pPr>
            <w:r>
              <w:rPr>
                <w:sz w:val="24"/>
              </w:rPr>
              <w:t>105.54</w:t>
            </w:r>
          </w:p>
        </w:tc>
        <w:tc>
          <w:tcPr>
            <w:tcW w:w="1954" w:type="dxa"/>
            <w:tcBorders>
              <w:top w:val="single" w:sz="8" w:space="0" w:color="000000"/>
            </w:tcBorders>
          </w:tcPr>
          <w:p>
            <w:pPr>
              <w:pStyle w:val="TableParagraph"/>
              <w:spacing w:before="24"/>
              <w:ind w:left="229" w:right="229"/>
              <w:rPr>
                <w:sz w:val="24"/>
              </w:rPr>
            </w:pPr>
            <w:r>
              <w:rPr>
                <w:sz w:val="24"/>
              </w:rPr>
              <w:t>103.65</w:t>
            </w:r>
          </w:p>
        </w:tc>
        <w:tc>
          <w:tcPr>
            <w:tcW w:w="1956" w:type="dxa"/>
            <w:tcBorders>
              <w:top w:val="single" w:sz="8" w:space="0" w:color="000000"/>
            </w:tcBorders>
          </w:tcPr>
          <w:p>
            <w:pPr>
              <w:pStyle w:val="TableParagraph"/>
              <w:spacing w:before="24"/>
              <w:ind w:left="477" w:right="477"/>
              <w:rPr>
                <w:sz w:val="24"/>
              </w:rPr>
            </w:pPr>
            <w:r>
              <w:rPr>
                <w:sz w:val="24"/>
              </w:rPr>
              <w:t>102.01</w:t>
            </w:r>
          </w:p>
        </w:tc>
      </w:tr>
      <w:tr>
        <w:trPr>
          <w:trHeight w:val="299" w:hRule="exact"/>
        </w:trPr>
        <w:tc>
          <w:tcPr>
            <w:tcW w:w="1954" w:type="dxa"/>
            <w:tcBorders>
              <w:bottom w:val="nil"/>
            </w:tcBorders>
          </w:tcPr>
          <w:p>
            <w:pPr>
              <w:pStyle w:val="TableParagraph"/>
              <w:spacing w:line="272" w:lineRule="exact"/>
              <w:ind w:left="229" w:right="229"/>
              <w:rPr>
                <w:sz w:val="24"/>
              </w:rPr>
            </w:pPr>
            <w:r>
              <w:rPr>
                <w:sz w:val="24"/>
              </w:rPr>
              <w:t>Promedio</w:t>
            </w:r>
          </w:p>
        </w:tc>
        <w:tc>
          <w:tcPr>
            <w:tcW w:w="1956" w:type="dxa"/>
            <w:tcBorders>
              <w:bottom w:val="nil"/>
            </w:tcBorders>
          </w:tcPr>
          <w:p>
            <w:pPr>
              <w:pStyle w:val="TableParagraph"/>
              <w:spacing w:line="272" w:lineRule="exact"/>
              <w:ind w:left="477" w:right="477"/>
              <w:rPr>
                <w:sz w:val="24"/>
              </w:rPr>
            </w:pPr>
            <w:r>
              <w:rPr>
                <w:sz w:val="24"/>
              </w:rPr>
              <w:t>103.88</w:t>
            </w:r>
          </w:p>
        </w:tc>
        <w:tc>
          <w:tcPr>
            <w:tcW w:w="1954" w:type="dxa"/>
            <w:tcBorders>
              <w:bottom w:val="nil"/>
            </w:tcBorders>
          </w:tcPr>
          <w:p>
            <w:pPr>
              <w:pStyle w:val="TableParagraph"/>
              <w:spacing w:line="272" w:lineRule="exact"/>
              <w:ind w:left="229" w:right="229"/>
              <w:rPr>
                <w:sz w:val="24"/>
              </w:rPr>
            </w:pPr>
            <w:r>
              <w:rPr>
                <w:sz w:val="24"/>
              </w:rPr>
              <w:t>102.57</w:t>
            </w:r>
          </w:p>
        </w:tc>
        <w:tc>
          <w:tcPr>
            <w:tcW w:w="1956" w:type="dxa"/>
            <w:tcBorders>
              <w:bottom w:val="nil"/>
            </w:tcBorders>
          </w:tcPr>
          <w:p>
            <w:pPr>
              <w:pStyle w:val="TableParagraph"/>
              <w:spacing w:line="272" w:lineRule="exact"/>
              <w:ind w:left="477" w:right="477"/>
              <w:rPr>
                <w:sz w:val="24"/>
              </w:rPr>
            </w:pPr>
            <w:r>
              <w:rPr>
                <w:sz w:val="24"/>
              </w:rPr>
              <w:t>100.26</w:t>
            </w:r>
          </w:p>
        </w:tc>
      </w:tr>
      <w:tr>
        <w:trPr>
          <w:trHeight w:val="276" w:hRule="exact"/>
        </w:trPr>
        <w:tc>
          <w:tcPr>
            <w:tcW w:w="1954" w:type="dxa"/>
            <w:tcBorders>
              <w:top w:val="nil"/>
              <w:bottom w:val="nil"/>
            </w:tcBorders>
          </w:tcPr>
          <w:p>
            <w:pPr>
              <w:pStyle w:val="TableParagraph"/>
              <w:spacing w:line="263" w:lineRule="exact"/>
              <w:ind w:left="228" w:right="229"/>
              <w:rPr>
                <w:sz w:val="24"/>
              </w:rPr>
            </w:pPr>
            <w:r>
              <w:rPr>
                <w:sz w:val="24"/>
              </w:rPr>
              <w:t>Desv. Std</w:t>
            </w:r>
          </w:p>
        </w:tc>
        <w:tc>
          <w:tcPr>
            <w:tcW w:w="1956" w:type="dxa"/>
            <w:tcBorders>
              <w:top w:val="nil"/>
              <w:bottom w:val="nil"/>
            </w:tcBorders>
          </w:tcPr>
          <w:p>
            <w:pPr>
              <w:pStyle w:val="TableParagraph"/>
              <w:spacing w:line="263" w:lineRule="exact"/>
              <w:ind w:left="475" w:right="477"/>
              <w:rPr>
                <w:sz w:val="24"/>
              </w:rPr>
            </w:pPr>
            <w:r>
              <w:rPr>
                <w:sz w:val="24"/>
              </w:rPr>
              <w:t>0.84</w:t>
            </w:r>
          </w:p>
        </w:tc>
        <w:tc>
          <w:tcPr>
            <w:tcW w:w="1954" w:type="dxa"/>
            <w:tcBorders>
              <w:top w:val="nil"/>
              <w:bottom w:val="nil"/>
            </w:tcBorders>
          </w:tcPr>
          <w:p>
            <w:pPr>
              <w:pStyle w:val="TableParagraph"/>
              <w:spacing w:line="263" w:lineRule="exact"/>
              <w:ind w:left="229" w:right="229"/>
              <w:rPr>
                <w:sz w:val="24"/>
              </w:rPr>
            </w:pPr>
            <w:r>
              <w:rPr>
                <w:sz w:val="24"/>
              </w:rPr>
              <w:t>0.65</w:t>
            </w:r>
          </w:p>
        </w:tc>
        <w:tc>
          <w:tcPr>
            <w:tcW w:w="1956" w:type="dxa"/>
            <w:tcBorders>
              <w:top w:val="nil"/>
              <w:bottom w:val="nil"/>
            </w:tcBorders>
          </w:tcPr>
          <w:p>
            <w:pPr>
              <w:pStyle w:val="TableParagraph"/>
              <w:spacing w:line="263" w:lineRule="exact"/>
              <w:ind w:left="475" w:right="477"/>
              <w:rPr>
                <w:sz w:val="24"/>
              </w:rPr>
            </w:pPr>
            <w:r>
              <w:rPr>
                <w:sz w:val="24"/>
              </w:rPr>
              <w:t>1.00</w:t>
            </w:r>
          </w:p>
        </w:tc>
      </w:tr>
      <w:tr>
        <w:trPr>
          <w:trHeight w:val="284" w:hRule="exact"/>
        </w:trPr>
        <w:tc>
          <w:tcPr>
            <w:tcW w:w="1954" w:type="dxa"/>
            <w:tcBorders>
              <w:top w:val="nil"/>
            </w:tcBorders>
          </w:tcPr>
          <w:p>
            <w:pPr>
              <w:pStyle w:val="TableParagraph"/>
              <w:spacing w:line="263" w:lineRule="exact"/>
              <w:ind w:left="229" w:right="229"/>
              <w:rPr>
                <w:sz w:val="24"/>
              </w:rPr>
            </w:pPr>
            <w:r>
              <w:rPr>
                <w:sz w:val="24"/>
              </w:rPr>
              <w:t>% DER</w:t>
            </w:r>
          </w:p>
        </w:tc>
        <w:tc>
          <w:tcPr>
            <w:tcW w:w="1956" w:type="dxa"/>
            <w:tcBorders>
              <w:top w:val="nil"/>
            </w:tcBorders>
          </w:tcPr>
          <w:p>
            <w:pPr>
              <w:pStyle w:val="TableParagraph"/>
              <w:spacing w:line="263" w:lineRule="exact"/>
              <w:ind w:right="1"/>
              <w:rPr>
                <w:sz w:val="24"/>
              </w:rPr>
            </w:pPr>
            <w:r>
              <w:rPr>
                <w:w w:val="99"/>
                <w:sz w:val="24"/>
              </w:rPr>
              <w:t>1</w:t>
            </w:r>
          </w:p>
        </w:tc>
        <w:tc>
          <w:tcPr>
            <w:tcW w:w="1954" w:type="dxa"/>
            <w:tcBorders>
              <w:top w:val="nil"/>
            </w:tcBorders>
          </w:tcPr>
          <w:p>
            <w:pPr>
              <w:pStyle w:val="TableParagraph"/>
              <w:spacing w:line="263" w:lineRule="exact"/>
              <w:ind w:right="1"/>
              <w:rPr>
                <w:sz w:val="24"/>
              </w:rPr>
            </w:pPr>
            <w:r>
              <w:rPr>
                <w:w w:val="99"/>
                <w:sz w:val="24"/>
              </w:rPr>
              <w:t>1</w:t>
            </w:r>
          </w:p>
        </w:tc>
        <w:tc>
          <w:tcPr>
            <w:tcW w:w="1956" w:type="dxa"/>
            <w:tcBorders>
              <w:top w:val="nil"/>
            </w:tcBorders>
          </w:tcPr>
          <w:p>
            <w:pPr>
              <w:pStyle w:val="TableParagraph"/>
              <w:spacing w:line="263" w:lineRule="exact"/>
              <w:ind w:right="1"/>
              <w:rPr>
                <w:sz w:val="24"/>
              </w:rPr>
            </w:pPr>
            <w:r>
              <w:rPr>
                <w:w w:val="99"/>
                <w:sz w:val="24"/>
              </w:rPr>
              <w:t>1</w:t>
            </w:r>
          </w:p>
        </w:tc>
      </w:tr>
    </w:tbl>
    <w:p>
      <w:pPr>
        <w:pStyle w:val="BodyText"/>
        <w:spacing w:before="10"/>
        <w:rPr>
          <w:b/>
          <w:sz w:val="27"/>
        </w:rPr>
      </w:pPr>
    </w:p>
    <w:p>
      <w:pPr>
        <w:spacing w:before="70"/>
        <w:ind w:left="890" w:right="460" w:firstLine="0"/>
        <w:jc w:val="left"/>
        <w:rPr>
          <w:b/>
          <w:sz w:val="24"/>
        </w:rPr>
      </w:pPr>
      <w:r>
        <w:rPr>
          <w:b/>
          <w:sz w:val="24"/>
        </w:rPr>
        <w:t>Tabla C.VII.3. Evaluación de la Precisión para la clase 2A</w:t>
      </w:r>
    </w:p>
    <w:p>
      <w:pPr>
        <w:pStyle w:val="BodyText"/>
        <w:spacing w:before="9"/>
        <w:rPr>
          <w:b/>
          <w:sz w:val="10"/>
        </w:rPr>
      </w:pPr>
    </w:p>
    <w:tbl>
      <w:tblPr>
        <w:tblW w:w="0" w:type="auto"/>
        <w:jc w:val="left"/>
        <w:tblInd w:w="1223"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CellMar>
          <w:top w:w="0" w:type="dxa"/>
          <w:left w:w="0" w:type="dxa"/>
          <w:bottom w:w="0" w:type="dxa"/>
          <w:right w:w="0" w:type="dxa"/>
        </w:tblCellMar>
        <w:tblLook w:val="01E0"/>
      </w:tblPr>
      <w:tblGrid>
        <w:gridCol w:w="2290"/>
        <w:gridCol w:w="1800"/>
        <w:gridCol w:w="1801"/>
        <w:gridCol w:w="1964"/>
      </w:tblGrid>
      <w:tr>
        <w:trPr>
          <w:trHeight w:val="1385" w:hRule="exact"/>
        </w:trPr>
        <w:tc>
          <w:tcPr>
            <w:tcW w:w="2290" w:type="dxa"/>
            <w:shd w:val="clear" w:color="auto" w:fill="D9D9D9"/>
          </w:tcPr>
          <w:p>
            <w:pPr>
              <w:pStyle w:val="TableParagraph"/>
              <w:jc w:val="left"/>
              <w:rPr>
                <w:b/>
                <w:sz w:val="24"/>
              </w:rPr>
            </w:pPr>
          </w:p>
          <w:p>
            <w:pPr>
              <w:pStyle w:val="TableParagraph"/>
              <w:spacing w:before="163"/>
              <w:ind w:left="667" w:right="670"/>
              <w:rPr>
                <w:b/>
                <w:sz w:val="24"/>
              </w:rPr>
            </w:pPr>
            <w:r>
              <w:rPr>
                <w:b/>
                <w:sz w:val="24"/>
              </w:rPr>
              <w:t>Analito</w:t>
            </w:r>
          </w:p>
        </w:tc>
        <w:tc>
          <w:tcPr>
            <w:tcW w:w="1800" w:type="dxa"/>
            <w:shd w:val="clear" w:color="auto" w:fill="D9D9D9"/>
          </w:tcPr>
          <w:p>
            <w:pPr>
              <w:pStyle w:val="TableParagraph"/>
              <w:spacing w:before="6"/>
              <w:jc w:val="left"/>
              <w:rPr>
                <w:b/>
                <w:sz w:val="22"/>
              </w:rPr>
            </w:pPr>
          </w:p>
          <w:p>
            <w:pPr>
              <w:pStyle w:val="TableParagraph"/>
              <w:ind w:left="244" w:right="113" w:hanging="113"/>
              <w:jc w:val="left"/>
              <w:rPr>
                <w:b/>
                <w:sz w:val="24"/>
              </w:rPr>
            </w:pPr>
            <w:r>
              <w:rPr>
                <w:b/>
                <w:sz w:val="24"/>
              </w:rPr>
              <w:t>Repetibilidad (Analista 1,</w:t>
            </w:r>
          </w:p>
          <w:p>
            <w:pPr>
              <w:pStyle w:val="TableParagraph"/>
              <w:ind w:left="83"/>
              <w:jc w:val="left"/>
              <w:rPr>
                <w:b/>
                <w:sz w:val="24"/>
              </w:rPr>
            </w:pPr>
            <w:r>
              <w:rPr>
                <w:b/>
                <w:color w:val="212121"/>
                <w:sz w:val="24"/>
              </w:rPr>
              <w:t>% de recobro)</w:t>
            </w:r>
          </w:p>
        </w:tc>
        <w:tc>
          <w:tcPr>
            <w:tcW w:w="1801" w:type="dxa"/>
            <w:shd w:val="clear" w:color="auto" w:fill="D9D9D9"/>
          </w:tcPr>
          <w:p>
            <w:pPr>
              <w:pStyle w:val="TableParagraph"/>
              <w:spacing w:before="123"/>
              <w:ind w:left="244" w:right="240" w:firstLine="98"/>
              <w:jc w:val="both"/>
              <w:rPr>
                <w:b/>
                <w:sz w:val="24"/>
              </w:rPr>
            </w:pPr>
            <w:r>
              <w:rPr>
                <w:b/>
                <w:sz w:val="24"/>
              </w:rPr>
              <w:t>Precisión Intermedia (Analista 2,</w:t>
            </w:r>
          </w:p>
          <w:p>
            <w:pPr>
              <w:pStyle w:val="TableParagraph"/>
              <w:ind w:left="84"/>
              <w:jc w:val="left"/>
              <w:rPr>
                <w:b/>
                <w:sz w:val="24"/>
              </w:rPr>
            </w:pPr>
            <w:r>
              <w:rPr>
                <w:b/>
                <w:color w:val="212121"/>
                <w:sz w:val="24"/>
              </w:rPr>
              <w:t>% de recobro</w:t>
            </w:r>
            <w:r>
              <w:rPr>
                <w:b/>
                <w:sz w:val="24"/>
              </w:rPr>
              <w:t>)</w:t>
            </w:r>
          </w:p>
        </w:tc>
        <w:tc>
          <w:tcPr>
            <w:tcW w:w="1964" w:type="dxa"/>
            <w:shd w:val="clear" w:color="auto" w:fill="D9D9D9"/>
          </w:tcPr>
          <w:p>
            <w:pPr>
              <w:pStyle w:val="TableParagraph"/>
              <w:spacing w:before="10"/>
              <w:jc w:val="left"/>
              <w:rPr>
                <w:b/>
                <w:sz w:val="25"/>
              </w:rPr>
            </w:pPr>
          </w:p>
          <w:p>
            <w:pPr>
              <w:pStyle w:val="TableParagraph"/>
              <w:spacing w:line="242" w:lineRule="auto"/>
              <w:ind w:left="453" w:right="263" w:hanging="176"/>
              <w:jc w:val="left"/>
              <w:rPr>
                <w:b/>
                <w:sz w:val="24"/>
              </w:rPr>
            </w:pPr>
            <w:r>
              <w:rPr>
                <w:b/>
                <w:sz w:val="24"/>
              </w:rPr>
              <w:t>%Diferencia Absoluta</w:t>
            </w:r>
          </w:p>
        </w:tc>
      </w:tr>
      <w:tr>
        <w:trPr>
          <w:trHeight w:val="463" w:hRule="exact"/>
        </w:trPr>
        <w:tc>
          <w:tcPr>
            <w:tcW w:w="2290" w:type="dxa"/>
          </w:tcPr>
          <w:p>
            <w:pPr>
              <w:pStyle w:val="TableParagraph"/>
              <w:spacing w:before="55"/>
              <w:ind w:left="670" w:right="670"/>
              <w:rPr>
                <w:sz w:val="24"/>
              </w:rPr>
            </w:pPr>
            <w:r>
              <w:rPr>
                <w:sz w:val="24"/>
              </w:rPr>
              <w:t>Vanadio</w:t>
            </w:r>
          </w:p>
        </w:tc>
        <w:tc>
          <w:tcPr>
            <w:tcW w:w="1800" w:type="dxa"/>
          </w:tcPr>
          <w:p>
            <w:pPr>
              <w:pStyle w:val="TableParagraph"/>
              <w:spacing w:before="94"/>
              <w:ind w:left="565" w:right="565"/>
              <w:rPr>
                <w:sz w:val="24"/>
              </w:rPr>
            </w:pPr>
            <w:r>
              <w:rPr>
                <w:sz w:val="24"/>
              </w:rPr>
              <w:t>91.92</w:t>
            </w:r>
          </w:p>
        </w:tc>
        <w:tc>
          <w:tcPr>
            <w:tcW w:w="1801" w:type="dxa"/>
          </w:tcPr>
          <w:p>
            <w:pPr>
              <w:pStyle w:val="TableParagraph"/>
              <w:spacing w:before="55"/>
              <w:ind w:left="518"/>
              <w:jc w:val="left"/>
              <w:rPr>
                <w:sz w:val="24"/>
              </w:rPr>
            </w:pPr>
            <w:r>
              <w:rPr>
                <w:sz w:val="24"/>
              </w:rPr>
              <w:t>103.88</w:t>
            </w:r>
          </w:p>
        </w:tc>
        <w:tc>
          <w:tcPr>
            <w:tcW w:w="1964" w:type="dxa"/>
          </w:tcPr>
          <w:p>
            <w:pPr>
              <w:pStyle w:val="TableParagraph"/>
              <w:spacing w:before="94"/>
              <w:ind w:left="813" w:right="813"/>
              <w:rPr>
                <w:sz w:val="24"/>
              </w:rPr>
            </w:pPr>
            <w:r>
              <w:rPr>
                <w:sz w:val="24"/>
              </w:rPr>
              <w:t>12</w:t>
            </w:r>
          </w:p>
        </w:tc>
      </w:tr>
      <w:tr>
        <w:trPr>
          <w:trHeight w:val="444" w:hRule="exact"/>
        </w:trPr>
        <w:tc>
          <w:tcPr>
            <w:tcW w:w="2290" w:type="dxa"/>
          </w:tcPr>
          <w:p>
            <w:pPr>
              <w:pStyle w:val="TableParagraph"/>
              <w:spacing w:before="55"/>
              <w:ind w:left="670" w:right="670"/>
              <w:rPr>
                <w:sz w:val="24"/>
              </w:rPr>
            </w:pPr>
            <w:r>
              <w:rPr>
                <w:sz w:val="24"/>
              </w:rPr>
              <w:t>Cobalto</w:t>
            </w:r>
          </w:p>
        </w:tc>
        <w:tc>
          <w:tcPr>
            <w:tcW w:w="1800" w:type="dxa"/>
          </w:tcPr>
          <w:p>
            <w:pPr>
              <w:pStyle w:val="TableParagraph"/>
              <w:spacing w:before="75"/>
              <w:ind w:left="565" w:right="565"/>
              <w:rPr>
                <w:sz w:val="24"/>
              </w:rPr>
            </w:pPr>
            <w:r>
              <w:rPr>
                <w:sz w:val="24"/>
              </w:rPr>
              <w:t>91.45</w:t>
            </w:r>
          </w:p>
        </w:tc>
        <w:tc>
          <w:tcPr>
            <w:tcW w:w="1801" w:type="dxa"/>
          </w:tcPr>
          <w:p>
            <w:pPr>
              <w:pStyle w:val="TableParagraph"/>
              <w:spacing w:before="55"/>
              <w:ind w:left="518"/>
              <w:jc w:val="left"/>
              <w:rPr>
                <w:sz w:val="24"/>
              </w:rPr>
            </w:pPr>
            <w:r>
              <w:rPr>
                <w:sz w:val="24"/>
              </w:rPr>
              <w:t>102.57</w:t>
            </w:r>
          </w:p>
        </w:tc>
        <w:tc>
          <w:tcPr>
            <w:tcW w:w="1964" w:type="dxa"/>
          </w:tcPr>
          <w:p>
            <w:pPr>
              <w:pStyle w:val="TableParagraph"/>
              <w:spacing w:before="75"/>
              <w:ind w:left="813" w:right="813"/>
              <w:rPr>
                <w:sz w:val="24"/>
              </w:rPr>
            </w:pPr>
            <w:r>
              <w:rPr>
                <w:sz w:val="24"/>
              </w:rPr>
              <w:t>11</w:t>
            </w:r>
          </w:p>
        </w:tc>
      </w:tr>
      <w:tr>
        <w:trPr>
          <w:trHeight w:val="480" w:hRule="exact"/>
        </w:trPr>
        <w:tc>
          <w:tcPr>
            <w:tcW w:w="2290" w:type="dxa"/>
          </w:tcPr>
          <w:p>
            <w:pPr>
              <w:pStyle w:val="TableParagraph"/>
              <w:spacing w:before="55"/>
              <w:ind w:left="669" w:right="670"/>
              <w:rPr>
                <w:sz w:val="24"/>
              </w:rPr>
            </w:pPr>
            <w:r>
              <w:rPr>
                <w:sz w:val="24"/>
              </w:rPr>
              <w:t>Níquel</w:t>
            </w:r>
          </w:p>
        </w:tc>
        <w:tc>
          <w:tcPr>
            <w:tcW w:w="1800" w:type="dxa"/>
          </w:tcPr>
          <w:p>
            <w:pPr>
              <w:pStyle w:val="TableParagraph"/>
              <w:spacing w:before="113"/>
              <w:ind w:left="565" w:right="565"/>
              <w:rPr>
                <w:sz w:val="24"/>
              </w:rPr>
            </w:pPr>
            <w:r>
              <w:rPr>
                <w:sz w:val="24"/>
              </w:rPr>
              <w:t>90.60</w:t>
            </w:r>
          </w:p>
        </w:tc>
        <w:tc>
          <w:tcPr>
            <w:tcW w:w="1801" w:type="dxa"/>
          </w:tcPr>
          <w:p>
            <w:pPr>
              <w:pStyle w:val="TableParagraph"/>
              <w:spacing w:before="55"/>
              <w:ind w:left="518"/>
              <w:jc w:val="left"/>
              <w:rPr>
                <w:sz w:val="24"/>
              </w:rPr>
            </w:pPr>
            <w:r>
              <w:rPr>
                <w:sz w:val="24"/>
              </w:rPr>
              <w:t>100.26</w:t>
            </w:r>
          </w:p>
        </w:tc>
        <w:tc>
          <w:tcPr>
            <w:tcW w:w="1964" w:type="dxa"/>
          </w:tcPr>
          <w:p>
            <w:pPr>
              <w:pStyle w:val="TableParagraph"/>
              <w:spacing w:before="113"/>
              <w:ind w:left="813" w:right="813"/>
              <w:rPr>
                <w:sz w:val="24"/>
              </w:rPr>
            </w:pPr>
            <w:r>
              <w:rPr>
                <w:sz w:val="24"/>
              </w:rPr>
              <w:t>10</w:t>
            </w:r>
          </w:p>
        </w:tc>
      </w:tr>
    </w:tbl>
    <w:p>
      <w:pPr>
        <w:pStyle w:val="BodyText"/>
        <w:rPr>
          <w:b/>
          <w:sz w:val="20"/>
        </w:rPr>
      </w:pPr>
    </w:p>
    <w:p>
      <w:pPr>
        <w:pStyle w:val="BodyText"/>
        <w:spacing w:before="4"/>
        <w:rPr>
          <w:b/>
          <w:sz w:val="29"/>
        </w:rPr>
      </w:pPr>
    </w:p>
    <w:p>
      <w:pPr>
        <w:pStyle w:val="ListParagraph"/>
        <w:numPr>
          <w:ilvl w:val="0"/>
          <w:numId w:val="11"/>
        </w:numPr>
        <w:tabs>
          <w:tab w:pos="901" w:val="left" w:leader="none"/>
          <w:tab w:pos="902" w:val="left" w:leader="none"/>
        </w:tabs>
        <w:spacing w:line="240" w:lineRule="auto" w:before="69" w:after="0"/>
        <w:ind w:left="902" w:right="0" w:hanging="788"/>
        <w:jc w:val="left"/>
        <w:rPr>
          <w:b/>
          <w:sz w:val="24"/>
        </w:rPr>
      </w:pPr>
      <w:r>
        <w:rPr>
          <w:b/>
          <w:sz w:val="24"/>
        </w:rPr>
        <w:t>Rango</w:t>
      </w:r>
    </w:p>
    <w:p>
      <w:pPr>
        <w:pStyle w:val="BodyText"/>
        <w:spacing w:before="1"/>
        <w:rPr>
          <w:b/>
          <w:sz w:val="31"/>
        </w:rPr>
      </w:pPr>
    </w:p>
    <w:p>
      <w:pPr>
        <w:pStyle w:val="BodyText"/>
        <w:spacing w:line="360" w:lineRule="auto"/>
        <w:ind w:left="901" w:right="460"/>
      </w:pPr>
      <w:r>
        <w:rPr>
          <w:color w:val="212121"/>
        </w:rPr>
        <w:t>Los rangos fueron establecidos a partir de los datos de linealidad, exactitud y precisión. Los resultados se presentan en la Tabla C.VIII.1</w:t>
      </w:r>
    </w:p>
    <w:p>
      <w:pPr>
        <w:pStyle w:val="BodyText"/>
        <w:spacing w:before="9"/>
        <w:rPr>
          <w:sz w:val="27"/>
        </w:rPr>
      </w:pPr>
    </w:p>
    <w:p>
      <w:pPr>
        <w:pStyle w:val="Heading1"/>
        <w:spacing w:after="45"/>
        <w:ind w:left="1598" w:right="460"/>
        <w:jc w:val="left"/>
      </w:pPr>
      <w:r>
        <w:rPr/>
        <w:t>Tabla C.VIII.1. Rango</w:t>
      </w:r>
    </w:p>
    <w:tbl>
      <w:tblPr>
        <w:tblW w:w="0" w:type="auto"/>
        <w:jc w:val="left"/>
        <w:tblInd w:w="1259"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CellMar>
          <w:top w:w="0" w:type="dxa"/>
          <w:left w:w="0" w:type="dxa"/>
          <w:bottom w:w="0" w:type="dxa"/>
          <w:right w:w="0" w:type="dxa"/>
        </w:tblCellMar>
        <w:tblLook w:val="01E0"/>
      </w:tblPr>
      <w:tblGrid>
        <w:gridCol w:w="2182"/>
        <w:gridCol w:w="5920"/>
      </w:tblGrid>
      <w:tr>
        <w:trPr>
          <w:trHeight w:val="403" w:hRule="exact"/>
        </w:trPr>
        <w:tc>
          <w:tcPr>
            <w:tcW w:w="2182" w:type="dxa"/>
            <w:tcBorders>
              <w:bottom w:val="single" w:sz="4" w:space="0" w:color="000000"/>
            </w:tcBorders>
            <w:shd w:val="clear" w:color="auto" w:fill="D9D9D9"/>
          </w:tcPr>
          <w:p>
            <w:pPr>
              <w:pStyle w:val="TableParagraph"/>
              <w:spacing w:before="115"/>
              <w:ind w:left="461" w:right="462"/>
              <w:rPr>
                <w:b/>
                <w:sz w:val="24"/>
              </w:rPr>
            </w:pPr>
            <w:r>
              <w:rPr>
                <w:b/>
                <w:sz w:val="24"/>
              </w:rPr>
              <w:t>Elementos</w:t>
            </w:r>
          </w:p>
        </w:tc>
        <w:tc>
          <w:tcPr>
            <w:tcW w:w="5920" w:type="dxa"/>
            <w:tcBorders>
              <w:bottom w:val="single" w:sz="4" w:space="0" w:color="000000"/>
            </w:tcBorders>
            <w:shd w:val="clear" w:color="auto" w:fill="D9D9D9"/>
          </w:tcPr>
          <w:p>
            <w:pPr>
              <w:pStyle w:val="TableParagraph"/>
              <w:spacing w:before="115"/>
              <w:ind w:left="268" w:right="268"/>
              <w:rPr>
                <w:b/>
                <w:sz w:val="24"/>
              </w:rPr>
            </w:pPr>
            <w:r>
              <w:rPr>
                <w:b/>
                <w:sz w:val="24"/>
              </w:rPr>
              <w:t>Rango</w:t>
            </w:r>
          </w:p>
        </w:tc>
      </w:tr>
      <w:tr>
        <w:trPr>
          <w:trHeight w:val="350" w:hRule="exact"/>
        </w:trPr>
        <w:tc>
          <w:tcPr>
            <w:tcW w:w="2182" w:type="dxa"/>
            <w:tcBorders>
              <w:top w:val="single" w:sz="4" w:space="0" w:color="000000"/>
              <w:bottom w:val="single" w:sz="8" w:space="0" w:color="000000"/>
            </w:tcBorders>
          </w:tcPr>
          <w:p>
            <w:pPr>
              <w:pStyle w:val="TableParagraph"/>
              <w:spacing w:before="55"/>
              <w:ind w:right="2"/>
              <w:rPr>
                <w:sz w:val="24"/>
              </w:rPr>
            </w:pPr>
            <w:r>
              <w:rPr>
                <w:w w:val="100"/>
                <w:sz w:val="24"/>
              </w:rPr>
              <w:t>V</w:t>
            </w:r>
          </w:p>
        </w:tc>
        <w:tc>
          <w:tcPr>
            <w:tcW w:w="5920" w:type="dxa"/>
            <w:tcBorders>
              <w:top w:val="single" w:sz="4" w:space="0" w:color="000000"/>
              <w:bottom w:val="single" w:sz="8" w:space="0" w:color="000000"/>
            </w:tcBorders>
          </w:tcPr>
          <w:p>
            <w:pPr>
              <w:pStyle w:val="TableParagraph"/>
              <w:spacing w:before="55"/>
              <w:ind w:left="268" w:right="268"/>
              <w:rPr>
                <w:sz w:val="22"/>
              </w:rPr>
            </w:pPr>
            <w:r>
              <w:rPr>
                <w:sz w:val="24"/>
              </w:rPr>
              <w:t>L</w:t>
            </w:r>
            <w:r>
              <w:rPr>
                <w:sz w:val="22"/>
              </w:rPr>
              <w:t>C</w:t>
            </w:r>
            <w:r>
              <w:rPr>
                <w:sz w:val="24"/>
              </w:rPr>
              <w:t>-120 % </w:t>
            </w:r>
            <w:r>
              <w:rPr>
                <w:sz w:val="22"/>
              </w:rPr>
              <w:t>de la concentración del estándar de trabajo</w:t>
            </w:r>
          </w:p>
        </w:tc>
      </w:tr>
      <w:tr>
        <w:trPr>
          <w:trHeight w:val="356" w:hRule="exact"/>
        </w:trPr>
        <w:tc>
          <w:tcPr>
            <w:tcW w:w="2182" w:type="dxa"/>
            <w:tcBorders>
              <w:top w:val="single" w:sz="8" w:space="0" w:color="000000"/>
              <w:bottom w:val="single" w:sz="8" w:space="0" w:color="000000"/>
            </w:tcBorders>
          </w:tcPr>
          <w:p>
            <w:pPr>
              <w:pStyle w:val="TableParagraph"/>
              <w:spacing w:before="56"/>
              <w:ind w:left="461" w:right="462"/>
              <w:rPr>
                <w:sz w:val="24"/>
              </w:rPr>
            </w:pPr>
            <w:r>
              <w:rPr>
                <w:sz w:val="24"/>
              </w:rPr>
              <w:t>Co</w:t>
            </w:r>
          </w:p>
        </w:tc>
        <w:tc>
          <w:tcPr>
            <w:tcW w:w="5920" w:type="dxa"/>
            <w:tcBorders>
              <w:top w:val="single" w:sz="8" w:space="0" w:color="000000"/>
              <w:bottom w:val="single" w:sz="8" w:space="0" w:color="000000"/>
            </w:tcBorders>
          </w:tcPr>
          <w:p>
            <w:pPr>
              <w:pStyle w:val="TableParagraph"/>
              <w:spacing w:before="56"/>
              <w:ind w:left="268" w:right="268"/>
              <w:rPr>
                <w:sz w:val="22"/>
              </w:rPr>
            </w:pPr>
            <w:r>
              <w:rPr>
                <w:sz w:val="24"/>
              </w:rPr>
              <w:t>L</w:t>
            </w:r>
            <w:r>
              <w:rPr>
                <w:sz w:val="22"/>
              </w:rPr>
              <w:t>C</w:t>
            </w:r>
            <w:r>
              <w:rPr>
                <w:sz w:val="24"/>
              </w:rPr>
              <w:t>-120 % </w:t>
            </w:r>
            <w:r>
              <w:rPr>
                <w:sz w:val="22"/>
              </w:rPr>
              <w:t>de la concentración del estándar de trabajo</w:t>
            </w:r>
          </w:p>
        </w:tc>
      </w:tr>
      <w:tr>
        <w:trPr>
          <w:trHeight w:val="350" w:hRule="exact"/>
        </w:trPr>
        <w:tc>
          <w:tcPr>
            <w:tcW w:w="2182" w:type="dxa"/>
            <w:tcBorders>
              <w:top w:val="single" w:sz="8" w:space="0" w:color="000000"/>
            </w:tcBorders>
          </w:tcPr>
          <w:p>
            <w:pPr>
              <w:pStyle w:val="TableParagraph"/>
              <w:spacing w:before="58"/>
              <w:ind w:left="461" w:right="462"/>
              <w:rPr>
                <w:sz w:val="24"/>
              </w:rPr>
            </w:pPr>
            <w:r>
              <w:rPr>
                <w:sz w:val="24"/>
              </w:rPr>
              <w:t>Ni</w:t>
            </w:r>
          </w:p>
        </w:tc>
        <w:tc>
          <w:tcPr>
            <w:tcW w:w="5920" w:type="dxa"/>
            <w:tcBorders>
              <w:top w:val="single" w:sz="8" w:space="0" w:color="000000"/>
            </w:tcBorders>
          </w:tcPr>
          <w:p>
            <w:pPr>
              <w:pStyle w:val="TableParagraph"/>
              <w:spacing w:before="58"/>
              <w:ind w:left="268" w:right="268"/>
              <w:rPr>
                <w:sz w:val="22"/>
              </w:rPr>
            </w:pPr>
            <w:r>
              <w:rPr>
                <w:sz w:val="24"/>
              </w:rPr>
              <w:t>L</w:t>
            </w:r>
            <w:r>
              <w:rPr>
                <w:sz w:val="22"/>
              </w:rPr>
              <w:t>C</w:t>
            </w:r>
            <w:r>
              <w:rPr>
                <w:sz w:val="24"/>
              </w:rPr>
              <w:t>-120 % </w:t>
            </w:r>
            <w:r>
              <w:rPr>
                <w:sz w:val="22"/>
              </w:rPr>
              <w:t>de la concentración del estándar de trabajo</w:t>
            </w:r>
          </w:p>
        </w:tc>
      </w:tr>
    </w:tbl>
    <w:p>
      <w:pPr>
        <w:pStyle w:val="BodyText"/>
        <w:rPr>
          <w:b/>
          <w:sz w:val="20"/>
        </w:rPr>
      </w:pPr>
    </w:p>
    <w:p>
      <w:pPr>
        <w:pStyle w:val="BodyText"/>
        <w:rPr>
          <w:b/>
          <w:sz w:val="18"/>
        </w:rPr>
      </w:pPr>
    </w:p>
    <w:p>
      <w:pPr>
        <w:pStyle w:val="ListParagraph"/>
        <w:numPr>
          <w:ilvl w:val="0"/>
          <w:numId w:val="11"/>
        </w:numPr>
        <w:tabs>
          <w:tab w:pos="901" w:val="left" w:leader="none"/>
          <w:tab w:pos="902" w:val="left" w:leader="none"/>
        </w:tabs>
        <w:spacing w:line="240" w:lineRule="auto" w:before="70" w:after="0"/>
        <w:ind w:left="902" w:right="0" w:hanging="653"/>
        <w:jc w:val="left"/>
        <w:rPr>
          <w:b/>
          <w:sz w:val="24"/>
        </w:rPr>
      </w:pPr>
      <w:r>
        <w:rPr>
          <w:b/>
          <w:sz w:val="24"/>
        </w:rPr>
        <w:t>Robustez</w:t>
      </w:r>
    </w:p>
    <w:p>
      <w:pPr>
        <w:spacing w:after="0" w:line="240" w:lineRule="auto"/>
        <w:jc w:val="left"/>
        <w:rPr>
          <w:sz w:val="24"/>
        </w:rPr>
        <w:sectPr>
          <w:pgSz w:w="12240" w:h="15840"/>
          <w:pgMar w:header="0" w:footer="919" w:top="1420" w:bottom="1100" w:left="1520" w:right="1240"/>
        </w:sectPr>
      </w:pPr>
    </w:p>
    <w:p>
      <w:pPr>
        <w:pStyle w:val="BodyText"/>
        <w:spacing w:line="360" w:lineRule="auto" w:before="56"/>
        <w:ind w:left="701" w:right="118"/>
        <w:jc w:val="both"/>
      </w:pPr>
      <w:r>
        <w:rPr>
          <w:color w:val="212121"/>
        </w:rPr>
        <w:t>Se realizaron cambios de manera deliberada a los parámetros críticos del método y los resultados se compararon con los obtenidos del método nominal. Tabla C.IX.1</w:t>
      </w:r>
    </w:p>
    <w:p>
      <w:pPr>
        <w:pStyle w:val="BodyText"/>
        <w:spacing w:before="9"/>
        <w:rPr>
          <w:sz w:val="27"/>
        </w:rPr>
      </w:pPr>
    </w:p>
    <w:p>
      <w:pPr>
        <w:pStyle w:val="Heading1"/>
        <w:ind w:left="701"/>
      </w:pPr>
      <w:r>
        <w:rPr>
          <w:color w:val="212121"/>
        </w:rPr>
        <w:t>Tabla C.IX.1. </w:t>
      </w:r>
      <w:r>
        <w:rPr/>
        <w:t>Parámetros evaluados para la prueba de robustez:</w:t>
      </w:r>
    </w:p>
    <w:p>
      <w:pPr>
        <w:pStyle w:val="BodyText"/>
        <w:spacing w:before="2" w:after="1"/>
        <w:rPr>
          <w:b/>
          <w:sz w:val="21"/>
        </w:rPr>
      </w:pPr>
    </w:p>
    <w:tbl>
      <w:tblPr>
        <w:tblW w:w="0" w:type="auto"/>
        <w:jc w:val="left"/>
        <w:tblInd w:w="550"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CellMar>
          <w:top w:w="0" w:type="dxa"/>
          <w:left w:w="0" w:type="dxa"/>
          <w:bottom w:w="0" w:type="dxa"/>
          <w:right w:w="0" w:type="dxa"/>
        </w:tblCellMar>
        <w:tblLook w:val="01E0"/>
      </w:tblPr>
      <w:tblGrid>
        <w:gridCol w:w="4091"/>
        <w:gridCol w:w="3581"/>
      </w:tblGrid>
      <w:tr>
        <w:trPr>
          <w:trHeight w:val="586" w:hRule="exact"/>
        </w:trPr>
        <w:tc>
          <w:tcPr>
            <w:tcW w:w="4091" w:type="dxa"/>
            <w:shd w:val="clear" w:color="auto" w:fill="DBE4F0"/>
          </w:tcPr>
          <w:p>
            <w:pPr>
              <w:pStyle w:val="TableParagraph"/>
              <w:spacing w:before="36"/>
              <w:ind w:left="1417" w:right="1417"/>
              <w:rPr>
                <w:b/>
                <w:sz w:val="24"/>
              </w:rPr>
            </w:pPr>
            <w:r>
              <w:rPr>
                <w:b/>
                <w:sz w:val="24"/>
              </w:rPr>
              <w:t>Parámetro</w:t>
            </w:r>
          </w:p>
        </w:tc>
        <w:tc>
          <w:tcPr>
            <w:tcW w:w="3581" w:type="dxa"/>
            <w:shd w:val="clear" w:color="auto" w:fill="DBE4F0"/>
          </w:tcPr>
          <w:p>
            <w:pPr>
              <w:pStyle w:val="TableParagraph"/>
              <w:spacing w:before="36"/>
              <w:ind w:left="1383" w:right="1383"/>
              <w:rPr>
                <w:b/>
                <w:sz w:val="24"/>
              </w:rPr>
            </w:pPr>
            <w:r>
              <w:rPr>
                <w:b/>
                <w:sz w:val="24"/>
              </w:rPr>
              <w:t>Rango</w:t>
            </w:r>
          </w:p>
        </w:tc>
      </w:tr>
      <w:tr>
        <w:trPr>
          <w:trHeight w:val="374" w:hRule="exact"/>
        </w:trPr>
        <w:tc>
          <w:tcPr>
            <w:tcW w:w="4091" w:type="dxa"/>
            <w:vMerge w:val="restart"/>
          </w:tcPr>
          <w:p>
            <w:pPr>
              <w:pStyle w:val="TableParagraph"/>
              <w:spacing w:before="149"/>
              <w:ind w:left="93" w:right="626"/>
              <w:jc w:val="left"/>
              <w:rPr>
                <w:sz w:val="24"/>
              </w:rPr>
            </w:pPr>
            <w:r>
              <w:rPr>
                <w:sz w:val="24"/>
              </w:rPr>
              <w:t>Temperatura de digestión de la muestra</w:t>
            </w:r>
          </w:p>
        </w:tc>
        <w:tc>
          <w:tcPr>
            <w:tcW w:w="3581" w:type="dxa"/>
            <w:tcBorders>
              <w:bottom w:val="single" w:sz="4" w:space="0" w:color="000000"/>
            </w:tcBorders>
          </w:tcPr>
          <w:p>
            <w:pPr>
              <w:pStyle w:val="TableParagraph"/>
              <w:spacing w:before="36"/>
              <w:ind w:left="91"/>
              <w:jc w:val="left"/>
              <w:rPr>
                <w:sz w:val="24"/>
              </w:rPr>
            </w:pPr>
            <w:r>
              <w:rPr>
                <w:sz w:val="24"/>
              </w:rPr>
              <w:t>Temperatura nominal</w:t>
            </w:r>
          </w:p>
        </w:tc>
      </w:tr>
      <w:tr>
        <w:trPr>
          <w:trHeight w:val="713" w:hRule="exact"/>
        </w:trPr>
        <w:tc>
          <w:tcPr>
            <w:tcW w:w="4091" w:type="dxa"/>
            <w:vMerge/>
          </w:tcPr>
          <w:p>
            <w:pPr/>
          </w:p>
        </w:tc>
        <w:tc>
          <w:tcPr>
            <w:tcW w:w="3581" w:type="dxa"/>
            <w:tcBorders>
              <w:top w:val="single" w:sz="4" w:space="0" w:color="000000"/>
            </w:tcBorders>
          </w:tcPr>
          <w:p>
            <w:pPr>
              <w:pStyle w:val="TableParagraph"/>
              <w:spacing w:before="58"/>
              <w:ind w:left="91"/>
              <w:jc w:val="left"/>
              <w:rPr>
                <w:sz w:val="24"/>
              </w:rPr>
            </w:pPr>
            <w:r>
              <w:rPr>
                <w:sz w:val="24"/>
              </w:rPr>
              <w:t>Temperatura 1</w:t>
            </w:r>
          </w:p>
          <w:p>
            <w:pPr>
              <w:pStyle w:val="TableParagraph"/>
              <w:spacing w:before="39"/>
              <w:ind w:left="91"/>
              <w:jc w:val="left"/>
              <w:rPr>
                <w:sz w:val="24"/>
              </w:rPr>
            </w:pPr>
            <w:r>
              <w:rPr>
                <w:sz w:val="24"/>
              </w:rPr>
              <w:t>Temperatura 2</w:t>
            </w:r>
          </w:p>
        </w:tc>
      </w:tr>
      <w:tr>
        <w:trPr>
          <w:trHeight w:val="377" w:hRule="exact"/>
        </w:trPr>
        <w:tc>
          <w:tcPr>
            <w:tcW w:w="4091" w:type="dxa"/>
            <w:vMerge w:val="restart"/>
          </w:tcPr>
          <w:p>
            <w:pPr>
              <w:pStyle w:val="TableParagraph"/>
              <w:spacing w:before="8"/>
              <w:jc w:val="left"/>
              <w:rPr>
                <w:b/>
                <w:sz w:val="21"/>
              </w:rPr>
            </w:pPr>
          </w:p>
          <w:p>
            <w:pPr>
              <w:pStyle w:val="TableParagraph"/>
              <w:ind w:left="93" w:right="960"/>
              <w:jc w:val="left"/>
              <w:rPr>
                <w:sz w:val="24"/>
              </w:rPr>
            </w:pPr>
            <w:r>
              <w:rPr>
                <w:sz w:val="24"/>
              </w:rPr>
              <w:t>Tiempo de adquisición de la muestra</w:t>
            </w:r>
          </w:p>
        </w:tc>
        <w:tc>
          <w:tcPr>
            <w:tcW w:w="3581" w:type="dxa"/>
            <w:tcBorders>
              <w:bottom w:val="single" w:sz="4" w:space="0" w:color="000000"/>
            </w:tcBorders>
          </w:tcPr>
          <w:p>
            <w:pPr>
              <w:pStyle w:val="TableParagraph"/>
              <w:spacing w:before="36"/>
              <w:ind w:left="91"/>
              <w:jc w:val="left"/>
              <w:rPr>
                <w:sz w:val="24"/>
              </w:rPr>
            </w:pPr>
            <w:r>
              <w:rPr>
                <w:sz w:val="24"/>
              </w:rPr>
              <w:t>Tiempo Nominal</w:t>
            </w:r>
          </w:p>
        </w:tc>
      </w:tr>
      <w:tr>
        <w:trPr>
          <w:trHeight w:val="713" w:hRule="exact"/>
        </w:trPr>
        <w:tc>
          <w:tcPr>
            <w:tcW w:w="4091" w:type="dxa"/>
            <w:vMerge/>
          </w:tcPr>
          <w:p>
            <w:pPr/>
          </w:p>
        </w:tc>
        <w:tc>
          <w:tcPr>
            <w:tcW w:w="3581" w:type="dxa"/>
            <w:tcBorders>
              <w:top w:val="single" w:sz="4" w:space="0" w:color="000000"/>
            </w:tcBorders>
          </w:tcPr>
          <w:p>
            <w:pPr>
              <w:pStyle w:val="TableParagraph"/>
              <w:spacing w:before="55"/>
              <w:ind w:left="91"/>
              <w:jc w:val="left"/>
              <w:rPr>
                <w:sz w:val="24"/>
              </w:rPr>
            </w:pPr>
            <w:r>
              <w:rPr>
                <w:sz w:val="24"/>
              </w:rPr>
              <w:t>Tiempo 1</w:t>
            </w:r>
          </w:p>
          <w:p>
            <w:pPr>
              <w:pStyle w:val="TableParagraph"/>
              <w:spacing w:before="41"/>
              <w:ind w:left="91"/>
              <w:jc w:val="left"/>
              <w:rPr>
                <w:sz w:val="24"/>
              </w:rPr>
            </w:pPr>
            <w:r>
              <w:rPr>
                <w:sz w:val="24"/>
              </w:rPr>
              <w:t>Tiempo 2</w:t>
            </w:r>
          </w:p>
        </w:tc>
      </w:tr>
    </w:tbl>
    <w:p>
      <w:pPr>
        <w:pStyle w:val="BodyText"/>
        <w:rPr>
          <w:b/>
          <w:sz w:val="20"/>
        </w:rPr>
      </w:pPr>
    </w:p>
    <w:p>
      <w:pPr>
        <w:pStyle w:val="BodyText"/>
        <w:spacing w:before="9"/>
        <w:rPr>
          <w:b/>
          <w:sz w:val="21"/>
        </w:rPr>
      </w:pPr>
    </w:p>
    <w:p>
      <w:pPr>
        <w:pStyle w:val="BodyText"/>
        <w:spacing w:line="360" w:lineRule="auto" w:before="69"/>
        <w:ind w:left="701" w:right="116"/>
        <w:jc w:val="both"/>
      </w:pPr>
      <w:r>
        <w:rPr/>
        <w:t>Fueron estudiadas un total de 5 condiciones. </w:t>
      </w:r>
      <w:r>
        <w:rPr>
          <w:color w:val="212121"/>
        </w:rPr>
        <w:t>La robustez del método se evaluó mediante la realización de la prueba de idoneidad del sistema donde se consideraron la linealidad del método, los porcentajes de recobro para los estándares y los resultados obtenidos para la lectura de la</w:t>
      </w:r>
      <w:r>
        <w:rPr>
          <w:color w:val="212121"/>
          <w:spacing w:val="-29"/>
        </w:rPr>
        <w:t> </w:t>
      </w:r>
      <w:r>
        <w:rPr>
          <w:color w:val="212121"/>
        </w:rPr>
        <w:t>muestra.</w:t>
      </w:r>
    </w:p>
    <w:p>
      <w:pPr>
        <w:pStyle w:val="BodyText"/>
        <w:spacing w:before="3"/>
        <w:rPr>
          <w:sz w:val="33"/>
        </w:rPr>
      </w:pPr>
    </w:p>
    <w:p>
      <w:pPr>
        <w:pStyle w:val="BodyText"/>
        <w:spacing w:line="360" w:lineRule="auto" w:before="1"/>
        <w:ind w:left="701" w:right="118"/>
        <w:jc w:val="both"/>
      </w:pPr>
      <w:r>
        <w:rPr/>
        <w:t>Los resultados obtenidos para la r</w:t>
      </w:r>
      <w:r>
        <w:rPr>
          <w:position w:val="11"/>
          <w:sz w:val="16"/>
        </w:rPr>
        <w:t>2</w:t>
      </w:r>
      <w:r>
        <w:rPr/>
        <w:t>, los porcentajes de recobro de la solución estándar al 100 % (después de los estándares de calibración y al final de la secuencia) y las ppm obtenidas para la muestra se reportan en la Tabla C.IX.2</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1"/>
        <w:rPr>
          <w:sz w:val="25"/>
        </w:rPr>
      </w:pPr>
    </w:p>
    <w:p>
      <w:pPr>
        <w:pStyle w:val="Heading1"/>
        <w:ind w:left="701"/>
      </w:pPr>
      <w:r>
        <w:rPr/>
        <w:t>Tabla C.IX.2. Resultados del estudio de robustez de la clase 2A</w:t>
      </w:r>
    </w:p>
    <w:p>
      <w:pPr>
        <w:spacing w:after="0"/>
        <w:sectPr>
          <w:pgSz w:w="12240" w:h="15840"/>
          <w:pgMar w:header="0" w:footer="919" w:top="1360" w:bottom="1100" w:left="1720" w:right="1580"/>
        </w:sectPr>
      </w:pPr>
    </w:p>
    <w:tbl>
      <w:tblPr>
        <w:tblW w:w="0" w:type="auto"/>
        <w:jc w:val="left"/>
        <w:tblInd w:w="119"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CellMar>
          <w:top w:w="0" w:type="dxa"/>
          <w:left w:w="0" w:type="dxa"/>
          <w:bottom w:w="0" w:type="dxa"/>
          <w:right w:w="0" w:type="dxa"/>
        </w:tblCellMar>
        <w:tblLook w:val="01E0"/>
      </w:tblPr>
      <w:tblGrid>
        <w:gridCol w:w="1385"/>
        <w:gridCol w:w="1275"/>
        <w:gridCol w:w="1277"/>
        <w:gridCol w:w="1136"/>
        <w:gridCol w:w="1133"/>
        <w:gridCol w:w="1141"/>
        <w:gridCol w:w="2148"/>
      </w:tblGrid>
      <w:tr>
        <w:trPr>
          <w:trHeight w:val="582" w:hRule="exact"/>
        </w:trPr>
        <w:tc>
          <w:tcPr>
            <w:tcW w:w="1385" w:type="dxa"/>
            <w:vMerge w:val="restart"/>
            <w:shd w:val="clear" w:color="auto" w:fill="D9D9D9"/>
          </w:tcPr>
          <w:p>
            <w:pPr>
              <w:pStyle w:val="TableParagraph"/>
              <w:jc w:val="left"/>
              <w:rPr>
                <w:b/>
                <w:sz w:val="24"/>
              </w:rPr>
            </w:pPr>
          </w:p>
          <w:p>
            <w:pPr>
              <w:pStyle w:val="TableParagraph"/>
              <w:spacing w:before="149"/>
              <w:ind w:left="271"/>
              <w:jc w:val="left"/>
              <w:rPr>
                <w:b/>
                <w:sz w:val="24"/>
              </w:rPr>
            </w:pPr>
            <w:r>
              <w:rPr>
                <w:b/>
                <w:sz w:val="24"/>
              </w:rPr>
              <w:t>Analito</w:t>
            </w:r>
          </w:p>
        </w:tc>
        <w:tc>
          <w:tcPr>
            <w:tcW w:w="1275" w:type="dxa"/>
            <w:vMerge w:val="restart"/>
            <w:shd w:val="clear" w:color="auto" w:fill="D9D9D9"/>
          </w:tcPr>
          <w:p>
            <w:pPr>
              <w:pStyle w:val="TableParagraph"/>
              <w:jc w:val="left"/>
              <w:rPr>
                <w:b/>
                <w:sz w:val="24"/>
              </w:rPr>
            </w:pPr>
          </w:p>
          <w:p>
            <w:pPr>
              <w:pStyle w:val="TableParagraph"/>
              <w:spacing w:before="149"/>
              <w:ind w:left="146"/>
              <w:jc w:val="left"/>
              <w:rPr>
                <w:b/>
                <w:sz w:val="24"/>
              </w:rPr>
            </w:pPr>
            <w:r>
              <w:rPr>
                <w:b/>
                <w:sz w:val="24"/>
              </w:rPr>
              <w:t>Nominal</w:t>
            </w:r>
          </w:p>
        </w:tc>
        <w:tc>
          <w:tcPr>
            <w:tcW w:w="2412" w:type="dxa"/>
            <w:gridSpan w:val="2"/>
            <w:shd w:val="clear" w:color="auto" w:fill="D9D9D9"/>
          </w:tcPr>
          <w:p>
            <w:pPr>
              <w:pStyle w:val="TableParagraph"/>
              <w:ind w:left="93" w:right="470"/>
              <w:jc w:val="left"/>
              <w:rPr>
                <w:b/>
                <w:sz w:val="24"/>
              </w:rPr>
            </w:pPr>
            <w:r>
              <w:rPr>
                <w:b/>
                <w:sz w:val="24"/>
              </w:rPr>
              <w:t>Temperatura de digestión</w:t>
            </w:r>
          </w:p>
        </w:tc>
        <w:tc>
          <w:tcPr>
            <w:tcW w:w="2273" w:type="dxa"/>
            <w:gridSpan w:val="2"/>
            <w:shd w:val="clear" w:color="auto" w:fill="D9D9D9"/>
          </w:tcPr>
          <w:p>
            <w:pPr>
              <w:pStyle w:val="TableParagraph"/>
              <w:ind w:left="477" w:right="188" w:hanging="281"/>
              <w:jc w:val="left"/>
              <w:rPr>
                <w:b/>
                <w:sz w:val="24"/>
              </w:rPr>
            </w:pPr>
            <w:r>
              <w:rPr>
                <w:b/>
                <w:sz w:val="24"/>
              </w:rPr>
              <w:t>Tiempo de toma de muestra</w:t>
            </w:r>
          </w:p>
        </w:tc>
        <w:tc>
          <w:tcPr>
            <w:tcW w:w="2148" w:type="dxa"/>
            <w:vMerge w:val="restart"/>
            <w:shd w:val="clear" w:color="auto" w:fill="D9D9D9"/>
          </w:tcPr>
          <w:p>
            <w:pPr>
              <w:pStyle w:val="TableParagraph"/>
              <w:jc w:val="left"/>
              <w:rPr>
                <w:b/>
                <w:sz w:val="24"/>
              </w:rPr>
            </w:pPr>
          </w:p>
          <w:p>
            <w:pPr>
              <w:pStyle w:val="TableParagraph"/>
              <w:spacing w:before="149"/>
              <w:ind w:left="628" w:right="332"/>
              <w:jc w:val="left"/>
              <w:rPr>
                <w:b/>
                <w:sz w:val="24"/>
              </w:rPr>
            </w:pPr>
            <w:r>
              <w:rPr>
                <w:b/>
                <w:sz w:val="24"/>
              </w:rPr>
              <w:t>Criterio</w:t>
            </w:r>
          </w:p>
        </w:tc>
      </w:tr>
      <w:tr>
        <w:trPr>
          <w:trHeight w:val="584" w:hRule="exact"/>
        </w:trPr>
        <w:tc>
          <w:tcPr>
            <w:tcW w:w="1385" w:type="dxa"/>
            <w:vMerge/>
            <w:shd w:val="clear" w:color="auto" w:fill="D9D9D9"/>
          </w:tcPr>
          <w:p>
            <w:pPr/>
          </w:p>
        </w:tc>
        <w:tc>
          <w:tcPr>
            <w:tcW w:w="1275" w:type="dxa"/>
            <w:vMerge/>
            <w:shd w:val="clear" w:color="auto" w:fill="D9D9D9"/>
          </w:tcPr>
          <w:p>
            <w:pPr/>
          </w:p>
        </w:tc>
        <w:tc>
          <w:tcPr>
            <w:tcW w:w="1277" w:type="dxa"/>
            <w:shd w:val="clear" w:color="auto" w:fill="D9D9D9"/>
          </w:tcPr>
          <w:p>
            <w:pPr>
              <w:pStyle w:val="TableParagraph"/>
              <w:spacing w:before="133"/>
              <w:ind w:left="150" w:right="150"/>
              <w:rPr>
                <w:b/>
                <w:sz w:val="24"/>
              </w:rPr>
            </w:pPr>
            <w:r>
              <w:rPr>
                <w:b/>
                <w:sz w:val="24"/>
              </w:rPr>
              <w:t>Temp. 1</w:t>
            </w:r>
          </w:p>
        </w:tc>
        <w:tc>
          <w:tcPr>
            <w:tcW w:w="1136" w:type="dxa"/>
            <w:shd w:val="clear" w:color="auto" w:fill="D9D9D9"/>
          </w:tcPr>
          <w:p>
            <w:pPr>
              <w:pStyle w:val="TableParagraph"/>
              <w:spacing w:before="133"/>
              <w:ind w:left="75" w:right="84"/>
              <w:rPr>
                <w:b/>
                <w:sz w:val="24"/>
              </w:rPr>
            </w:pPr>
            <w:r>
              <w:rPr>
                <w:b/>
                <w:sz w:val="24"/>
              </w:rPr>
              <w:t>Temp. 2</w:t>
            </w:r>
          </w:p>
        </w:tc>
        <w:tc>
          <w:tcPr>
            <w:tcW w:w="1133" w:type="dxa"/>
            <w:shd w:val="clear" w:color="auto" w:fill="D9D9D9"/>
          </w:tcPr>
          <w:p>
            <w:pPr>
              <w:pStyle w:val="TableParagraph"/>
              <w:ind w:left="482" w:right="108" w:hanging="360"/>
              <w:jc w:val="left"/>
              <w:rPr>
                <w:b/>
                <w:sz w:val="24"/>
              </w:rPr>
            </w:pPr>
            <w:r>
              <w:rPr>
                <w:b/>
                <w:sz w:val="24"/>
              </w:rPr>
              <w:t>Tiempo 1</w:t>
            </w:r>
          </w:p>
        </w:tc>
        <w:tc>
          <w:tcPr>
            <w:tcW w:w="1141" w:type="dxa"/>
            <w:shd w:val="clear" w:color="auto" w:fill="D9D9D9"/>
          </w:tcPr>
          <w:p>
            <w:pPr>
              <w:pStyle w:val="TableParagraph"/>
              <w:ind w:left="487" w:right="112" w:hanging="361"/>
              <w:jc w:val="left"/>
              <w:rPr>
                <w:b/>
                <w:sz w:val="24"/>
              </w:rPr>
            </w:pPr>
            <w:r>
              <w:rPr>
                <w:b/>
                <w:sz w:val="24"/>
              </w:rPr>
              <w:t>Tiempo 2</w:t>
            </w:r>
          </w:p>
        </w:tc>
        <w:tc>
          <w:tcPr>
            <w:tcW w:w="2148" w:type="dxa"/>
            <w:vMerge/>
            <w:shd w:val="clear" w:color="auto" w:fill="D9D9D9"/>
          </w:tcPr>
          <w:p>
            <w:pPr/>
          </w:p>
        </w:tc>
      </w:tr>
      <w:tr>
        <w:trPr>
          <w:trHeight w:val="308" w:hRule="exact"/>
        </w:trPr>
        <w:tc>
          <w:tcPr>
            <w:tcW w:w="9494" w:type="dxa"/>
            <w:gridSpan w:val="7"/>
            <w:shd w:val="clear" w:color="auto" w:fill="D9D9D9"/>
          </w:tcPr>
          <w:p>
            <w:pPr>
              <w:pStyle w:val="TableParagraph"/>
              <w:spacing w:line="274" w:lineRule="exact"/>
              <w:ind w:left="2839"/>
              <w:jc w:val="left"/>
              <w:rPr>
                <w:b/>
                <w:sz w:val="24"/>
              </w:rPr>
            </w:pPr>
            <w:r>
              <w:rPr>
                <w:b/>
                <w:sz w:val="24"/>
              </w:rPr>
              <w:t>Coeficiente de Determinación (r</w:t>
            </w:r>
            <w:r>
              <w:rPr>
                <w:b/>
                <w:position w:val="11"/>
                <w:sz w:val="16"/>
              </w:rPr>
              <w:t>2</w:t>
            </w:r>
            <w:r>
              <w:rPr>
                <w:b/>
                <w:sz w:val="24"/>
              </w:rPr>
              <w:t>)</w:t>
            </w:r>
          </w:p>
        </w:tc>
      </w:tr>
      <w:tr>
        <w:trPr>
          <w:trHeight w:val="311" w:hRule="exact"/>
        </w:trPr>
        <w:tc>
          <w:tcPr>
            <w:tcW w:w="1385" w:type="dxa"/>
            <w:tcBorders>
              <w:bottom w:val="single" w:sz="8" w:space="0" w:color="000000"/>
            </w:tcBorders>
          </w:tcPr>
          <w:p>
            <w:pPr>
              <w:pStyle w:val="TableParagraph"/>
              <w:spacing w:before="1"/>
              <w:rPr>
                <w:sz w:val="24"/>
              </w:rPr>
            </w:pPr>
            <w:r>
              <w:rPr>
                <w:w w:val="100"/>
                <w:sz w:val="24"/>
              </w:rPr>
              <w:t>V</w:t>
            </w:r>
          </w:p>
        </w:tc>
        <w:tc>
          <w:tcPr>
            <w:tcW w:w="1275" w:type="dxa"/>
            <w:tcBorders>
              <w:bottom w:val="single" w:sz="8" w:space="0" w:color="000000"/>
            </w:tcBorders>
          </w:tcPr>
          <w:p>
            <w:pPr>
              <w:pStyle w:val="TableParagraph"/>
              <w:spacing w:before="1"/>
              <w:ind w:left="368" w:right="370"/>
              <w:rPr>
                <w:sz w:val="24"/>
              </w:rPr>
            </w:pPr>
            <w:r>
              <w:rPr>
                <w:sz w:val="24"/>
              </w:rPr>
              <w:t>1.00</w:t>
            </w:r>
          </w:p>
        </w:tc>
        <w:tc>
          <w:tcPr>
            <w:tcW w:w="1277" w:type="dxa"/>
            <w:tcBorders>
              <w:bottom w:val="single" w:sz="8" w:space="0" w:color="000000"/>
            </w:tcBorders>
          </w:tcPr>
          <w:p>
            <w:pPr>
              <w:pStyle w:val="TableParagraph"/>
              <w:spacing w:before="1"/>
              <w:ind w:left="149" w:right="150"/>
              <w:rPr>
                <w:sz w:val="24"/>
              </w:rPr>
            </w:pPr>
            <w:r>
              <w:rPr>
                <w:sz w:val="24"/>
              </w:rPr>
              <w:t>1.00</w:t>
            </w:r>
          </w:p>
        </w:tc>
        <w:tc>
          <w:tcPr>
            <w:tcW w:w="1136" w:type="dxa"/>
            <w:tcBorders>
              <w:bottom w:val="single" w:sz="8" w:space="0" w:color="000000"/>
            </w:tcBorders>
          </w:tcPr>
          <w:p>
            <w:pPr>
              <w:pStyle w:val="TableParagraph"/>
              <w:spacing w:before="1"/>
              <w:ind w:left="75" w:right="76"/>
              <w:rPr>
                <w:sz w:val="24"/>
              </w:rPr>
            </w:pPr>
            <w:r>
              <w:rPr>
                <w:sz w:val="24"/>
              </w:rPr>
              <w:t>1.00</w:t>
            </w:r>
          </w:p>
        </w:tc>
        <w:tc>
          <w:tcPr>
            <w:tcW w:w="1133" w:type="dxa"/>
            <w:tcBorders>
              <w:bottom w:val="single" w:sz="8" w:space="0" w:color="000000"/>
            </w:tcBorders>
          </w:tcPr>
          <w:p>
            <w:pPr>
              <w:pStyle w:val="TableParagraph"/>
              <w:spacing w:before="1"/>
              <w:ind w:left="296" w:right="300"/>
              <w:rPr>
                <w:sz w:val="24"/>
              </w:rPr>
            </w:pPr>
            <w:r>
              <w:rPr>
                <w:sz w:val="24"/>
              </w:rPr>
              <w:t>1.00</w:t>
            </w:r>
          </w:p>
        </w:tc>
        <w:tc>
          <w:tcPr>
            <w:tcW w:w="1141" w:type="dxa"/>
            <w:tcBorders>
              <w:bottom w:val="single" w:sz="8" w:space="0" w:color="000000"/>
            </w:tcBorders>
          </w:tcPr>
          <w:p>
            <w:pPr>
              <w:pStyle w:val="TableParagraph"/>
              <w:spacing w:before="1"/>
              <w:ind w:left="302" w:right="301"/>
              <w:rPr>
                <w:sz w:val="24"/>
              </w:rPr>
            </w:pPr>
            <w:r>
              <w:rPr>
                <w:sz w:val="24"/>
              </w:rPr>
              <w:t>1.00</w:t>
            </w:r>
          </w:p>
        </w:tc>
        <w:tc>
          <w:tcPr>
            <w:tcW w:w="2148" w:type="dxa"/>
            <w:vMerge w:val="restart"/>
          </w:tcPr>
          <w:p>
            <w:pPr>
              <w:pStyle w:val="TableParagraph"/>
              <w:spacing w:before="177"/>
              <w:ind w:left="823" w:right="332" w:hanging="483"/>
              <w:jc w:val="left"/>
              <w:rPr>
                <w:sz w:val="24"/>
              </w:rPr>
            </w:pPr>
            <w:r>
              <w:rPr>
                <w:sz w:val="24"/>
              </w:rPr>
              <w:t>No menos de 0.99</w:t>
            </w:r>
          </w:p>
        </w:tc>
      </w:tr>
      <w:tr>
        <w:trPr>
          <w:trHeight w:val="312" w:hRule="exact"/>
        </w:trPr>
        <w:tc>
          <w:tcPr>
            <w:tcW w:w="1385" w:type="dxa"/>
            <w:tcBorders>
              <w:top w:val="single" w:sz="8" w:space="0" w:color="000000"/>
              <w:bottom w:val="single" w:sz="8" w:space="0" w:color="000000"/>
            </w:tcBorders>
          </w:tcPr>
          <w:p>
            <w:pPr>
              <w:pStyle w:val="TableParagraph"/>
              <w:spacing w:before="10"/>
              <w:ind w:left="504" w:right="505"/>
              <w:rPr>
                <w:sz w:val="24"/>
              </w:rPr>
            </w:pPr>
            <w:r>
              <w:rPr>
                <w:sz w:val="24"/>
              </w:rPr>
              <w:t>Co</w:t>
            </w:r>
          </w:p>
        </w:tc>
        <w:tc>
          <w:tcPr>
            <w:tcW w:w="1275" w:type="dxa"/>
            <w:tcBorders>
              <w:top w:val="single" w:sz="8" w:space="0" w:color="000000"/>
              <w:bottom w:val="single" w:sz="8" w:space="0" w:color="000000"/>
            </w:tcBorders>
          </w:tcPr>
          <w:p>
            <w:pPr>
              <w:pStyle w:val="TableParagraph"/>
              <w:spacing w:before="10"/>
              <w:ind w:left="368" w:right="370"/>
              <w:rPr>
                <w:sz w:val="24"/>
              </w:rPr>
            </w:pPr>
            <w:r>
              <w:rPr>
                <w:sz w:val="24"/>
              </w:rPr>
              <w:t>1.00</w:t>
            </w:r>
          </w:p>
        </w:tc>
        <w:tc>
          <w:tcPr>
            <w:tcW w:w="1277" w:type="dxa"/>
            <w:tcBorders>
              <w:top w:val="single" w:sz="8" w:space="0" w:color="000000"/>
              <w:bottom w:val="single" w:sz="8" w:space="0" w:color="000000"/>
            </w:tcBorders>
          </w:tcPr>
          <w:p>
            <w:pPr>
              <w:pStyle w:val="TableParagraph"/>
              <w:spacing w:before="10"/>
              <w:ind w:left="149" w:right="150"/>
              <w:rPr>
                <w:sz w:val="24"/>
              </w:rPr>
            </w:pPr>
            <w:r>
              <w:rPr>
                <w:sz w:val="24"/>
              </w:rPr>
              <w:t>1.00</w:t>
            </w:r>
          </w:p>
        </w:tc>
        <w:tc>
          <w:tcPr>
            <w:tcW w:w="1136" w:type="dxa"/>
            <w:tcBorders>
              <w:top w:val="single" w:sz="8" w:space="0" w:color="000000"/>
              <w:bottom w:val="single" w:sz="8" w:space="0" w:color="000000"/>
            </w:tcBorders>
          </w:tcPr>
          <w:p>
            <w:pPr>
              <w:pStyle w:val="TableParagraph"/>
              <w:spacing w:before="10"/>
              <w:ind w:left="75" w:right="76"/>
              <w:rPr>
                <w:sz w:val="24"/>
              </w:rPr>
            </w:pPr>
            <w:r>
              <w:rPr>
                <w:sz w:val="24"/>
              </w:rPr>
              <w:t>1.00</w:t>
            </w:r>
          </w:p>
        </w:tc>
        <w:tc>
          <w:tcPr>
            <w:tcW w:w="1133" w:type="dxa"/>
            <w:tcBorders>
              <w:top w:val="single" w:sz="8" w:space="0" w:color="000000"/>
              <w:bottom w:val="single" w:sz="8" w:space="0" w:color="000000"/>
            </w:tcBorders>
          </w:tcPr>
          <w:p>
            <w:pPr>
              <w:pStyle w:val="TableParagraph"/>
              <w:spacing w:before="10"/>
              <w:ind w:left="296" w:right="300"/>
              <w:rPr>
                <w:sz w:val="24"/>
              </w:rPr>
            </w:pPr>
            <w:r>
              <w:rPr>
                <w:sz w:val="24"/>
              </w:rPr>
              <w:t>1.00</w:t>
            </w:r>
          </w:p>
        </w:tc>
        <w:tc>
          <w:tcPr>
            <w:tcW w:w="1141" w:type="dxa"/>
            <w:tcBorders>
              <w:top w:val="single" w:sz="8" w:space="0" w:color="000000"/>
              <w:bottom w:val="single" w:sz="8" w:space="0" w:color="000000"/>
            </w:tcBorders>
          </w:tcPr>
          <w:p>
            <w:pPr>
              <w:pStyle w:val="TableParagraph"/>
              <w:spacing w:before="10"/>
              <w:ind w:left="302" w:right="301"/>
              <w:rPr>
                <w:sz w:val="24"/>
              </w:rPr>
            </w:pPr>
            <w:r>
              <w:rPr>
                <w:sz w:val="24"/>
              </w:rPr>
              <w:t>1.00</w:t>
            </w:r>
          </w:p>
        </w:tc>
        <w:tc>
          <w:tcPr>
            <w:tcW w:w="2148" w:type="dxa"/>
            <w:vMerge/>
          </w:tcPr>
          <w:p>
            <w:pPr/>
          </w:p>
        </w:tc>
      </w:tr>
      <w:tr>
        <w:trPr>
          <w:trHeight w:val="319" w:hRule="exact"/>
        </w:trPr>
        <w:tc>
          <w:tcPr>
            <w:tcW w:w="1385" w:type="dxa"/>
            <w:tcBorders>
              <w:top w:val="single" w:sz="8" w:space="0" w:color="000000"/>
            </w:tcBorders>
          </w:tcPr>
          <w:p>
            <w:pPr>
              <w:pStyle w:val="TableParagraph"/>
              <w:spacing w:before="10"/>
              <w:ind w:left="504" w:right="504"/>
              <w:rPr>
                <w:sz w:val="24"/>
              </w:rPr>
            </w:pPr>
            <w:r>
              <w:rPr>
                <w:sz w:val="24"/>
              </w:rPr>
              <w:t>Ni</w:t>
            </w:r>
          </w:p>
        </w:tc>
        <w:tc>
          <w:tcPr>
            <w:tcW w:w="1275" w:type="dxa"/>
            <w:tcBorders>
              <w:top w:val="single" w:sz="8" w:space="0" w:color="000000"/>
            </w:tcBorders>
          </w:tcPr>
          <w:p>
            <w:pPr>
              <w:pStyle w:val="TableParagraph"/>
              <w:spacing w:before="10"/>
              <w:ind w:left="368" w:right="370"/>
              <w:rPr>
                <w:sz w:val="24"/>
              </w:rPr>
            </w:pPr>
            <w:r>
              <w:rPr>
                <w:sz w:val="24"/>
              </w:rPr>
              <w:t>1.00</w:t>
            </w:r>
          </w:p>
        </w:tc>
        <w:tc>
          <w:tcPr>
            <w:tcW w:w="1277" w:type="dxa"/>
            <w:tcBorders>
              <w:top w:val="single" w:sz="8" w:space="0" w:color="000000"/>
            </w:tcBorders>
          </w:tcPr>
          <w:p>
            <w:pPr>
              <w:pStyle w:val="TableParagraph"/>
              <w:spacing w:before="10"/>
              <w:ind w:left="149" w:right="150"/>
              <w:rPr>
                <w:sz w:val="24"/>
              </w:rPr>
            </w:pPr>
            <w:r>
              <w:rPr>
                <w:sz w:val="24"/>
              </w:rPr>
              <w:t>1.00</w:t>
            </w:r>
          </w:p>
        </w:tc>
        <w:tc>
          <w:tcPr>
            <w:tcW w:w="1136" w:type="dxa"/>
            <w:tcBorders>
              <w:top w:val="single" w:sz="8" w:space="0" w:color="000000"/>
            </w:tcBorders>
          </w:tcPr>
          <w:p>
            <w:pPr>
              <w:pStyle w:val="TableParagraph"/>
              <w:spacing w:before="10"/>
              <w:ind w:left="75" w:right="76"/>
              <w:rPr>
                <w:sz w:val="24"/>
              </w:rPr>
            </w:pPr>
            <w:r>
              <w:rPr>
                <w:sz w:val="24"/>
              </w:rPr>
              <w:t>1.00</w:t>
            </w:r>
          </w:p>
        </w:tc>
        <w:tc>
          <w:tcPr>
            <w:tcW w:w="1133" w:type="dxa"/>
            <w:tcBorders>
              <w:top w:val="single" w:sz="8" w:space="0" w:color="000000"/>
            </w:tcBorders>
          </w:tcPr>
          <w:p>
            <w:pPr>
              <w:pStyle w:val="TableParagraph"/>
              <w:spacing w:before="10"/>
              <w:ind w:left="296" w:right="300"/>
              <w:rPr>
                <w:sz w:val="24"/>
              </w:rPr>
            </w:pPr>
            <w:r>
              <w:rPr>
                <w:sz w:val="24"/>
              </w:rPr>
              <w:t>1.00</w:t>
            </w:r>
          </w:p>
        </w:tc>
        <w:tc>
          <w:tcPr>
            <w:tcW w:w="1141" w:type="dxa"/>
            <w:tcBorders>
              <w:top w:val="single" w:sz="8" w:space="0" w:color="000000"/>
            </w:tcBorders>
          </w:tcPr>
          <w:p>
            <w:pPr>
              <w:pStyle w:val="TableParagraph"/>
              <w:spacing w:before="10"/>
              <w:ind w:left="302" w:right="301"/>
              <w:rPr>
                <w:sz w:val="24"/>
              </w:rPr>
            </w:pPr>
            <w:r>
              <w:rPr>
                <w:sz w:val="24"/>
              </w:rPr>
              <w:t>1.00</w:t>
            </w:r>
          </w:p>
        </w:tc>
        <w:tc>
          <w:tcPr>
            <w:tcW w:w="2148" w:type="dxa"/>
            <w:vMerge/>
          </w:tcPr>
          <w:p>
            <w:pPr/>
          </w:p>
        </w:tc>
      </w:tr>
      <w:tr>
        <w:trPr>
          <w:trHeight w:val="310" w:hRule="exact"/>
        </w:trPr>
        <w:tc>
          <w:tcPr>
            <w:tcW w:w="9494" w:type="dxa"/>
            <w:gridSpan w:val="7"/>
            <w:shd w:val="clear" w:color="auto" w:fill="D9D9D9"/>
          </w:tcPr>
          <w:p>
            <w:pPr>
              <w:pStyle w:val="TableParagraph"/>
              <w:spacing w:line="274" w:lineRule="exact"/>
              <w:ind w:left="1617"/>
              <w:jc w:val="left"/>
              <w:rPr>
                <w:b/>
                <w:sz w:val="24"/>
              </w:rPr>
            </w:pPr>
            <w:r>
              <w:rPr>
                <w:b/>
                <w:sz w:val="24"/>
              </w:rPr>
              <w:t>% Recobro (después de los estándares de calibración)</w:t>
            </w:r>
          </w:p>
        </w:tc>
      </w:tr>
      <w:tr>
        <w:trPr>
          <w:trHeight w:val="310" w:hRule="exact"/>
        </w:trPr>
        <w:tc>
          <w:tcPr>
            <w:tcW w:w="1385" w:type="dxa"/>
            <w:tcBorders>
              <w:bottom w:val="single" w:sz="8" w:space="0" w:color="000000"/>
            </w:tcBorders>
          </w:tcPr>
          <w:p>
            <w:pPr>
              <w:pStyle w:val="TableParagraph"/>
              <w:spacing w:before="3"/>
              <w:rPr>
                <w:sz w:val="24"/>
              </w:rPr>
            </w:pPr>
            <w:r>
              <w:rPr>
                <w:w w:val="100"/>
                <w:sz w:val="24"/>
              </w:rPr>
              <w:t>V</w:t>
            </w:r>
          </w:p>
        </w:tc>
        <w:tc>
          <w:tcPr>
            <w:tcW w:w="1275" w:type="dxa"/>
            <w:tcBorders>
              <w:bottom w:val="single" w:sz="8" w:space="0" w:color="000000"/>
            </w:tcBorders>
          </w:tcPr>
          <w:p>
            <w:pPr>
              <w:pStyle w:val="TableParagraph"/>
              <w:spacing w:before="3"/>
              <w:ind w:left="368" w:right="369"/>
              <w:rPr>
                <w:sz w:val="24"/>
              </w:rPr>
            </w:pPr>
            <w:r>
              <w:rPr>
                <w:sz w:val="24"/>
              </w:rPr>
              <w:t>99</w:t>
            </w:r>
          </w:p>
        </w:tc>
        <w:tc>
          <w:tcPr>
            <w:tcW w:w="1277" w:type="dxa"/>
            <w:tcBorders>
              <w:bottom w:val="single" w:sz="8" w:space="0" w:color="000000"/>
            </w:tcBorders>
          </w:tcPr>
          <w:p>
            <w:pPr>
              <w:pStyle w:val="TableParagraph"/>
              <w:spacing w:before="3"/>
              <w:ind w:left="150" w:right="150"/>
              <w:rPr>
                <w:sz w:val="24"/>
              </w:rPr>
            </w:pPr>
            <w:r>
              <w:rPr>
                <w:sz w:val="24"/>
              </w:rPr>
              <w:t>99</w:t>
            </w:r>
          </w:p>
        </w:tc>
        <w:tc>
          <w:tcPr>
            <w:tcW w:w="1136" w:type="dxa"/>
            <w:tcBorders>
              <w:bottom w:val="single" w:sz="8" w:space="0" w:color="000000"/>
            </w:tcBorders>
          </w:tcPr>
          <w:p>
            <w:pPr>
              <w:pStyle w:val="TableParagraph"/>
              <w:spacing w:before="3"/>
              <w:ind w:left="75" w:right="76"/>
              <w:rPr>
                <w:sz w:val="24"/>
              </w:rPr>
            </w:pPr>
            <w:r>
              <w:rPr>
                <w:sz w:val="24"/>
              </w:rPr>
              <w:t>99</w:t>
            </w:r>
          </w:p>
        </w:tc>
        <w:tc>
          <w:tcPr>
            <w:tcW w:w="1133" w:type="dxa"/>
            <w:tcBorders>
              <w:bottom w:val="single" w:sz="8" w:space="0" w:color="000000"/>
            </w:tcBorders>
          </w:tcPr>
          <w:p>
            <w:pPr>
              <w:pStyle w:val="TableParagraph"/>
              <w:spacing w:before="3"/>
              <w:ind w:left="296" w:right="298"/>
              <w:rPr>
                <w:sz w:val="24"/>
              </w:rPr>
            </w:pPr>
            <w:r>
              <w:rPr>
                <w:sz w:val="24"/>
              </w:rPr>
              <w:t>98</w:t>
            </w:r>
          </w:p>
        </w:tc>
        <w:tc>
          <w:tcPr>
            <w:tcW w:w="1141" w:type="dxa"/>
            <w:tcBorders>
              <w:bottom w:val="single" w:sz="8" w:space="0" w:color="000000"/>
            </w:tcBorders>
          </w:tcPr>
          <w:p>
            <w:pPr>
              <w:pStyle w:val="TableParagraph"/>
              <w:spacing w:before="3"/>
              <w:ind w:left="302" w:right="299"/>
              <w:rPr>
                <w:sz w:val="24"/>
              </w:rPr>
            </w:pPr>
            <w:r>
              <w:rPr>
                <w:sz w:val="24"/>
              </w:rPr>
              <w:t>98</w:t>
            </w:r>
          </w:p>
        </w:tc>
        <w:tc>
          <w:tcPr>
            <w:tcW w:w="2148" w:type="dxa"/>
            <w:vMerge w:val="restart"/>
          </w:tcPr>
          <w:p>
            <w:pPr>
              <w:pStyle w:val="TableParagraph"/>
              <w:spacing w:before="39"/>
              <w:ind w:left="127" w:right="135"/>
              <w:rPr>
                <w:sz w:val="24"/>
              </w:rPr>
            </w:pPr>
            <w:r>
              <w:rPr>
                <w:sz w:val="24"/>
              </w:rPr>
              <w:t>No menos de 80% y no más de 120%</w:t>
            </w:r>
          </w:p>
        </w:tc>
      </w:tr>
      <w:tr>
        <w:trPr>
          <w:trHeight w:val="314" w:hRule="exact"/>
        </w:trPr>
        <w:tc>
          <w:tcPr>
            <w:tcW w:w="1385" w:type="dxa"/>
            <w:tcBorders>
              <w:top w:val="single" w:sz="8" w:space="0" w:color="000000"/>
              <w:bottom w:val="single" w:sz="8" w:space="0" w:color="000000"/>
            </w:tcBorders>
          </w:tcPr>
          <w:p>
            <w:pPr>
              <w:pStyle w:val="TableParagraph"/>
              <w:spacing w:before="10"/>
              <w:ind w:left="504" w:right="505"/>
              <w:rPr>
                <w:sz w:val="24"/>
              </w:rPr>
            </w:pPr>
            <w:r>
              <w:rPr>
                <w:sz w:val="24"/>
              </w:rPr>
              <w:t>Co</w:t>
            </w:r>
          </w:p>
        </w:tc>
        <w:tc>
          <w:tcPr>
            <w:tcW w:w="1275" w:type="dxa"/>
            <w:tcBorders>
              <w:top w:val="single" w:sz="8" w:space="0" w:color="000000"/>
              <w:bottom w:val="single" w:sz="8" w:space="0" w:color="000000"/>
            </w:tcBorders>
          </w:tcPr>
          <w:p>
            <w:pPr>
              <w:pStyle w:val="TableParagraph"/>
              <w:spacing w:before="10"/>
              <w:ind w:left="368" w:right="370"/>
              <w:rPr>
                <w:sz w:val="24"/>
              </w:rPr>
            </w:pPr>
            <w:r>
              <w:rPr>
                <w:sz w:val="24"/>
              </w:rPr>
              <w:t>100</w:t>
            </w:r>
          </w:p>
        </w:tc>
        <w:tc>
          <w:tcPr>
            <w:tcW w:w="1277" w:type="dxa"/>
            <w:tcBorders>
              <w:top w:val="single" w:sz="8" w:space="0" w:color="000000"/>
              <w:bottom w:val="single" w:sz="8" w:space="0" w:color="000000"/>
            </w:tcBorders>
          </w:tcPr>
          <w:p>
            <w:pPr>
              <w:pStyle w:val="TableParagraph"/>
              <w:spacing w:before="10"/>
              <w:ind w:left="150" w:right="150"/>
              <w:rPr>
                <w:sz w:val="24"/>
              </w:rPr>
            </w:pPr>
            <w:r>
              <w:rPr>
                <w:sz w:val="24"/>
              </w:rPr>
              <w:t>100</w:t>
            </w:r>
          </w:p>
        </w:tc>
        <w:tc>
          <w:tcPr>
            <w:tcW w:w="1136" w:type="dxa"/>
            <w:tcBorders>
              <w:top w:val="single" w:sz="8" w:space="0" w:color="000000"/>
              <w:bottom w:val="single" w:sz="8" w:space="0" w:color="000000"/>
            </w:tcBorders>
          </w:tcPr>
          <w:p>
            <w:pPr>
              <w:pStyle w:val="TableParagraph"/>
              <w:spacing w:before="10"/>
              <w:ind w:left="75" w:right="76"/>
              <w:rPr>
                <w:sz w:val="24"/>
              </w:rPr>
            </w:pPr>
            <w:r>
              <w:rPr>
                <w:sz w:val="24"/>
              </w:rPr>
              <w:t>100</w:t>
            </w:r>
          </w:p>
        </w:tc>
        <w:tc>
          <w:tcPr>
            <w:tcW w:w="1133" w:type="dxa"/>
            <w:tcBorders>
              <w:top w:val="single" w:sz="8" w:space="0" w:color="000000"/>
              <w:bottom w:val="single" w:sz="8" w:space="0" w:color="000000"/>
            </w:tcBorders>
          </w:tcPr>
          <w:p>
            <w:pPr>
              <w:pStyle w:val="TableParagraph"/>
              <w:spacing w:before="10"/>
              <w:ind w:left="296" w:right="298"/>
              <w:rPr>
                <w:sz w:val="24"/>
              </w:rPr>
            </w:pPr>
            <w:r>
              <w:rPr>
                <w:sz w:val="24"/>
              </w:rPr>
              <w:t>99</w:t>
            </w:r>
          </w:p>
        </w:tc>
        <w:tc>
          <w:tcPr>
            <w:tcW w:w="1141" w:type="dxa"/>
            <w:tcBorders>
              <w:top w:val="single" w:sz="8" w:space="0" w:color="000000"/>
              <w:bottom w:val="single" w:sz="8" w:space="0" w:color="000000"/>
            </w:tcBorders>
          </w:tcPr>
          <w:p>
            <w:pPr>
              <w:pStyle w:val="TableParagraph"/>
              <w:spacing w:before="10"/>
              <w:ind w:left="302" w:right="299"/>
              <w:rPr>
                <w:sz w:val="24"/>
              </w:rPr>
            </w:pPr>
            <w:r>
              <w:rPr>
                <w:sz w:val="24"/>
              </w:rPr>
              <w:t>98</w:t>
            </w:r>
          </w:p>
        </w:tc>
        <w:tc>
          <w:tcPr>
            <w:tcW w:w="2148" w:type="dxa"/>
            <w:vMerge/>
          </w:tcPr>
          <w:p>
            <w:pPr/>
          </w:p>
        </w:tc>
      </w:tr>
      <w:tr>
        <w:trPr>
          <w:trHeight w:val="320" w:hRule="exact"/>
        </w:trPr>
        <w:tc>
          <w:tcPr>
            <w:tcW w:w="1385" w:type="dxa"/>
            <w:tcBorders>
              <w:top w:val="single" w:sz="8" w:space="0" w:color="000000"/>
            </w:tcBorders>
          </w:tcPr>
          <w:p>
            <w:pPr>
              <w:pStyle w:val="TableParagraph"/>
              <w:spacing w:before="10"/>
              <w:ind w:left="504" w:right="504"/>
              <w:rPr>
                <w:sz w:val="24"/>
              </w:rPr>
            </w:pPr>
            <w:r>
              <w:rPr>
                <w:sz w:val="24"/>
              </w:rPr>
              <w:t>Ni</w:t>
            </w:r>
          </w:p>
        </w:tc>
        <w:tc>
          <w:tcPr>
            <w:tcW w:w="1275" w:type="dxa"/>
            <w:tcBorders>
              <w:top w:val="single" w:sz="8" w:space="0" w:color="000000"/>
            </w:tcBorders>
          </w:tcPr>
          <w:p>
            <w:pPr>
              <w:pStyle w:val="TableParagraph"/>
              <w:spacing w:before="10"/>
              <w:ind w:left="368" w:right="370"/>
              <w:rPr>
                <w:sz w:val="24"/>
              </w:rPr>
            </w:pPr>
            <w:r>
              <w:rPr>
                <w:sz w:val="24"/>
              </w:rPr>
              <w:t>101</w:t>
            </w:r>
          </w:p>
        </w:tc>
        <w:tc>
          <w:tcPr>
            <w:tcW w:w="1277" w:type="dxa"/>
            <w:tcBorders>
              <w:top w:val="single" w:sz="8" w:space="0" w:color="000000"/>
            </w:tcBorders>
          </w:tcPr>
          <w:p>
            <w:pPr>
              <w:pStyle w:val="TableParagraph"/>
              <w:spacing w:before="10"/>
              <w:ind w:left="150" w:right="150"/>
              <w:rPr>
                <w:sz w:val="24"/>
              </w:rPr>
            </w:pPr>
            <w:r>
              <w:rPr>
                <w:sz w:val="24"/>
              </w:rPr>
              <w:t>101</w:t>
            </w:r>
          </w:p>
        </w:tc>
        <w:tc>
          <w:tcPr>
            <w:tcW w:w="1136" w:type="dxa"/>
            <w:tcBorders>
              <w:top w:val="single" w:sz="8" w:space="0" w:color="000000"/>
            </w:tcBorders>
          </w:tcPr>
          <w:p>
            <w:pPr>
              <w:pStyle w:val="TableParagraph"/>
              <w:spacing w:before="10"/>
              <w:ind w:left="75" w:right="76"/>
              <w:rPr>
                <w:sz w:val="24"/>
              </w:rPr>
            </w:pPr>
            <w:r>
              <w:rPr>
                <w:sz w:val="24"/>
              </w:rPr>
              <w:t>101</w:t>
            </w:r>
          </w:p>
        </w:tc>
        <w:tc>
          <w:tcPr>
            <w:tcW w:w="1133" w:type="dxa"/>
            <w:tcBorders>
              <w:top w:val="single" w:sz="8" w:space="0" w:color="000000"/>
            </w:tcBorders>
          </w:tcPr>
          <w:p>
            <w:pPr>
              <w:pStyle w:val="TableParagraph"/>
              <w:spacing w:before="10"/>
              <w:ind w:left="296" w:right="298"/>
              <w:rPr>
                <w:sz w:val="24"/>
              </w:rPr>
            </w:pPr>
            <w:r>
              <w:rPr>
                <w:sz w:val="24"/>
              </w:rPr>
              <w:t>104</w:t>
            </w:r>
          </w:p>
        </w:tc>
        <w:tc>
          <w:tcPr>
            <w:tcW w:w="1141" w:type="dxa"/>
            <w:tcBorders>
              <w:top w:val="single" w:sz="8" w:space="0" w:color="000000"/>
            </w:tcBorders>
          </w:tcPr>
          <w:p>
            <w:pPr>
              <w:pStyle w:val="TableParagraph"/>
              <w:spacing w:before="10"/>
              <w:ind w:left="302" w:right="299"/>
              <w:rPr>
                <w:sz w:val="24"/>
              </w:rPr>
            </w:pPr>
            <w:r>
              <w:rPr>
                <w:sz w:val="24"/>
              </w:rPr>
              <w:t>102</w:t>
            </w:r>
          </w:p>
        </w:tc>
        <w:tc>
          <w:tcPr>
            <w:tcW w:w="2148" w:type="dxa"/>
            <w:vMerge/>
          </w:tcPr>
          <w:p>
            <w:pPr/>
          </w:p>
        </w:tc>
      </w:tr>
      <w:tr>
        <w:trPr>
          <w:trHeight w:val="310" w:hRule="exact"/>
        </w:trPr>
        <w:tc>
          <w:tcPr>
            <w:tcW w:w="9494" w:type="dxa"/>
            <w:gridSpan w:val="7"/>
            <w:shd w:val="clear" w:color="auto" w:fill="D9D9D9"/>
          </w:tcPr>
          <w:p>
            <w:pPr>
              <w:pStyle w:val="TableParagraph"/>
              <w:spacing w:line="274" w:lineRule="exact"/>
              <w:ind w:left="2690"/>
              <w:jc w:val="left"/>
              <w:rPr>
                <w:b/>
                <w:sz w:val="24"/>
              </w:rPr>
            </w:pPr>
            <w:r>
              <w:rPr>
                <w:b/>
                <w:sz w:val="24"/>
              </w:rPr>
              <w:t>% Recobro (al final de la secuencia)</w:t>
            </w:r>
          </w:p>
        </w:tc>
      </w:tr>
      <w:tr>
        <w:trPr>
          <w:trHeight w:val="310" w:hRule="exact"/>
        </w:trPr>
        <w:tc>
          <w:tcPr>
            <w:tcW w:w="1385" w:type="dxa"/>
            <w:tcBorders>
              <w:bottom w:val="single" w:sz="8" w:space="0" w:color="000000"/>
            </w:tcBorders>
          </w:tcPr>
          <w:p>
            <w:pPr>
              <w:pStyle w:val="TableParagraph"/>
              <w:rPr>
                <w:sz w:val="24"/>
              </w:rPr>
            </w:pPr>
            <w:r>
              <w:rPr>
                <w:w w:val="100"/>
                <w:sz w:val="24"/>
              </w:rPr>
              <w:t>V</w:t>
            </w:r>
          </w:p>
        </w:tc>
        <w:tc>
          <w:tcPr>
            <w:tcW w:w="1275" w:type="dxa"/>
            <w:tcBorders>
              <w:bottom w:val="single" w:sz="8" w:space="0" w:color="000000"/>
            </w:tcBorders>
          </w:tcPr>
          <w:p>
            <w:pPr>
              <w:pStyle w:val="TableParagraph"/>
              <w:ind w:left="368" w:right="370"/>
              <w:rPr>
                <w:sz w:val="24"/>
              </w:rPr>
            </w:pPr>
            <w:r>
              <w:rPr>
                <w:sz w:val="24"/>
              </w:rPr>
              <w:t>100</w:t>
            </w:r>
          </w:p>
        </w:tc>
        <w:tc>
          <w:tcPr>
            <w:tcW w:w="1277" w:type="dxa"/>
            <w:tcBorders>
              <w:bottom w:val="single" w:sz="8" w:space="0" w:color="000000"/>
            </w:tcBorders>
          </w:tcPr>
          <w:p>
            <w:pPr>
              <w:pStyle w:val="TableParagraph"/>
              <w:ind w:left="150" w:right="150"/>
              <w:rPr>
                <w:sz w:val="24"/>
              </w:rPr>
            </w:pPr>
            <w:r>
              <w:rPr>
                <w:sz w:val="24"/>
              </w:rPr>
              <w:t>100</w:t>
            </w:r>
          </w:p>
        </w:tc>
        <w:tc>
          <w:tcPr>
            <w:tcW w:w="1136" w:type="dxa"/>
            <w:tcBorders>
              <w:bottom w:val="single" w:sz="8" w:space="0" w:color="000000"/>
            </w:tcBorders>
          </w:tcPr>
          <w:p>
            <w:pPr>
              <w:pStyle w:val="TableParagraph"/>
              <w:ind w:left="75" w:right="76"/>
              <w:rPr>
                <w:sz w:val="24"/>
              </w:rPr>
            </w:pPr>
            <w:r>
              <w:rPr>
                <w:sz w:val="24"/>
              </w:rPr>
              <w:t>100</w:t>
            </w:r>
          </w:p>
        </w:tc>
        <w:tc>
          <w:tcPr>
            <w:tcW w:w="1133" w:type="dxa"/>
            <w:tcBorders>
              <w:bottom w:val="single" w:sz="8" w:space="0" w:color="000000"/>
            </w:tcBorders>
          </w:tcPr>
          <w:p>
            <w:pPr>
              <w:pStyle w:val="TableParagraph"/>
              <w:ind w:left="296" w:right="298"/>
              <w:rPr>
                <w:sz w:val="24"/>
              </w:rPr>
            </w:pPr>
            <w:r>
              <w:rPr>
                <w:sz w:val="24"/>
              </w:rPr>
              <w:t>99</w:t>
            </w:r>
          </w:p>
        </w:tc>
        <w:tc>
          <w:tcPr>
            <w:tcW w:w="1141" w:type="dxa"/>
            <w:tcBorders>
              <w:bottom w:val="single" w:sz="8" w:space="0" w:color="000000"/>
            </w:tcBorders>
          </w:tcPr>
          <w:p>
            <w:pPr>
              <w:pStyle w:val="TableParagraph"/>
              <w:ind w:left="302" w:right="299"/>
              <w:rPr>
                <w:sz w:val="24"/>
              </w:rPr>
            </w:pPr>
            <w:r>
              <w:rPr>
                <w:sz w:val="24"/>
              </w:rPr>
              <w:t>99</w:t>
            </w:r>
          </w:p>
        </w:tc>
        <w:tc>
          <w:tcPr>
            <w:tcW w:w="2148" w:type="dxa"/>
            <w:vMerge w:val="restart"/>
          </w:tcPr>
          <w:p>
            <w:pPr>
              <w:pStyle w:val="TableParagraph"/>
              <w:spacing w:before="29"/>
              <w:ind w:left="127" w:right="135"/>
              <w:rPr>
                <w:sz w:val="24"/>
              </w:rPr>
            </w:pPr>
            <w:r>
              <w:rPr>
                <w:sz w:val="24"/>
              </w:rPr>
              <w:t>No menos de 80% y no más de 120%</w:t>
            </w:r>
          </w:p>
        </w:tc>
      </w:tr>
      <w:tr>
        <w:trPr>
          <w:trHeight w:val="302" w:hRule="exact"/>
        </w:trPr>
        <w:tc>
          <w:tcPr>
            <w:tcW w:w="1385" w:type="dxa"/>
            <w:tcBorders>
              <w:top w:val="single" w:sz="8" w:space="0" w:color="000000"/>
              <w:bottom w:val="single" w:sz="8" w:space="0" w:color="000000"/>
            </w:tcBorders>
          </w:tcPr>
          <w:p>
            <w:pPr>
              <w:pStyle w:val="TableParagraph"/>
              <w:ind w:left="504" w:right="505"/>
              <w:rPr>
                <w:sz w:val="24"/>
              </w:rPr>
            </w:pPr>
            <w:r>
              <w:rPr>
                <w:sz w:val="24"/>
              </w:rPr>
              <w:t>Co</w:t>
            </w:r>
          </w:p>
        </w:tc>
        <w:tc>
          <w:tcPr>
            <w:tcW w:w="1275" w:type="dxa"/>
            <w:tcBorders>
              <w:top w:val="single" w:sz="8" w:space="0" w:color="000000"/>
              <w:bottom w:val="single" w:sz="8" w:space="0" w:color="000000"/>
            </w:tcBorders>
          </w:tcPr>
          <w:p>
            <w:pPr>
              <w:pStyle w:val="TableParagraph"/>
              <w:ind w:left="368" w:right="369"/>
              <w:rPr>
                <w:sz w:val="24"/>
              </w:rPr>
            </w:pPr>
            <w:r>
              <w:rPr>
                <w:sz w:val="24"/>
              </w:rPr>
              <w:t>99</w:t>
            </w:r>
          </w:p>
        </w:tc>
        <w:tc>
          <w:tcPr>
            <w:tcW w:w="1277" w:type="dxa"/>
            <w:tcBorders>
              <w:top w:val="single" w:sz="8" w:space="0" w:color="000000"/>
              <w:bottom w:val="single" w:sz="8" w:space="0" w:color="000000"/>
            </w:tcBorders>
          </w:tcPr>
          <w:p>
            <w:pPr>
              <w:pStyle w:val="TableParagraph"/>
              <w:ind w:left="150" w:right="150"/>
              <w:rPr>
                <w:sz w:val="24"/>
              </w:rPr>
            </w:pPr>
            <w:r>
              <w:rPr>
                <w:sz w:val="24"/>
              </w:rPr>
              <w:t>99</w:t>
            </w:r>
          </w:p>
        </w:tc>
        <w:tc>
          <w:tcPr>
            <w:tcW w:w="1136" w:type="dxa"/>
            <w:tcBorders>
              <w:top w:val="single" w:sz="8" w:space="0" w:color="000000"/>
              <w:bottom w:val="single" w:sz="8" w:space="0" w:color="000000"/>
            </w:tcBorders>
          </w:tcPr>
          <w:p>
            <w:pPr>
              <w:pStyle w:val="TableParagraph"/>
              <w:ind w:left="75" w:right="76"/>
              <w:rPr>
                <w:sz w:val="24"/>
              </w:rPr>
            </w:pPr>
            <w:r>
              <w:rPr>
                <w:sz w:val="24"/>
              </w:rPr>
              <w:t>99</w:t>
            </w:r>
          </w:p>
        </w:tc>
        <w:tc>
          <w:tcPr>
            <w:tcW w:w="1133" w:type="dxa"/>
            <w:tcBorders>
              <w:top w:val="single" w:sz="8" w:space="0" w:color="000000"/>
              <w:bottom w:val="single" w:sz="8" w:space="0" w:color="000000"/>
            </w:tcBorders>
          </w:tcPr>
          <w:p>
            <w:pPr>
              <w:pStyle w:val="TableParagraph"/>
              <w:ind w:left="296" w:right="298"/>
              <w:rPr>
                <w:sz w:val="24"/>
              </w:rPr>
            </w:pPr>
            <w:r>
              <w:rPr>
                <w:sz w:val="24"/>
              </w:rPr>
              <w:t>98</w:t>
            </w:r>
          </w:p>
        </w:tc>
        <w:tc>
          <w:tcPr>
            <w:tcW w:w="1141" w:type="dxa"/>
            <w:tcBorders>
              <w:top w:val="single" w:sz="8" w:space="0" w:color="000000"/>
              <w:bottom w:val="single" w:sz="8" w:space="0" w:color="000000"/>
            </w:tcBorders>
          </w:tcPr>
          <w:p>
            <w:pPr>
              <w:pStyle w:val="TableParagraph"/>
              <w:ind w:left="302" w:right="299"/>
              <w:rPr>
                <w:sz w:val="24"/>
              </w:rPr>
            </w:pPr>
            <w:r>
              <w:rPr>
                <w:sz w:val="24"/>
              </w:rPr>
              <w:t>97</w:t>
            </w:r>
          </w:p>
        </w:tc>
        <w:tc>
          <w:tcPr>
            <w:tcW w:w="2148" w:type="dxa"/>
            <w:vMerge/>
          </w:tcPr>
          <w:p>
            <w:pPr/>
          </w:p>
        </w:tc>
      </w:tr>
      <w:tr>
        <w:trPr>
          <w:trHeight w:val="310" w:hRule="exact"/>
        </w:trPr>
        <w:tc>
          <w:tcPr>
            <w:tcW w:w="1385" w:type="dxa"/>
            <w:tcBorders>
              <w:top w:val="single" w:sz="8" w:space="0" w:color="000000"/>
            </w:tcBorders>
          </w:tcPr>
          <w:p>
            <w:pPr>
              <w:pStyle w:val="TableParagraph"/>
              <w:ind w:left="504" w:right="504"/>
              <w:rPr>
                <w:sz w:val="24"/>
              </w:rPr>
            </w:pPr>
            <w:r>
              <w:rPr>
                <w:sz w:val="24"/>
              </w:rPr>
              <w:t>Ni</w:t>
            </w:r>
          </w:p>
        </w:tc>
        <w:tc>
          <w:tcPr>
            <w:tcW w:w="1275" w:type="dxa"/>
            <w:tcBorders>
              <w:top w:val="single" w:sz="8" w:space="0" w:color="000000"/>
            </w:tcBorders>
          </w:tcPr>
          <w:p>
            <w:pPr>
              <w:pStyle w:val="TableParagraph"/>
              <w:ind w:left="368" w:right="369"/>
              <w:rPr>
                <w:sz w:val="24"/>
              </w:rPr>
            </w:pPr>
            <w:r>
              <w:rPr>
                <w:sz w:val="24"/>
              </w:rPr>
              <w:t>99</w:t>
            </w:r>
          </w:p>
        </w:tc>
        <w:tc>
          <w:tcPr>
            <w:tcW w:w="1277" w:type="dxa"/>
            <w:tcBorders>
              <w:top w:val="single" w:sz="8" w:space="0" w:color="000000"/>
            </w:tcBorders>
          </w:tcPr>
          <w:p>
            <w:pPr>
              <w:pStyle w:val="TableParagraph"/>
              <w:ind w:left="150" w:right="150"/>
              <w:rPr>
                <w:sz w:val="24"/>
              </w:rPr>
            </w:pPr>
            <w:r>
              <w:rPr>
                <w:sz w:val="24"/>
              </w:rPr>
              <w:t>99</w:t>
            </w:r>
          </w:p>
        </w:tc>
        <w:tc>
          <w:tcPr>
            <w:tcW w:w="1136" w:type="dxa"/>
            <w:tcBorders>
              <w:top w:val="single" w:sz="8" w:space="0" w:color="000000"/>
            </w:tcBorders>
          </w:tcPr>
          <w:p>
            <w:pPr>
              <w:pStyle w:val="TableParagraph"/>
              <w:ind w:left="75" w:right="76"/>
              <w:rPr>
                <w:sz w:val="24"/>
              </w:rPr>
            </w:pPr>
            <w:r>
              <w:rPr>
                <w:sz w:val="24"/>
              </w:rPr>
              <w:t>99</w:t>
            </w:r>
          </w:p>
        </w:tc>
        <w:tc>
          <w:tcPr>
            <w:tcW w:w="1133" w:type="dxa"/>
            <w:tcBorders>
              <w:top w:val="single" w:sz="8" w:space="0" w:color="000000"/>
            </w:tcBorders>
          </w:tcPr>
          <w:p>
            <w:pPr>
              <w:pStyle w:val="TableParagraph"/>
              <w:ind w:left="296" w:right="298"/>
              <w:rPr>
                <w:sz w:val="24"/>
              </w:rPr>
            </w:pPr>
            <w:r>
              <w:rPr>
                <w:sz w:val="24"/>
              </w:rPr>
              <w:t>103</w:t>
            </w:r>
          </w:p>
        </w:tc>
        <w:tc>
          <w:tcPr>
            <w:tcW w:w="1141" w:type="dxa"/>
            <w:tcBorders>
              <w:top w:val="single" w:sz="8" w:space="0" w:color="000000"/>
            </w:tcBorders>
          </w:tcPr>
          <w:p>
            <w:pPr>
              <w:pStyle w:val="TableParagraph"/>
              <w:ind w:left="302" w:right="299"/>
              <w:rPr>
                <w:sz w:val="24"/>
              </w:rPr>
            </w:pPr>
            <w:r>
              <w:rPr>
                <w:sz w:val="24"/>
              </w:rPr>
              <w:t>102</w:t>
            </w:r>
          </w:p>
        </w:tc>
        <w:tc>
          <w:tcPr>
            <w:tcW w:w="2148" w:type="dxa"/>
            <w:vMerge/>
          </w:tcPr>
          <w:p>
            <w:pPr/>
          </w:p>
        </w:tc>
      </w:tr>
      <w:tr>
        <w:trPr>
          <w:trHeight w:val="310" w:hRule="exact"/>
        </w:trPr>
        <w:tc>
          <w:tcPr>
            <w:tcW w:w="9494" w:type="dxa"/>
            <w:gridSpan w:val="7"/>
            <w:shd w:val="clear" w:color="auto" w:fill="D9D9D9"/>
          </w:tcPr>
          <w:p>
            <w:pPr>
              <w:pStyle w:val="TableParagraph"/>
              <w:spacing w:line="274" w:lineRule="exact"/>
              <w:ind w:left="2998"/>
              <w:jc w:val="left"/>
              <w:rPr>
                <w:b/>
                <w:sz w:val="24"/>
              </w:rPr>
            </w:pPr>
            <w:r>
              <w:rPr>
                <w:b/>
                <w:sz w:val="24"/>
              </w:rPr>
              <w:t>ppm in the sample Producto A</w:t>
            </w:r>
          </w:p>
        </w:tc>
      </w:tr>
      <w:tr>
        <w:trPr>
          <w:trHeight w:val="593" w:hRule="exact"/>
        </w:trPr>
        <w:tc>
          <w:tcPr>
            <w:tcW w:w="1385" w:type="dxa"/>
            <w:tcBorders>
              <w:bottom w:val="single" w:sz="8" w:space="0" w:color="000000"/>
            </w:tcBorders>
          </w:tcPr>
          <w:p>
            <w:pPr>
              <w:pStyle w:val="TableParagraph"/>
              <w:spacing w:before="144"/>
              <w:rPr>
                <w:sz w:val="24"/>
              </w:rPr>
            </w:pPr>
            <w:r>
              <w:rPr>
                <w:w w:val="100"/>
                <w:sz w:val="24"/>
              </w:rPr>
              <w:t>V</w:t>
            </w:r>
          </w:p>
        </w:tc>
        <w:tc>
          <w:tcPr>
            <w:tcW w:w="1275" w:type="dxa"/>
            <w:tcBorders>
              <w:bottom w:val="single" w:sz="8" w:space="0" w:color="000000"/>
            </w:tcBorders>
          </w:tcPr>
          <w:p>
            <w:pPr>
              <w:pStyle w:val="TableParagraph"/>
              <w:spacing w:before="144"/>
              <w:ind w:left="368" w:right="370"/>
              <w:rPr>
                <w:sz w:val="24"/>
              </w:rPr>
            </w:pPr>
            <w:r>
              <w:rPr>
                <w:sz w:val="24"/>
              </w:rPr>
              <w:t>ND</w:t>
            </w:r>
          </w:p>
        </w:tc>
        <w:tc>
          <w:tcPr>
            <w:tcW w:w="1277" w:type="dxa"/>
            <w:tcBorders>
              <w:bottom w:val="single" w:sz="8" w:space="0" w:color="000000"/>
            </w:tcBorders>
          </w:tcPr>
          <w:p>
            <w:pPr>
              <w:pStyle w:val="TableParagraph"/>
              <w:spacing w:before="144"/>
              <w:ind w:left="150" w:right="150"/>
              <w:rPr>
                <w:sz w:val="24"/>
              </w:rPr>
            </w:pPr>
            <w:r>
              <w:rPr>
                <w:sz w:val="24"/>
              </w:rPr>
              <w:t>ND</w:t>
            </w:r>
          </w:p>
        </w:tc>
        <w:tc>
          <w:tcPr>
            <w:tcW w:w="1136" w:type="dxa"/>
            <w:tcBorders>
              <w:bottom w:val="single" w:sz="8" w:space="0" w:color="000000"/>
            </w:tcBorders>
          </w:tcPr>
          <w:p>
            <w:pPr>
              <w:pStyle w:val="TableParagraph"/>
              <w:spacing w:before="144"/>
              <w:ind w:left="75" w:right="76"/>
              <w:rPr>
                <w:sz w:val="24"/>
              </w:rPr>
            </w:pPr>
            <w:r>
              <w:rPr>
                <w:sz w:val="24"/>
              </w:rPr>
              <w:t>ND</w:t>
            </w:r>
          </w:p>
        </w:tc>
        <w:tc>
          <w:tcPr>
            <w:tcW w:w="1133" w:type="dxa"/>
            <w:tcBorders>
              <w:bottom w:val="single" w:sz="8" w:space="0" w:color="000000"/>
            </w:tcBorders>
          </w:tcPr>
          <w:p>
            <w:pPr>
              <w:pStyle w:val="TableParagraph"/>
              <w:spacing w:before="144"/>
              <w:ind w:left="296" w:right="298"/>
              <w:rPr>
                <w:sz w:val="24"/>
              </w:rPr>
            </w:pPr>
            <w:r>
              <w:rPr>
                <w:sz w:val="24"/>
              </w:rPr>
              <w:t>ND</w:t>
            </w:r>
          </w:p>
        </w:tc>
        <w:tc>
          <w:tcPr>
            <w:tcW w:w="1141" w:type="dxa"/>
            <w:tcBorders>
              <w:bottom w:val="single" w:sz="8" w:space="0" w:color="000000"/>
            </w:tcBorders>
          </w:tcPr>
          <w:p>
            <w:pPr>
              <w:pStyle w:val="TableParagraph"/>
              <w:spacing w:before="144"/>
              <w:ind w:left="300" w:right="301"/>
              <w:rPr>
                <w:sz w:val="24"/>
              </w:rPr>
            </w:pPr>
            <w:r>
              <w:rPr>
                <w:sz w:val="24"/>
              </w:rPr>
              <w:t>ND</w:t>
            </w:r>
          </w:p>
        </w:tc>
        <w:tc>
          <w:tcPr>
            <w:tcW w:w="2148" w:type="dxa"/>
            <w:vMerge w:val="restart"/>
          </w:tcPr>
          <w:p>
            <w:pPr>
              <w:pStyle w:val="TableParagraph"/>
              <w:ind w:left="163" w:right="166" w:hanging="5"/>
              <w:rPr>
                <w:sz w:val="24"/>
              </w:rPr>
            </w:pPr>
            <w:r>
              <w:rPr>
                <w:sz w:val="24"/>
              </w:rPr>
              <w:t>La respuesta de V, Co y Ni no aumenta ni disminuye por arriba del límite de cuantificación</w:t>
            </w:r>
          </w:p>
        </w:tc>
      </w:tr>
      <w:tr>
        <w:trPr>
          <w:trHeight w:val="578" w:hRule="exact"/>
        </w:trPr>
        <w:tc>
          <w:tcPr>
            <w:tcW w:w="1385" w:type="dxa"/>
            <w:tcBorders>
              <w:top w:val="single" w:sz="8" w:space="0" w:color="000000"/>
              <w:bottom w:val="single" w:sz="8" w:space="0" w:color="000000"/>
            </w:tcBorders>
          </w:tcPr>
          <w:p>
            <w:pPr>
              <w:pStyle w:val="TableParagraph"/>
              <w:spacing w:before="142"/>
              <w:ind w:left="504" w:right="505"/>
              <w:rPr>
                <w:sz w:val="24"/>
              </w:rPr>
            </w:pPr>
            <w:r>
              <w:rPr>
                <w:sz w:val="24"/>
              </w:rPr>
              <w:t>Co</w:t>
            </w:r>
          </w:p>
        </w:tc>
        <w:tc>
          <w:tcPr>
            <w:tcW w:w="1275" w:type="dxa"/>
            <w:tcBorders>
              <w:top w:val="single" w:sz="8" w:space="0" w:color="000000"/>
              <w:bottom w:val="single" w:sz="8" w:space="0" w:color="000000"/>
            </w:tcBorders>
          </w:tcPr>
          <w:p>
            <w:pPr>
              <w:pStyle w:val="TableParagraph"/>
              <w:spacing w:before="142"/>
              <w:ind w:left="368" w:right="370"/>
              <w:rPr>
                <w:sz w:val="24"/>
              </w:rPr>
            </w:pPr>
            <w:r>
              <w:rPr>
                <w:sz w:val="24"/>
              </w:rPr>
              <w:t>ND</w:t>
            </w:r>
          </w:p>
        </w:tc>
        <w:tc>
          <w:tcPr>
            <w:tcW w:w="1277" w:type="dxa"/>
            <w:tcBorders>
              <w:top w:val="single" w:sz="8" w:space="0" w:color="000000"/>
              <w:bottom w:val="single" w:sz="8" w:space="0" w:color="000000"/>
            </w:tcBorders>
          </w:tcPr>
          <w:p>
            <w:pPr>
              <w:pStyle w:val="TableParagraph"/>
              <w:spacing w:before="142"/>
              <w:ind w:left="150" w:right="150"/>
              <w:rPr>
                <w:sz w:val="24"/>
              </w:rPr>
            </w:pPr>
            <w:r>
              <w:rPr>
                <w:sz w:val="24"/>
              </w:rPr>
              <w:t>ND</w:t>
            </w:r>
          </w:p>
        </w:tc>
        <w:tc>
          <w:tcPr>
            <w:tcW w:w="1136" w:type="dxa"/>
            <w:tcBorders>
              <w:top w:val="single" w:sz="8" w:space="0" w:color="000000"/>
              <w:bottom w:val="single" w:sz="8" w:space="0" w:color="000000"/>
            </w:tcBorders>
          </w:tcPr>
          <w:p>
            <w:pPr>
              <w:pStyle w:val="TableParagraph"/>
              <w:spacing w:before="142"/>
              <w:ind w:left="75" w:right="76"/>
              <w:rPr>
                <w:sz w:val="24"/>
              </w:rPr>
            </w:pPr>
            <w:r>
              <w:rPr>
                <w:sz w:val="24"/>
              </w:rPr>
              <w:t>ND</w:t>
            </w:r>
          </w:p>
        </w:tc>
        <w:tc>
          <w:tcPr>
            <w:tcW w:w="1133" w:type="dxa"/>
            <w:tcBorders>
              <w:top w:val="single" w:sz="8" w:space="0" w:color="000000"/>
              <w:bottom w:val="single" w:sz="8" w:space="0" w:color="000000"/>
            </w:tcBorders>
          </w:tcPr>
          <w:p>
            <w:pPr>
              <w:pStyle w:val="TableParagraph"/>
              <w:spacing w:before="142"/>
              <w:ind w:left="296" w:right="298"/>
              <w:rPr>
                <w:sz w:val="24"/>
              </w:rPr>
            </w:pPr>
            <w:r>
              <w:rPr>
                <w:sz w:val="24"/>
              </w:rPr>
              <w:t>ND</w:t>
            </w:r>
          </w:p>
        </w:tc>
        <w:tc>
          <w:tcPr>
            <w:tcW w:w="1141" w:type="dxa"/>
            <w:tcBorders>
              <w:top w:val="single" w:sz="8" w:space="0" w:color="000000"/>
              <w:bottom w:val="single" w:sz="8" w:space="0" w:color="000000"/>
            </w:tcBorders>
          </w:tcPr>
          <w:p>
            <w:pPr>
              <w:pStyle w:val="TableParagraph"/>
              <w:spacing w:before="142"/>
              <w:ind w:left="300" w:right="301"/>
              <w:rPr>
                <w:sz w:val="24"/>
              </w:rPr>
            </w:pPr>
            <w:r>
              <w:rPr>
                <w:sz w:val="24"/>
              </w:rPr>
              <w:t>ND</w:t>
            </w:r>
          </w:p>
        </w:tc>
        <w:tc>
          <w:tcPr>
            <w:tcW w:w="2148" w:type="dxa"/>
            <w:vMerge/>
          </w:tcPr>
          <w:p>
            <w:pPr/>
          </w:p>
        </w:tc>
      </w:tr>
      <w:tr>
        <w:trPr>
          <w:trHeight w:val="518" w:hRule="exact"/>
        </w:trPr>
        <w:tc>
          <w:tcPr>
            <w:tcW w:w="1385" w:type="dxa"/>
            <w:tcBorders>
              <w:top w:val="single" w:sz="8" w:space="0" w:color="000000"/>
            </w:tcBorders>
          </w:tcPr>
          <w:p>
            <w:pPr>
              <w:pStyle w:val="TableParagraph"/>
              <w:spacing w:before="108"/>
              <w:ind w:left="504" w:right="504"/>
              <w:rPr>
                <w:sz w:val="24"/>
              </w:rPr>
            </w:pPr>
            <w:r>
              <w:rPr>
                <w:sz w:val="24"/>
              </w:rPr>
              <w:t>Ni</w:t>
            </w:r>
          </w:p>
        </w:tc>
        <w:tc>
          <w:tcPr>
            <w:tcW w:w="1275" w:type="dxa"/>
            <w:tcBorders>
              <w:top w:val="single" w:sz="8" w:space="0" w:color="000000"/>
            </w:tcBorders>
          </w:tcPr>
          <w:p>
            <w:pPr>
              <w:pStyle w:val="TableParagraph"/>
              <w:spacing w:before="108"/>
              <w:ind w:left="368" w:right="370"/>
              <w:rPr>
                <w:sz w:val="24"/>
              </w:rPr>
            </w:pPr>
            <w:r>
              <w:rPr>
                <w:sz w:val="24"/>
              </w:rPr>
              <w:t>ND</w:t>
            </w:r>
          </w:p>
        </w:tc>
        <w:tc>
          <w:tcPr>
            <w:tcW w:w="1277" w:type="dxa"/>
            <w:tcBorders>
              <w:top w:val="single" w:sz="8" w:space="0" w:color="000000"/>
            </w:tcBorders>
          </w:tcPr>
          <w:p>
            <w:pPr>
              <w:pStyle w:val="TableParagraph"/>
              <w:spacing w:before="108"/>
              <w:ind w:left="150" w:right="150"/>
              <w:rPr>
                <w:sz w:val="24"/>
              </w:rPr>
            </w:pPr>
            <w:r>
              <w:rPr>
                <w:sz w:val="24"/>
              </w:rPr>
              <w:t>ND</w:t>
            </w:r>
          </w:p>
        </w:tc>
        <w:tc>
          <w:tcPr>
            <w:tcW w:w="1136" w:type="dxa"/>
            <w:tcBorders>
              <w:top w:val="single" w:sz="8" w:space="0" w:color="000000"/>
            </w:tcBorders>
          </w:tcPr>
          <w:p>
            <w:pPr>
              <w:pStyle w:val="TableParagraph"/>
              <w:spacing w:before="108"/>
              <w:ind w:left="75" w:right="76"/>
              <w:rPr>
                <w:sz w:val="24"/>
              </w:rPr>
            </w:pPr>
            <w:r>
              <w:rPr>
                <w:sz w:val="24"/>
              </w:rPr>
              <w:t>ND</w:t>
            </w:r>
          </w:p>
        </w:tc>
        <w:tc>
          <w:tcPr>
            <w:tcW w:w="1133" w:type="dxa"/>
            <w:tcBorders>
              <w:top w:val="single" w:sz="8" w:space="0" w:color="000000"/>
            </w:tcBorders>
          </w:tcPr>
          <w:p>
            <w:pPr>
              <w:pStyle w:val="TableParagraph"/>
              <w:spacing w:before="108"/>
              <w:ind w:left="296" w:right="298"/>
              <w:rPr>
                <w:sz w:val="24"/>
              </w:rPr>
            </w:pPr>
            <w:r>
              <w:rPr>
                <w:sz w:val="24"/>
              </w:rPr>
              <w:t>ND</w:t>
            </w:r>
          </w:p>
        </w:tc>
        <w:tc>
          <w:tcPr>
            <w:tcW w:w="1141" w:type="dxa"/>
            <w:tcBorders>
              <w:top w:val="single" w:sz="8" w:space="0" w:color="000000"/>
            </w:tcBorders>
          </w:tcPr>
          <w:p>
            <w:pPr>
              <w:pStyle w:val="TableParagraph"/>
              <w:spacing w:before="108"/>
              <w:ind w:left="300" w:right="301"/>
              <w:rPr>
                <w:sz w:val="24"/>
              </w:rPr>
            </w:pPr>
            <w:r>
              <w:rPr>
                <w:sz w:val="24"/>
              </w:rPr>
              <w:t>ND</w:t>
            </w:r>
          </w:p>
        </w:tc>
        <w:tc>
          <w:tcPr>
            <w:tcW w:w="2148" w:type="dxa"/>
            <w:vMerge/>
          </w:tcPr>
          <w:p>
            <w:pPr/>
          </w:p>
        </w:tc>
      </w:tr>
    </w:tbl>
    <w:p>
      <w:pPr>
        <w:spacing w:line="228" w:lineRule="exact" w:before="0"/>
        <w:ind w:left="808" w:right="779" w:firstLine="0"/>
        <w:jc w:val="left"/>
        <w:rPr>
          <w:sz w:val="20"/>
        </w:rPr>
      </w:pPr>
      <w:r>
        <w:rPr>
          <w:sz w:val="20"/>
        </w:rPr>
        <w:t>ND= No Detectado</w:t>
      </w:r>
    </w:p>
    <w:p>
      <w:pPr>
        <w:pStyle w:val="BodyText"/>
        <w:rPr>
          <w:sz w:val="20"/>
        </w:rPr>
      </w:pPr>
    </w:p>
    <w:p>
      <w:pPr>
        <w:pStyle w:val="BodyText"/>
        <w:rPr>
          <w:sz w:val="27"/>
        </w:rPr>
      </w:pPr>
    </w:p>
    <w:p>
      <w:pPr>
        <w:pStyle w:val="BodyText"/>
        <w:spacing w:line="360" w:lineRule="auto" w:before="1"/>
        <w:ind w:left="961" w:right="676"/>
        <w:jc w:val="both"/>
      </w:pPr>
      <w:r>
        <w:rPr/>
        <w:t>Los resultados de la curva de calibración, los % de recobro y la concentración de V, Co y Ni en la muestra cumplen con los criterios descritos en la Tabla C.IX.II, lo que indica que este método no es afectado por las variaciones realizadas en los parámetros del método.</w:t>
      </w:r>
    </w:p>
    <w:p>
      <w:pPr>
        <w:spacing w:after="0" w:line="360" w:lineRule="auto"/>
        <w:jc w:val="both"/>
        <w:sectPr>
          <w:pgSz w:w="12240" w:h="15840"/>
          <w:pgMar w:header="0" w:footer="919" w:top="1420" w:bottom="1100" w:left="1460" w:right="1020"/>
        </w:sectPr>
      </w:pPr>
    </w:p>
    <w:p>
      <w:pPr>
        <w:pStyle w:val="Heading1"/>
        <w:spacing w:line="276" w:lineRule="auto" w:before="56"/>
        <w:ind w:right="1104"/>
        <w:jc w:val="left"/>
      </w:pPr>
      <w:bookmarkStart w:name="_bookmark30" w:id="54"/>
      <w:bookmarkEnd w:id="54"/>
      <w:r>
        <w:rPr>
          <w:b w:val="0"/>
        </w:rPr>
      </w:r>
      <w:r>
        <w:rPr/>
        <w:t>ANEXO D. REPORTE DE VALIDACIÓN PARA LA DETERMINACIÓN DE PALADIO POR ICP-MS</w:t>
      </w:r>
    </w:p>
    <w:p>
      <w:pPr>
        <w:pStyle w:val="BodyText"/>
        <w:spacing w:before="10"/>
        <w:rPr>
          <w:b/>
          <w:sz w:val="20"/>
        </w:rPr>
      </w:pPr>
    </w:p>
    <w:p>
      <w:pPr>
        <w:pStyle w:val="ListParagraph"/>
        <w:numPr>
          <w:ilvl w:val="0"/>
          <w:numId w:val="13"/>
        </w:numPr>
        <w:tabs>
          <w:tab w:pos="821" w:val="left" w:leader="none"/>
          <w:tab w:pos="822" w:val="left" w:leader="none"/>
        </w:tabs>
        <w:spacing w:line="240" w:lineRule="auto" w:before="0" w:after="0"/>
        <w:ind w:left="822" w:right="0" w:hanging="495"/>
        <w:jc w:val="left"/>
        <w:rPr>
          <w:b/>
          <w:sz w:val="24"/>
        </w:rPr>
      </w:pPr>
      <w:r>
        <w:rPr>
          <w:b/>
          <w:sz w:val="24"/>
        </w:rPr>
        <w:t>Idoneidad del</w:t>
      </w:r>
      <w:r>
        <w:rPr>
          <w:b/>
          <w:spacing w:val="-5"/>
          <w:sz w:val="24"/>
        </w:rPr>
        <w:t> </w:t>
      </w:r>
      <w:r>
        <w:rPr>
          <w:b/>
          <w:sz w:val="24"/>
        </w:rPr>
        <w:t>sistema</w:t>
      </w:r>
    </w:p>
    <w:p>
      <w:pPr>
        <w:pStyle w:val="BodyText"/>
        <w:spacing w:line="360" w:lineRule="auto" w:before="103"/>
        <w:ind w:left="810" w:right="265"/>
        <w:jc w:val="both"/>
      </w:pPr>
      <w:r>
        <w:rPr>
          <w:color w:val="212121"/>
        </w:rPr>
        <w:t>Una prueba de idoneidad del sistema se realizó antes de la ejecución de cada parámetro de validación analítica con el único propósito de verificar que la concentración obtenida para cada muestra se midió de forma fiable.</w:t>
      </w:r>
    </w:p>
    <w:p>
      <w:pPr>
        <w:pStyle w:val="BodyText"/>
      </w:pPr>
    </w:p>
    <w:p>
      <w:pPr>
        <w:pStyle w:val="BodyText"/>
        <w:spacing w:line="360" w:lineRule="auto" w:before="139"/>
        <w:ind w:left="810" w:right="259"/>
        <w:jc w:val="both"/>
      </w:pPr>
      <w:r>
        <w:rPr>
          <w:color w:val="212121"/>
        </w:rPr>
        <w:t>Una solución estándar preparada a 100 % de la solución patrón de trabajo (STD5) se midió usando la concentración obtenida en cada curva de calibración; se calculó el % de recuperación obtenido para la concentración medida frente a la concentración obtenida en la curva de calibración. En todos los casos el valor obtenido fue de entre 80 y 120 %. Intervalo de los resultados para cada analito de interés se presenta en la Tabla D.I.1.</w:t>
      </w:r>
    </w:p>
    <w:p>
      <w:pPr>
        <w:pStyle w:val="BodyText"/>
      </w:pPr>
    </w:p>
    <w:p>
      <w:pPr>
        <w:pStyle w:val="Heading1"/>
        <w:spacing w:line="276" w:lineRule="auto" w:before="142" w:after="4"/>
        <w:ind w:left="701" w:right="76"/>
        <w:jc w:val="left"/>
      </w:pPr>
      <w:r>
        <w:rPr>
          <w:color w:val="212121"/>
        </w:rPr>
        <w:t>Tabla D.I.1. Resultados de la Idoneidad del sistema para Pd (% de recobro)</w:t>
      </w:r>
    </w:p>
    <w:tbl>
      <w:tblPr>
        <w:tblW w:w="0" w:type="auto"/>
        <w:jc w:val="left"/>
        <w:tblInd w:w="1023"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CellMar>
          <w:top w:w="0" w:type="dxa"/>
          <w:left w:w="0" w:type="dxa"/>
          <w:bottom w:w="0" w:type="dxa"/>
          <w:right w:w="0" w:type="dxa"/>
        </w:tblCellMar>
        <w:tblLook w:val="01E0"/>
      </w:tblPr>
      <w:tblGrid>
        <w:gridCol w:w="3332"/>
        <w:gridCol w:w="2341"/>
        <w:gridCol w:w="2340"/>
      </w:tblGrid>
      <w:tr>
        <w:trPr>
          <w:trHeight w:val="426" w:hRule="exact"/>
        </w:trPr>
        <w:tc>
          <w:tcPr>
            <w:tcW w:w="3332" w:type="dxa"/>
            <w:shd w:val="clear" w:color="auto" w:fill="D9D9D9"/>
          </w:tcPr>
          <w:p>
            <w:pPr>
              <w:pStyle w:val="TableParagraph"/>
              <w:spacing w:before="117"/>
              <w:ind w:left="1224" w:right="1226"/>
              <w:rPr>
                <w:b/>
                <w:sz w:val="24"/>
              </w:rPr>
            </w:pPr>
            <w:r>
              <w:rPr>
                <w:b/>
                <w:sz w:val="24"/>
              </w:rPr>
              <w:t>Analito</w:t>
            </w:r>
          </w:p>
        </w:tc>
        <w:tc>
          <w:tcPr>
            <w:tcW w:w="2341" w:type="dxa"/>
            <w:shd w:val="clear" w:color="auto" w:fill="D9D9D9"/>
          </w:tcPr>
          <w:p>
            <w:pPr>
              <w:pStyle w:val="TableParagraph"/>
              <w:spacing w:before="117"/>
              <w:ind w:left="266" w:right="270"/>
              <w:rPr>
                <w:b/>
                <w:sz w:val="24"/>
              </w:rPr>
            </w:pPr>
            <w:r>
              <w:rPr>
                <w:b/>
                <w:sz w:val="24"/>
              </w:rPr>
              <w:t>Valor más Bajo</w:t>
            </w:r>
          </w:p>
        </w:tc>
        <w:tc>
          <w:tcPr>
            <w:tcW w:w="2340" w:type="dxa"/>
            <w:shd w:val="clear" w:color="auto" w:fill="D9D9D9"/>
          </w:tcPr>
          <w:p>
            <w:pPr>
              <w:pStyle w:val="TableParagraph"/>
              <w:spacing w:before="117"/>
              <w:ind w:left="262" w:right="270"/>
              <w:rPr>
                <w:b/>
                <w:sz w:val="24"/>
              </w:rPr>
            </w:pPr>
            <w:r>
              <w:rPr>
                <w:b/>
                <w:sz w:val="24"/>
              </w:rPr>
              <w:t>Valor más Alto</w:t>
            </w:r>
          </w:p>
        </w:tc>
      </w:tr>
      <w:tr>
        <w:trPr>
          <w:trHeight w:val="550" w:hRule="exact"/>
        </w:trPr>
        <w:tc>
          <w:tcPr>
            <w:tcW w:w="3332" w:type="dxa"/>
          </w:tcPr>
          <w:p>
            <w:pPr>
              <w:pStyle w:val="TableParagraph"/>
              <w:spacing w:before="118"/>
              <w:ind w:left="1224" w:right="1224"/>
              <w:rPr>
                <w:sz w:val="24"/>
              </w:rPr>
            </w:pPr>
            <w:r>
              <w:rPr>
                <w:sz w:val="24"/>
              </w:rPr>
              <w:t>Pd</w:t>
            </w:r>
          </w:p>
        </w:tc>
        <w:tc>
          <w:tcPr>
            <w:tcW w:w="2341" w:type="dxa"/>
          </w:tcPr>
          <w:p>
            <w:pPr>
              <w:pStyle w:val="TableParagraph"/>
              <w:spacing w:before="118"/>
              <w:ind w:left="266" w:right="268"/>
              <w:rPr>
                <w:sz w:val="24"/>
              </w:rPr>
            </w:pPr>
            <w:r>
              <w:rPr>
                <w:sz w:val="24"/>
              </w:rPr>
              <w:t>98</w:t>
            </w:r>
          </w:p>
        </w:tc>
        <w:tc>
          <w:tcPr>
            <w:tcW w:w="2340" w:type="dxa"/>
          </w:tcPr>
          <w:p>
            <w:pPr>
              <w:pStyle w:val="TableParagraph"/>
              <w:spacing w:before="118"/>
              <w:ind w:left="266" w:right="266"/>
              <w:rPr>
                <w:sz w:val="24"/>
              </w:rPr>
            </w:pPr>
            <w:r>
              <w:rPr>
                <w:sz w:val="24"/>
              </w:rPr>
              <w:t>107</w:t>
            </w:r>
          </w:p>
        </w:tc>
      </w:tr>
    </w:tbl>
    <w:p>
      <w:pPr>
        <w:pStyle w:val="BodyText"/>
        <w:rPr>
          <w:b/>
          <w:sz w:val="20"/>
        </w:rPr>
      </w:pPr>
    </w:p>
    <w:p>
      <w:pPr>
        <w:pStyle w:val="BodyText"/>
        <w:spacing w:before="1"/>
        <w:rPr>
          <w:b/>
          <w:sz w:val="29"/>
        </w:rPr>
      </w:pPr>
    </w:p>
    <w:p>
      <w:pPr>
        <w:pStyle w:val="ListParagraph"/>
        <w:numPr>
          <w:ilvl w:val="0"/>
          <w:numId w:val="13"/>
        </w:numPr>
        <w:tabs>
          <w:tab w:pos="821" w:val="left" w:leader="none"/>
          <w:tab w:pos="822" w:val="left" w:leader="none"/>
        </w:tabs>
        <w:spacing w:line="240" w:lineRule="auto" w:before="69" w:after="0"/>
        <w:ind w:left="822" w:right="0" w:hanging="560"/>
        <w:jc w:val="left"/>
        <w:rPr>
          <w:b/>
          <w:sz w:val="24"/>
        </w:rPr>
      </w:pPr>
      <w:r>
        <w:rPr>
          <w:b/>
          <w:sz w:val="24"/>
        </w:rPr>
        <w:t>Estabilidad de las</w:t>
      </w:r>
      <w:r>
        <w:rPr>
          <w:b/>
          <w:spacing w:val="-10"/>
          <w:sz w:val="24"/>
        </w:rPr>
        <w:t> </w:t>
      </w:r>
      <w:r>
        <w:rPr>
          <w:b/>
          <w:sz w:val="24"/>
        </w:rPr>
        <w:t>Soluciones</w:t>
      </w:r>
    </w:p>
    <w:p>
      <w:pPr>
        <w:pStyle w:val="BodyText"/>
        <w:rPr>
          <w:b/>
          <w:sz w:val="21"/>
        </w:rPr>
      </w:pPr>
    </w:p>
    <w:p>
      <w:pPr>
        <w:pStyle w:val="BodyText"/>
        <w:spacing w:line="360" w:lineRule="auto" w:before="1"/>
        <w:ind w:left="810" w:right="255"/>
        <w:jc w:val="both"/>
      </w:pPr>
      <w:r>
        <w:rPr>
          <w:color w:val="212121"/>
        </w:rPr>
        <w:t>La estabilidad de la Solución Estándar Stock fue examinada por un período de 93 horas después de su preparación. Solución Estándar Stock se almacenó en refrigeración durante todo el período de tiempo evaluado. Una solución estándar al 100% de la concentración de trabajo se preparó a partir de la solución anterior en el momento inicial, 23 y 93 horas. El % de recuperación se calculó contra el de una solución estándar fresca  preparada para cada período de</w:t>
      </w:r>
      <w:r>
        <w:rPr>
          <w:color w:val="212121"/>
          <w:spacing w:val="-13"/>
        </w:rPr>
        <w:t> </w:t>
      </w:r>
      <w:r>
        <w:rPr>
          <w:color w:val="212121"/>
        </w:rPr>
        <w:t>tiempo.</w:t>
      </w:r>
    </w:p>
    <w:p>
      <w:pPr>
        <w:pStyle w:val="BodyText"/>
      </w:pPr>
    </w:p>
    <w:p>
      <w:pPr>
        <w:pStyle w:val="BodyText"/>
        <w:spacing w:before="142"/>
        <w:ind w:left="810"/>
        <w:jc w:val="both"/>
      </w:pPr>
      <w:r>
        <w:rPr>
          <w:color w:val="212121"/>
        </w:rPr>
        <w:t>El resultado  obtenido para el  % de  recuperación  se muestra  en  la  Tabla</w:t>
      </w:r>
    </w:p>
    <w:p>
      <w:pPr>
        <w:pStyle w:val="ListParagraph"/>
        <w:numPr>
          <w:ilvl w:val="2"/>
          <w:numId w:val="14"/>
        </w:numPr>
        <w:tabs>
          <w:tab w:pos="1454" w:val="left" w:leader="none"/>
        </w:tabs>
        <w:spacing w:line="240" w:lineRule="auto" w:before="136" w:after="0"/>
        <w:ind w:left="1453" w:right="0" w:hanging="643"/>
        <w:jc w:val="both"/>
        <w:rPr>
          <w:sz w:val="24"/>
        </w:rPr>
      </w:pPr>
      <w:r>
        <w:rPr>
          <w:color w:val="212121"/>
          <w:sz w:val="24"/>
        </w:rPr>
        <w:t>y cumple con las especificaciones de</w:t>
      </w:r>
      <w:r>
        <w:rPr>
          <w:color w:val="212121"/>
          <w:spacing w:val="-16"/>
          <w:sz w:val="24"/>
        </w:rPr>
        <w:t> </w:t>
      </w:r>
      <w:r>
        <w:rPr>
          <w:color w:val="212121"/>
          <w:sz w:val="24"/>
        </w:rPr>
        <w:t>90-110%.</w:t>
      </w:r>
    </w:p>
    <w:p>
      <w:pPr>
        <w:spacing w:after="0" w:line="240" w:lineRule="auto"/>
        <w:jc w:val="both"/>
        <w:rPr>
          <w:sz w:val="24"/>
        </w:rPr>
        <w:sectPr>
          <w:pgSz w:w="12240" w:h="15840"/>
          <w:pgMar w:header="0" w:footer="919" w:top="1360" w:bottom="1100" w:left="1600" w:right="1440"/>
        </w:sectPr>
      </w:pPr>
    </w:p>
    <w:p>
      <w:pPr>
        <w:pStyle w:val="BodyText"/>
        <w:spacing w:line="360" w:lineRule="auto" w:before="56"/>
        <w:ind w:left="690" w:right="114"/>
        <w:jc w:val="both"/>
      </w:pPr>
      <w:r>
        <w:rPr>
          <w:color w:val="212121"/>
        </w:rPr>
        <w:t>La estabilidad de la solución estándar de trabajo (STD5) fue examinada por un período de 92 horas después de su preparación. La solución estándar de trabajo se almacenó a temperatura ambiente durante todo el período de tiempo evaluado. La solución estándar de trabajo se evaluó en el momento inicial, 21 y 92 horas. El % de recuperación se calculó contra el de una solución estándar fresca preparada para cada período.</w:t>
      </w:r>
    </w:p>
    <w:p>
      <w:pPr>
        <w:pStyle w:val="BodyText"/>
      </w:pPr>
    </w:p>
    <w:p>
      <w:pPr>
        <w:pStyle w:val="BodyText"/>
        <w:spacing w:before="142"/>
        <w:ind w:left="690"/>
        <w:jc w:val="both"/>
      </w:pPr>
      <w:r>
        <w:rPr>
          <w:color w:val="212121"/>
        </w:rPr>
        <w:t>El resultado  obtenido para el  % de  recuperación  se muestra  en  la  Tabla</w:t>
      </w:r>
    </w:p>
    <w:p>
      <w:pPr>
        <w:pStyle w:val="ListParagraph"/>
        <w:numPr>
          <w:ilvl w:val="2"/>
          <w:numId w:val="14"/>
        </w:numPr>
        <w:tabs>
          <w:tab w:pos="1334" w:val="left" w:leader="none"/>
        </w:tabs>
        <w:spacing w:line="240" w:lineRule="auto" w:before="139" w:after="0"/>
        <w:ind w:left="1333" w:right="0" w:hanging="643"/>
        <w:jc w:val="both"/>
        <w:rPr>
          <w:sz w:val="24"/>
        </w:rPr>
      </w:pPr>
      <w:r>
        <w:rPr>
          <w:color w:val="212121"/>
          <w:sz w:val="24"/>
        </w:rPr>
        <w:t>y cumple con las especificaciones de</w:t>
      </w:r>
      <w:r>
        <w:rPr>
          <w:color w:val="212121"/>
          <w:spacing w:val="-16"/>
          <w:sz w:val="24"/>
        </w:rPr>
        <w:t> </w:t>
      </w:r>
      <w:r>
        <w:rPr>
          <w:color w:val="212121"/>
          <w:sz w:val="24"/>
        </w:rPr>
        <w:t>90-110%.</w:t>
      </w:r>
    </w:p>
    <w:p>
      <w:pPr>
        <w:pStyle w:val="BodyText"/>
      </w:pPr>
    </w:p>
    <w:p>
      <w:pPr>
        <w:pStyle w:val="BodyText"/>
      </w:pPr>
    </w:p>
    <w:p>
      <w:pPr>
        <w:pStyle w:val="BodyText"/>
        <w:spacing w:line="360" w:lineRule="auto"/>
        <w:ind w:left="690" w:right="115"/>
        <w:jc w:val="both"/>
      </w:pPr>
      <w:r>
        <w:rPr>
          <w:color w:val="212121"/>
        </w:rPr>
        <w:t>La estabilidad de la solución de muestra del producto A se examinó por un período de 92 horas después de su preparación. La solución muestra se almacenó a temperatura ambiente durante todo el período de tiempo medido y evaluado por duplicado en el momento inicial, 21 y 92 horas. La evaluación de la estabilidad de la solución de la muestra se realizó con un número de lote que cuenta con su certificado analítico, preparado en la concentración objetivo. Después de este tiempo, la respuesta de Pd no aumentó ni disminuyó por arriba del límite de cuantificación. Los resultados mostrados en la Tabla D.II.3 demuestran que la solución de muestra es estable durante 92 horas a temperatura</w:t>
      </w:r>
      <w:r>
        <w:rPr>
          <w:color w:val="212121"/>
          <w:spacing w:val="-16"/>
        </w:rPr>
        <w:t> </w:t>
      </w:r>
      <w:r>
        <w:rPr>
          <w:color w:val="212121"/>
        </w:rPr>
        <w:t>ambiente.</w:t>
      </w:r>
    </w:p>
    <w:p>
      <w:pPr>
        <w:pStyle w:val="BodyText"/>
        <w:spacing w:before="11"/>
        <w:rPr>
          <w:sz w:val="27"/>
        </w:rPr>
      </w:pPr>
    </w:p>
    <w:p>
      <w:pPr>
        <w:pStyle w:val="Heading1"/>
        <w:spacing w:line="276" w:lineRule="auto"/>
        <w:ind w:left="690" w:right="118"/>
      </w:pPr>
      <w:r>
        <w:rPr/>
        <w:t>Tabla D.II.1. Resultados de la Estabilidad de la Solución Estándar  Stock de Pd </w:t>
      </w:r>
      <w:r>
        <w:rPr>
          <w:color w:val="212121"/>
        </w:rPr>
        <w:t>(% de</w:t>
      </w:r>
      <w:r>
        <w:rPr>
          <w:color w:val="212121"/>
          <w:spacing w:val="-5"/>
        </w:rPr>
        <w:t> </w:t>
      </w:r>
      <w:r>
        <w:rPr>
          <w:color w:val="212121"/>
        </w:rPr>
        <w:t>recobro)</w:t>
      </w:r>
    </w:p>
    <w:p>
      <w:pPr>
        <w:pStyle w:val="BodyText"/>
        <w:spacing w:before="10"/>
        <w:rPr>
          <w:b/>
          <w:sz w:val="27"/>
        </w:rPr>
      </w:pPr>
    </w:p>
    <w:tbl>
      <w:tblPr>
        <w:tblW w:w="0" w:type="auto"/>
        <w:jc w:val="left"/>
        <w:tblInd w:w="2543"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CellMar>
          <w:top w:w="0" w:type="dxa"/>
          <w:left w:w="0" w:type="dxa"/>
          <w:bottom w:w="0" w:type="dxa"/>
          <w:right w:w="0" w:type="dxa"/>
        </w:tblCellMar>
        <w:tblLook w:val="01E0"/>
      </w:tblPr>
      <w:tblGrid>
        <w:gridCol w:w="1925"/>
        <w:gridCol w:w="1788"/>
      </w:tblGrid>
      <w:tr>
        <w:trPr>
          <w:trHeight w:val="414" w:hRule="exact"/>
        </w:trPr>
        <w:tc>
          <w:tcPr>
            <w:tcW w:w="1925" w:type="dxa"/>
            <w:tcBorders>
              <w:bottom w:val="single" w:sz="12" w:space="0" w:color="000000"/>
              <w:right w:val="single" w:sz="12" w:space="0" w:color="000000"/>
            </w:tcBorders>
            <w:shd w:val="clear" w:color="auto" w:fill="D9D9D9"/>
          </w:tcPr>
          <w:p>
            <w:pPr>
              <w:pStyle w:val="TableParagraph"/>
              <w:spacing w:before="117"/>
              <w:ind w:left="470" w:right="464"/>
              <w:rPr>
                <w:b/>
                <w:sz w:val="24"/>
              </w:rPr>
            </w:pPr>
            <w:r>
              <w:rPr>
                <w:b/>
                <w:sz w:val="24"/>
              </w:rPr>
              <w:t>Tiempo</w:t>
            </w:r>
          </w:p>
        </w:tc>
        <w:tc>
          <w:tcPr>
            <w:tcW w:w="1788" w:type="dxa"/>
            <w:tcBorders>
              <w:left w:val="single" w:sz="12" w:space="0" w:color="000000"/>
              <w:bottom w:val="single" w:sz="12" w:space="0" w:color="000000"/>
            </w:tcBorders>
            <w:shd w:val="clear" w:color="auto" w:fill="D9D9D9"/>
          </w:tcPr>
          <w:p>
            <w:pPr>
              <w:pStyle w:val="TableParagraph"/>
              <w:spacing w:before="117"/>
              <w:ind w:left="657" w:right="668"/>
              <w:rPr>
                <w:b/>
                <w:sz w:val="24"/>
              </w:rPr>
            </w:pPr>
            <w:r>
              <w:rPr>
                <w:b/>
                <w:sz w:val="24"/>
              </w:rPr>
              <w:t>Pd</w:t>
            </w:r>
          </w:p>
        </w:tc>
      </w:tr>
      <w:tr>
        <w:trPr>
          <w:trHeight w:val="413" w:hRule="exact"/>
        </w:trPr>
        <w:tc>
          <w:tcPr>
            <w:tcW w:w="1925" w:type="dxa"/>
            <w:tcBorders>
              <w:top w:val="single" w:sz="12" w:space="0" w:color="000000"/>
              <w:right w:val="single" w:sz="12" w:space="0" w:color="000000"/>
            </w:tcBorders>
          </w:tcPr>
          <w:p>
            <w:pPr>
              <w:pStyle w:val="TableParagraph"/>
              <w:spacing w:before="115"/>
              <w:ind w:left="470" w:right="464"/>
              <w:rPr>
                <w:sz w:val="24"/>
              </w:rPr>
            </w:pPr>
            <w:r>
              <w:rPr>
                <w:sz w:val="24"/>
              </w:rPr>
              <w:t>93 horas</w:t>
            </w:r>
          </w:p>
        </w:tc>
        <w:tc>
          <w:tcPr>
            <w:tcW w:w="1788" w:type="dxa"/>
            <w:tcBorders>
              <w:top w:val="single" w:sz="12" w:space="0" w:color="000000"/>
              <w:left w:val="single" w:sz="12" w:space="0" w:color="000000"/>
            </w:tcBorders>
          </w:tcPr>
          <w:p>
            <w:pPr>
              <w:pStyle w:val="TableParagraph"/>
              <w:spacing w:before="87"/>
              <w:ind w:left="661" w:right="668"/>
              <w:rPr>
                <w:sz w:val="24"/>
              </w:rPr>
            </w:pPr>
            <w:r>
              <w:rPr>
                <w:sz w:val="24"/>
              </w:rPr>
              <w:t>101</w:t>
            </w:r>
          </w:p>
        </w:tc>
      </w:tr>
    </w:tbl>
    <w:p>
      <w:pPr>
        <w:spacing w:after="0"/>
        <w:rPr>
          <w:sz w:val="24"/>
        </w:rPr>
        <w:sectPr>
          <w:pgSz w:w="12240" w:h="15840"/>
          <w:pgMar w:header="0" w:footer="919" w:top="1360" w:bottom="1100" w:left="1720" w:right="1580"/>
        </w:sectPr>
      </w:pPr>
    </w:p>
    <w:p>
      <w:pPr>
        <w:pStyle w:val="Heading1"/>
        <w:spacing w:line="276" w:lineRule="auto" w:before="56"/>
        <w:ind w:left="730" w:right="274"/>
        <w:jc w:val="left"/>
      </w:pPr>
      <w:r>
        <w:rPr/>
        <w:t>Tabla D.II.2. Resultados de la Estabilidad de la Solución Estándar de Trabajo de Pd </w:t>
      </w:r>
      <w:r>
        <w:rPr>
          <w:color w:val="212121"/>
        </w:rPr>
        <w:t>(% de recobro)</w:t>
      </w:r>
    </w:p>
    <w:p>
      <w:pPr>
        <w:pStyle w:val="BodyText"/>
        <w:spacing w:before="11"/>
        <w:rPr>
          <w:b/>
          <w:sz w:val="27"/>
        </w:rPr>
      </w:pPr>
    </w:p>
    <w:tbl>
      <w:tblPr>
        <w:tblW w:w="0" w:type="auto"/>
        <w:jc w:val="left"/>
        <w:tblInd w:w="2950"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CellMar>
          <w:top w:w="0" w:type="dxa"/>
          <w:left w:w="0" w:type="dxa"/>
          <w:bottom w:w="0" w:type="dxa"/>
          <w:right w:w="0" w:type="dxa"/>
        </w:tblCellMar>
        <w:tblLook w:val="01E0"/>
      </w:tblPr>
      <w:tblGrid>
        <w:gridCol w:w="1611"/>
        <w:gridCol w:w="1366"/>
      </w:tblGrid>
      <w:tr>
        <w:trPr>
          <w:trHeight w:val="533" w:hRule="exact"/>
        </w:trPr>
        <w:tc>
          <w:tcPr>
            <w:tcW w:w="1611" w:type="dxa"/>
            <w:tcBorders>
              <w:bottom w:val="single" w:sz="12" w:space="0" w:color="000000"/>
              <w:right w:val="single" w:sz="12" w:space="0" w:color="000000"/>
            </w:tcBorders>
            <w:shd w:val="clear" w:color="auto" w:fill="D9D9D9"/>
          </w:tcPr>
          <w:p>
            <w:pPr>
              <w:pStyle w:val="TableParagraph"/>
              <w:spacing w:before="115"/>
              <w:ind w:left="374"/>
              <w:jc w:val="left"/>
              <w:rPr>
                <w:b/>
                <w:sz w:val="24"/>
              </w:rPr>
            </w:pPr>
            <w:r>
              <w:rPr>
                <w:b/>
                <w:sz w:val="24"/>
              </w:rPr>
              <w:t>Tiempo</w:t>
            </w:r>
          </w:p>
        </w:tc>
        <w:tc>
          <w:tcPr>
            <w:tcW w:w="1366" w:type="dxa"/>
            <w:tcBorders>
              <w:left w:val="single" w:sz="12" w:space="0" w:color="000000"/>
              <w:bottom w:val="single" w:sz="12" w:space="0" w:color="000000"/>
            </w:tcBorders>
            <w:shd w:val="clear" w:color="auto" w:fill="D9D9D9"/>
          </w:tcPr>
          <w:p>
            <w:pPr>
              <w:pStyle w:val="TableParagraph"/>
              <w:spacing w:before="115"/>
              <w:ind w:left="495" w:right="506"/>
              <w:rPr>
                <w:b/>
                <w:sz w:val="24"/>
              </w:rPr>
            </w:pPr>
            <w:r>
              <w:rPr>
                <w:b/>
                <w:sz w:val="24"/>
              </w:rPr>
              <w:t>Pd</w:t>
            </w:r>
          </w:p>
        </w:tc>
      </w:tr>
      <w:tr>
        <w:trPr>
          <w:trHeight w:val="533" w:hRule="exact"/>
        </w:trPr>
        <w:tc>
          <w:tcPr>
            <w:tcW w:w="1611" w:type="dxa"/>
            <w:tcBorders>
              <w:top w:val="single" w:sz="12" w:space="0" w:color="000000"/>
              <w:right w:val="single" w:sz="12" w:space="0" w:color="000000"/>
            </w:tcBorders>
          </w:tcPr>
          <w:p>
            <w:pPr>
              <w:pStyle w:val="TableParagraph"/>
              <w:spacing w:before="115"/>
              <w:ind w:left="333"/>
              <w:jc w:val="left"/>
              <w:rPr>
                <w:sz w:val="24"/>
              </w:rPr>
            </w:pPr>
            <w:r>
              <w:rPr>
                <w:sz w:val="24"/>
              </w:rPr>
              <w:t>92 horas</w:t>
            </w:r>
          </w:p>
        </w:tc>
        <w:tc>
          <w:tcPr>
            <w:tcW w:w="1366" w:type="dxa"/>
            <w:tcBorders>
              <w:top w:val="single" w:sz="12" w:space="0" w:color="000000"/>
              <w:left w:val="single" w:sz="12" w:space="0" w:color="000000"/>
            </w:tcBorders>
          </w:tcPr>
          <w:p>
            <w:pPr>
              <w:pStyle w:val="TableParagraph"/>
              <w:spacing w:before="115"/>
              <w:ind w:left="495" w:right="502"/>
              <w:rPr>
                <w:sz w:val="24"/>
              </w:rPr>
            </w:pPr>
            <w:r>
              <w:rPr>
                <w:sz w:val="24"/>
              </w:rPr>
              <w:t>98</w:t>
            </w:r>
          </w:p>
        </w:tc>
      </w:tr>
    </w:tbl>
    <w:p>
      <w:pPr>
        <w:pStyle w:val="BodyText"/>
        <w:rPr>
          <w:b/>
          <w:sz w:val="20"/>
        </w:rPr>
      </w:pPr>
    </w:p>
    <w:p>
      <w:pPr>
        <w:pStyle w:val="BodyText"/>
        <w:spacing w:before="1"/>
        <w:rPr>
          <w:b/>
          <w:sz w:val="29"/>
        </w:rPr>
      </w:pPr>
    </w:p>
    <w:p>
      <w:pPr>
        <w:spacing w:before="69"/>
        <w:ind w:left="823" w:right="274" w:firstLine="0"/>
        <w:jc w:val="left"/>
        <w:rPr>
          <w:b/>
          <w:sz w:val="24"/>
        </w:rPr>
      </w:pPr>
      <w:r>
        <w:rPr>
          <w:b/>
          <w:sz w:val="24"/>
        </w:rPr>
        <w:t>Tabla D.II.3. Resultados de la Estabilidad de la Solución Muestra</w:t>
      </w:r>
    </w:p>
    <w:p>
      <w:pPr>
        <w:pStyle w:val="BodyText"/>
        <w:rPr>
          <w:b/>
          <w:sz w:val="20"/>
        </w:rPr>
      </w:pPr>
    </w:p>
    <w:p>
      <w:pPr>
        <w:pStyle w:val="BodyText"/>
        <w:spacing w:before="4"/>
        <w:rPr>
          <w:b/>
          <w:sz w:val="11"/>
        </w:rPr>
      </w:pPr>
    </w:p>
    <w:tbl>
      <w:tblPr>
        <w:tblW w:w="0" w:type="auto"/>
        <w:jc w:val="left"/>
        <w:tblInd w:w="1457"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CellMar>
          <w:top w:w="0" w:type="dxa"/>
          <w:left w:w="0" w:type="dxa"/>
          <w:bottom w:w="0" w:type="dxa"/>
          <w:right w:w="0" w:type="dxa"/>
        </w:tblCellMar>
        <w:tblLook w:val="01E0"/>
      </w:tblPr>
      <w:tblGrid>
        <w:gridCol w:w="2237"/>
        <w:gridCol w:w="3702"/>
      </w:tblGrid>
      <w:tr>
        <w:trPr>
          <w:trHeight w:val="427" w:hRule="exact"/>
        </w:trPr>
        <w:tc>
          <w:tcPr>
            <w:tcW w:w="2237" w:type="dxa"/>
            <w:shd w:val="clear" w:color="auto" w:fill="D9D9D9"/>
          </w:tcPr>
          <w:p>
            <w:pPr>
              <w:pStyle w:val="TableParagraph"/>
              <w:spacing w:before="117"/>
              <w:ind w:left="1030"/>
              <w:jc w:val="left"/>
              <w:rPr>
                <w:b/>
                <w:sz w:val="24"/>
              </w:rPr>
            </w:pPr>
            <w:r>
              <w:rPr>
                <w:b/>
                <w:sz w:val="24"/>
              </w:rPr>
              <w:t>Tiempo</w:t>
            </w:r>
          </w:p>
        </w:tc>
        <w:tc>
          <w:tcPr>
            <w:tcW w:w="3702" w:type="dxa"/>
            <w:shd w:val="clear" w:color="auto" w:fill="D9D9D9"/>
          </w:tcPr>
          <w:p>
            <w:pPr>
              <w:pStyle w:val="TableParagraph"/>
              <w:spacing w:before="117"/>
              <w:ind w:left="1236" w:right="1236"/>
              <w:rPr>
                <w:b/>
                <w:sz w:val="24"/>
              </w:rPr>
            </w:pPr>
            <w:r>
              <w:rPr>
                <w:b/>
                <w:sz w:val="24"/>
              </w:rPr>
              <w:t>Resultado</w:t>
            </w:r>
          </w:p>
        </w:tc>
      </w:tr>
      <w:tr>
        <w:trPr>
          <w:trHeight w:val="998" w:hRule="exact"/>
        </w:trPr>
        <w:tc>
          <w:tcPr>
            <w:tcW w:w="2237" w:type="dxa"/>
          </w:tcPr>
          <w:p>
            <w:pPr>
              <w:pStyle w:val="TableParagraph"/>
              <w:spacing w:before="1"/>
              <w:jc w:val="left"/>
              <w:rPr>
                <w:b/>
                <w:sz w:val="35"/>
              </w:rPr>
            </w:pPr>
          </w:p>
          <w:p>
            <w:pPr>
              <w:pStyle w:val="TableParagraph"/>
              <w:ind w:left="636"/>
              <w:jc w:val="left"/>
              <w:rPr>
                <w:sz w:val="24"/>
              </w:rPr>
            </w:pPr>
            <w:r>
              <w:rPr>
                <w:sz w:val="24"/>
              </w:rPr>
              <w:t>92 horas</w:t>
            </w:r>
          </w:p>
        </w:tc>
        <w:tc>
          <w:tcPr>
            <w:tcW w:w="3702" w:type="dxa"/>
          </w:tcPr>
          <w:p>
            <w:pPr>
              <w:pStyle w:val="TableParagraph"/>
              <w:spacing w:before="127"/>
              <w:ind w:left="105" w:right="110" w:firstLine="4"/>
              <w:rPr>
                <w:sz w:val="24"/>
              </w:rPr>
            </w:pPr>
            <w:r>
              <w:rPr>
                <w:color w:val="212121"/>
                <w:sz w:val="24"/>
              </w:rPr>
              <w:t>La respuesta de Pd no aumenta ni disminuye por arriba del límite de cuantificación</w:t>
            </w:r>
          </w:p>
        </w:tc>
      </w:tr>
    </w:tbl>
    <w:p>
      <w:pPr>
        <w:pStyle w:val="BodyText"/>
        <w:rPr>
          <w:b/>
          <w:sz w:val="20"/>
        </w:rPr>
      </w:pPr>
    </w:p>
    <w:p>
      <w:pPr>
        <w:pStyle w:val="BodyText"/>
        <w:spacing w:before="1"/>
        <w:rPr>
          <w:b/>
          <w:sz w:val="29"/>
        </w:rPr>
      </w:pPr>
    </w:p>
    <w:p>
      <w:pPr>
        <w:pStyle w:val="ListParagraph"/>
        <w:numPr>
          <w:ilvl w:val="0"/>
          <w:numId w:val="13"/>
        </w:numPr>
        <w:tabs>
          <w:tab w:pos="741" w:val="left" w:leader="none"/>
          <w:tab w:pos="742" w:val="left" w:leader="none"/>
        </w:tabs>
        <w:spacing w:line="240" w:lineRule="auto" w:before="69" w:after="0"/>
        <w:ind w:left="742" w:right="0" w:hanging="627"/>
        <w:jc w:val="left"/>
        <w:rPr>
          <w:b/>
          <w:sz w:val="24"/>
        </w:rPr>
      </w:pPr>
      <w:r>
        <w:rPr>
          <w:b/>
          <w:sz w:val="24"/>
        </w:rPr>
        <w:t>Linealidad</w:t>
      </w:r>
    </w:p>
    <w:p>
      <w:pPr>
        <w:pStyle w:val="BodyText"/>
        <w:rPr>
          <w:b/>
          <w:sz w:val="21"/>
        </w:rPr>
      </w:pPr>
    </w:p>
    <w:p>
      <w:pPr>
        <w:pStyle w:val="BodyText"/>
        <w:spacing w:line="360" w:lineRule="auto" w:before="1"/>
        <w:ind w:left="730" w:right="119"/>
        <w:jc w:val="both"/>
      </w:pPr>
      <w:r>
        <w:rPr>
          <w:color w:val="212121"/>
        </w:rPr>
        <w:t>La linealidad de la respuesta para Pd se determinó con ocho concentraciones que cubren el rango desde límite de detección (LD) hasta el 200% de la concentración</w:t>
      </w:r>
      <w:r>
        <w:rPr>
          <w:color w:val="212121"/>
          <w:spacing w:val="-16"/>
        </w:rPr>
        <w:t> </w:t>
      </w:r>
      <w:r>
        <w:rPr>
          <w:color w:val="212121"/>
        </w:rPr>
        <w:t>objetivo</w:t>
      </w:r>
    </w:p>
    <w:p>
      <w:pPr>
        <w:pStyle w:val="BodyText"/>
      </w:pPr>
    </w:p>
    <w:p>
      <w:pPr>
        <w:pStyle w:val="BodyText"/>
        <w:spacing w:line="360" w:lineRule="auto" w:before="142"/>
        <w:ind w:left="730" w:right="116"/>
        <w:jc w:val="both"/>
      </w:pPr>
      <w:r>
        <w:rPr>
          <w:color w:val="212121"/>
        </w:rPr>
        <w:t>La solución stock se diluyó en serie con diluyente para producir soluciones que contienen Pd en los intervalos descritos en la Tabla D.III.1 Cada solución se inyectó una vez.</w:t>
      </w:r>
    </w:p>
    <w:p>
      <w:pPr>
        <w:pStyle w:val="BodyText"/>
      </w:pPr>
    </w:p>
    <w:p>
      <w:pPr>
        <w:pStyle w:val="BodyText"/>
        <w:spacing w:line="355" w:lineRule="auto" w:before="142"/>
        <w:ind w:left="730" w:right="116"/>
        <w:jc w:val="both"/>
      </w:pPr>
      <w:r>
        <w:rPr>
          <w:color w:val="212121"/>
        </w:rPr>
        <w:t>Los resultados se tabulan en las Tabla D.III.1 y el gráfico de relación lineal se muestra en las Figura D.III.A. El análisis de regresión para Pd muestra  un coeficiente de determinación que cumple con la especificación para el valor r</w:t>
      </w:r>
      <w:r>
        <w:rPr>
          <w:color w:val="212121"/>
          <w:position w:val="11"/>
          <w:sz w:val="16"/>
        </w:rPr>
        <w:t>2 </w:t>
      </w:r>
      <w:r>
        <w:rPr>
          <w:color w:val="212121"/>
        </w:rPr>
        <w:t>de </w:t>
      </w:r>
      <w:r>
        <w:rPr>
          <w:rFonts w:ascii="Symbol" w:hAnsi="Symbol"/>
          <w:color w:val="212121"/>
        </w:rPr>
        <w:t></w:t>
      </w:r>
      <w:r>
        <w:rPr>
          <w:rFonts w:ascii="Times New Roman" w:hAnsi="Times New Roman"/>
          <w:color w:val="212121"/>
        </w:rPr>
        <w:t> </w:t>
      </w:r>
      <w:r>
        <w:rPr>
          <w:color w:val="212121"/>
        </w:rPr>
        <w:t>0,99, lo que confirma la linealidad del</w:t>
      </w:r>
      <w:r>
        <w:rPr>
          <w:color w:val="212121"/>
          <w:spacing w:val="8"/>
        </w:rPr>
        <w:t> </w:t>
      </w:r>
      <w:r>
        <w:rPr>
          <w:color w:val="212121"/>
        </w:rPr>
        <w:t>método.</w:t>
      </w:r>
    </w:p>
    <w:p>
      <w:pPr>
        <w:spacing w:after="0" w:line="355" w:lineRule="auto"/>
        <w:jc w:val="both"/>
        <w:sectPr>
          <w:footerReference w:type="default" r:id="rId80"/>
          <w:pgSz w:w="12240" w:h="15840"/>
          <w:pgMar w:footer="919" w:header="0" w:top="1360" w:bottom="1100" w:left="1680" w:right="1580"/>
        </w:sectPr>
      </w:pPr>
    </w:p>
    <w:p>
      <w:pPr>
        <w:pStyle w:val="Heading1"/>
        <w:spacing w:before="56" w:after="44"/>
        <w:ind w:left="690" w:right="117"/>
        <w:jc w:val="left"/>
      </w:pPr>
      <w:r>
        <w:rPr/>
        <w:t>Tabla D.III.1. Resultados de la Linealidad de la respuesta para Pd</w:t>
      </w:r>
    </w:p>
    <w:tbl>
      <w:tblPr>
        <w:tblW w:w="0" w:type="auto"/>
        <w:jc w:val="left"/>
        <w:tblInd w:w="697"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CellMar>
          <w:top w:w="0" w:type="dxa"/>
          <w:left w:w="0" w:type="dxa"/>
          <w:bottom w:w="0" w:type="dxa"/>
          <w:right w:w="0" w:type="dxa"/>
        </w:tblCellMar>
        <w:tblLook w:val="01E0"/>
      </w:tblPr>
      <w:tblGrid>
        <w:gridCol w:w="2461"/>
        <w:gridCol w:w="2460"/>
        <w:gridCol w:w="2461"/>
      </w:tblGrid>
      <w:tr>
        <w:trPr>
          <w:trHeight w:val="582" w:hRule="exact"/>
        </w:trPr>
        <w:tc>
          <w:tcPr>
            <w:tcW w:w="2461" w:type="dxa"/>
            <w:shd w:val="clear" w:color="auto" w:fill="D9D9D9"/>
          </w:tcPr>
          <w:p>
            <w:pPr>
              <w:pStyle w:val="TableParagraph"/>
              <w:spacing w:before="133"/>
              <w:ind w:left="215" w:right="216"/>
              <w:rPr>
                <w:b/>
                <w:sz w:val="24"/>
              </w:rPr>
            </w:pPr>
            <w:r>
              <w:rPr>
                <w:b/>
                <w:sz w:val="24"/>
              </w:rPr>
              <w:t>% Concentración</w:t>
            </w:r>
          </w:p>
        </w:tc>
        <w:tc>
          <w:tcPr>
            <w:tcW w:w="2460" w:type="dxa"/>
            <w:shd w:val="clear" w:color="auto" w:fill="D9D9D9"/>
          </w:tcPr>
          <w:p>
            <w:pPr>
              <w:pStyle w:val="TableParagraph"/>
              <w:ind w:left="780" w:right="357" w:hanging="406"/>
              <w:jc w:val="left"/>
              <w:rPr>
                <w:b/>
                <w:sz w:val="24"/>
              </w:rPr>
            </w:pPr>
            <w:r>
              <w:rPr>
                <w:b/>
                <w:sz w:val="24"/>
              </w:rPr>
              <w:t>Concentración (µg/mL)</w:t>
            </w:r>
          </w:p>
        </w:tc>
        <w:tc>
          <w:tcPr>
            <w:tcW w:w="2461" w:type="dxa"/>
            <w:shd w:val="clear" w:color="auto" w:fill="D9D9D9"/>
          </w:tcPr>
          <w:p>
            <w:pPr>
              <w:pStyle w:val="TableParagraph"/>
              <w:ind w:left="888" w:right="591" w:hanging="282"/>
              <w:jc w:val="left"/>
              <w:rPr>
                <w:b/>
                <w:sz w:val="24"/>
              </w:rPr>
            </w:pPr>
            <w:r>
              <w:rPr>
                <w:b/>
                <w:sz w:val="24"/>
              </w:rPr>
              <w:t>Respuesta (CPS)</w:t>
            </w:r>
          </w:p>
        </w:tc>
      </w:tr>
      <w:tr>
        <w:trPr>
          <w:trHeight w:val="420" w:hRule="exact"/>
        </w:trPr>
        <w:tc>
          <w:tcPr>
            <w:tcW w:w="2461" w:type="dxa"/>
            <w:tcBorders>
              <w:bottom w:val="single" w:sz="8" w:space="0" w:color="000000"/>
            </w:tcBorders>
          </w:tcPr>
          <w:p>
            <w:pPr>
              <w:pStyle w:val="TableParagraph"/>
              <w:spacing w:before="55"/>
              <w:ind w:left="215" w:right="215"/>
              <w:rPr>
                <w:sz w:val="24"/>
              </w:rPr>
            </w:pPr>
            <w:r>
              <w:rPr>
                <w:sz w:val="24"/>
              </w:rPr>
              <w:t>LD</w:t>
            </w:r>
          </w:p>
        </w:tc>
        <w:tc>
          <w:tcPr>
            <w:tcW w:w="2460" w:type="dxa"/>
            <w:tcBorders>
              <w:bottom w:val="single" w:sz="8" w:space="0" w:color="000000"/>
            </w:tcBorders>
          </w:tcPr>
          <w:p>
            <w:pPr>
              <w:pStyle w:val="TableParagraph"/>
              <w:spacing w:before="55"/>
              <w:ind w:left="762" w:right="762"/>
              <w:rPr>
                <w:sz w:val="24"/>
              </w:rPr>
            </w:pPr>
            <w:r>
              <w:rPr>
                <w:sz w:val="24"/>
              </w:rPr>
              <w:t>0.00125</w:t>
            </w:r>
          </w:p>
        </w:tc>
        <w:tc>
          <w:tcPr>
            <w:tcW w:w="2461" w:type="dxa"/>
            <w:tcBorders>
              <w:bottom w:val="single" w:sz="8" w:space="0" w:color="000000"/>
            </w:tcBorders>
          </w:tcPr>
          <w:p>
            <w:pPr>
              <w:pStyle w:val="TableParagraph"/>
              <w:spacing w:before="115"/>
              <w:ind w:left="580" w:right="217"/>
              <w:jc w:val="left"/>
              <w:rPr>
                <w:sz w:val="24"/>
              </w:rPr>
            </w:pPr>
            <w:r>
              <w:rPr>
                <w:sz w:val="24"/>
              </w:rPr>
              <w:t>7425.00000</w:t>
            </w:r>
          </w:p>
        </w:tc>
      </w:tr>
      <w:tr>
        <w:trPr>
          <w:trHeight w:val="418" w:hRule="exact"/>
        </w:trPr>
        <w:tc>
          <w:tcPr>
            <w:tcW w:w="2461" w:type="dxa"/>
            <w:tcBorders>
              <w:top w:val="single" w:sz="8" w:space="0" w:color="000000"/>
              <w:bottom w:val="single" w:sz="8" w:space="0" w:color="000000"/>
            </w:tcBorders>
          </w:tcPr>
          <w:p>
            <w:pPr>
              <w:pStyle w:val="TableParagraph"/>
              <w:spacing w:before="58"/>
              <w:ind w:left="215" w:right="215"/>
              <w:rPr>
                <w:sz w:val="24"/>
              </w:rPr>
            </w:pPr>
            <w:r>
              <w:rPr>
                <w:sz w:val="24"/>
              </w:rPr>
              <w:t>LC</w:t>
            </w:r>
          </w:p>
        </w:tc>
        <w:tc>
          <w:tcPr>
            <w:tcW w:w="2460" w:type="dxa"/>
            <w:tcBorders>
              <w:top w:val="single" w:sz="8" w:space="0" w:color="000000"/>
              <w:bottom w:val="single" w:sz="8" w:space="0" w:color="000000"/>
            </w:tcBorders>
          </w:tcPr>
          <w:p>
            <w:pPr>
              <w:pStyle w:val="TableParagraph"/>
              <w:spacing w:before="58"/>
              <w:ind w:left="762" w:right="762"/>
              <w:rPr>
                <w:sz w:val="24"/>
              </w:rPr>
            </w:pPr>
            <w:r>
              <w:rPr>
                <w:sz w:val="24"/>
              </w:rPr>
              <w:t>0.00250</w:t>
            </w:r>
          </w:p>
        </w:tc>
        <w:tc>
          <w:tcPr>
            <w:tcW w:w="2461" w:type="dxa"/>
            <w:tcBorders>
              <w:top w:val="single" w:sz="8" w:space="0" w:color="000000"/>
              <w:bottom w:val="single" w:sz="8" w:space="0" w:color="000000"/>
            </w:tcBorders>
          </w:tcPr>
          <w:p>
            <w:pPr>
              <w:pStyle w:val="TableParagraph"/>
              <w:spacing w:before="118"/>
              <w:ind w:right="514"/>
              <w:jc w:val="right"/>
              <w:rPr>
                <w:sz w:val="24"/>
              </w:rPr>
            </w:pPr>
            <w:r>
              <w:rPr>
                <w:sz w:val="24"/>
              </w:rPr>
              <w:t>18390.40000</w:t>
            </w:r>
          </w:p>
        </w:tc>
      </w:tr>
      <w:tr>
        <w:trPr>
          <w:trHeight w:val="418" w:hRule="exact"/>
        </w:trPr>
        <w:tc>
          <w:tcPr>
            <w:tcW w:w="2461" w:type="dxa"/>
            <w:tcBorders>
              <w:top w:val="single" w:sz="8" w:space="0" w:color="000000"/>
              <w:bottom w:val="single" w:sz="8" w:space="0" w:color="000000"/>
            </w:tcBorders>
          </w:tcPr>
          <w:p>
            <w:pPr>
              <w:pStyle w:val="TableParagraph"/>
              <w:spacing w:before="58"/>
              <w:ind w:left="215" w:right="212"/>
              <w:rPr>
                <w:sz w:val="24"/>
              </w:rPr>
            </w:pPr>
            <w:r>
              <w:rPr>
                <w:sz w:val="24"/>
              </w:rPr>
              <w:t>25</w:t>
            </w:r>
          </w:p>
        </w:tc>
        <w:tc>
          <w:tcPr>
            <w:tcW w:w="2460" w:type="dxa"/>
            <w:tcBorders>
              <w:top w:val="single" w:sz="8" w:space="0" w:color="000000"/>
              <w:bottom w:val="single" w:sz="8" w:space="0" w:color="000000"/>
            </w:tcBorders>
          </w:tcPr>
          <w:p>
            <w:pPr>
              <w:pStyle w:val="TableParagraph"/>
              <w:spacing w:before="58"/>
              <w:ind w:left="762" w:right="762"/>
              <w:rPr>
                <w:sz w:val="24"/>
              </w:rPr>
            </w:pPr>
            <w:r>
              <w:rPr>
                <w:sz w:val="24"/>
              </w:rPr>
              <w:t>0.00500</w:t>
            </w:r>
          </w:p>
        </w:tc>
        <w:tc>
          <w:tcPr>
            <w:tcW w:w="2461" w:type="dxa"/>
            <w:tcBorders>
              <w:top w:val="single" w:sz="8" w:space="0" w:color="000000"/>
              <w:bottom w:val="single" w:sz="8" w:space="0" w:color="000000"/>
            </w:tcBorders>
          </w:tcPr>
          <w:p>
            <w:pPr>
              <w:pStyle w:val="TableParagraph"/>
              <w:spacing w:before="118"/>
              <w:ind w:right="514"/>
              <w:jc w:val="right"/>
              <w:rPr>
                <w:sz w:val="24"/>
              </w:rPr>
            </w:pPr>
            <w:r>
              <w:rPr>
                <w:sz w:val="24"/>
              </w:rPr>
              <w:t>31325.90000</w:t>
            </w:r>
          </w:p>
        </w:tc>
      </w:tr>
      <w:tr>
        <w:trPr>
          <w:trHeight w:val="418" w:hRule="exact"/>
        </w:trPr>
        <w:tc>
          <w:tcPr>
            <w:tcW w:w="2461" w:type="dxa"/>
            <w:tcBorders>
              <w:top w:val="single" w:sz="8" w:space="0" w:color="000000"/>
              <w:bottom w:val="single" w:sz="8" w:space="0" w:color="000000"/>
            </w:tcBorders>
          </w:tcPr>
          <w:p>
            <w:pPr>
              <w:pStyle w:val="TableParagraph"/>
              <w:spacing w:before="58"/>
              <w:ind w:left="215" w:right="212"/>
              <w:rPr>
                <w:sz w:val="24"/>
              </w:rPr>
            </w:pPr>
            <w:r>
              <w:rPr>
                <w:sz w:val="24"/>
              </w:rPr>
              <w:t>50</w:t>
            </w:r>
          </w:p>
        </w:tc>
        <w:tc>
          <w:tcPr>
            <w:tcW w:w="2460" w:type="dxa"/>
            <w:tcBorders>
              <w:top w:val="single" w:sz="8" w:space="0" w:color="000000"/>
              <w:bottom w:val="single" w:sz="8" w:space="0" w:color="000000"/>
            </w:tcBorders>
          </w:tcPr>
          <w:p>
            <w:pPr>
              <w:pStyle w:val="TableParagraph"/>
              <w:spacing w:before="58"/>
              <w:ind w:left="762" w:right="762"/>
              <w:rPr>
                <w:sz w:val="24"/>
              </w:rPr>
            </w:pPr>
            <w:r>
              <w:rPr>
                <w:sz w:val="24"/>
              </w:rPr>
              <w:t>0.01000</w:t>
            </w:r>
          </w:p>
        </w:tc>
        <w:tc>
          <w:tcPr>
            <w:tcW w:w="2461" w:type="dxa"/>
            <w:tcBorders>
              <w:top w:val="single" w:sz="8" w:space="0" w:color="000000"/>
              <w:bottom w:val="single" w:sz="8" w:space="0" w:color="000000"/>
            </w:tcBorders>
          </w:tcPr>
          <w:p>
            <w:pPr>
              <w:pStyle w:val="TableParagraph"/>
              <w:spacing w:before="118"/>
              <w:ind w:right="514"/>
              <w:jc w:val="right"/>
              <w:rPr>
                <w:sz w:val="24"/>
              </w:rPr>
            </w:pPr>
            <w:r>
              <w:rPr>
                <w:sz w:val="24"/>
              </w:rPr>
              <w:t>71854.60000</w:t>
            </w:r>
          </w:p>
        </w:tc>
      </w:tr>
      <w:tr>
        <w:trPr>
          <w:trHeight w:val="415" w:hRule="exact"/>
        </w:trPr>
        <w:tc>
          <w:tcPr>
            <w:tcW w:w="2461" w:type="dxa"/>
            <w:tcBorders>
              <w:top w:val="single" w:sz="8" w:space="0" w:color="000000"/>
              <w:bottom w:val="single" w:sz="8" w:space="0" w:color="000000"/>
            </w:tcBorders>
          </w:tcPr>
          <w:p>
            <w:pPr>
              <w:pStyle w:val="TableParagraph"/>
              <w:spacing w:before="55"/>
              <w:ind w:left="215" w:right="212"/>
              <w:rPr>
                <w:sz w:val="24"/>
              </w:rPr>
            </w:pPr>
            <w:r>
              <w:rPr>
                <w:sz w:val="24"/>
              </w:rPr>
              <w:t>60</w:t>
            </w:r>
          </w:p>
        </w:tc>
        <w:tc>
          <w:tcPr>
            <w:tcW w:w="2460" w:type="dxa"/>
            <w:tcBorders>
              <w:top w:val="single" w:sz="8" w:space="0" w:color="000000"/>
              <w:bottom w:val="single" w:sz="8" w:space="0" w:color="000000"/>
            </w:tcBorders>
          </w:tcPr>
          <w:p>
            <w:pPr>
              <w:pStyle w:val="TableParagraph"/>
              <w:spacing w:before="55"/>
              <w:ind w:left="762" w:right="762"/>
              <w:rPr>
                <w:sz w:val="24"/>
              </w:rPr>
            </w:pPr>
            <w:r>
              <w:rPr>
                <w:sz w:val="24"/>
              </w:rPr>
              <w:t>0.01200</w:t>
            </w:r>
          </w:p>
        </w:tc>
        <w:tc>
          <w:tcPr>
            <w:tcW w:w="2461" w:type="dxa"/>
            <w:tcBorders>
              <w:top w:val="single" w:sz="8" w:space="0" w:color="000000"/>
              <w:bottom w:val="single" w:sz="8" w:space="0" w:color="000000"/>
            </w:tcBorders>
          </w:tcPr>
          <w:p>
            <w:pPr>
              <w:pStyle w:val="TableParagraph"/>
              <w:spacing w:before="115"/>
              <w:ind w:right="514"/>
              <w:jc w:val="right"/>
              <w:rPr>
                <w:sz w:val="24"/>
              </w:rPr>
            </w:pPr>
            <w:r>
              <w:rPr>
                <w:sz w:val="24"/>
              </w:rPr>
              <w:t>85121.50000</w:t>
            </w:r>
          </w:p>
        </w:tc>
      </w:tr>
      <w:tr>
        <w:trPr>
          <w:trHeight w:val="418" w:hRule="exact"/>
        </w:trPr>
        <w:tc>
          <w:tcPr>
            <w:tcW w:w="2461" w:type="dxa"/>
            <w:tcBorders>
              <w:top w:val="single" w:sz="8" w:space="0" w:color="000000"/>
              <w:bottom w:val="single" w:sz="8" w:space="0" w:color="000000"/>
            </w:tcBorders>
          </w:tcPr>
          <w:p>
            <w:pPr>
              <w:pStyle w:val="TableParagraph"/>
              <w:spacing w:before="58"/>
              <w:ind w:left="215" w:right="212"/>
              <w:rPr>
                <w:sz w:val="24"/>
              </w:rPr>
            </w:pPr>
            <w:r>
              <w:rPr>
                <w:sz w:val="24"/>
              </w:rPr>
              <w:t>100</w:t>
            </w:r>
          </w:p>
        </w:tc>
        <w:tc>
          <w:tcPr>
            <w:tcW w:w="2460" w:type="dxa"/>
            <w:tcBorders>
              <w:top w:val="single" w:sz="8" w:space="0" w:color="000000"/>
              <w:bottom w:val="single" w:sz="8" w:space="0" w:color="000000"/>
            </w:tcBorders>
          </w:tcPr>
          <w:p>
            <w:pPr>
              <w:pStyle w:val="TableParagraph"/>
              <w:spacing w:before="58"/>
              <w:ind w:left="762" w:right="762"/>
              <w:rPr>
                <w:sz w:val="24"/>
              </w:rPr>
            </w:pPr>
            <w:r>
              <w:rPr>
                <w:sz w:val="24"/>
              </w:rPr>
              <w:t>0.02000</w:t>
            </w:r>
          </w:p>
        </w:tc>
        <w:tc>
          <w:tcPr>
            <w:tcW w:w="2461" w:type="dxa"/>
            <w:tcBorders>
              <w:top w:val="single" w:sz="8" w:space="0" w:color="000000"/>
              <w:bottom w:val="single" w:sz="8" w:space="0" w:color="000000"/>
            </w:tcBorders>
          </w:tcPr>
          <w:p>
            <w:pPr>
              <w:pStyle w:val="TableParagraph"/>
              <w:spacing w:before="118"/>
              <w:ind w:right="447"/>
              <w:jc w:val="right"/>
              <w:rPr>
                <w:sz w:val="24"/>
              </w:rPr>
            </w:pPr>
            <w:r>
              <w:rPr>
                <w:sz w:val="24"/>
              </w:rPr>
              <w:t>135244.70000</w:t>
            </w:r>
          </w:p>
        </w:tc>
      </w:tr>
      <w:tr>
        <w:trPr>
          <w:trHeight w:val="418" w:hRule="exact"/>
        </w:trPr>
        <w:tc>
          <w:tcPr>
            <w:tcW w:w="2461" w:type="dxa"/>
            <w:tcBorders>
              <w:top w:val="single" w:sz="8" w:space="0" w:color="000000"/>
              <w:bottom w:val="single" w:sz="8" w:space="0" w:color="000000"/>
            </w:tcBorders>
          </w:tcPr>
          <w:p>
            <w:pPr>
              <w:pStyle w:val="TableParagraph"/>
              <w:spacing w:before="58"/>
              <w:ind w:left="215" w:right="212"/>
              <w:rPr>
                <w:sz w:val="24"/>
              </w:rPr>
            </w:pPr>
            <w:r>
              <w:rPr>
                <w:sz w:val="24"/>
              </w:rPr>
              <w:t>120</w:t>
            </w:r>
          </w:p>
        </w:tc>
        <w:tc>
          <w:tcPr>
            <w:tcW w:w="2460" w:type="dxa"/>
            <w:tcBorders>
              <w:top w:val="single" w:sz="8" w:space="0" w:color="000000"/>
              <w:bottom w:val="single" w:sz="8" w:space="0" w:color="000000"/>
            </w:tcBorders>
          </w:tcPr>
          <w:p>
            <w:pPr>
              <w:pStyle w:val="TableParagraph"/>
              <w:spacing w:before="58"/>
              <w:ind w:left="762" w:right="762"/>
              <w:rPr>
                <w:sz w:val="24"/>
              </w:rPr>
            </w:pPr>
            <w:r>
              <w:rPr>
                <w:sz w:val="24"/>
              </w:rPr>
              <w:t>0.02400</w:t>
            </w:r>
          </w:p>
        </w:tc>
        <w:tc>
          <w:tcPr>
            <w:tcW w:w="2461" w:type="dxa"/>
            <w:tcBorders>
              <w:top w:val="single" w:sz="8" w:space="0" w:color="000000"/>
              <w:bottom w:val="single" w:sz="8" w:space="0" w:color="000000"/>
            </w:tcBorders>
          </w:tcPr>
          <w:p>
            <w:pPr>
              <w:pStyle w:val="TableParagraph"/>
              <w:spacing w:before="118"/>
              <w:ind w:right="447"/>
              <w:jc w:val="right"/>
              <w:rPr>
                <w:sz w:val="24"/>
              </w:rPr>
            </w:pPr>
            <w:r>
              <w:rPr>
                <w:sz w:val="24"/>
              </w:rPr>
              <w:t>171213.50000</w:t>
            </w:r>
          </w:p>
        </w:tc>
      </w:tr>
      <w:tr>
        <w:trPr>
          <w:trHeight w:val="420" w:hRule="exact"/>
        </w:trPr>
        <w:tc>
          <w:tcPr>
            <w:tcW w:w="2461" w:type="dxa"/>
            <w:tcBorders>
              <w:top w:val="single" w:sz="8" w:space="0" w:color="000000"/>
            </w:tcBorders>
          </w:tcPr>
          <w:p>
            <w:pPr>
              <w:pStyle w:val="TableParagraph"/>
              <w:spacing w:before="58"/>
              <w:ind w:left="215" w:right="212"/>
              <w:rPr>
                <w:sz w:val="24"/>
              </w:rPr>
            </w:pPr>
            <w:r>
              <w:rPr>
                <w:sz w:val="24"/>
              </w:rPr>
              <w:t>200</w:t>
            </w:r>
          </w:p>
        </w:tc>
        <w:tc>
          <w:tcPr>
            <w:tcW w:w="2460" w:type="dxa"/>
            <w:tcBorders>
              <w:top w:val="single" w:sz="8" w:space="0" w:color="000000"/>
            </w:tcBorders>
          </w:tcPr>
          <w:p>
            <w:pPr>
              <w:pStyle w:val="TableParagraph"/>
              <w:spacing w:before="58"/>
              <w:ind w:left="762" w:right="762"/>
              <w:rPr>
                <w:sz w:val="24"/>
              </w:rPr>
            </w:pPr>
            <w:r>
              <w:rPr>
                <w:sz w:val="24"/>
              </w:rPr>
              <w:t>0.04000</w:t>
            </w:r>
          </w:p>
        </w:tc>
        <w:tc>
          <w:tcPr>
            <w:tcW w:w="2461" w:type="dxa"/>
            <w:tcBorders>
              <w:top w:val="single" w:sz="8" w:space="0" w:color="000000"/>
            </w:tcBorders>
          </w:tcPr>
          <w:p>
            <w:pPr>
              <w:pStyle w:val="TableParagraph"/>
              <w:spacing w:before="118"/>
              <w:ind w:right="447"/>
              <w:jc w:val="right"/>
              <w:rPr>
                <w:sz w:val="24"/>
              </w:rPr>
            </w:pPr>
            <w:r>
              <w:rPr>
                <w:sz w:val="24"/>
              </w:rPr>
              <w:t>295524.60000</w:t>
            </w:r>
          </w:p>
        </w:tc>
      </w:tr>
    </w:tbl>
    <w:p>
      <w:pPr>
        <w:spacing w:before="2"/>
        <w:ind w:left="1398" w:right="117" w:firstLine="0"/>
        <w:jc w:val="left"/>
        <w:rPr>
          <w:sz w:val="20"/>
        </w:rPr>
      </w:pPr>
      <w:r>
        <w:rPr>
          <w:sz w:val="20"/>
        </w:rPr>
        <w:t>CPS: Cuentas por segundo del analito</w:t>
      </w:r>
    </w:p>
    <w:p>
      <w:pPr>
        <w:pStyle w:val="BodyText"/>
        <w:spacing w:before="11"/>
        <w:rPr>
          <w:sz w:val="25"/>
        </w:rPr>
      </w:pPr>
    </w:p>
    <w:p>
      <w:pPr>
        <w:pStyle w:val="Heading1"/>
        <w:ind w:left="891" w:right="117"/>
        <w:jc w:val="left"/>
      </w:pPr>
      <w:r>
        <w:rPr/>
        <w:pict>
          <v:group style="position:absolute;margin-left:118.125pt;margin-top:15.490864pt;width:376.15pt;height:220.1pt;mso-position-horizontal-relative:page;mso-position-vertical-relative:paragraph;z-index:3496" coordorigin="2363,310" coordsize="7523,4402">
            <v:shape style="position:absolute;left:3809;top:541;width:4138;height:3303" coordorigin="3809,541" coordsize="4138,3303" path="m3871,3779l3871,541m3809,3779l3871,3779m3809,3318l3871,3318m3809,2855l3871,2855m3809,2391l3871,2391m3809,1928l3871,1928m3809,1465l3871,1465m3809,1002l3871,1002m3809,541l3871,541m3871,3779l7946,3779m3871,3779l3871,3843m4687,3779l4687,3843m5501,3779l5501,3843m6317,3779l6317,3843m7130,3779l7130,3843m7946,3779l7946,3843e" filled="false" stroked="true" strokeweight=".72pt" strokecolor="#858585">
              <v:path arrowok="t"/>
            </v:shape>
            <v:shape style="position:absolute;left:3902;top:3641;width:140;height:140" coordorigin="3902,3641" coordsize="140,140" path="m3972,3641l3902,3711,3972,3781,4042,3711,3972,3641xe" filled="true" fillcolor="#4f81bc" stroked="false">
              <v:path arrowok="t"/>
              <v:fill type="solid"/>
            </v:shape>
            <v:shape style="position:absolute;left:3902;top:3641;width:140;height:140" coordorigin="3902,3641" coordsize="140,140" path="m3972,3781l3902,3711,3972,3641,4042,3711,3972,3781xe" filled="false" stroked="true" strokeweight=".75pt" strokecolor="#497dba">
              <v:path arrowok="t"/>
            </v:shape>
            <v:shape style="position:absolute;left:4004;top:3539;width:140;height:140" coordorigin="4004,3539" coordsize="140,140" path="m4074,3539l4004,3609,4074,3679,4144,3609,4074,3539xe" filled="true" fillcolor="#4f81bc" stroked="false">
              <v:path arrowok="t"/>
              <v:fill type="solid"/>
            </v:shape>
            <v:shape style="position:absolute;left:4004;top:3539;width:140;height:140" coordorigin="4004,3539" coordsize="140,140" path="m4074,3679l4004,3609,4074,3539,4144,3609,4074,3679xe" filled="false" stroked="true" strokeweight=".75pt" strokecolor="#497dba">
              <v:path arrowok="t"/>
            </v:shape>
            <v:shape style="position:absolute;left:4200;top:3412;width:155;height:155" type="#_x0000_t75" stroked="false">
              <v:imagedata r:id="rId82" o:title=""/>
            </v:shape>
            <v:shape style="position:absolute;left:4608;top:2914;width:318;height:278" type="#_x0000_t75" stroked="false">
              <v:imagedata r:id="rId83" o:title=""/>
            </v:shape>
            <v:shape style="position:absolute;left:5423;top:2450;width:155;height:155" type="#_x0000_t75" stroked="false">
              <v:imagedata r:id="rId84" o:title=""/>
            </v:shape>
            <v:shape style="position:absolute;left:5749;top:2117;width:155;height:155" type="#_x0000_t75" stroked="false">
              <v:imagedata r:id="rId84" o:title=""/>
            </v:shape>
            <v:shape style="position:absolute;left:7053;top:966;width:155;height:155" type="#_x0000_t75" stroked="false">
              <v:imagedata r:id="rId84" o:title=""/>
            </v:shape>
            <v:line style="position:absolute" from="3972,3728" to="7130,1088" stroked="true" strokeweight=".72pt" strokecolor="#000000"/>
            <v:shape style="position:absolute;left:8611;top:2264;width:134;height:134" type="#_x0000_t75" stroked="false">
              <v:imagedata r:id="rId85" o:title=""/>
            </v:shape>
            <v:line style="position:absolute" from="8486,2691" to="8870,2691" stroked="true" strokeweight=".72pt" strokecolor="#000000"/>
            <v:rect style="position:absolute;left:2370;top:317;width:7507;height:4387" filled="false" stroked="true" strokeweight=".75pt" strokecolor="#858585"/>
            <v:shape style="position:absolute;left:2926;top:448;width:757;height:1125" type="#_x0000_t202" filled="false" stroked="false">
              <v:textbox inset="0,0,0,0">
                <w:txbxContent>
                  <w:p>
                    <w:pPr>
                      <w:spacing w:line="203" w:lineRule="exact" w:before="0"/>
                      <w:ind w:left="0" w:right="-16" w:firstLine="0"/>
                      <w:jc w:val="left"/>
                      <w:rPr>
                        <w:rFonts w:ascii="Calibri"/>
                        <w:sz w:val="20"/>
                      </w:rPr>
                    </w:pPr>
                    <w:r>
                      <w:rPr>
                        <w:rFonts w:ascii="Calibri"/>
                        <w:spacing w:val="-1"/>
                        <w:sz w:val="20"/>
                      </w:rPr>
                      <w:t>350000.0</w:t>
                    </w:r>
                  </w:p>
                  <w:p>
                    <w:pPr>
                      <w:spacing w:line="240" w:lineRule="auto" w:before="11"/>
                      <w:rPr>
                        <w:b/>
                        <w:sz w:val="18"/>
                      </w:rPr>
                    </w:pPr>
                  </w:p>
                  <w:p>
                    <w:pPr>
                      <w:spacing w:before="0"/>
                      <w:ind w:left="0" w:right="-16" w:firstLine="0"/>
                      <w:jc w:val="left"/>
                      <w:rPr>
                        <w:rFonts w:ascii="Calibri"/>
                        <w:sz w:val="20"/>
                      </w:rPr>
                    </w:pPr>
                    <w:r>
                      <w:rPr>
                        <w:rFonts w:ascii="Calibri"/>
                        <w:spacing w:val="-1"/>
                        <w:sz w:val="20"/>
                      </w:rPr>
                      <w:t>300000.0</w:t>
                    </w:r>
                  </w:p>
                  <w:p>
                    <w:pPr>
                      <w:spacing w:line="240" w:lineRule="auto" w:before="0"/>
                      <w:rPr>
                        <w:b/>
                        <w:sz w:val="19"/>
                      </w:rPr>
                    </w:pPr>
                  </w:p>
                  <w:p>
                    <w:pPr>
                      <w:spacing w:line="240" w:lineRule="exact" w:before="0"/>
                      <w:ind w:left="0" w:right="-16" w:firstLine="0"/>
                      <w:jc w:val="left"/>
                      <w:rPr>
                        <w:rFonts w:ascii="Calibri"/>
                        <w:sz w:val="20"/>
                      </w:rPr>
                    </w:pPr>
                    <w:r>
                      <w:rPr>
                        <w:rFonts w:ascii="Calibri"/>
                        <w:spacing w:val="-1"/>
                        <w:sz w:val="20"/>
                      </w:rPr>
                      <w:t>250000.0</w:t>
                    </w:r>
                  </w:p>
                </w:txbxContent>
              </v:textbox>
              <w10:wrap type="none"/>
            </v:shape>
            <v:shape style="position:absolute;left:7243;top:1334;width:2540;height:444" type="#_x0000_t202" filled="false" stroked="false">
              <v:textbox inset="0,0,0,0">
                <w:txbxContent>
                  <w:p>
                    <w:pPr>
                      <w:spacing w:line="203" w:lineRule="exact" w:before="0"/>
                      <w:ind w:left="0" w:right="0" w:firstLine="0"/>
                      <w:jc w:val="center"/>
                      <w:rPr>
                        <w:rFonts w:ascii="Calibri"/>
                        <w:sz w:val="20"/>
                      </w:rPr>
                    </w:pPr>
                    <w:r>
                      <w:rPr>
                        <w:rFonts w:ascii="Calibri"/>
                        <w:sz w:val="20"/>
                      </w:rPr>
                      <w:t>y = 7358685.0303x -</w:t>
                    </w:r>
                    <w:r>
                      <w:rPr>
                        <w:rFonts w:ascii="Calibri"/>
                        <w:spacing w:val="-18"/>
                        <w:sz w:val="20"/>
                      </w:rPr>
                      <w:t> </w:t>
                    </w:r>
                    <w:r>
                      <w:rPr>
                        <w:rFonts w:ascii="Calibri"/>
                        <w:sz w:val="20"/>
                      </w:rPr>
                      <w:t>3538.6134</w:t>
                    </w:r>
                  </w:p>
                  <w:p>
                    <w:pPr>
                      <w:spacing w:line="240" w:lineRule="exact" w:before="0"/>
                      <w:ind w:left="0" w:right="0" w:firstLine="0"/>
                      <w:jc w:val="center"/>
                      <w:rPr>
                        <w:rFonts w:ascii="Calibri" w:hAnsi="Calibri"/>
                        <w:sz w:val="20"/>
                      </w:rPr>
                    </w:pPr>
                    <w:r>
                      <w:rPr>
                        <w:rFonts w:ascii="Calibri" w:hAnsi="Calibri"/>
                        <w:sz w:val="20"/>
                      </w:rPr>
                      <w:t>R² = 1.00</w:t>
                    </w:r>
                  </w:p>
                </w:txbxContent>
              </v:textbox>
              <w10:wrap type="none"/>
            </v:shape>
            <v:shape style="position:absolute;left:2926;top:1836;width:757;height:662" type="#_x0000_t202" filled="false" stroked="false">
              <v:textbox inset="0,0,0,0">
                <w:txbxContent>
                  <w:p>
                    <w:pPr>
                      <w:spacing w:line="203" w:lineRule="exact" w:before="0"/>
                      <w:ind w:left="0" w:right="-16" w:firstLine="0"/>
                      <w:jc w:val="left"/>
                      <w:rPr>
                        <w:rFonts w:ascii="Calibri"/>
                        <w:sz w:val="20"/>
                      </w:rPr>
                    </w:pPr>
                    <w:r>
                      <w:rPr>
                        <w:rFonts w:ascii="Calibri"/>
                        <w:spacing w:val="-1"/>
                        <w:sz w:val="20"/>
                      </w:rPr>
                      <w:t>200000.0</w:t>
                    </w:r>
                  </w:p>
                  <w:p>
                    <w:pPr>
                      <w:spacing w:line="240" w:lineRule="auto" w:before="0"/>
                      <w:rPr>
                        <w:b/>
                        <w:sz w:val="19"/>
                      </w:rPr>
                    </w:pPr>
                  </w:p>
                  <w:p>
                    <w:pPr>
                      <w:spacing w:line="240" w:lineRule="exact" w:before="0"/>
                      <w:ind w:left="0" w:right="-16" w:firstLine="0"/>
                      <w:jc w:val="left"/>
                      <w:rPr>
                        <w:rFonts w:ascii="Calibri"/>
                        <w:sz w:val="20"/>
                      </w:rPr>
                    </w:pPr>
                    <w:r>
                      <w:rPr>
                        <w:rFonts w:ascii="Calibri"/>
                        <w:spacing w:val="-1"/>
                        <w:sz w:val="20"/>
                      </w:rPr>
                      <w:t>150000.0</w:t>
                    </w:r>
                  </w:p>
                </w:txbxContent>
              </v:textbox>
              <w10:wrap type="none"/>
            </v:shape>
            <v:shape style="position:absolute;left:8913;top:2239;width:759;height:561" type="#_x0000_t202" filled="false" stroked="false">
              <v:textbox inset="0,0,0,0">
                <w:txbxContent>
                  <w:p>
                    <w:pPr>
                      <w:spacing w:line="203" w:lineRule="exact" w:before="0"/>
                      <w:ind w:left="0" w:right="0" w:firstLine="0"/>
                      <w:jc w:val="left"/>
                      <w:rPr>
                        <w:rFonts w:ascii="Calibri"/>
                        <w:sz w:val="20"/>
                      </w:rPr>
                    </w:pPr>
                    <w:r>
                      <w:rPr>
                        <w:rFonts w:ascii="Calibri"/>
                        <w:w w:val="99"/>
                        <w:sz w:val="20"/>
                      </w:rPr>
                      <w:t>Y</w:t>
                    </w:r>
                  </w:p>
                  <w:p>
                    <w:pPr>
                      <w:spacing w:line="240" w:lineRule="exact" w:before="117"/>
                      <w:ind w:left="0" w:right="-16" w:firstLine="0"/>
                      <w:jc w:val="left"/>
                      <w:rPr>
                        <w:rFonts w:ascii="Calibri"/>
                        <w:sz w:val="20"/>
                      </w:rPr>
                    </w:pPr>
                    <w:r>
                      <w:rPr>
                        <w:rFonts w:ascii="Calibri"/>
                        <w:sz w:val="20"/>
                      </w:rPr>
                      <w:t>Linear</w:t>
                    </w:r>
                    <w:r>
                      <w:rPr>
                        <w:rFonts w:ascii="Calibri"/>
                        <w:spacing w:val="-10"/>
                        <w:sz w:val="20"/>
                      </w:rPr>
                      <w:t> </w:t>
                    </w:r>
                    <w:r>
                      <w:rPr>
                        <w:rFonts w:ascii="Calibri"/>
                        <w:sz w:val="20"/>
                      </w:rPr>
                      <w:t>(Y)</w:t>
                    </w:r>
                  </w:p>
                </w:txbxContent>
              </v:textbox>
              <w10:wrap type="none"/>
            </v:shape>
            <v:shape style="position:absolute;left:2926;top:2762;width:5249;height:1690" type="#_x0000_t202" filled="false" stroked="false">
              <v:textbox inset="0,0,0,0">
                <w:txbxContent>
                  <w:p>
                    <w:pPr>
                      <w:spacing w:line="203" w:lineRule="exact" w:before="0"/>
                      <w:ind w:left="0" w:right="4489" w:firstLine="0"/>
                      <w:jc w:val="center"/>
                      <w:rPr>
                        <w:rFonts w:ascii="Calibri"/>
                        <w:sz w:val="20"/>
                      </w:rPr>
                    </w:pPr>
                    <w:r>
                      <w:rPr>
                        <w:rFonts w:ascii="Calibri"/>
                        <w:w w:val="95"/>
                        <w:sz w:val="20"/>
                      </w:rPr>
                      <w:t>100000.0</w:t>
                    </w:r>
                  </w:p>
                  <w:p>
                    <w:pPr>
                      <w:spacing w:line="240" w:lineRule="auto" w:before="0"/>
                      <w:rPr>
                        <w:b/>
                        <w:sz w:val="19"/>
                      </w:rPr>
                    </w:pPr>
                  </w:p>
                  <w:p>
                    <w:pPr>
                      <w:spacing w:before="0"/>
                      <w:ind w:left="0" w:right="4388" w:firstLine="0"/>
                      <w:jc w:val="center"/>
                      <w:rPr>
                        <w:rFonts w:ascii="Calibri"/>
                        <w:sz w:val="20"/>
                      </w:rPr>
                    </w:pPr>
                    <w:r>
                      <w:rPr>
                        <w:rFonts w:ascii="Calibri"/>
                        <w:sz w:val="20"/>
                      </w:rPr>
                      <w:t>50000.0</w:t>
                    </w:r>
                  </w:p>
                  <w:p>
                    <w:pPr>
                      <w:spacing w:line="240" w:lineRule="auto" w:before="0"/>
                      <w:rPr>
                        <w:b/>
                        <w:sz w:val="19"/>
                      </w:rPr>
                    </w:pPr>
                  </w:p>
                  <w:p>
                    <w:pPr>
                      <w:spacing w:before="0"/>
                      <w:ind w:left="506" w:right="0" w:firstLine="0"/>
                      <w:jc w:val="left"/>
                      <w:rPr>
                        <w:rFonts w:ascii="Calibri"/>
                        <w:sz w:val="20"/>
                      </w:rPr>
                    </w:pPr>
                    <w:r>
                      <w:rPr>
                        <w:rFonts w:ascii="Calibri"/>
                        <w:sz w:val="20"/>
                      </w:rPr>
                      <w:t>0.0</w:t>
                    </w:r>
                  </w:p>
                  <w:p>
                    <w:pPr>
                      <w:tabs>
                        <w:tab w:pos="1532" w:val="left" w:leader="none"/>
                        <w:tab w:pos="2347" w:val="left" w:leader="none"/>
                        <w:tab w:pos="3163" w:val="left" w:leader="none"/>
                        <w:tab w:pos="3978" w:val="left" w:leader="none"/>
                        <w:tab w:pos="4793" w:val="left" w:leader="none"/>
                      </w:tabs>
                      <w:spacing w:before="16"/>
                      <w:ind w:left="717" w:right="0" w:firstLine="0"/>
                      <w:jc w:val="center"/>
                      <w:rPr>
                        <w:rFonts w:ascii="Calibri"/>
                        <w:sz w:val="20"/>
                      </w:rPr>
                    </w:pPr>
                    <w:r>
                      <w:rPr>
                        <w:rFonts w:ascii="Calibri"/>
                        <w:sz w:val="20"/>
                      </w:rPr>
                      <w:t>0.000</w:t>
                      <w:tab/>
                      <w:t>0.010</w:t>
                      <w:tab/>
                      <w:t>0.020</w:t>
                      <w:tab/>
                      <w:t>0.030</w:t>
                      <w:tab/>
                      <w:t>0.040</w:t>
                      <w:tab/>
                    </w:r>
                    <w:r>
                      <w:rPr>
                        <w:rFonts w:ascii="Calibri"/>
                        <w:w w:val="95"/>
                        <w:sz w:val="20"/>
                      </w:rPr>
                      <w:t>0.050</w:t>
                    </w:r>
                  </w:p>
                  <w:p>
                    <w:pPr>
                      <w:spacing w:line="240" w:lineRule="exact" w:before="60"/>
                      <w:ind w:left="715" w:right="0" w:firstLine="0"/>
                      <w:jc w:val="center"/>
                      <w:rPr>
                        <w:rFonts w:ascii="Calibri" w:hAnsi="Calibri"/>
                        <w:b/>
                        <w:sz w:val="20"/>
                      </w:rPr>
                    </w:pPr>
                    <w:r>
                      <w:rPr>
                        <w:rFonts w:ascii="Calibri" w:hAnsi="Calibri"/>
                        <w:b/>
                        <w:sz w:val="20"/>
                      </w:rPr>
                      <w:t>Concentración (µg/mL)</w:t>
                    </w:r>
                  </w:p>
                </w:txbxContent>
              </v:textbox>
              <w10:wrap type="none"/>
            </v:shape>
            <w10:wrap type="none"/>
          </v:group>
        </w:pict>
      </w:r>
      <w:r>
        <w:rPr/>
        <w:pict>
          <v:shape style="position:absolute;margin-left:132.050003pt;margin-top:73.826668pt;width:12pt;height:68.5pt;mso-position-horizontal-relative:page;mso-position-vertical-relative:paragraph;z-index:3520" type="#_x0000_t202" filled="false" stroked="false">
            <v:textbox inset="0,0,0,0" style="layout-flow:vertical;mso-layout-flow-alt:bottom-to-top">
              <w:txbxContent>
                <w:p>
                  <w:pPr>
                    <w:spacing w:line="223" w:lineRule="exact" w:before="0"/>
                    <w:ind w:left="20" w:right="-653" w:firstLine="0"/>
                    <w:jc w:val="left"/>
                    <w:rPr>
                      <w:rFonts w:ascii="Calibri"/>
                      <w:b/>
                      <w:sz w:val="20"/>
                    </w:rPr>
                  </w:pPr>
                  <w:r>
                    <w:rPr>
                      <w:rFonts w:ascii="Calibri"/>
                      <w:b/>
                      <w:w w:val="99"/>
                      <w:sz w:val="20"/>
                    </w:rPr>
                    <w:t>Respuesta</w:t>
                  </w:r>
                  <w:r>
                    <w:rPr>
                      <w:rFonts w:ascii="Calibri"/>
                      <w:b/>
                      <w:spacing w:val="-2"/>
                      <w:sz w:val="20"/>
                    </w:rPr>
                    <w:t> </w:t>
                  </w:r>
                  <w:r>
                    <w:rPr>
                      <w:rFonts w:ascii="Calibri"/>
                      <w:b/>
                      <w:w w:val="99"/>
                      <w:sz w:val="20"/>
                    </w:rPr>
                    <w:t>(CPS)</w:t>
                  </w:r>
                </w:p>
              </w:txbxContent>
            </v:textbox>
            <w10:wrap type="none"/>
          </v:shape>
        </w:pict>
      </w:r>
      <w:r>
        <w:rPr/>
        <w:t>Figura D.III.1. Resultados de la Linealidad de la respuesta para Pd</w:t>
      </w: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7"/>
        <w:rPr>
          <w:b/>
          <w:sz w:val="12"/>
        </w:rPr>
      </w:pPr>
    </w:p>
    <w:tbl>
      <w:tblPr>
        <w:tblW w:w="0" w:type="auto"/>
        <w:jc w:val="left"/>
        <w:tblInd w:w="1527"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140"/>
        <w:gridCol w:w="3592"/>
      </w:tblGrid>
      <w:tr>
        <w:trPr>
          <w:trHeight w:val="339" w:hRule="exact"/>
        </w:trPr>
        <w:tc>
          <w:tcPr>
            <w:tcW w:w="2140" w:type="dxa"/>
            <w:tcBorders>
              <w:bottom w:val="double" w:sz="4" w:space="0" w:color="000000"/>
            </w:tcBorders>
          </w:tcPr>
          <w:p>
            <w:pPr>
              <w:pStyle w:val="TableParagraph"/>
              <w:spacing w:line="264" w:lineRule="exact"/>
              <w:ind w:left="84"/>
              <w:jc w:val="left"/>
              <w:rPr>
                <w:rFonts w:ascii="Calibri" w:hAnsi="Calibri"/>
                <w:b/>
                <w:i/>
                <w:sz w:val="26"/>
              </w:rPr>
            </w:pPr>
            <w:r>
              <w:rPr>
                <w:rFonts w:ascii="Calibri" w:hAnsi="Calibri"/>
                <w:b/>
                <w:i/>
                <w:sz w:val="26"/>
              </w:rPr>
              <w:t>Regresión</w:t>
            </w:r>
          </w:p>
        </w:tc>
        <w:tc>
          <w:tcPr>
            <w:tcW w:w="3592" w:type="dxa"/>
            <w:tcBorders>
              <w:bottom w:val="double" w:sz="4" w:space="0" w:color="000000"/>
            </w:tcBorders>
          </w:tcPr>
          <w:p>
            <w:pPr/>
          </w:p>
        </w:tc>
      </w:tr>
      <w:tr>
        <w:trPr>
          <w:trHeight w:val="301" w:hRule="exact"/>
        </w:trPr>
        <w:tc>
          <w:tcPr>
            <w:tcW w:w="2140" w:type="dxa"/>
            <w:tcBorders>
              <w:top w:val="double" w:sz="4" w:space="0" w:color="000000"/>
            </w:tcBorders>
          </w:tcPr>
          <w:p>
            <w:pPr>
              <w:pStyle w:val="TableParagraph"/>
              <w:spacing w:line="274" w:lineRule="exact"/>
              <w:ind w:left="84"/>
              <w:jc w:val="left"/>
              <w:rPr>
                <w:sz w:val="24"/>
              </w:rPr>
            </w:pPr>
            <w:r>
              <w:rPr>
                <w:sz w:val="24"/>
              </w:rPr>
              <w:t>Constante</w:t>
            </w:r>
          </w:p>
        </w:tc>
        <w:tc>
          <w:tcPr>
            <w:tcW w:w="3592" w:type="dxa"/>
            <w:tcBorders>
              <w:top w:val="double" w:sz="4" w:space="0" w:color="000000"/>
            </w:tcBorders>
          </w:tcPr>
          <w:p>
            <w:pPr>
              <w:pStyle w:val="TableParagraph"/>
              <w:spacing w:line="274" w:lineRule="exact"/>
              <w:ind w:left="452"/>
              <w:jc w:val="left"/>
              <w:rPr>
                <w:sz w:val="24"/>
              </w:rPr>
            </w:pPr>
            <w:r>
              <w:rPr>
                <w:sz w:val="24"/>
              </w:rPr>
              <w:t>-3538.6134</w:t>
            </w:r>
          </w:p>
        </w:tc>
      </w:tr>
      <w:tr>
        <w:trPr>
          <w:trHeight w:val="276" w:hRule="exact"/>
        </w:trPr>
        <w:tc>
          <w:tcPr>
            <w:tcW w:w="2140" w:type="dxa"/>
          </w:tcPr>
          <w:p>
            <w:pPr>
              <w:pStyle w:val="TableParagraph"/>
              <w:spacing w:line="263" w:lineRule="exact"/>
              <w:ind w:left="84"/>
              <w:jc w:val="left"/>
              <w:rPr>
                <w:sz w:val="24"/>
              </w:rPr>
            </w:pPr>
            <w:r>
              <w:rPr>
                <w:sz w:val="24"/>
              </w:rPr>
              <w:t>Coeficiente X</w:t>
            </w:r>
          </w:p>
        </w:tc>
        <w:tc>
          <w:tcPr>
            <w:tcW w:w="3592" w:type="dxa"/>
          </w:tcPr>
          <w:p>
            <w:pPr>
              <w:pStyle w:val="TableParagraph"/>
              <w:spacing w:line="263" w:lineRule="exact"/>
              <w:ind w:left="452"/>
              <w:jc w:val="left"/>
              <w:rPr>
                <w:sz w:val="24"/>
              </w:rPr>
            </w:pPr>
            <w:r>
              <w:rPr>
                <w:sz w:val="24"/>
              </w:rPr>
              <w:t>7358685.0303</w:t>
            </w:r>
          </w:p>
        </w:tc>
      </w:tr>
      <w:tr>
        <w:trPr>
          <w:trHeight w:val="276" w:hRule="exact"/>
        </w:trPr>
        <w:tc>
          <w:tcPr>
            <w:tcW w:w="2140" w:type="dxa"/>
          </w:tcPr>
          <w:p>
            <w:pPr>
              <w:pStyle w:val="TableParagraph"/>
              <w:spacing w:line="263" w:lineRule="exact"/>
              <w:ind w:left="84"/>
              <w:jc w:val="left"/>
              <w:rPr>
                <w:sz w:val="24"/>
              </w:rPr>
            </w:pPr>
            <w:r>
              <w:rPr>
                <w:sz w:val="24"/>
              </w:rPr>
              <w:t>r cuadrada</w:t>
            </w:r>
          </w:p>
        </w:tc>
        <w:tc>
          <w:tcPr>
            <w:tcW w:w="3592" w:type="dxa"/>
          </w:tcPr>
          <w:p>
            <w:pPr>
              <w:pStyle w:val="TableParagraph"/>
              <w:spacing w:line="263" w:lineRule="exact"/>
              <w:ind w:left="452"/>
              <w:jc w:val="left"/>
              <w:rPr>
                <w:sz w:val="24"/>
              </w:rPr>
            </w:pPr>
            <w:r>
              <w:rPr>
                <w:sz w:val="24"/>
              </w:rPr>
              <w:t>1.00</w:t>
            </w:r>
          </w:p>
        </w:tc>
      </w:tr>
      <w:tr>
        <w:trPr>
          <w:trHeight w:val="392" w:hRule="exact"/>
        </w:trPr>
        <w:tc>
          <w:tcPr>
            <w:tcW w:w="2140" w:type="dxa"/>
            <w:tcBorders>
              <w:bottom w:val="single" w:sz="4" w:space="0" w:color="000000"/>
            </w:tcBorders>
          </w:tcPr>
          <w:p>
            <w:pPr>
              <w:pStyle w:val="TableParagraph"/>
              <w:spacing w:line="263" w:lineRule="exact"/>
              <w:ind w:left="84"/>
              <w:jc w:val="left"/>
              <w:rPr>
                <w:sz w:val="24"/>
              </w:rPr>
            </w:pPr>
            <w:r>
              <w:rPr>
                <w:sz w:val="24"/>
              </w:rPr>
              <w:t>Observaciones</w:t>
            </w:r>
          </w:p>
        </w:tc>
        <w:tc>
          <w:tcPr>
            <w:tcW w:w="3592" w:type="dxa"/>
            <w:tcBorders>
              <w:bottom w:val="single" w:sz="4" w:space="0" w:color="000000"/>
            </w:tcBorders>
          </w:tcPr>
          <w:p>
            <w:pPr>
              <w:pStyle w:val="TableParagraph"/>
              <w:spacing w:line="263" w:lineRule="exact"/>
              <w:ind w:left="452"/>
              <w:jc w:val="left"/>
              <w:rPr>
                <w:sz w:val="24"/>
              </w:rPr>
            </w:pPr>
            <w:r>
              <w:rPr>
                <w:w w:val="99"/>
                <w:sz w:val="24"/>
              </w:rPr>
              <w:t>8</w:t>
            </w:r>
          </w:p>
        </w:tc>
      </w:tr>
    </w:tbl>
    <w:p>
      <w:pPr>
        <w:spacing w:after="0" w:line="263" w:lineRule="exact"/>
        <w:jc w:val="left"/>
        <w:rPr>
          <w:sz w:val="24"/>
        </w:rPr>
        <w:sectPr>
          <w:footerReference w:type="default" r:id="rId81"/>
          <w:pgSz w:w="12240" w:h="15840"/>
          <w:pgMar w:footer="919" w:header="0" w:top="1360" w:bottom="1100" w:left="1720" w:right="1580"/>
          <w:pgNumType w:start="81"/>
        </w:sectPr>
      </w:pPr>
    </w:p>
    <w:p>
      <w:pPr>
        <w:pStyle w:val="ListParagraph"/>
        <w:numPr>
          <w:ilvl w:val="0"/>
          <w:numId w:val="13"/>
        </w:numPr>
        <w:tabs>
          <w:tab w:pos="821" w:val="left" w:leader="none"/>
          <w:tab w:pos="822" w:val="left" w:leader="none"/>
        </w:tabs>
        <w:spacing w:line="240" w:lineRule="auto" w:before="56" w:after="0"/>
        <w:ind w:left="822" w:right="0" w:hanging="653"/>
        <w:jc w:val="left"/>
        <w:rPr>
          <w:b/>
          <w:sz w:val="24"/>
        </w:rPr>
      </w:pPr>
      <w:r>
        <w:rPr>
          <w:b/>
          <w:sz w:val="24"/>
        </w:rPr>
        <w:t>Limite de</w:t>
      </w:r>
      <w:r>
        <w:rPr>
          <w:b/>
          <w:spacing w:val="-5"/>
          <w:sz w:val="24"/>
        </w:rPr>
        <w:t> </w:t>
      </w:r>
      <w:r>
        <w:rPr>
          <w:b/>
          <w:sz w:val="24"/>
        </w:rPr>
        <w:t>Cuantificación</w:t>
      </w:r>
    </w:p>
    <w:p>
      <w:pPr>
        <w:pStyle w:val="BodyText"/>
        <w:spacing w:before="10"/>
        <w:rPr>
          <w:b/>
          <w:sz w:val="20"/>
        </w:rPr>
      </w:pPr>
    </w:p>
    <w:p>
      <w:pPr>
        <w:pStyle w:val="BodyText"/>
        <w:spacing w:line="360" w:lineRule="auto"/>
        <w:ind w:left="810" w:right="217"/>
        <w:jc w:val="both"/>
      </w:pPr>
      <w:r>
        <w:rPr>
          <w:color w:val="212121"/>
        </w:rPr>
        <w:t>La solución al límite de cuantificación (LC) se midió en seis ocasiones. El promedio de la relación de respuesta, % DER de la relación de la  respuesta, la concentración en g/L y en ppm de la concentración de la muestra se presenta en la Tabla</w:t>
      </w:r>
      <w:r>
        <w:rPr>
          <w:color w:val="212121"/>
          <w:spacing w:val="-9"/>
        </w:rPr>
        <w:t> </w:t>
      </w:r>
      <w:r>
        <w:rPr>
          <w:color w:val="212121"/>
        </w:rPr>
        <w:t>D.IV.1.</w:t>
      </w:r>
    </w:p>
    <w:p>
      <w:pPr>
        <w:pStyle w:val="Heading1"/>
        <w:spacing w:before="204" w:after="43"/>
        <w:ind w:left="810"/>
      </w:pPr>
      <w:r>
        <w:rPr>
          <w:color w:val="212121"/>
        </w:rPr>
        <w:t>Tabla D.IV.1. Resultados del Límite de Cuantificación para Pd</w:t>
      </w:r>
    </w:p>
    <w:tbl>
      <w:tblPr>
        <w:tblW w:w="0" w:type="auto"/>
        <w:jc w:val="left"/>
        <w:tblInd w:w="270"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CellMar>
          <w:top w:w="0" w:type="dxa"/>
          <w:left w:w="0" w:type="dxa"/>
          <w:bottom w:w="0" w:type="dxa"/>
          <w:right w:w="0" w:type="dxa"/>
        </w:tblCellMar>
        <w:tblLook w:val="01E0"/>
      </w:tblPr>
      <w:tblGrid>
        <w:gridCol w:w="1378"/>
        <w:gridCol w:w="1702"/>
        <w:gridCol w:w="1558"/>
        <w:gridCol w:w="1985"/>
        <w:gridCol w:w="2104"/>
      </w:tblGrid>
      <w:tr>
        <w:trPr>
          <w:trHeight w:val="1059" w:hRule="exact"/>
        </w:trPr>
        <w:tc>
          <w:tcPr>
            <w:tcW w:w="1378" w:type="dxa"/>
            <w:shd w:val="clear" w:color="auto" w:fill="D9D9D9"/>
          </w:tcPr>
          <w:p>
            <w:pPr>
              <w:pStyle w:val="TableParagraph"/>
              <w:spacing w:before="4"/>
              <w:jc w:val="left"/>
              <w:rPr>
                <w:b/>
                <w:sz w:val="32"/>
              </w:rPr>
            </w:pPr>
          </w:p>
          <w:p>
            <w:pPr>
              <w:pStyle w:val="TableParagraph"/>
              <w:ind w:left="266"/>
              <w:jc w:val="left"/>
              <w:rPr>
                <w:b/>
                <w:sz w:val="24"/>
              </w:rPr>
            </w:pPr>
            <w:r>
              <w:rPr>
                <w:b/>
                <w:sz w:val="24"/>
              </w:rPr>
              <w:t>Analito</w:t>
            </w:r>
          </w:p>
        </w:tc>
        <w:tc>
          <w:tcPr>
            <w:tcW w:w="1702" w:type="dxa"/>
            <w:shd w:val="clear" w:color="auto" w:fill="D9D9D9"/>
          </w:tcPr>
          <w:p>
            <w:pPr>
              <w:pStyle w:val="TableParagraph"/>
              <w:ind w:left="108" w:right="108"/>
              <w:rPr>
                <w:b/>
                <w:sz w:val="24"/>
              </w:rPr>
            </w:pPr>
            <w:r>
              <w:rPr>
                <w:b/>
                <w:sz w:val="24"/>
              </w:rPr>
              <w:t>Promedio de</w:t>
            </w:r>
            <w:r>
              <w:rPr>
                <w:b/>
                <w:w w:val="99"/>
                <w:sz w:val="24"/>
              </w:rPr>
              <w:t> </w:t>
            </w:r>
            <w:r>
              <w:rPr>
                <w:b/>
                <w:sz w:val="24"/>
              </w:rPr>
              <w:t>la respuesta (CPS)</w:t>
            </w:r>
          </w:p>
        </w:tc>
        <w:tc>
          <w:tcPr>
            <w:tcW w:w="1558" w:type="dxa"/>
            <w:shd w:val="clear" w:color="auto" w:fill="D9D9D9"/>
          </w:tcPr>
          <w:p>
            <w:pPr>
              <w:pStyle w:val="TableParagraph"/>
              <w:spacing w:line="242" w:lineRule="auto" w:before="135"/>
              <w:ind w:left="196" w:right="80" w:hanging="101"/>
              <w:jc w:val="left"/>
              <w:rPr>
                <w:b/>
                <w:sz w:val="24"/>
              </w:rPr>
            </w:pPr>
            <w:r>
              <w:rPr>
                <w:b/>
                <w:sz w:val="24"/>
              </w:rPr>
              <w:t>%DER de la respuesta</w:t>
            </w:r>
          </w:p>
        </w:tc>
        <w:tc>
          <w:tcPr>
            <w:tcW w:w="1985" w:type="dxa"/>
            <w:shd w:val="clear" w:color="auto" w:fill="D9D9D9"/>
          </w:tcPr>
          <w:p>
            <w:pPr>
              <w:pStyle w:val="TableParagraph"/>
              <w:spacing w:line="415" w:lineRule="auto" w:before="36"/>
              <w:ind w:left="647" w:right="121" w:hanging="512"/>
              <w:jc w:val="left"/>
              <w:rPr>
                <w:b/>
                <w:sz w:val="24"/>
              </w:rPr>
            </w:pPr>
            <w:r>
              <w:rPr>
                <w:b/>
                <w:sz w:val="24"/>
              </w:rPr>
              <w:t>Concentración (µg/L)</w:t>
            </w:r>
          </w:p>
        </w:tc>
        <w:tc>
          <w:tcPr>
            <w:tcW w:w="2104" w:type="dxa"/>
            <w:shd w:val="clear" w:color="auto" w:fill="D9D9D9"/>
          </w:tcPr>
          <w:p>
            <w:pPr>
              <w:pStyle w:val="TableParagraph"/>
              <w:ind w:left="215" w:right="216" w:hanging="1"/>
              <w:rPr>
                <w:b/>
                <w:sz w:val="24"/>
              </w:rPr>
            </w:pPr>
            <w:r>
              <w:rPr>
                <w:b/>
                <w:sz w:val="24"/>
              </w:rPr>
              <w:t>ppm de la </w:t>
            </w:r>
            <w:r>
              <w:rPr>
                <w:b/>
                <w:w w:val="95"/>
                <w:sz w:val="24"/>
              </w:rPr>
              <w:t>concentración </w:t>
            </w:r>
            <w:r>
              <w:rPr>
                <w:b/>
                <w:sz w:val="24"/>
              </w:rPr>
              <w:t>de la muestra</w:t>
            </w:r>
          </w:p>
        </w:tc>
      </w:tr>
      <w:tr>
        <w:trPr>
          <w:trHeight w:val="617" w:hRule="exact"/>
        </w:trPr>
        <w:tc>
          <w:tcPr>
            <w:tcW w:w="1378" w:type="dxa"/>
          </w:tcPr>
          <w:p>
            <w:pPr>
              <w:pStyle w:val="TableParagraph"/>
              <w:spacing w:before="151"/>
              <w:ind w:left="271"/>
              <w:jc w:val="left"/>
              <w:rPr>
                <w:sz w:val="24"/>
              </w:rPr>
            </w:pPr>
            <w:r>
              <w:rPr>
                <w:sz w:val="24"/>
              </w:rPr>
              <w:t>Paladio</w:t>
            </w:r>
          </w:p>
        </w:tc>
        <w:tc>
          <w:tcPr>
            <w:tcW w:w="1702" w:type="dxa"/>
          </w:tcPr>
          <w:p>
            <w:pPr>
              <w:pStyle w:val="TableParagraph"/>
              <w:spacing w:before="151"/>
              <w:ind w:left="401"/>
              <w:jc w:val="left"/>
              <w:rPr>
                <w:sz w:val="24"/>
              </w:rPr>
            </w:pPr>
            <w:r>
              <w:rPr>
                <w:sz w:val="24"/>
              </w:rPr>
              <w:t>17843.5</w:t>
            </w:r>
          </w:p>
        </w:tc>
        <w:tc>
          <w:tcPr>
            <w:tcW w:w="1558" w:type="dxa"/>
          </w:tcPr>
          <w:p>
            <w:pPr>
              <w:pStyle w:val="TableParagraph"/>
              <w:spacing w:before="151"/>
              <w:ind w:right="1"/>
              <w:rPr>
                <w:sz w:val="24"/>
              </w:rPr>
            </w:pPr>
            <w:r>
              <w:rPr>
                <w:w w:val="99"/>
                <w:sz w:val="24"/>
              </w:rPr>
              <w:t>3</w:t>
            </w:r>
          </w:p>
        </w:tc>
        <w:tc>
          <w:tcPr>
            <w:tcW w:w="1985" w:type="dxa"/>
          </w:tcPr>
          <w:p>
            <w:pPr>
              <w:pStyle w:val="TableParagraph"/>
              <w:spacing w:before="151"/>
              <w:ind w:left="723" w:right="725"/>
              <w:rPr>
                <w:sz w:val="24"/>
              </w:rPr>
            </w:pPr>
            <w:r>
              <w:rPr>
                <w:sz w:val="24"/>
              </w:rPr>
              <w:t>2.50</w:t>
            </w:r>
          </w:p>
        </w:tc>
        <w:tc>
          <w:tcPr>
            <w:tcW w:w="2104" w:type="dxa"/>
          </w:tcPr>
          <w:p>
            <w:pPr>
              <w:pStyle w:val="TableParagraph"/>
              <w:spacing w:before="151"/>
              <w:ind w:left="783" w:right="784"/>
              <w:rPr>
                <w:sz w:val="24"/>
              </w:rPr>
            </w:pPr>
            <w:r>
              <w:rPr>
                <w:sz w:val="24"/>
              </w:rPr>
              <w:t>2.50</w:t>
            </w:r>
          </w:p>
        </w:tc>
      </w:tr>
    </w:tbl>
    <w:p>
      <w:pPr>
        <w:spacing w:before="2"/>
        <w:ind w:left="102" w:right="0" w:firstLine="0"/>
        <w:jc w:val="left"/>
        <w:rPr>
          <w:sz w:val="20"/>
        </w:rPr>
      </w:pPr>
      <w:r>
        <w:rPr>
          <w:sz w:val="20"/>
        </w:rPr>
        <w:t>CPS: Cuentas por segundo del analito</w:t>
      </w:r>
    </w:p>
    <w:p>
      <w:pPr>
        <w:pStyle w:val="BodyText"/>
        <w:spacing w:before="4"/>
        <w:rPr>
          <w:sz w:val="20"/>
        </w:rPr>
      </w:pPr>
    </w:p>
    <w:p>
      <w:pPr>
        <w:pStyle w:val="Heading1"/>
        <w:numPr>
          <w:ilvl w:val="0"/>
          <w:numId w:val="13"/>
        </w:numPr>
        <w:tabs>
          <w:tab w:pos="821" w:val="left" w:leader="none"/>
          <w:tab w:pos="822" w:val="left" w:leader="none"/>
        </w:tabs>
        <w:spacing w:line="240" w:lineRule="auto" w:before="0" w:after="0"/>
        <w:ind w:left="822" w:right="0" w:hanging="586"/>
        <w:jc w:val="left"/>
      </w:pPr>
      <w:r>
        <w:rPr/>
        <w:t>Limite de</w:t>
      </w:r>
      <w:r>
        <w:rPr>
          <w:spacing w:val="-3"/>
        </w:rPr>
        <w:t> </w:t>
      </w:r>
      <w:r>
        <w:rPr/>
        <w:t>Detección</w:t>
      </w:r>
    </w:p>
    <w:p>
      <w:pPr>
        <w:pStyle w:val="BodyText"/>
        <w:spacing w:before="10"/>
        <w:rPr>
          <w:b/>
          <w:sz w:val="20"/>
        </w:rPr>
      </w:pPr>
    </w:p>
    <w:p>
      <w:pPr>
        <w:pStyle w:val="BodyText"/>
        <w:spacing w:line="360" w:lineRule="auto"/>
        <w:ind w:left="810" w:right="221"/>
        <w:jc w:val="both"/>
      </w:pPr>
      <w:r>
        <w:rPr>
          <w:color w:val="212121"/>
        </w:rPr>
        <w:t>La solución límite de detección (LD) se midió en seis ocasiones. La media de la respuesta, la concentración en g/L y en ppm de la concentración de la muestra se presenta en la Tabla D.V.1</w:t>
      </w:r>
    </w:p>
    <w:p>
      <w:pPr>
        <w:pStyle w:val="BodyText"/>
        <w:spacing w:before="5"/>
      </w:pPr>
    </w:p>
    <w:p>
      <w:pPr>
        <w:pStyle w:val="Heading1"/>
        <w:spacing w:after="43"/>
        <w:ind w:left="810"/>
      </w:pPr>
      <w:r>
        <w:rPr>
          <w:color w:val="212121"/>
        </w:rPr>
        <w:t>Tabla D.V.1. Resultados del Límite de Detección para Pd</w:t>
      </w:r>
    </w:p>
    <w:tbl>
      <w:tblPr>
        <w:tblW w:w="0" w:type="auto"/>
        <w:jc w:val="left"/>
        <w:tblInd w:w="166"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CellMar>
          <w:top w:w="0" w:type="dxa"/>
          <w:left w:w="0" w:type="dxa"/>
          <w:bottom w:w="0" w:type="dxa"/>
          <w:right w:w="0" w:type="dxa"/>
        </w:tblCellMar>
        <w:tblLook w:val="01E0"/>
      </w:tblPr>
      <w:tblGrid>
        <w:gridCol w:w="1769"/>
        <w:gridCol w:w="1903"/>
        <w:gridCol w:w="2280"/>
        <w:gridCol w:w="2730"/>
      </w:tblGrid>
      <w:tr>
        <w:trPr>
          <w:trHeight w:val="1058" w:hRule="exact"/>
        </w:trPr>
        <w:tc>
          <w:tcPr>
            <w:tcW w:w="1769" w:type="dxa"/>
            <w:shd w:val="clear" w:color="auto" w:fill="D9D9D9"/>
          </w:tcPr>
          <w:p>
            <w:pPr>
              <w:pStyle w:val="TableParagraph"/>
              <w:spacing w:before="4"/>
              <w:jc w:val="left"/>
              <w:rPr>
                <w:b/>
                <w:sz w:val="32"/>
              </w:rPr>
            </w:pPr>
          </w:p>
          <w:p>
            <w:pPr>
              <w:pStyle w:val="TableParagraph"/>
              <w:ind w:left="405" w:right="410"/>
              <w:rPr>
                <w:b/>
                <w:sz w:val="24"/>
              </w:rPr>
            </w:pPr>
            <w:r>
              <w:rPr>
                <w:b/>
                <w:sz w:val="24"/>
              </w:rPr>
              <w:t>Analito</w:t>
            </w:r>
          </w:p>
        </w:tc>
        <w:tc>
          <w:tcPr>
            <w:tcW w:w="1903" w:type="dxa"/>
            <w:shd w:val="clear" w:color="auto" w:fill="D9D9D9"/>
          </w:tcPr>
          <w:p>
            <w:pPr>
              <w:pStyle w:val="TableParagraph"/>
              <w:ind w:left="74" w:right="76"/>
              <w:rPr>
                <w:b/>
                <w:sz w:val="24"/>
              </w:rPr>
            </w:pPr>
            <w:r>
              <w:rPr>
                <w:b/>
                <w:sz w:val="24"/>
              </w:rPr>
              <w:t>Promedio de la respuesta (CPS)</w:t>
            </w:r>
          </w:p>
        </w:tc>
        <w:tc>
          <w:tcPr>
            <w:tcW w:w="2280" w:type="dxa"/>
            <w:shd w:val="clear" w:color="auto" w:fill="D9D9D9"/>
          </w:tcPr>
          <w:p>
            <w:pPr>
              <w:pStyle w:val="TableParagraph"/>
              <w:spacing w:line="415" w:lineRule="auto" w:before="36"/>
              <w:ind w:left="794" w:right="269" w:hanging="512"/>
              <w:jc w:val="left"/>
              <w:rPr>
                <w:b/>
                <w:sz w:val="24"/>
              </w:rPr>
            </w:pPr>
            <w:r>
              <w:rPr>
                <w:b/>
                <w:sz w:val="24"/>
              </w:rPr>
              <w:t>Concentración (µg/L)</w:t>
            </w:r>
          </w:p>
        </w:tc>
        <w:tc>
          <w:tcPr>
            <w:tcW w:w="2730" w:type="dxa"/>
            <w:shd w:val="clear" w:color="auto" w:fill="D9D9D9"/>
          </w:tcPr>
          <w:p>
            <w:pPr>
              <w:pStyle w:val="TableParagraph"/>
              <w:ind w:left="220" w:right="224" w:firstLine="1"/>
              <w:rPr>
                <w:b/>
                <w:sz w:val="24"/>
              </w:rPr>
            </w:pPr>
            <w:r>
              <w:rPr>
                <w:b/>
                <w:sz w:val="24"/>
              </w:rPr>
              <w:t>ppm de la concentración de la muestra</w:t>
            </w:r>
          </w:p>
        </w:tc>
      </w:tr>
      <w:tr>
        <w:trPr>
          <w:trHeight w:val="648" w:hRule="exact"/>
        </w:trPr>
        <w:tc>
          <w:tcPr>
            <w:tcW w:w="1769" w:type="dxa"/>
          </w:tcPr>
          <w:p>
            <w:pPr>
              <w:pStyle w:val="TableParagraph"/>
              <w:spacing w:before="168"/>
              <w:ind w:left="408" w:right="409"/>
              <w:rPr>
                <w:sz w:val="24"/>
              </w:rPr>
            </w:pPr>
            <w:r>
              <w:rPr>
                <w:sz w:val="24"/>
              </w:rPr>
              <w:t>Paladio</w:t>
            </w:r>
          </w:p>
        </w:tc>
        <w:tc>
          <w:tcPr>
            <w:tcW w:w="1903" w:type="dxa"/>
          </w:tcPr>
          <w:p>
            <w:pPr>
              <w:pStyle w:val="TableParagraph"/>
              <w:spacing w:before="168"/>
              <w:ind w:left="302"/>
              <w:jc w:val="left"/>
              <w:rPr>
                <w:sz w:val="24"/>
              </w:rPr>
            </w:pPr>
            <w:r>
              <w:rPr>
                <w:sz w:val="24"/>
              </w:rPr>
              <w:t>7147.03333</w:t>
            </w:r>
          </w:p>
        </w:tc>
        <w:tc>
          <w:tcPr>
            <w:tcW w:w="2280" w:type="dxa"/>
          </w:tcPr>
          <w:p>
            <w:pPr>
              <w:pStyle w:val="TableParagraph"/>
              <w:spacing w:before="168"/>
              <w:ind w:left="738" w:right="739"/>
              <w:rPr>
                <w:sz w:val="24"/>
              </w:rPr>
            </w:pPr>
            <w:r>
              <w:rPr>
                <w:sz w:val="24"/>
              </w:rPr>
              <w:t>1.25</w:t>
            </w:r>
          </w:p>
        </w:tc>
        <w:tc>
          <w:tcPr>
            <w:tcW w:w="2730" w:type="dxa"/>
          </w:tcPr>
          <w:p>
            <w:pPr>
              <w:pStyle w:val="TableParagraph"/>
              <w:spacing w:before="168"/>
              <w:ind w:left="1096" w:right="1097"/>
              <w:rPr>
                <w:sz w:val="24"/>
              </w:rPr>
            </w:pPr>
            <w:r>
              <w:rPr>
                <w:sz w:val="24"/>
              </w:rPr>
              <w:t>1.25</w:t>
            </w:r>
          </w:p>
        </w:tc>
      </w:tr>
    </w:tbl>
    <w:p>
      <w:pPr>
        <w:spacing w:line="230" w:lineRule="exact" w:before="0"/>
        <w:ind w:left="810" w:right="0" w:firstLine="0"/>
        <w:jc w:val="both"/>
        <w:rPr>
          <w:sz w:val="20"/>
        </w:rPr>
      </w:pPr>
      <w:r>
        <w:rPr>
          <w:sz w:val="20"/>
        </w:rPr>
        <w:t>CPS: Cuentas por segundo del analito</w:t>
      </w:r>
    </w:p>
    <w:p>
      <w:pPr>
        <w:pStyle w:val="BodyText"/>
        <w:rPr>
          <w:sz w:val="20"/>
        </w:rPr>
      </w:pPr>
    </w:p>
    <w:p>
      <w:pPr>
        <w:pStyle w:val="BodyText"/>
        <w:spacing w:before="10"/>
        <w:rPr>
          <w:sz w:val="27"/>
        </w:rPr>
      </w:pPr>
    </w:p>
    <w:p>
      <w:pPr>
        <w:pStyle w:val="Heading1"/>
        <w:numPr>
          <w:ilvl w:val="0"/>
          <w:numId w:val="13"/>
        </w:numPr>
        <w:tabs>
          <w:tab w:pos="821" w:val="left" w:leader="none"/>
          <w:tab w:pos="822" w:val="left" w:leader="none"/>
        </w:tabs>
        <w:spacing w:line="240" w:lineRule="auto" w:before="0" w:after="0"/>
        <w:ind w:left="822" w:right="0" w:hanging="653"/>
        <w:jc w:val="left"/>
      </w:pPr>
      <w:r>
        <w:rPr/>
        <w:t>Exactitud</w:t>
      </w:r>
    </w:p>
    <w:p>
      <w:pPr>
        <w:pStyle w:val="BodyText"/>
        <w:spacing w:before="1"/>
        <w:rPr>
          <w:b/>
          <w:sz w:val="21"/>
        </w:rPr>
      </w:pPr>
    </w:p>
    <w:p>
      <w:pPr>
        <w:pStyle w:val="BodyText"/>
        <w:spacing w:line="360" w:lineRule="auto"/>
        <w:ind w:left="810" w:right="216"/>
        <w:jc w:val="both"/>
      </w:pPr>
      <w:r>
        <w:rPr>
          <w:color w:val="212121"/>
        </w:rPr>
        <w:t>Las soluciones muestra fueron adicionadas con Pd al LC, 100 % y 120 %  de la concentración objetivo. En cada nivel de estudio, se evaluaron 3 muestras. Estas soluciones se analizaron junto con una solución de  muestra no adicionada y cada % de recobro individual se calculó en base a la cantidad del analito adicionado. También se calculó la media del % de recuperación para cada</w:t>
      </w:r>
      <w:r>
        <w:rPr>
          <w:color w:val="212121"/>
          <w:spacing w:val="-8"/>
        </w:rPr>
        <w:t> </w:t>
      </w:r>
      <w:r>
        <w:rPr>
          <w:color w:val="212121"/>
        </w:rPr>
        <w:t>nivel.</w:t>
      </w:r>
    </w:p>
    <w:p>
      <w:pPr>
        <w:spacing w:after="0" w:line="360" w:lineRule="auto"/>
        <w:jc w:val="both"/>
        <w:sectPr>
          <w:pgSz w:w="12240" w:h="15840"/>
          <w:pgMar w:header="0" w:footer="919" w:top="1360" w:bottom="1100" w:left="1600" w:right="1480"/>
        </w:sectPr>
      </w:pPr>
    </w:p>
    <w:p>
      <w:pPr>
        <w:pStyle w:val="BodyText"/>
        <w:spacing w:line="360" w:lineRule="auto" w:before="56"/>
        <w:ind w:left="921" w:right="214"/>
        <w:jc w:val="both"/>
      </w:pPr>
      <w:r>
        <w:rPr>
          <w:color w:val="212121"/>
        </w:rPr>
        <w:t>Los resultados, presentados en la Tabla D.VI.1, indican que la concentración de Pd en la muestra se puede determinar con precisión  sobre un intervalo de concentración que varía desde el LC hasta el 120 % de la concentración objetivo. El paladio cumple con la especificación para</w:t>
      </w:r>
      <w:r>
        <w:rPr>
          <w:color w:val="212121"/>
          <w:spacing w:val="15"/>
        </w:rPr>
        <w:t> </w:t>
      </w:r>
      <w:r>
        <w:rPr>
          <w:color w:val="212121"/>
        </w:rPr>
        <w:t>el</w:t>
      </w:r>
    </w:p>
    <w:p>
      <w:pPr>
        <w:pStyle w:val="BodyText"/>
        <w:spacing w:before="5"/>
        <w:ind w:left="921"/>
        <w:jc w:val="both"/>
      </w:pPr>
      <w:r>
        <w:rPr>
          <w:color w:val="212121"/>
        </w:rPr>
        <w:t>% de recuperación de 70 a 150 % ya que los resultados varían desde 91  %</w:t>
      </w:r>
    </w:p>
    <w:p>
      <w:pPr>
        <w:pStyle w:val="BodyText"/>
        <w:spacing w:before="137"/>
        <w:ind w:left="921"/>
        <w:jc w:val="both"/>
      </w:pPr>
      <w:r>
        <w:rPr>
          <w:color w:val="212121"/>
        </w:rPr>
        <w:t>- 109 %.</w:t>
      </w:r>
    </w:p>
    <w:p>
      <w:pPr>
        <w:pStyle w:val="BodyText"/>
        <w:spacing w:before="4"/>
        <w:rPr>
          <w:sz w:val="29"/>
        </w:rPr>
      </w:pPr>
    </w:p>
    <w:p>
      <w:pPr>
        <w:pStyle w:val="Heading1"/>
        <w:spacing w:before="1"/>
        <w:ind w:left="202"/>
        <w:jc w:val="left"/>
      </w:pPr>
      <w:r>
        <w:rPr/>
        <w:t>Tabla D.VI.1. Resultados de la prueba de  Exactitud para Pd</w:t>
      </w:r>
    </w:p>
    <w:p>
      <w:pPr>
        <w:pStyle w:val="BodyText"/>
        <w:rPr>
          <w:b/>
          <w:sz w:val="21"/>
        </w:rPr>
      </w:pPr>
    </w:p>
    <w:p>
      <w:pPr>
        <w:pStyle w:val="BodyText"/>
        <w:spacing w:before="1"/>
        <w:ind w:left="202"/>
      </w:pPr>
      <w:r>
        <w:rPr/>
        <w:t>A: Límite de cuantificación</w:t>
      </w:r>
    </w:p>
    <w:p>
      <w:pPr>
        <w:pStyle w:val="BodyText"/>
        <w:spacing w:before="2"/>
        <w:rPr>
          <w:sz w:val="21"/>
        </w:rPr>
      </w:pPr>
    </w:p>
    <w:tbl>
      <w:tblPr>
        <w:tblW w:w="0" w:type="auto"/>
        <w:jc w:val="left"/>
        <w:tblInd w:w="106"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CellMar>
          <w:top w:w="0" w:type="dxa"/>
          <w:left w:w="0" w:type="dxa"/>
          <w:bottom w:w="0" w:type="dxa"/>
          <w:right w:w="0" w:type="dxa"/>
        </w:tblCellMar>
        <w:tblLook w:val="01E0"/>
      </w:tblPr>
      <w:tblGrid>
        <w:gridCol w:w="1981"/>
        <w:gridCol w:w="2160"/>
        <w:gridCol w:w="2341"/>
        <w:gridCol w:w="2520"/>
      </w:tblGrid>
      <w:tr>
        <w:trPr>
          <w:trHeight w:val="707" w:hRule="exact"/>
        </w:trPr>
        <w:tc>
          <w:tcPr>
            <w:tcW w:w="1981" w:type="dxa"/>
            <w:shd w:val="clear" w:color="auto" w:fill="D9D9D9"/>
          </w:tcPr>
          <w:p>
            <w:pPr>
              <w:pStyle w:val="TableParagraph"/>
              <w:spacing w:before="119"/>
              <w:ind w:left="568"/>
              <w:jc w:val="left"/>
              <w:rPr>
                <w:b/>
                <w:sz w:val="24"/>
              </w:rPr>
            </w:pPr>
            <w:r>
              <w:rPr>
                <w:b/>
                <w:sz w:val="24"/>
              </w:rPr>
              <w:t>Analito</w:t>
            </w:r>
          </w:p>
        </w:tc>
        <w:tc>
          <w:tcPr>
            <w:tcW w:w="7021" w:type="dxa"/>
            <w:gridSpan w:val="3"/>
            <w:shd w:val="clear" w:color="auto" w:fill="D9D9D9"/>
          </w:tcPr>
          <w:p>
            <w:pPr>
              <w:pStyle w:val="TableParagraph"/>
              <w:spacing w:before="119"/>
              <w:ind w:left="2849" w:right="2849"/>
              <w:rPr>
                <w:b/>
                <w:sz w:val="24"/>
              </w:rPr>
            </w:pPr>
            <w:r>
              <w:rPr>
                <w:b/>
                <w:sz w:val="24"/>
              </w:rPr>
              <w:t>% Recobro</w:t>
            </w:r>
          </w:p>
        </w:tc>
      </w:tr>
      <w:tr>
        <w:trPr>
          <w:trHeight w:val="343" w:hRule="exact"/>
        </w:trPr>
        <w:tc>
          <w:tcPr>
            <w:tcW w:w="1981" w:type="dxa"/>
            <w:vMerge w:val="restart"/>
          </w:tcPr>
          <w:p>
            <w:pPr>
              <w:pStyle w:val="TableParagraph"/>
              <w:spacing w:before="9"/>
              <w:jc w:val="left"/>
              <w:rPr>
                <w:sz w:val="18"/>
              </w:rPr>
            </w:pPr>
          </w:p>
          <w:p>
            <w:pPr>
              <w:pStyle w:val="TableParagraph"/>
              <w:ind w:left="573"/>
              <w:jc w:val="left"/>
              <w:rPr>
                <w:sz w:val="24"/>
              </w:rPr>
            </w:pPr>
            <w:r>
              <w:rPr>
                <w:sz w:val="24"/>
              </w:rPr>
              <w:t>Paladio</w:t>
            </w:r>
          </w:p>
        </w:tc>
        <w:tc>
          <w:tcPr>
            <w:tcW w:w="2160" w:type="dxa"/>
            <w:tcBorders>
              <w:bottom w:val="single" w:sz="8" w:space="0" w:color="000000"/>
              <w:right w:val="single" w:sz="12" w:space="0" w:color="000000"/>
            </w:tcBorders>
          </w:tcPr>
          <w:p>
            <w:pPr>
              <w:pStyle w:val="TableParagraph"/>
              <w:spacing w:line="274" w:lineRule="exact"/>
              <w:ind w:left="845" w:right="845"/>
              <w:rPr>
                <w:sz w:val="24"/>
              </w:rPr>
            </w:pPr>
            <w:r>
              <w:rPr>
                <w:sz w:val="24"/>
              </w:rPr>
              <w:t>79</w:t>
            </w:r>
          </w:p>
        </w:tc>
        <w:tc>
          <w:tcPr>
            <w:tcW w:w="2341" w:type="dxa"/>
            <w:vMerge w:val="restart"/>
            <w:tcBorders>
              <w:left w:val="single" w:sz="12" w:space="0" w:color="000000"/>
            </w:tcBorders>
          </w:tcPr>
          <w:p>
            <w:pPr>
              <w:pStyle w:val="TableParagraph"/>
              <w:spacing w:before="3"/>
              <w:jc w:val="left"/>
              <w:rPr>
                <w:sz w:val="29"/>
              </w:rPr>
            </w:pPr>
          </w:p>
          <w:p>
            <w:pPr>
              <w:pStyle w:val="TableParagraph"/>
              <w:ind w:left="640"/>
              <w:jc w:val="left"/>
              <w:rPr>
                <w:sz w:val="24"/>
              </w:rPr>
            </w:pPr>
            <w:r>
              <w:rPr>
                <w:sz w:val="24"/>
              </w:rPr>
              <w:t>Promedio</w:t>
            </w:r>
          </w:p>
        </w:tc>
        <w:tc>
          <w:tcPr>
            <w:tcW w:w="2520" w:type="dxa"/>
            <w:vMerge w:val="restart"/>
          </w:tcPr>
          <w:p>
            <w:pPr>
              <w:pStyle w:val="TableParagraph"/>
              <w:spacing w:before="3"/>
              <w:jc w:val="left"/>
              <w:rPr>
                <w:sz w:val="29"/>
              </w:rPr>
            </w:pPr>
          </w:p>
          <w:p>
            <w:pPr>
              <w:pStyle w:val="TableParagraph"/>
              <w:ind w:left="1025" w:right="1025"/>
              <w:rPr>
                <w:sz w:val="24"/>
              </w:rPr>
            </w:pPr>
            <w:r>
              <w:rPr>
                <w:sz w:val="24"/>
              </w:rPr>
              <w:t>79</w:t>
            </w:r>
          </w:p>
        </w:tc>
      </w:tr>
      <w:tr>
        <w:trPr>
          <w:trHeight w:val="336" w:hRule="exact"/>
        </w:trPr>
        <w:tc>
          <w:tcPr>
            <w:tcW w:w="1981" w:type="dxa"/>
            <w:vMerge/>
          </w:tcPr>
          <w:p>
            <w:pPr/>
          </w:p>
        </w:tc>
        <w:tc>
          <w:tcPr>
            <w:tcW w:w="2160" w:type="dxa"/>
            <w:tcBorders>
              <w:top w:val="single" w:sz="8" w:space="0" w:color="000000"/>
              <w:bottom w:val="single" w:sz="8" w:space="0" w:color="000000"/>
              <w:right w:val="single" w:sz="12" w:space="0" w:color="000000"/>
            </w:tcBorders>
          </w:tcPr>
          <w:p>
            <w:pPr>
              <w:pStyle w:val="TableParagraph"/>
              <w:spacing w:line="274" w:lineRule="exact"/>
              <w:ind w:left="845" w:right="845"/>
              <w:rPr>
                <w:sz w:val="24"/>
              </w:rPr>
            </w:pPr>
            <w:r>
              <w:rPr>
                <w:sz w:val="24"/>
              </w:rPr>
              <w:t>78</w:t>
            </w:r>
          </w:p>
        </w:tc>
        <w:tc>
          <w:tcPr>
            <w:tcW w:w="2341" w:type="dxa"/>
            <w:vMerge/>
            <w:tcBorders>
              <w:left w:val="single" w:sz="12" w:space="0" w:color="000000"/>
            </w:tcBorders>
          </w:tcPr>
          <w:p>
            <w:pPr/>
          </w:p>
        </w:tc>
        <w:tc>
          <w:tcPr>
            <w:tcW w:w="2520" w:type="dxa"/>
            <w:vMerge/>
          </w:tcPr>
          <w:p>
            <w:pPr/>
          </w:p>
        </w:tc>
      </w:tr>
      <w:tr>
        <w:trPr>
          <w:trHeight w:val="341" w:hRule="exact"/>
        </w:trPr>
        <w:tc>
          <w:tcPr>
            <w:tcW w:w="1981" w:type="dxa"/>
            <w:vMerge/>
          </w:tcPr>
          <w:p>
            <w:pPr/>
          </w:p>
        </w:tc>
        <w:tc>
          <w:tcPr>
            <w:tcW w:w="2160" w:type="dxa"/>
            <w:tcBorders>
              <w:top w:val="single" w:sz="8" w:space="0" w:color="000000"/>
              <w:right w:val="single" w:sz="12" w:space="0" w:color="000000"/>
            </w:tcBorders>
          </w:tcPr>
          <w:p>
            <w:pPr>
              <w:pStyle w:val="TableParagraph"/>
              <w:ind w:left="845" w:right="845"/>
              <w:rPr>
                <w:sz w:val="24"/>
              </w:rPr>
            </w:pPr>
            <w:r>
              <w:rPr>
                <w:sz w:val="24"/>
              </w:rPr>
              <w:t>80</w:t>
            </w:r>
          </w:p>
        </w:tc>
        <w:tc>
          <w:tcPr>
            <w:tcW w:w="2341" w:type="dxa"/>
            <w:vMerge/>
            <w:tcBorders>
              <w:left w:val="single" w:sz="12" w:space="0" w:color="000000"/>
            </w:tcBorders>
          </w:tcPr>
          <w:p>
            <w:pPr/>
          </w:p>
        </w:tc>
        <w:tc>
          <w:tcPr>
            <w:tcW w:w="2520" w:type="dxa"/>
            <w:vMerge/>
          </w:tcPr>
          <w:p>
            <w:pPr/>
          </w:p>
        </w:tc>
      </w:tr>
    </w:tbl>
    <w:p>
      <w:pPr>
        <w:pStyle w:val="BodyText"/>
        <w:rPr>
          <w:sz w:val="20"/>
        </w:rPr>
      </w:pPr>
    </w:p>
    <w:p>
      <w:pPr>
        <w:pStyle w:val="BodyText"/>
        <w:spacing w:before="1"/>
        <w:rPr>
          <w:sz w:val="19"/>
        </w:rPr>
      </w:pPr>
    </w:p>
    <w:p>
      <w:pPr>
        <w:pStyle w:val="BodyText"/>
        <w:spacing w:before="69"/>
        <w:ind w:left="202"/>
      </w:pPr>
      <w:r>
        <w:rPr/>
        <w:t>B: 100%</w:t>
      </w:r>
    </w:p>
    <w:p>
      <w:pPr>
        <w:pStyle w:val="BodyText"/>
        <w:spacing w:before="7" w:after="1"/>
      </w:pPr>
    </w:p>
    <w:tbl>
      <w:tblPr>
        <w:tblW w:w="0" w:type="auto"/>
        <w:jc w:val="left"/>
        <w:tblInd w:w="106"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CellMar>
          <w:top w:w="0" w:type="dxa"/>
          <w:left w:w="0" w:type="dxa"/>
          <w:bottom w:w="0" w:type="dxa"/>
          <w:right w:w="0" w:type="dxa"/>
        </w:tblCellMar>
        <w:tblLook w:val="01E0"/>
      </w:tblPr>
      <w:tblGrid>
        <w:gridCol w:w="1981"/>
        <w:gridCol w:w="2160"/>
        <w:gridCol w:w="2341"/>
        <w:gridCol w:w="2520"/>
      </w:tblGrid>
      <w:tr>
        <w:trPr>
          <w:trHeight w:val="707" w:hRule="exact"/>
        </w:trPr>
        <w:tc>
          <w:tcPr>
            <w:tcW w:w="1981" w:type="dxa"/>
            <w:shd w:val="clear" w:color="auto" w:fill="D9D9D9"/>
          </w:tcPr>
          <w:p>
            <w:pPr>
              <w:pStyle w:val="TableParagraph"/>
              <w:spacing w:before="119"/>
              <w:ind w:left="568"/>
              <w:jc w:val="left"/>
              <w:rPr>
                <w:b/>
                <w:sz w:val="24"/>
              </w:rPr>
            </w:pPr>
            <w:r>
              <w:rPr>
                <w:b/>
                <w:sz w:val="24"/>
              </w:rPr>
              <w:t>Analito</w:t>
            </w:r>
          </w:p>
        </w:tc>
        <w:tc>
          <w:tcPr>
            <w:tcW w:w="7021" w:type="dxa"/>
            <w:gridSpan w:val="3"/>
            <w:shd w:val="clear" w:color="auto" w:fill="D9D9D9"/>
          </w:tcPr>
          <w:p>
            <w:pPr>
              <w:pStyle w:val="TableParagraph"/>
              <w:spacing w:before="119"/>
              <w:ind w:left="2848" w:right="2849"/>
              <w:rPr>
                <w:b/>
                <w:sz w:val="24"/>
              </w:rPr>
            </w:pPr>
            <w:r>
              <w:rPr>
                <w:b/>
                <w:sz w:val="24"/>
              </w:rPr>
              <w:t>% Recobro</w:t>
            </w:r>
          </w:p>
        </w:tc>
      </w:tr>
      <w:tr>
        <w:trPr>
          <w:trHeight w:val="343" w:hRule="exact"/>
        </w:trPr>
        <w:tc>
          <w:tcPr>
            <w:tcW w:w="1981" w:type="dxa"/>
            <w:vMerge w:val="restart"/>
          </w:tcPr>
          <w:p>
            <w:pPr>
              <w:pStyle w:val="TableParagraph"/>
              <w:spacing w:before="7"/>
              <w:jc w:val="left"/>
              <w:rPr>
                <w:sz w:val="19"/>
              </w:rPr>
            </w:pPr>
          </w:p>
          <w:p>
            <w:pPr>
              <w:pStyle w:val="TableParagraph"/>
              <w:ind w:left="573"/>
              <w:jc w:val="left"/>
              <w:rPr>
                <w:sz w:val="24"/>
              </w:rPr>
            </w:pPr>
            <w:r>
              <w:rPr>
                <w:sz w:val="24"/>
              </w:rPr>
              <w:t>Paladio</w:t>
            </w:r>
          </w:p>
        </w:tc>
        <w:tc>
          <w:tcPr>
            <w:tcW w:w="2160" w:type="dxa"/>
            <w:tcBorders>
              <w:bottom w:val="single" w:sz="8" w:space="0" w:color="000000"/>
              <w:right w:val="single" w:sz="12" w:space="0" w:color="000000"/>
            </w:tcBorders>
          </w:tcPr>
          <w:p>
            <w:pPr>
              <w:pStyle w:val="TableParagraph"/>
              <w:spacing w:line="274" w:lineRule="exact"/>
              <w:ind w:left="845" w:right="845"/>
              <w:rPr>
                <w:sz w:val="24"/>
              </w:rPr>
            </w:pPr>
            <w:r>
              <w:rPr>
                <w:sz w:val="24"/>
              </w:rPr>
              <w:t>97</w:t>
            </w:r>
          </w:p>
        </w:tc>
        <w:tc>
          <w:tcPr>
            <w:tcW w:w="2341" w:type="dxa"/>
            <w:vMerge w:val="restart"/>
            <w:tcBorders>
              <w:left w:val="single" w:sz="12" w:space="0" w:color="000000"/>
            </w:tcBorders>
          </w:tcPr>
          <w:p>
            <w:pPr>
              <w:pStyle w:val="TableParagraph"/>
              <w:spacing w:before="1"/>
              <w:jc w:val="left"/>
              <w:rPr>
                <w:sz w:val="30"/>
              </w:rPr>
            </w:pPr>
          </w:p>
          <w:p>
            <w:pPr>
              <w:pStyle w:val="TableParagraph"/>
              <w:ind w:left="640"/>
              <w:jc w:val="left"/>
              <w:rPr>
                <w:sz w:val="24"/>
              </w:rPr>
            </w:pPr>
            <w:r>
              <w:rPr>
                <w:sz w:val="24"/>
              </w:rPr>
              <w:t>Promedio</w:t>
            </w:r>
          </w:p>
        </w:tc>
        <w:tc>
          <w:tcPr>
            <w:tcW w:w="2520" w:type="dxa"/>
            <w:vMerge w:val="restart"/>
          </w:tcPr>
          <w:p>
            <w:pPr>
              <w:pStyle w:val="TableParagraph"/>
              <w:spacing w:before="1"/>
              <w:jc w:val="left"/>
              <w:rPr>
                <w:sz w:val="30"/>
              </w:rPr>
            </w:pPr>
          </w:p>
          <w:p>
            <w:pPr>
              <w:pStyle w:val="TableParagraph"/>
              <w:ind w:left="1025" w:right="1025"/>
              <w:rPr>
                <w:sz w:val="24"/>
              </w:rPr>
            </w:pPr>
            <w:r>
              <w:rPr>
                <w:sz w:val="24"/>
              </w:rPr>
              <w:t>96</w:t>
            </w:r>
          </w:p>
        </w:tc>
      </w:tr>
      <w:tr>
        <w:trPr>
          <w:trHeight w:val="346" w:hRule="exact"/>
        </w:trPr>
        <w:tc>
          <w:tcPr>
            <w:tcW w:w="1981" w:type="dxa"/>
            <w:vMerge/>
          </w:tcPr>
          <w:p>
            <w:pPr/>
          </w:p>
        </w:tc>
        <w:tc>
          <w:tcPr>
            <w:tcW w:w="2160" w:type="dxa"/>
            <w:tcBorders>
              <w:top w:val="single" w:sz="8" w:space="0" w:color="000000"/>
              <w:bottom w:val="single" w:sz="8" w:space="0" w:color="000000"/>
              <w:right w:val="single" w:sz="12" w:space="0" w:color="000000"/>
            </w:tcBorders>
          </w:tcPr>
          <w:p>
            <w:pPr>
              <w:pStyle w:val="TableParagraph"/>
              <w:spacing w:before="7"/>
              <w:ind w:left="845" w:right="845"/>
              <w:rPr>
                <w:sz w:val="24"/>
              </w:rPr>
            </w:pPr>
            <w:r>
              <w:rPr>
                <w:sz w:val="24"/>
              </w:rPr>
              <w:t>95</w:t>
            </w:r>
          </w:p>
        </w:tc>
        <w:tc>
          <w:tcPr>
            <w:tcW w:w="2341" w:type="dxa"/>
            <w:vMerge/>
            <w:tcBorders>
              <w:left w:val="single" w:sz="12" w:space="0" w:color="000000"/>
            </w:tcBorders>
          </w:tcPr>
          <w:p>
            <w:pPr/>
          </w:p>
        </w:tc>
        <w:tc>
          <w:tcPr>
            <w:tcW w:w="2520" w:type="dxa"/>
            <w:vMerge/>
          </w:tcPr>
          <w:p>
            <w:pPr/>
          </w:p>
        </w:tc>
      </w:tr>
      <w:tr>
        <w:trPr>
          <w:trHeight w:val="355" w:hRule="exact"/>
        </w:trPr>
        <w:tc>
          <w:tcPr>
            <w:tcW w:w="1981" w:type="dxa"/>
            <w:vMerge/>
          </w:tcPr>
          <w:p>
            <w:pPr/>
          </w:p>
        </w:tc>
        <w:tc>
          <w:tcPr>
            <w:tcW w:w="2160" w:type="dxa"/>
            <w:tcBorders>
              <w:top w:val="single" w:sz="8" w:space="0" w:color="000000"/>
              <w:right w:val="single" w:sz="12" w:space="0" w:color="000000"/>
            </w:tcBorders>
          </w:tcPr>
          <w:p>
            <w:pPr>
              <w:pStyle w:val="TableParagraph"/>
              <w:spacing w:before="10"/>
              <w:ind w:left="845" w:right="845"/>
              <w:rPr>
                <w:sz w:val="24"/>
              </w:rPr>
            </w:pPr>
            <w:r>
              <w:rPr>
                <w:sz w:val="24"/>
              </w:rPr>
              <w:t>96</w:t>
            </w:r>
          </w:p>
        </w:tc>
        <w:tc>
          <w:tcPr>
            <w:tcW w:w="2341" w:type="dxa"/>
            <w:vMerge/>
            <w:tcBorders>
              <w:left w:val="single" w:sz="12" w:space="0" w:color="000000"/>
            </w:tcBorders>
          </w:tcPr>
          <w:p>
            <w:pPr/>
          </w:p>
        </w:tc>
        <w:tc>
          <w:tcPr>
            <w:tcW w:w="2520" w:type="dxa"/>
            <w:vMerge/>
          </w:tcPr>
          <w:p>
            <w:pPr/>
          </w:p>
        </w:tc>
      </w:tr>
    </w:tbl>
    <w:p>
      <w:pPr>
        <w:pStyle w:val="BodyText"/>
        <w:spacing w:before="4"/>
        <w:rPr>
          <w:sz w:val="21"/>
        </w:rPr>
      </w:pPr>
    </w:p>
    <w:p>
      <w:pPr>
        <w:pStyle w:val="BodyText"/>
        <w:spacing w:before="69"/>
        <w:ind w:left="202"/>
      </w:pPr>
      <w:r>
        <w:rPr/>
        <w:t>C: 120%</w:t>
      </w:r>
    </w:p>
    <w:p>
      <w:pPr>
        <w:pStyle w:val="BodyText"/>
        <w:spacing w:before="7" w:after="1"/>
      </w:pPr>
    </w:p>
    <w:tbl>
      <w:tblPr>
        <w:tblW w:w="0" w:type="auto"/>
        <w:jc w:val="left"/>
        <w:tblInd w:w="106"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CellMar>
          <w:top w:w="0" w:type="dxa"/>
          <w:left w:w="0" w:type="dxa"/>
          <w:bottom w:w="0" w:type="dxa"/>
          <w:right w:w="0" w:type="dxa"/>
        </w:tblCellMar>
        <w:tblLook w:val="01E0"/>
      </w:tblPr>
      <w:tblGrid>
        <w:gridCol w:w="1981"/>
        <w:gridCol w:w="2160"/>
        <w:gridCol w:w="2341"/>
        <w:gridCol w:w="2520"/>
      </w:tblGrid>
      <w:tr>
        <w:trPr>
          <w:trHeight w:val="587" w:hRule="exact"/>
        </w:trPr>
        <w:tc>
          <w:tcPr>
            <w:tcW w:w="1981" w:type="dxa"/>
            <w:shd w:val="clear" w:color="auto" w:fill="D9D9D9"/>
          </w:tcPr>
          <w:p>
            <w:pPr>
              <w:pStyle w:val="TableParagraph"/>
              <w:spacing w:line="275" w:lineRule="exact"/>
              <w:ind w:left="568"/>
              <w:jc w:val="left"/>
              <w:rPr>
                <w:b/>
                <w:sz w:val="24"/>
              </w:rPr>
            </w:pPr>
            <w:r>
              <w:rPr>
                <w:b/>
                <w:sz w:val="24"/>
              </w:rPr>
              <w:t>Analito</w:t>
            </w:r>
          </w:p>
        </w:tc>
        <w:tc>
          <w:tcPr>
            <w:tcW w:w="7021" w:type="dxa"/>
            <w:gridSpan w:val="3"/>
            <w:shd w:val="clear" w:color="auto" w:fill="D9D9D9"/>
          </w:tcPr>
          <w:p>
            <w:pPr>
              <w:pStyle w:val="TableParagraph"/>
              <w:spacing w:line="275" w:lineRule="exact"/>
              <w:ind w:left="2848" w:right="2849"/>
              <w:rPr>
                <w:b/>
                <w:sz w:val="24"/>
              </w:rPr>
            </w:pPr>
            <w:r>
              <w:rPr>
                <w:b/>
                <w:sz w:val="24"/>
              </w:rPr>
              <w:t>% Recobro</w:t>
            </w:r>
          </w:p>
        </w:tc>
      </w:tr>
      <w:tr>
        <w:trPr>
          <w:trHeight w:val="348" w:hRule="exact"/>
        </w:trPr>
        <w:tc>
          <w:tcPr>
            <w:tcW w:w="1981" w:type="dxa"/>
            <w:vMerge w:val="restart"/>
          </w:tcPr>
          <w:p>
            <w:pPr>
              <w:pStyle w:val="TableParagraph"/>
              <w:spacing w:before="7"/>
              <w:jc w:val="left"/>
              <w:rPr>
                <w:sz w:val="19"/>
              </w:rPr>
            </w:pPr>
          </w:p>
          <w:p>
            <w:pPr>
              <w:pStyle w:val="TableParagraph"/>
              <w:ind w:left="573"/>
              <w:jc w:val="left"/>
              <w:rPr>
                <w:sz w:val="24"/>
              </w:rPr>
            </w:pPr>
            <w:r>
              <w:rPr>
                <w:sz w:val="24"/>
              </w:rPr>
              <w:t>Paladio</w:t>
            </w:r>
          </w:p>
        </w:tc>
        <w:tc>
          <w:tcPr>
            <w:tcW w:w="2160" w:type="dxa"/>
            <w:tcBorders>
              <w:right w:val="single" w:sz="12" w:space="0" w:color="000000"/>
            </w:tcBorders>
          </w:tcPr>
          <w:p>
            <w:pPr>
              <w:pStyle w:val="TableParagraph"/>
              <w:spacing w:line="274" w:lineRule="exact"/>
              <w:ind w:left="845" w:right="845"/>
              <w:rPr>
                <w:sz w:val="24"/>
              </w:rPr>
            </w:pPr>
            <w:r>
              <w:rPr>
                <w:sz w:val="24"/>
              </w:rPr>
              <w:t>97</w:t>
            </w:r>
          </w:p>
        </w:tc>
        <w:tc>
          <w:tcPr>
            <w:tcW w:w="2341" w:type="dxa"/>
            <w:vMerge w:val="restart"/>
            <w:tcBorders>
              <w:left w:val="single" w:sz="12" w:space="0" w:color="000000"/>
            </w:tcBorders>
          </w:tcPr>
          <w:p>
            <w:pPr>
              <w:pStyle w:val="TableParagraph"/>
              <w:spacing w:before="1"/>
              <w:jc w:val="left"/>
              <w:rPr>
                <w:sz w:val="30"/>
              </w:rPr>
            </w:pPr>
          </w:p>
          <w:p>
            <w:pPr>
              <w:pStyle w:val="TableParagraph"/>
              <w:ind w:left="640"/>
              <w:jc w:val="left"/>
              <w:rPr>
                <w:sz w:val="24"/>
              </w:rPr>
            </w:pPr>
            <w:r>
              <w:rPr>
                <w:sz w:val="24"/>
              </w:rPr>
              <w:t>Promedio</w:t>
            </w:r>
          </w:p>
        </w:tc>
        <w:tc>
          <w:tcPr>
            <w:tcW w:w="2520" w:type="dxa"/>
            <w:vMerge w:val="restart"/>
          </w:tcPr>
          <w:p>
            <w:pPr>
              <w:pStyle w:val="TableParagraph"/>
              <w:spacing w:before="1"/>
              <w:jc w:val="left"/>
              <w:rPr>
                <w:sz w:val="30"/>
              </w:rPr>
            </w:pPr>
          </w:p>
          <w:p>
            <w:pPr>
              <w:pStyle w:val="TableParagraph"/>
              <w:ind w:left="1025" w:right="1025"/>
              <w:rPr>
                <w:sz w:val="24"/>
              </w:rPr>
            </w:pPr>
            <w:r>
              <w:rPr>
                <w:sz w:val="24"/>
              </w:rPr>
              <w:t>96</w:t>
            </w:r>
          </w:p>
        </w:tc>
      </w:tr>
      <w:tr>
        <w:trPr>
          <w:trHeight w:val="341" w:hRule="exact"/>
        </w:trPr>
        <w:tc>
          <w:tcPr>
            <w:tcW w:w="1981" w:type="dxa"/>
            <w:vMerge/>
          </w:tcPr>
          <w:p>
            <w:pPr/>
          </w:p>
        </w:tc>
        <w:tc>
          <w:tcPr>
            <w:tcW w:w="2160" w:type="dxa"/>
            <w:tcBorders>
              <w:bottom w:val="single" w:sz="8" w:space="0" w:color="000000"/>
              <w:right w:val="single" w:sz="12" w:space="0" w:color="000000"/>
            </w:tcBorders>
          </w:tcPr>
          <w:p>
            <w:pPr>
              <w:pStyle w:val="TableParagraph"/>
              <w:spacing w:line="275" w:lineRule="exact"/>
              <w:ind w:left="845" w:right="845"/>
              <w:rPr>
                <w:sz w:val="24"/>
              </w:rPr>
            </w:pPr>
            <w:r>
              <w:rPr>
                <w:sz w:val="24"/>
              </w:rPr>
              <w:t>95</w:t>
            </w:r>
          </w:p>
        </w:tc>
        <w:tc>
          <w:tcPr>
            <w:tcW w:w="2341" w:type="dxa"/>
            <w:vMerge/>
            <w:tcBorders>
              <w:left w:val="single" w:sz="12" w:space="0" w:color="000000"/>
            </w:tcBorders>
          </w:tcPr>
          <w:p>
            <w:pPr/>
          </w:p>
        </w:tc>
        <w:tc>
          <w:tcPr>
            <w:tcW w:w="2520" w:type="dxa"/>
            <w:vMerge/>
          </w:tcPr>
          <w:p>
            <w:pPr/>
          </w:p>
        </w:tc>
      </w:tr>
      <w:tr>
        <w:trPr>
          <w:trHeight w:val="355" w:hRule="exact"/>
        </w:trPr>
        <w:tc>
          <w:tcPr>
            <w:tcW w:w="1981" w:type="dxa"/>
            <w:vMerge/>
          </w:tcPr>
          <w:p>
            <w:pPr/>
          </w:p>
        </w:tc>
        <w:tc>
          <w:tcPr>
            <w:tcW w:w="2160" w:type="dxa"/>
            <w:tcBorders>
              <w:top w:val="single" w:sz="8" w:space="0" w:color="000000"/>
              <w:right w:val="single" w:sz="12" w:space="0" w:color="000000"/>
            </w:tcBorders>
          </w:tcPr>
          <w:p>
            <w:pPr>
              <w:pStyle w:val="TableParagraph"/>
              <w:spacing w:before="10"/>
              <w:ind w:left="845" w:right="845"/>
              <w:rPr>
                <w:sz w:val="24"/>
              </w:rPr>
            </w:pPr>
            <w:r>
              <w:rPr>
                <w:sz w:val="24"/>
              </w:rPr>
              <w:t>95</w:t>
            </w:r>
          </w:p>
        </w:tc>
        <w:tc>
          <w:tcPr>
            <w:tcW w:w="2341" w:type="dxa"/>
            <w:vMerge/>
            <w:tcBorders>
              <w:left w:val="single" w:sz="12" w:space="0" w:color="000000"/>
            </w:tcBorders>
          </w:tcPr>
          <w:p>
            <w:pPr/>
          </w:p>
        </w:tc>
        <w:tc>
          <w:tcPr>
            <w:tcW w:w="2520" w:type="dxa"/>
            <w:vMerge/>
          </w:tcPr>
          <w:p>
            <w:pPr/>
          </w:p>
        </w:tc>
      </w:tr>
    </w:tbl>
    <w:p>
      <w:pPr>
        <w:spacing w:after="0"/>
        <w:sectPr>
          <w:pgSz w:w="12240" w:h="15840"/>
          <w:pgMar w:header="0" w:footer="919" w:top="1360" w:bottom="1100" w:left="1500" w:right="1480"/>
        </w:sectPr>
      </w:pPr>
    </w:p>
    <w:p>
      <w:pPr>
        <w:pStyle w:val="Heading1"/>
        <w:numPr>
          <w:ilvl w:val="0"/>
          <w:numId w:val="13"/>
        </w:numPr>
        <w:tabs>
          <w:tab w:pos="821" w:val="left" w:leader="none"/>
          <w:tab w:pos="822" w:val="left" w:leader="none"/>
        </w:tabs>
        <w:spacing w:line="240" w:lineRule="auto" w:before="56" w:after="0"/>
        <w:ind w:left="822" w:right="0" w:hanging="720"/>
        <w:jc w:val="left"/>
      </w:pPr>
      <w:r>
        <w:rPr/>
        <w:t>Precisión</w:t>
      </w:r>
    </w:p>
    <w:p>
      <w:pPr>
        <w:pStyle w:val="BodyText"/>
        <w:spacing w:before="1"/>
        <w:rPr>
          <w:b/>
          <w:sz w:val="31"/>
        </w:rPr>
      </w:pPr>
    </w:p>
    <w:p>
      <w:pPr>
        <w:spacing w:before="0"/>
        <w:ind w:left="821" w:right="0" w:firstLine="0"/>
        <w:jc w:val="both"/>
        <w:rPr>
          <w:b/>
          <w:sz w:val="24"/>
        </w:rPr>
      </w:pPr>
      <w:r>
        <w:rPr>
          <w:b/>
          <w:color w:val="212121"/>
          <w:sz w:val="24"/>
        </w:rPr>
        <w:t>Repetibilidad (Analista 1), Día 1, Instrumento 1</w:t>
      </w:r>
    </w:p>
    <w:p>
      <w:pPr>
        <w:pStyle w:val="BodyText"/>
        <w:spacing w:before="3"/>
        <w:rPr>
          <w:b/>
          <w:sz w:val="31"/>
        </w:rPr>
      </w:pPr>
    </w:p>
    <w:p>
      <w:pPr>
        <w:pStyle w:val="BodyText"/>
        <w:spacing w:line="360" w:lineRule="auto"/>
        <w:ind w:left="821" w:right="115"/>
        <w:jc w:val="both"/>
      </w:pPr>
      <w:r>
        <w:rPr>
          <w:color w:val="212121"/>
        </w:rPr>
        <w:t>El analista 1 preparó y analizó 6 muestras independientes, las preparaciones fueron adicionadas con Pd al 100 % de la concentración como se define en el método. Se calculó el % de recobro y el % DER de las</w:t>
      </w:r>
    </w:p>
    <w:p>
      <w:pPr>
        <w:pStyle w:val="BodyText"/>
        <w:spacing w:line="360" w:lineRule="auto" w:before="2"/>
        <w:ind w:left="821" w:right="115"/>
        <w:jc w:val="both"/>
      </w:pPr>
      <w:r>
        <w:rPr>
          <w:color w:val="212121"/>
        </w:rPr>
        <w:t>6 muestras que se utilizaron para la evaluación de la precisión. Los resultados se presentan en la Tabla D.VII.1. El valor de % de DER para el recobro de Pd cumple con el requisito de NMT 20 %.</w:t>
      </w:r>
    </w:p>
    <w:p>
      <w:pPr>
        <w:pStyle w:val="BodyText"/>
        <w:rPr>
          <w:sz w:val="28"/>
        </w:rPr>
      </w:pPr>
    </w:p>
    <w:p>
      <w:pPr>
        <w:pStyle w:val="Heading1"/>
        <w:ind w:left="821"/>
      </w:pPr>
      <w:r>
        <w:rPr>
          <w:color w:val="212121"/>
        </w:rPr>
        <w:t>Repetibilidad (Analista 2), Día 2, Instrumento 1</w:t>
      </w:r>
    </w:p>
    <w:p>
      <w:pPr>
        <w:pStyle w:val="BodyText"/>
        <w:spacing w:before="1"/>
        <w:rPr>
          <w:b/>
          <w:sz w:val="31"/>
        </w:rPr>
      </w:pPr>
    </w:p>
    <w:p>
      <w:pPr>
        <w:pStyle w:val="BodyText"/>
        <w:spacing w:line="360" w:lineRule="auto"/>
        <w:ind w:left="821" w:right="117"/>
        <w:jc w:val="both"/>
      </w:pPr>
      <w:r>
        <w:rPr>
          <w:color w:val="212121"/>
        </w:rPr>
        <w:t>Con el fin de determinar la robustez del método, se realizaron pruebas en días diferentes y por diferentes analistas</w:t>
      </w:r>
    </w:p>
    <w:p>
      <w:pPr>
        <w:pStyle w:val="BodyText"/>
      </w:pPr>
    </w:p>
    <w:p>
      <w:pPr>
        <w:pStyle w:val="BodyText"/>
        <w:spacing w:line="360" w:lineRule="auto" w:before="142"/>
        <w:ind w:left="821" w:right="114"/>
        <w:jc w:val="both"/>
      </w:pPr>
      <w:r>
        <w:rPr>
          <w:color w:val="212121"/>
        </w:rPr>
        <w:t>De acuerdo al método se prepararon seis muestras adicionadas con Pd al 100 % de la concentración objetivo y se analizaron por un segundo analista en un día diferente; en ausencia de un segundo equipo, se utilizó mismo equipo usado en la prueba de repetibilidad. Se calculó el % de recuperación y el % de DER de las 6 muestras que se utilizaron para la evaluación de la precisión. Los resultados se presentan en la Tabla D.VII.2. El %DER del recobro cumple con el requisito de NMT 20 %.</w:t>
      </w:r>
    </w:p>
    <w:p>
      <w:pPr>
        <w:pStyle w:val="BodyText"/>
      </w:pPr>
    </w:p>
    <w:p>
      <w:pPr>
        <w:pStyle w:val="BodyText"/>
        <w:spacing w:line="360" w:lineRule="auto" w:before="142"/>
        <w:ind w:left="821" w:right="115"/>
        <w:jc w:val="both"/>
      </w:pPr>
      <w:r>
        <w:rPr>
          <w:color w:val="212121"/>
        </w:rPr>
        <w:t>La calculo la diferencia absoluta de la media del % de recobro de Pd para la evaluación de la precisión. Los datos mostrados en la Tabla D.VII.3 demuestran que diferencia absoluta cumple con el requisito de NMT 15 %, lo que demuestra que el método es preciso.</w:t>
      </w:r>
    </w:p>
    <w:p>
      <w:pPr>
        <w:spacing w:after="0" w:line="360" w:lineRule="auto"/>
        <w:jc w:val="both"/>
        <w:sectPr>
          <w:pgSz w:w="12240" w:h="15840"/>
          <w:pgMar w:header="0" w:footer="919" w:top="1360" w:bottom="1100" w:left="1600" w:right="1580"/>
        </w:sectPr>
      </w:pPr>
    </w:p>
    <w:p>
      <w:pPr>
        <w:pStyle w:val="Heading1"/>
        <w:spacing w:before="54"/>
        <w:jc w:val="left"/>
      </w:pPr>
      <w:r>
        <w:rPr/>
        <w:t>Tabla D.VII.1. Resultados de la prueba de Repetibilidad para Pd</w:t>
      </w:r>
    </w:p>
    <w:p>
      <w:pPr>
        <w:pStyle w:val="BodyText"/>
        <w:spacing w:before="9"/>
        <w:rPr>
          <w:b/>
          <w:sz w:val="10"/>
        </w:rPr>
      </w:pPr>
    </w:p>
    <w:tbl>
      <w:tblPr>
        <w:tblW w:w="0" w:type="auto"/>
        <w:jc w:val="left"/>
        <w:tblInd w:w="2553"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CellMar>
          <w:top w:w="0" w:type="dxa"/>
          <w:left w:w="0" w:type="dxa"/>
          <w:bottom w:w="0" w:type="dxa"/>
          <w:right w:w="0" w:type="dxa"/>
        </w:tblCellMar>
        <w:tblLook w:val="01E0"/>
      </w:tblPr>
      <w:tblGrid>
        <w:gridCol w:w="1954"/>
        <w:gridCol w:w="1954"/>
      </w:tblGrid>
      <w:tr>
        <w:trPr>
          <w:trHeight w:val="426" w:hRule="exact"/>
        </w:trPr>
        <w:tc>
          <w:tcPr>
            <w:tcW w:w="3908" w:type="dxa"/>
            <w:gridSpan w:val="2"/>
            <w:shd w:val="clear" w:color="auto" w:fill="D9D9D9"/>
          </w:tcPr>
          <w:p>
            <w:pPr>
              <w:pStyle w:val="TableParagraph"/>
              <w:spacing w:before="115"/>
              <w:ind w:left="1185"/>
              <w:jc w:val="left"/>
              <w:rPr>
                <w:b/>
                <w:sz w:val="24"/>
              </w:rPr>
            </w:pPr>
            <w:r>
              <w:rPr>
                <w:b/>
                <w:sz w:val="24"/>
              </w:rPr>
              <w:t>% RECOBRO</w:t>
            </w:r>
          </w:p>
        </w:tc>
      </w:tr>
      <w:tr>
        <w:trPr>
          <w:trHeight w:val="582" w:hRule="exact"/>
        </w:trPr>
        <w:tc>
          <w:tcPr>
            <w:tcW w:w="1954" w:type="dxa"/>
            <w:shd w:val="clear" w:color="auto" w:fill="D9D9D9"/>
          </w:tcPr>
          <w:p>
            <w:pPr>
              <w:pStyle w:val="TableParagraph"/>
              <w:ind w:left="494" w:right="318" w:hanging="161"/>
              <w:jc w:val="left"/>
              <w:rPr>
                <w:b/>
                <w:sz w:val="24"/>
              </w:rPr>
            </w:pPr>
            <w:r>
              <w:rPr>
                <w:b/>
                <w:sz w:val="24"/>
              </w:rPr>
              <w:t>Número de muestra</w:t>
            </w:r>
          </w:p>
        </w:tc>
        <w:tc>
          <w:tcPr>
            <w:tcW w:w="1954" w:type="dxa"/>
            <w:shd w:val="clear" w:color="auto" w:fill="D9D9D9"/>
          </w:tcPr>
          <w:p>
            <w:pPr>
              <w:pStyle w:val="TableParagraph"/>
              <w:spacing w:before="193"/>
              <w:ind w:left="229" w:right="228"/>
              <w:rPr>
                <w:b/>
                <w:sz w:val="24"/>
              </w:rPr>
            </w:pPr>
            <w:r>
              <w:rPr>
                <w:b/>
                <w:sz w:val="24"/>
              </w:rPr>
              <w:t>Paladio</w:t>
            </w:r>
          </w:p>
        </w:tc>
      </w:tr>
      <w:tr>
        <w:trPr>
          <w:trHeight w:val="360" w:hRule="exact"/>
        </w:trPr>
        <w:tc>
          <w:tcPr>
            <w:tcW w:w="1954" w:type="dxa"/>
            <w:tcBorders>
              <w:bottom w:val="single" w:sz="8" w:space="0" w:color="000000"/>
            </w:tcBorders>
          </w:tcPr>
          <w:p>
            <w:pPr>
              <w:pStyle w:val="TableParagraph"/>
              <w:spacing w:before="55"/>
              <w:ind w:right="1"/>
              <w:rPr>
                <w:sz w:val="24"/>
              </w:rPr>
            </w:pPr>
            <w:r>
              <w:rPr>
                <w:w w:val="99"/>
                <w:sz w:val="24"/>
              </w:rPr>
              <w:t>1</w:t>
            </w:r>
          </w:p>
        </w:tc>
        <w:tc>
          <w:tcPr>
            <w:tcW w:w="1954" w:type="dxa"/>
            <w:tcBorders>
              <w:bottom w:val="single" w:sz="8" w:space="0" w:color="000000"/>
            </w:tcBorders>
          </w:tcPr>
          <w:p>
            <w:pPr>
              <w:pStyle w:val="TableParagraph"/>
              <w:spacing w:before="55"/>
              <w:ind w:left="229" w:right="229"/>
              <w:rPr>
                <w:sz w:val="24"/>
              </w:rPr>
            </w:pPr>
            <w:r>
              <w:rPr>
                <w:sz w:val="24"/>
              </w:rPr>
              <w:t>96.76</w:t>
            </w:r>
          </w:p>
        </w:tc>
      </w:tr>
      <w:tr>
        <w:trPr>
          <w:trHeight w:val="358" w:hRule="exact"/>
        </w:trPr>
        <w:tc>
          <w:tcPr>
            <w:tcW w:w="1954" w:type="dxa"/>
            <w:tcBorders>
              <w:top w:val="single" w:sz="8" w:space="0" w:color="000000"/>
              <w:bottom w:val="single" w:sz="8" w:space="0" w:color="000000"/>
            </w:tcBorders>
          </w:tcPr>
          <w:p>
            <w:pPr>
              <w:pStyle w:val="TableParagraph"/>
              <w:spacing w:before="58"/>
              <w:ind w:right="1"/>
              <w:rPr>
                <w:sz w:val="24"/>
              </w:rPr>
            </w:pPr>
            <w:r>
              <w:rPr>
                <w:w w:val="99"/>
                <w:sz w:val="24"/>
              </w:rPr>
              <w:t>2</w:t>
            </w:r>
          </w:p>
        </w:tc>
        <w:tc>
          <w:tcPr>
            <w:tcW w:w="1954" w:type="dxa"/>
            <w:tcBorders>
              <w:top w:val="single" w:sz="8" w:space="0" w:color="000000"/>
              <w:bottom w:val="single" w:sz="8" w:space="0" w:color="000000"/>
            </w:tcBorders>
          </w:tcPr>
          <w:p>
            <w:pPr>
              <w:pStyle w:val="TableParagraph"/>
              <w:spacing w:before="58"/>
              <w:ind w:left="229" w:right="229"/>
              <w:rPr>
                <w:sz w:val="24"/>
              </w:rPr>
            </w:pPr>
            <w:r>
              <w:rPr>
                <w:sz w:val="24"/>
              </w:rPr>
              <w:t>94.98</w:t>
            </w:r>
          </w:p>
        </w:tc>
      </w:tr>
      <w:tr>
        <w:trPr>
          <w:trHeight w:val="355" w:hRule="exact"/>
        </w:trPr>
        <w:tc>
          <w:tcPr>
            <w:tcW w:w="1954" w:type="dxa"/>
            <w:tcBorders>
              <w:top w:val="single" w:sz="8" w:space="0" w:color="000000"/>
              <w:bottom w:val="single" w:sz="8" w:space="0" w:color="000000"/>
            </w:tcBorders>
          </w:tcPr>
          <w:p>
            <w:pPr>
              <w:pStyle w:val="TableParagraph"/>
              <w:spacing w:before="55"/>
              <w:ind w:right="1"/>
              <w:rPr>
                <w:sz w:val="24"/>
              </w:rPr>
            </w:pPr>
            <w:r>
              <w:rPr>
                <w:w w:val="99"/>
                <w:sz w:val="24"/>
              </w:rPr>
              <w:t>3</w:t>
            </w:r>
          </w:p>
        </w:tc>
        <w:tc>
          <w:tcPr>
            <w:tcW w:w="1954" w:type="dxa"/>
            <w:tcBorders>
              <w:top w:val="single" w:sz="8" w:space="0" w:color="000000"/>
              <w:bottom w:val="single" w:sz="8" w:space="0" w:color="000000"/>
            </w:tcBorders>
          </w:tcPr>
          <w:p>
            <w:pPr>
              <w:pStyle w:val="TableParagraph"/>
              <w:spacing w:before="55"/>
              <w:ind w:left="229" w:right="229"/>
              <w:rPr>
                <w:sz w:val="24"/>
              </w:rPr>
            </w:pPr>
            <w:r>
              <w:rPr>
                <w:sz w:val="24"/>
              </w:rPr>
              <w:t>95.83</w:t>
            </w:r>
          </w:p>
        </w:tc>
      </w:tr>
      <w:tr>
        <w:trPr>
          <w:trHeight w:val="355" w:hRule="exact"/>
        </w:trPr>
        <w:tc>
          <w:tcPr>
            <w:tcW w:w="1954" w:type="dxa"/>
            <w:tcBorders>
              <w:top w:val="single" w:sz="8" w:space="0" w:color="000000"/>
              <w:bottom w:val="single" w:sz="8" w:space="0" w:color="000000"/>
            </w:tcBorders>
          </w:tcPr>
          <w:p>
            <w:pPr>
              <w:pStyle w:val="TableParagraph"/>
              <w:spacing w:before="55"/>
              <w:ind w:right="1"/>
              <w:rPr>
                <w:sz w:val="24"/>
              </w:rPr>
            </w:pPr>
            <w:r>
              <w:rPr>
                <w:w w:val="99"/>
                <w:sz w:val="24"/>
              </w:rPr>
              <w:t>4</w:t>
            </w:r>
          </w:p>
        </w:tc>
        <w:tc>
          <w:tcPr>
            <w:tcW w:w="1954" w:type="dxa"/>
            <w:tcBorders>
              <w:top w:val="single" w:sz="8" w:space="0" w:color="000000"/>
              <w:bottom w:val="single" w:sz="8" w:space="0" w:color="000000"/>
            </w:tcBorders>
          </w:tcPr>
          <w:p>
            <w:pPr>
              <w:pStyle w:val="TableParagraph"/>
              <w:spacing w:before="55"/>
              <w:ind w:left="229" w:right="229"/>
              <w:rPr>
                <w:sz w:val="24"/>
              </w:rPr>
            </w:pPr>
            <w:r>
              <w:rPr>
                <w:sz w:val="24"/>
              </w:rPr>
              <w:t>94.76</w:t>
            </w:r>
          </w:p>
        </w:tc>
      </w:tr>
      <w:tr>
        <w:trPr>
          <w:trHeight w:val="358" w:hRule="exact"/>
        </w:trPr>
        <w:tc>
          <w:tcPr>
            <w:tcW w:w="1954" w:type="dxa"/>
            <w:tcBorders>
              <w:top w:val="single" w:sz="8" w:space="0" w:color="000000"/>
              <w:bottom w:val="single" w:sz="8" w:space="0" w:color="000000"/>
            </w:tcBorders>
          </w:tcPr>
          <w:p>
            <w:pPr>
              <w:pStyle w:val="TableParagraph"/>
              <w:spacing w:before="58"/>
              <w:ind w:right="1"/>
              <w:rPr>
                <w:sz w:val="24"/>
              </w:rPr>
            </w:pPr>
            <w:r>
              <w:rPr>
                <w:w w:val="99"/>
                <w:sz w:val="24"/>
              </w:rPr>
              <w:t>5</w:t>
            </w:r>
          </w:p>
        </w:tc>
        <w:tc>
          <w:tcPr>
            <w:tcW w:w="1954" w:type="dxa"/>
            <w:tcBorders>
              <w:top w:val="single" w:sz="8" w:space="0" w:color="000000"/>
              <w:bottom w:val="single" w:sz="8" w:space="0" w:color="000000"/>
            </w:tcBorders>
          </w:tcPr>
          <w:p>
            <w:pPr>
              <w:pStyle w:val="TableParagraph"/>
              <w:spacing w:before="58"/>
              <w:ind w:left="229" w:right="229"/>
              <w:rPr>
                <w:sz w:val="24"/>
              </w:rPr>
            </w:pPr>
            <w:r>
              <w:rPr>
                <w:sz w:val="24"/>
              </w:rPr>
              <w:t>94.00</w:t>
            </w:r>
          </w:p>
        </w:tc>
      </w:tr>
      <w:tr>
        <w:trPr>
          <w:trHeight w:val="360" w:hRule="exact"/>
        </w:trPr>
        <w:tc>
          <w:tcPr>
            <w:tcW w:w="1954" w:type="dxa"/>
            <w:tcBorders>
              <w:top w:val="single" w:sz="8" w:space="0" w:color="000000"/>
            </w:tcBorders>
          </w:tcPr>
          <w:p>
            <w:pPr>
              <w:pStyle w:val="TableParagraph"/>
              <w:spacing w:before="55"/>
              <w:ind w:right="1"/>
              <w:rPr>
                <w:sz w:val="24"/>
              </w:rPr>
            </w:pPr>
            <w:r>
              <w:rPr>
                <w:w w:val="99"/>
                <w:sz w:val="24"/>
              </w:rPr>
              <w:t>6</w:t>
            </w:r>
          </w:p>
        </w:tc>
        <w:tc>
          <w:tcPr>
            <w:tcW w:w="1954" w:type="dxa"/>
            <w:tcBorders>
              <w:top w:val="single" w:sz="8" w:space="0" w:color="000000"/>
            </w:tcBorders>
          </w:tcPr>
          <w:p>
            <w:pPr>
              <w:pStyle w:val="TableParagraph"/>
              <w:spacing w:before="55"/>
              <w:ind w:left="229" w:right="229"/>
              <w:rPr>
                <w:sz w:val="24"/>
              </w:rPr>
            </w:pPr>
            <w:r>
              <w:rPr>
                <w:sz w:val="24"/>
              </w:rPr>
              <w:t>95.92</w:t>
            </w:r>
          </w:p>
        </w:tc>
      </w:tr>
      <w:tr>
        <w:trPr>
          <w:trHeight w:val="299" w:hRule="exact"/>
        </w:trPr>
        <w:tc>
          <w:tcPr>
            <w:tcW w:w="1954" w:type="dxa"/>
            <w:tcBorders>
              <w:bottom w:val="nil"/>
            </w:tcBorders>
          </w:tcPr>
          <w:p>
            <w:pPr>
              <w:pStyle w:val="TableParagraph"/>
              <w:spacing w:line="272" w:lineRule="exact"/>
              <w:ind w:left="422" w:right="422"/>
              <w:rPr>
                <w:sz w:val="24"/>
              </w:rPr>
            </w:pPr>
            <w:r>
              <w:rPr>
                <w:sz w:val="24"/>
              </w:rPr>
              <w:t>Promedio</w:t>
            </w:r>
          </w:p>
        </w:tc>
        <w:tc>
          <w:tcPr>
            <w:tcW w:w="1954" w:type="dxa"/>
            <w:tcBorders>
              <w:bottom w:val="nil"/>
            </w:tcBorders>
          </w:tcPr>
          <w:p>
            <w:pPr>
              <w:pStyle w:val="TableParagraph"/>
              <w:spacing w:line="272" w:lineRule="exact"/>
              <w:ind w:left="229" w:right="229"/>
              <w:rPr>
                <w:sz w:val="24"/>
              </w:rPr>
            </w:pPr>
            <w:r>
              <w:rPr>
                <w:sz w:val="24"/>
              </w:rPr>
              <w:t>95.38</w:t>
            </w:r>
          </w:p>
        </w:tc>
      </w:tr>
      <w:tr>
        <w:trPr>
          <w:trHeight w:val="276" w:hRule="exact"/>
        </w:trPr>
        <w:tc>
          <w:tcPr>
            <w:tcW w:w="1954" w:type="dxa"/>
            <w:tcBorders>
              <w:top w:val="nil"/>
              <w:bottom w:val="nil"/>
            </w:tcBorders>
          </w:tcPr>
          <w:p>
            <w:pPr>
              <w:pStyle w:val="TableParagraph"/>
              <w:spacing w:line="263" w:lineRule="exact"/>
              <w:ind w:left="422" w:right="422"/>
              <w:rPr>
                <w:sz w:val="24"/>
              </w:rPr>
            </w:pPr>
            <w:r>
              <w:rPr>
                <w:sz w:val="24"/>
              </w:rPr>
              <w:t>Desv. Std</w:t>
            </w:r>
          </w:p>
        </w:tc>
        <w:tc>
          <w:tcPr>
            <w:tcW w:w="1954" w:type="dxa"/>
            <w:tcBorders>
              <w:top w:val="nil"/>
              <w:bottom w:val="nil"/>
            </w:tcBorders>
          </w:tcPr>
          <w:p>
            <w:pPr>
              <w:pStyle w:val="TableParagraph"/>
              <w:spacing w:line="263" w:lineRule="exact"/>
              <w:ind w:left="229" w:right="229"/>
              <w:rPr>
                <w:sz w:val="24"/>
              </w:rPr>
            </w:pPr>
            <w:r>
              <w:rPr>
                <w:sz w:val="24"/>
              </w:rPr>
              <w:t>0.98</w:t>
            </w:r>
          </w:p>
        </w:tc>
      </w:tr>
      <w:tr>
        <w:trPr>
          <w:trHeight w:val="284" w:hRule="exact"/>
        </w:trPr>
        <w:tc>
          <w:tcPr>
            <w:tcW w:w="1954" w:type="dxa"/>
            <w:tcBorders>
              <w:top w:val="nil"/>
            </w:tcBorders>
          </w:tcPr>
          <w:p>
            <w:pPr>
              <w:pStyle w:val="TableParagraph"/>
              <w:spacing w:line="263" w:lineRule="exact"/>
              <w:ind w:left="422" w:right="422"/>
              <w:rPr>
                <w:sz w:val="24"/>
              </w:rPr>
            </w:pPr>
            <w:r>
              <w:rPr>
                <w:sz w:val="24"/>
              </w:rPr>
              <w:t>% DER</w:t>
            </w:r>
          </w:p>
        </w:tc>
        <w:tc>
          <w:tcPr>
            <w:tcW w:w="1954" w:type="dxa"/>
            <w:tcBorders>
              <w:top w:val="nil"/>
            </w:tcBorders>
          </w:tcPr>
          <w:p>
            <w:pPr>
              <w:pStyle w:val="TableParagraph"/>
              <w:spacing w:line="263" w:lineRule="exact"/>
              <w:ind w:right="1"/>
              <w:rPr>
                <w:sz w:val="24"/>
              </w:rPr>
            </w:pPr>
            <w:r>
              <w:rPr>
                <w:w w:val="99"/>
                <w:sz w:val="24"/>
              </w:rPr>
              <w:t>1</w:t>
            </w:r>
          </w:p>
        </w:tc>
      </w:tr>
    </w:tbl>
    <w:p>
      <w:pPr>
        <w:pStyle w:val="BodyText"/>
        <w:rPr>
          <w:b/>
          <w:sz w:val="20"/>
        </w:rPr>
      </w:pPr>
    </w:p>
    <w:p>
      <w:pPr>
        <w:pStyle w:val="BodyText"/>
        <w:spacing w:before="10"/>
        <w:rPr>
          <w:b/>
          <w:sz w:val="28"/>
        </w:rPr>
      </w:pPr>
    </w:p>
    <w:p>
      <w:pPr>
        <w:spacing w:before="69" w:after="45"/>
        <w:ind w:left="102" w:right="0" w:firstLine="0"/>
        <w:jc w:val="left"/>
        <w:rPr>
          <w:b/>
          <w:sz w:val="24"/>
        </w:rPr>
      </w:pPr>
      <w:r>
        <w:rPr>
          <w:b/>
          <w:sz w:val="24"/>
        </w:rPr>
        <w:t>Tabla D.VII.2. Resultados de la prueba de Precisión Intermedia para Pd</w:t>
      </w:r>
    </w:p>
    <w:tbl>
      <w:tblPr>
        <w:tblW w:w="0" w:type="auto"/>
        <w:jc w:val="left"/>
        <w:tblInd w:w="2553"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CellMar>
          <w:top w:w="0" w:type="dxa"/>
          <w:left w:w="0" w:type="dxa"/>
          <w:bottom w:w="0" w:type="dxa"/>
          <w:right w:w="0" w:type="dxa"/>
        </w:tblCellMar>
        <w:tblLook w:val="01E0"/>
      </w:tblPr>
      <w:tblGrid>
        <w:gridCol w:w="1954"/>
        <w:gridCol w:w="1954"/>
      </w:tblGrid>
      <w:tr>
        <w:trPr>
          <w:trHeight w:val="426" w:hRule="exact"/>
        </w:trPr>
        <w:tc>
          <w:tcPr>
            <w:tcW w:w="3908" w:type="dxa"/>
            <w:gridSpan w:val="2"/>
            <w:shd w:val="clear" w:color="auto" w:fill="D9D9D9"/>
          </w:tcPr>
          <w:p>
            <w:pPr>
              <w:pStyle w:val="TableParagraph"/>
              <w:spacing w:before="115"/>
              <w:ind w:left="1185"/>
              <w:jc w:val="left"/>
              <w:rPr>
                <w:b/>
                <w:sz w:val="24"/>
              </w:rPr>
            </w:pPr>
            <w:r>
              <w:rPr>
                <w:b/>
                <w:sz w:val="24"/>
              </w:rPr>
              <w:t>% RECOBRO</w:t>
            </w:r>
          </w:p>
        </w:tc>
      </w:tr>
      <w:tr>
        <w:trPr>
          <w:trHeight w:val="582" w:hRule="exact"/>
        </w:trPr>
        <w:tc>
          <w:tcPr>
            <w:tcW w:w="1954" w:type="dxa"/>
            <w:shd w:val="clear" w:color="auto" w:fill="D9D9D9"/>
          </w:tcPr>
          <w:p>
            <w:pPr>
              <w:pStyle w:val="TableParagraph"/>
              <w:ind w:left="494" w:right="318" w:hanging="161"/>
              <w:jc w:val="left"/>
              <w:rPr>
                <w:b/>
                <w:sz w:val="24"/>
              </w:rPr>
            </w:pPr>
            <w:r>
              <w:rPr>
                <w:b/>
                <w:sz w:val="24"/>
              </w:rPr>
              <w:t>Número de muestra</w:t>
            </w:r>
          </w:p>
        </w:tc>
        <w:tc>
          <w:tcPr>
            <w:tcW w:w="1954" w:type="dxa"/>
            <w:shd w:val="clear" w:color="auto" w:fill="D9D9D9"/>
          </w:tcPr>
          <w:p>
            <w:pPr>
              <w:pStyle w:val="TableParagraph"/>
              <w:spacing w:before="193"/>
              <w:ind w:left="229" w:right="228"/>
              <w:rPr>
                <w:b/>
                <w:sz w:val="24"/>
              </w:rPr>
            </w:pPr>
            <w:r>
              <w:rPr>
                <w:b/>
                <w:sz w:val="24"/>
              </w:rPr>
              <w:t>Paladio</w:t>
            </w:r>
          </w:p>
        </w:tc>
      </w:tr>
      <w:tr>
        <w:trPr>
          <w:trHeight w:val="360" w:hRule="exact"/>
        </w:trPr>
        <w:tc>
          <w:tcPr>
            <w:tcW w:w="1954" w:type="dxa"/>
            <w:tcBorders>
              <w:bottom w:val="single" w:sz="8" w:space="0" w:color="000000"/>
            </w:tcBorders>
          </w:tcPr>
          <w:p>
            <w:pPr>
              <w:pStyle w:val="TableParagraph"/>
              <w:spacing w:before="55"/>
              <w:ind w:right="1"/>
              <w:rPr>
                <w:sz w:val="24"/>
              </w:rPr>
            </w:pPr>
            <w:r>
              <w:rPr>
                <w:w w:val="99"/>
                <w:sz w:val="24"/>
              </w:rPr>
              <w:t>1</w:t>
            </w:r>
          </w:p>
        </w:tc>
        <w:tc>
          <w:tcPr>
            <w:tcW w:w="1954" w:type="dxa"/>
            <w:tcBorders>
              <w:bottom w:val="single" w:sz="8" w:space="0" w:color="000000"/>
            </w:tcBorders>
          </w:tcPr>
          <w:p>
            <w:pPr>
              <w:pStyle w:val="TableParagraph"/>
              <w:spacing w:before="55"/>
              <w:ind w:left="229" w:right="229"/>
              <w:rPr>
                <w:sz w:val="24"/>
              </w:rPr>
            </w:pPr>
            <w:r>
              <w:rPr>
                <w:sz w:val="24"/>
              </w:rPr>
              <w:t>101.63</w:t>
            </w:r>
          </w:p>
        </w:tc>
      </w:tr>
      <w:tr>
        <w:trPr>
          <w:trHeight w:val="356" w:hRule="exact"/>
        </w:trPr>
        <w:tc>
          <w:tcPr>
            <w:tcW w:w="1954" w:type="dxa"/>
            <w:tcBorders>
              <w:top w:val="single" w:sz="8" w:space="0" w:color="000000"/>
              <w:bottom w:val="single" w:sz="8" w:space="0" w:color="000000"/>
            </w:tcBorders>
          </w:tcPr>
          <w:p>
            <w:pPr>
              <w:pStyle w:val="TableParagraph"/>
              <w:spacing w:before="56"/>
              <w:ind w:right="1"/>
              <w:rPr>
                <w:sz w:val="24"/>
              </w:rPr>
            </w:pPr>
            <w:r>
              <w:rPr>
                <w:w w:val="99"/>
                <w:sz w:val="24"/>
              </w:rPr>
              <w:t>2</w:t>
            </w:r>
          </w:p>
        </w:tc>
        <w:tc>
          <w:tcPr>
            <w:tcW w:w="1954" w:type="dxa"/>
            <w:tcBorders>
              <w:top w:val="single" w:sz="8" w:space="0" w:color="000000"/>
              <w:bottom w:val="single" w:sz="8" w:space="0" w:color="000000"/>
            </w:tcBorders>
          </w:tcPr>
          <w:p>
            <w:pPr>
              <w:pStyle w:val="TableParagraph"/>
              <w:spacing w:before="56"/>
              <w:ind w:left="229" w:right="229"/>
              <w:rPr>
                <w:sz w:val="24"/>
              </w:rPr>
            </w:pPr>
            <w:r>
              <w:rPr>
                <w:sz w:val="24"/>
              </w:rPr>
              <w:t>100.63</w:t>
            </w:r>
          </w:p>
        </w:tc>
      </w:tr>
      <w:tr>
        <w:trPr>
          <w:trHeight w:val="358" w:hRule="exact"/>
        </w:trPr>
        <w:tc>
          <w:tcPr>
            <w:tcW w:w="1954" w:type="dxa"/>
            <w:tcBorders>
              <w:top w:val="single" w:sz="8" w:space="0" w:color="000000"/>
              <w:bottom w:val="single" w:sz="8" w:space="0" w:color="000000"/>
            </w:tcBorders>
          </w:tcPr>
          <w:p>
            <w:pPr>
              <w:pStyle w:val="TableParagraph"/>
              <w:spacing w:before="58"/>
              <w:ind w:right="1"/>
              <w:rPr>
                <w:sz w:val="24"/>
              </w:rPr>
            </w:pPr>
            <w:r>
              <w:rPr>
                <w:w w:val="99"/>
                <w:sz w:val="24"/>
              </w:rPr>
              <w:t>3</w:t>
            </w:r>
          </w:p>
        </w:tc>
        <w:tc>
          <w:tcPr>
            <w:tcW w:w="1954" w:type="dxa"/>
            <w:tcBorders>
              <w:top w:val="single" w:sz="8" w:space="0" w:color="000000"/>
              <w:bottom w:val="single" w:sz="8" w:space="0" w:color="000000"/>
            </w:tcBorders>
          </w:tcPr>
          <w:p>
            <w:pPr>
              <w:pStyle w:val="TableParagraph"/>
              <w:spacing w:before="58"/>
              <w:ind w:left="229" w:right="229"/>
              <w:rPr>
                <w:sz w:val="24"/>
              </w:rPr>
            </w:pPr>
            <w:r>
              <w:rPr>
                <w:sz w:val="24"/>
              </w:rPr>
              <w:t>97.37</w:t>
            </w:r>
          </w:p>
        </w:tc>
      </w:tr>
      <w:tr>
        <w:trPr>
          <w:trHeight w:val="355" w:hRule="exact"/>
        </w:trPr>
        <w:tc>
          <w:tcPr>
            <w:tcW w:w="1954" w:type="dxa"/>
            <w:tcBorders>
              <w:top w:val="single" w:sz="8" w:space="0" w:color="000000"/>
              <w:bottom w:val="single" w:sz="8" w:space="0" w:color="000000"/>
            </w:tcBorders>
          </w:tcPr>
          <w:p>
            <w:pPr>
              <w:pStyle w:val="TableParagraph"/>
              <w:spacing w:before="55"/>
              <w:ind w:right="1"/>
              <w:rPr>
                <w:sz w:val="24"/>
              </w:rPr>
            </w:pPr>
            <w:r>
              <w:rPr>
                <w:w w:val="99"/>
                <w:sz w:val="24"/>
              </w:rPr>
              <w:t>4</w:t>
            </w:r>
          </w:p>
        </w:tc>
        <w:tc>
          <w:tcPr>
            <w:tcW w:w="1954" w:type="dxa"/>
            <w:tcBorders>
              <w:top w:val="single" w:sz="8" w:space="0" w:color="000000"/>
              <w:bottom w:val="single" w:sz="8" w:space="0" w:color="000000"/>
            </w:tcBorders>
          </w:tcPr>
          <w:p>
            <w:pPr>
              <w:pStyle w:val="TableParagraph"/>
              <w:spacing w:before="55"/>
              <w:ind w:left="229" w:right="229"/>
              <w:rPr>
                <w:sz w:val="24"/>
              </w:rPr>
            </w:pPr>
            <w:r>
              <w:rPr>
                <w:sz w:val="24"/>
              </w:rPr>
              <w:t>98.87</w:t>
            </w:r>
          </w:p>
        </w:tc>
      </w:tr>
      <w:tr>
        <w:trPr>
          <w:trHeight w:val="355" w:hRule="exact"/>
        </w:trPr>
        <w:tc>
          <w:tcPr>
            <w:tcW w:w="1954" w:type="dxa"/>
            <w:tcBorders>
              <w:top w:val="single" w:sz="8" w:space="0" w:color="000000"/>
              <w:bottom w:val="single" w:sz="8" w:space="0" w:color="000000"/>
            </w:tcBorders>
          </w:tcPr>
          <w:p>
            <w:pPr>
              <w:pStyle w:val="TableParagraph"/>
              <w:spacing w:before="55"/>
              <w:ind w:right="1"/>
              <w:rPr>
                <w:sz w:val="24"/>
              </w:rPr>
            </w:pPr>
            <w:r>
              <w:rPr>
                <w:w w:val="99"/>
                <w:sz w:val="24"/>
              </w:rPr>
              <w:t>5</w:t>
            </w:r>
          </w:p>
        </w:tc>
        <w:tc>
          <w:tcPr>
            <w:tcW w:w="1954" w:type="dxa"/>
            <w:tcBorders>
              <w:top w:val="single" w:sz="8" w:space="0" w:color="000000"/>
              <w:bottom w:val="single" w:sz="8" w:space="0" w:color="000000"/>
            </w:tcBorders>
          </w:tcPr>
          <w:p>
            <w:pPr>
              <w:pStyle w:val="TableParagraph"/>
              <w:spacing w:before="55"/>
              <w:ind w:left="229" w:right="229"/>
              <w:rPr>
                <w:sz w:val="24"/>
              </w:rPr>
            </w:pPr>
            <w:r>
              <w:rPr>
                <w:sz w:val="24"/>
              </w:rPr>
              <w:t>95.56</w:t>
            </w:r>
          </w:p>
        </w:tc>
      </w:tr>
      <w:tr>
        <w:trPr>
          <w:trHeight w:val="362" w:hRule="exact"/>
        </w:trPr>
        <w:tc>
          <w:tcPr>
            <w:tcW w:w="1954" w:type="dxa"/>
            <w:tcBorders>
              <w:top w:val="single" w:sz="8" w:space="0" w:color="000000"/>
            </w:tcBorders>
          </w:tcPr>
          <w:p>
            <w:pPr>
              <w:pStyle w:val="TableParagraph"/>
              <w:spacing w:before="58"/>
              <w:ind w:right="1"/>
              <w:rPr>
                <w:sz w:val="24"/>
              </w:rPr>
            </w:pPr>
            <w:r>
              <w:rPr>
                <w:w w:val="99"/>
                <w:sz w:val="24"/>
              </w:rPr>
              <w:t>6</w:t>
            </w:r>
          </w:p>
        </w:tc>
        <w:tc>
          <w:tcPr>
            <w:tcW w:w="1954" w:type="dxa"/>
            <w:tcBorders>
              <w:top w:val="single" w:sz="8" w:space="0" w:color="000000"/>
            </w:tcBorders>
          </w:tcPr>
          <w:p>
            <w:pPr>
              <w:pStyle w:val="TableParagraph"/>
              <w:spacing w:before="58"/>
              <w:ind w:left="229" w:right="229"/>
              <w:rPr>
                <w:sz w:val="24"/>
              </w:rPr>
            </w:pPr>
            <w:r>
              <w:rPr>
                <w:sz w:val="24"/>
              </w:rPr>
              <w:t>94.33</w:t>
            </w:r>
          </w:p>
        </w:tc>
      </w:tr>
      <w:tr>
        <w:trPr>
          <w:trHeight w:val="299" w:hRule="exact"/>
        </w:trPr>
        <w:tc>
          <w:tcPr>
            <w:tcW w:w="1954" w:type="dxa"/>
            <w:tcBorders>
              <w:bottom w:val="nil"/>
            </w:tcBorders>
          </w:tcPr>
          <w:p>
            <w:pPr>
              <w:pStyle w:val="TableParagraph"/>
              <w:spacing w:line="272" w:lineRule="exact"/>
              <w:ind w:left="422" w:right="422"/>
              <w:rPr>
                <w:sz w:val="24"/>
              </w:rPr>
            </w:pPr>
            <w:r>
              <w:rPr>
                <w:sz w:val="24"/>
              </w:rPr>
              <w:t>Promedio</w:t>
            </w:r>
          </w:p>
        </w:tc>
        <w:tc>
          <w:tcPr>
            <w:tcW w:w="1954" w:type="dxa"/>
            <w:tcBorders>
              <w:bottom w:val="nil"/>
            </w:tcBorders>
          </w:tcPr>
          <w:p>
            <w:pPr>
              <w:pStyle w:val="TableParagraph"/>
              <w:spacing w:line="272" w:lineRule="exact"/>
              <w:ind w:left="229" w:right="229"/>
              <w:rPr>
                <w:sz w:val="24"/>
              </w:rPr>
            </w:pPr>
            <w:r>
              <w:rPr>
                <w:sz w:val="24"/>
              </w:rPr>
              <w:t>98.07</w:t>
            </w:r>
          </w:p>
        </w:tc>
      </w:tr>
      <w:tr>
        <w:trPr>
          <w:trHeight w:val="276" w:hRule="exact"/>
        </w:trPr>
        <w:tc>
          <w:tcPr>
            <w:tcW w:w="1954" w:type="dxa"/>
            <w:tcBorders>
              <w:top w:val="nil"/>
              <w:bottom w:val="nil"/>
            </w:tcBorders>
          </w:tcPr>
          <w:p>
            <w:pPr>
              <w:pStyle w:val="TableParagraph"/>
              <w:spacing w:line="263" w:lineRule="exact"/>
              <w:ind w:left="422" w:right="422"/>
              <w:rPr>
                <w:sz w:val="24"/>
              </w:rPr>
            </w:pPr>
            <w:r>
              <w:rPr>
                <w:sz w:val="24"/>
              </w:rPr>
              <w:t>Desv. Std</w:t>
            </w:r>
          </w:p>
        </w:tc>
        <w:tc>
          <w:tcPr>
            <w:tcW w:w="1954" w:type="dxa"/>
            <w:tcBorders>
              <w:top w:val="nil"/>
              <w:bottom w:val="nil"/>
            </w:tcBorders>
          </w:tcPr>
          <w:p>
            <w:pPr>
              <w:pStyle w:val="TableParagraph"/>
              <w:spacing w:line="263" w:lineRule="exact"/>
              <w:ind w:left="229" w:right="229"/>
              <w:rPr>
                <w:sz w:val="24"/>
              </w:rPr>
            </w:pPr>
            <w:r>
              <w:rPr>
                <w:sz w:val="24"/>
              </w:rPr>
              <w:t>2.85</w:t>
            </w:r>
          </w:p>
        </w:tc>
      </w:tr>
      <w:tr>
        <w:trPr>
          <w:trHeight w:val="284" w:hRule="exact"/>
        </w:trPr>
        <w:tc>
          <w:tcPr>
            <w:tcW w:w="1954" w:type="dxa"/>
            <w:tcBorders>
              <w:top w:val="nil"/>
            </w:tcBorders>
          </w:tcPr>
          <w:p>
            <w:pPr>
              <w:pStyle w:val="TableParagraph"/>
              <w:spacing w:line="263" w:lineRule="exact"/>
              <w:ind w:left="422" w:right="422"/>
              <w:rPr>
                <w:sz w:val="24"/>
              </w:rPr>
            </w:pPr>
            <w:r>
              <w:rPr>
                <w:sz w:val="24"/>
              </w:rPr>
              <w:t>% DER</w:t>
            </w:r>
          </w:p>
        </w:tc>
        <w:tc>
          <w:tcPr>
            <w:tcW w:w="1954" w:type="dxa"/>
            <w:tcBorders>
              <w:top w:val="nil"/>
            </w:tcBorders>
          </w:tcPr>
          <w:p>
            <w:pPr>
              <w:pStyle w:val="TableParagraph"/>
              <w:spacing w:line="263" w:lineRule="exact"/>
              <w:ind w:right="1"/>
              <w:rPr>
                <w:sz w:val="24"/>
              </w:rPr>
            </w:pPr>
            <w:r>
              <w:rPr>
                <w:w w:val="99"/>
                <w:sz w:val="24"/>
              </w:rPr>
              <w:t>3</w:t>
            </w:r>
          </w:p>
        </w:tc>
      </w:tr>
    </w:tbl>
    <w:p>
      <w:pPr>
        <w:pStyle w:val="BodyText"/>
        <w:rPr>
          <w:b/>
          <w:sz w:val="20"/>
        </w:rPr>
      </w:pPr>
    </w:p>
    <w:p>
      <w:pPr>
        <w:pStyle w:val="BodyText"/>
        <w:rPr>
          <w:b/>
          <w:sz w:val="20"/>
        </w:rPr>
      </w:pPr>
    </w:p>
    <w:p>
      <w:pPr>
        <w:pStyle w:val="BodyText"/>
        <w:spacing w:before="6"/>
        <w:rPr>
          <w:b/>
          <w:sz w:val="22"/>
        </w:rPr>
      </w:pPr>
    </w:p>
    <w:p>
      <w:pPr>
        <w:spacing w:before="69"/>
        <w:ind w:left="1518" w:right="0" w:firstLine="0"/>
        <w:jc w:val="left"/>
        <w:rPr>
          <w:b/>
          <w:sz w:val="24"/>
        </w:rPr>
      </w:pPr>
      <w:r>
        <w:rPr>
          <w:b/>
          <w:sz w:val="24"/>
        </w:rPr>
        <w:t>Tabla D.VII.3. Evaluación de la Precisión para Pd</w:t>
      </w:r>
    </w:p>
    <w:p>
      <w:pPr>
        <w:pStyle w:val="BodyText"/>
        <w:spacing w:before="9"/>
        <w:rPr>
          <w:b/>
          <w:sz w:val="10"/>
        </w:rPr>
      </w:pPr>
    </w:p>
    <w:tbl>
      <w:tblPr>
        <w:tblW w:w="0" w:type="auto"/>
        <w:jc w:val="left"/>
        <w:tblInd w:w="1143"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CellMar>
          <w:top w:w="0" w:type="dxa"/>
          <w:left w:w="0" w:type="dxa"/>
          <w:bottom w:w="0" w:type="dxa"/>
          <w:right w:w="0" w:type="dxa"/>
        </w:tblCellMar>
        <w:tblLook w:val="01E0"/>
      </w:tblPr>
      <w:tblGrid>
        <w:gridCol w:w="1921"/>
        <w:gridCol w:w="1988"/>
        <w:gridCol w:w="1983"/>
        <w:gridCol w:w="1962"/>
      </w:tblGrid>
      <w:tr>
        <w:trPr>
          <w:trHeight w:val="1385" w:hRule="exact"/>
        </w:trPr>
        <w:tc>
          <w:tcPr>
            <w:tcW w:w="1921" w:type="dxa"/>
            <w:shd w:val="clear" w:color="auto" w:fill="D9D9D9"/>
          </w:tcPr>
          <w:p>
            <w:pPr>
              <w:pStyle w:val="TableParagraph"/>
              <w:jc w:val="left"/>
              <w:rPr>
                <w:b/>
                <w:sz w:val="24"/>
              </w:rPr>
            </w:pPr>
          </w:p>
          <w:p>
            <w:pPr>
              <w:pStyle w:val="TableParagraph"/>
              <w:spacing w:before="161"/>
              <w:ind w:right="538"/>
              <w:jc w:val="right"/>
              <w:rPr>
                <w:b/>
                <w:sz w:val="24"/>
              </w:rPr>
            </w:pPr>
            <w:r>
              <w:rPr>
                <w:b/>
                <w:sz w:val="24"/>
              </w:rPr>
              <w:t>Analito</w:t>
            </w:r>
          </w:p>
        </w:tc>
        <w:tc>
          <w:tcPr>
            <w:tcW w:w="1988" w:type="dxa"/>
            <w:shd w:val="clear" w:color="auto" w:fill="D9D9D9"/>
          </w:tcPr>
          <w:p>
            <w:pPr>
              <w:pStyle w:val="TableParagraph"/>
              <w:spacing w:before="6"/>
              <w:jc w:val="left"/>
              <w:rPr>
                <w:b/>
                <w:sz w:val="22"/>
              </w:rPr>
            </w:pPr>
          </w:p>
          <w:p>
            <w:pPr>
              <w:pStyle w:val="TableParagraph"/>
              <w:ind w:left="335" w:right="210" w:hanging="113"/>
              <w:jc w:val="left"/>
              <w:rPr>
                <w:b/>
                <w:sz w:val="24"/>
              </w:rPr>
            </w:pPr>
            <w:r>
              <w:rPr>
                <w:b/>
                <w:sz w:val="24"/>
              </w:rPr>
              <w:t>Repetibilidad (Analista 1,</w:t>
            </w:r>
          </w:p>
          <w:p>
            <w:pPr>
              <w:pStyle w:val="TableParagraph"/>
              <w:ind w:left="177"/>
              <w:jc w:val="left"/>
              <w:rPr>
                <w:b/>
                <w:sz w:val="24"/>
              </w:rPr>
            </w:pPr>
            <w:r>
              <w:rPr>
                <w:b/>
                <w:color w:val="212121"/>
                <w:sz w:val="24"/>
              </w:rPr>
              <w:t>% de recobro)</w:t>
            </w:r>
          </w:p>
        </w:tc>
        <w:tc>
          <w:tcPr>
            <w:tcW w:w="1983" w:type="dxa"/>
            <w:shd w:val="clear" w:color="auto" w:fill="D9D9D9"/>
          </w:tcPr>
          <w:p>
            <w:pPr>
              <w:pStyle w:val="TableParagraph"/>
              <w:spacing w:before="120"/>
              <w:ind w:left="333" w:right="334" w:firstLine="98"/>
              <w:jc w:val="both"/>
              <w:rPr>
                <w:b/>
                <w:sz w:val="24"/>
              </w:rPr>
            </w:pPr>
            <w:r>
              <w:rPr>
                <w:b/>
                <w:sz w:val="24"/>
              </w:rPr>
              <w:t>Precisión Intermedia (Analista 2,</w:t>
            </w:r>
          </w:p>
          <w:p>
            <w:pPr>
              <w:pStyle w:val="TableParagraph"/>
              <w:ind w:left="172"/>
              <w:jc w:val="left"/>
              <w:rPr>
                <w:b/>
                <w:sz w:val="24"/>
              </w:rPr>
            </w:pPr>
            <w:r>
              <w:rPr>
                <w:b/>
                <w:color w:val="212121"/>
                <w:sz w:val="24"/>
              </w:rPr>
              <w:t>% de recobro</w:t>
            </w:r>
            <w:r>
              <w:rPr>
                <w:b/>
                <w:sz w:val="24"/>
              </w:rPr>
              <w:t>)</w:t>
            </w:r>
          </w:p>
        </w:tc>
        <w:tc>
          <w:tcPr>
            <w:tcW w:w="1962" w:type="dxa"/>
            <w:shd w:val="clear" w:color="auto" w:fill="D9D9D9"/>
          </w:tcPr>
          <w:p>
            <w:pPr>
              <w:pStyle w:val="TableParagraph"/>
              <w:spacing w:before="10"/>
              <w:jc w:val="left"/>
              <w:rPr>
                <w:b/>
                <w:sz w:val="25"/>
              </w:rPr>
            </w:pPr>
          </w:p>
          <w:p>
            <w:pPr>
              <w:pStyle w:val="TableParagraph"/>
              <w:spacing w:line="242" w:lineRule="auto"/>
              <w:ind w:left="453" w:right="262" w:hanging="176"/>
              <w:jc w:val="left"/>
              <w:rPr>
                <w:b/>
                <w:sz w:val="24"/>
              </w:rPr>
            </w:pPr>
            <w:r>
              <w:rPr>
                <w:b/>
                <w:sz w:val="24"/>
              </w:rPr>
              <w:t>%Diferencia Absoluta</w:t>
            </w:r>
          </w:p>
        </w:tc>
      </w:tr>
      <w:tr>
        <w:trPr>
          <w:trHeight w:val="461" w:hRule="exact"/>
        </w:trPr>
        <w:tc>
          <w:tcPr>
            <w:tcW w:w="1921" w:type="dxa"/>
          </w:tcPr>
          <w:p>
            <w:pPr>
              <w:pStyle w:val="TableParagraph"/>
              <w:spacing w:before="55"/>
              <w:ind w:right="542"/>
              <w:jc w:val="right"/>
              <w:rPr>
                <w:sz w:val="24"/>
              </w:rPr>
            </w:pPr>
            <w:r>
              <w:rPr>
                <w:sz w:val="24"/>
              </w:rPr>
              <w:t>Paladio</w:t>
            </w:r>
          </w:p>
        </w:tc>
        <w:tc>
          <w:tcPr>
            <w:tcW w:w="1988" w:type="dxa"/>
          </w:tcPr>
          <w:p>
            <w:pPr>
              <w:pStyle w:val="TableParagraph"/>
              <w:spacing w:before="94"/>
              <w:ind w:left="658" w:right="660"/>
              <w:rPr>
                <w:sz w:val="24"/>
              </w:rPr>
            </w:pPr>
            <w:r>
              <w:rPr>
                <w:sz w:val="24"/>
              </w:rPr>
              <w:t>95.38</w:t>
            </w:r>
          </w:p>
        </w:tc>
        <w:tc>
          <w:tcPr>
            <w:tcW w:w="1983" w:type="dxa"/>
          </w:tcPr>
          <w:p>
            <w:pPr>
              <w:pStyle w:val="TableParagraph"/>
              <w:spacing w:before="55"/>
              <w:ind w:left="655" w:right="657"/>
              <w:rPr>
                <w:sz w:val="24"/>
              </w:rPr>
            </w:pPr>
            <w:r>
              <w:rPr>
                <w:sz w:val="24"/>
              </w:rPr>
              <w:t>98.07</w:t>
            </w:r>
          </w:p>
        </w:tc>
        <w:tc>
          <w:tcPr>
            <w:tcW w:w="1962" w:type="dxa"/>
          </w:tcPr>
          <w:p>
            <w:pPr>
              <w:pStyle w:val="TableParagraph"/>
              <w:spacing w:before="94"/>
              <w:rPr>
                <w:sz w:val="24"/>
              </w:rPr>
            </w:pPr>
            <w:r>
              <w:rPr>
                <w:w w:val="99"/>
                <w:sz w:val="24"/>
              </w:rPr>
              <w:t>3</w:t>
            </w:r>
          </w:p>
        </w:tc>
      </w:tr>
    </w:tbl>
    <w:p>
      <w:pPr>
        <w:spacing w:after="0"/>
        <w:rPr>
          <w:sz w:val="24"/>
        </w:rPr>
        <w:sectPr>
          <w:pgSz w:w="12240" w:h="15840"/>
          <w:pgMar w:header="0" w:footer="919" w:top="1360" w:bottom="1100" w:left="1600" w:right="1480"/>
        </w:sectPr>
      </w:pPr>
    </w:p>
    <w:p>
      <w:pPr>
        <w:pStyle w:val="ListParagraph"/>
        <w:numPr>
          <w:ilvl w:val="0"/>
          <w:numId w:val="13"/>
        </w:numPr>
        <w:tabs>
          <w:tab w:pos="901" w:val="left" w:leader="none"/>
          <w:tab w:pos="902" w:val="left" w:leader="none"/>
        </w:tabs>
        <w:spacing w:line="240" w:lineRule="auto" w:before="56" w:after="0"/>
        <w:ind w:left="902" w:right="0" w:hanging="788"/>
        <w:jc w:val="left"/>
        <w:rPr>
          <w:b/>
          <w:sz w:val="24"/>
        </w:rPr>
      </w:pPr>
      <w:r>
        <w:rPr>
          <w:b/>
          <w:sz w:val="24"/>
        </w:rPr>
        <w:t>Rango</w:t>
      </w:r>
    </w:p>
    <w:p>
      <w:pPr>
        <w:pStyle w:val="BodyText"/>
        <w:spacing w:before="1"/>
        <w:rPr>
          <w:b/>
          <w:sz w:val="31"/>
        </w:rPr>
      </w:pPr>
    </w:p>
    <w:p>
      <w:pPr>
        <w:pStyle w:val="BodyText"/>
        <w:spacing w:line="278" w:lineRule="auto"/>
        <w:ind w:left="901" w:right="480"/>
      </w:pPr>
      <w:r>
        <w:rPr>
          <w:color w:val="212121"/>
        </w:rPr>
        <w:t>Los rangos fueron establecidos a partir de los datos de linealidad, exactitud y precisión. Los resultados se presentan en la Tabla D.VIII.1</w:t>
      </w:r>
    </w:p>
    <w:p>
      <w:pPr>
        <w:pStyle w:val="BodyText"/>
        <w:spacing w:before="4"/>
        <w:rPr>
          <w:sz w:val="27"/>
        </w:rPr>
      </w:pPr>
    </w:p>
    <w:p>
      <w:pPr>
        <w:pStyle w:val="Heading1"/>
        <w:spacing w:after="44"/>
        <w:ind w:left="1598" w:right="480"/>
        <w:jc w:val="left"/>
      </w:pPr>
      <w:r>
        <w:rPr/>
        <w:t>Tabla D.VIII.1. Rango</w:t>
      </w:r>
    </w:p>
    <w:tbl>
      <w:tblPr>
        <w:tblW w:w="0" w:type="auto"/>
        <w:jc w:val="left"/>
        <w:tblInd w:w="1247"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CellMar>
          <w:top w:w="0" w:type="dxa"/>
          <w:left w:w="0" w:type="dxa"/>
          <w:bottom w:w="0" w:type="dxa"/>
          <w:right w:w="0" w:type="dxa"/>
        </w:tblCellMar>
        <w:tblLook w:val="01E0"/>
      </w:tblPr>
      <w:tblGrid>
        <w:gridCol w:w="2182"/>
        <w:gridCol w:w="5920"/>
      </w:tblGrid>
      <w:tr>
        <w:trPr>
          <w:trHeight w:val="426" w:hRule="exact"/>
        </w:trPr>
        <w:tc>
          <w:tcPr>
            <w:tcW w:w="2182" w:type="dxa"/>
            <w:shd w:val="clear" w:color="auto" w:fill="D9D9D9"/>
          </w:tcPr>
          <w:p>
            <w:pPr>
              <w:pStyle w:val="TableParagraph"/>
              <w:spacing w:before="117"/>
              <w:ind w:left="257" w:right="258"/>
              <w:rPr>
                <w:b/>
                <w:sz w:val="24"/>
              </w:rPr>
            </w:pPr>
            <w:r>
              <w:rPr>
                <w:b/>
                <w:sz w:val="24"/>
              </w:rPr>
              <w:t>Elementos</w:t>
            </w:r>
          </w:p>
        </w:tc>
        <w:tc>
          <w:tcPr>
            <w:tcW w:w="5920" w:type="dxa"/>
            <w:shd w:val="clear" w:color="auto" w:fill="D9D9D9"/>
          </w:tcPr>
          <w:p>
            <w:pPr>
              <w:pStyle w:val="TableParagraph"/>
              <w:spacing w:before="117"/>
              <w:ind w:left="248" w:right="248"/>
              <w:rPr>
                <w:b/>
                <w:sz w:val="24"/>
              </w:rPr>
            </w:pPr>
            <w:r>
              <w:rPr>
                <w:b/>
                <w:sz w:val="24"/>
              </w:rPr>
              <w:t>Rango</w:t>
            </w:r>
          </w:p>
        </w:tc>
      </w:tr>
      <w:tr>
        <w:trPr>
          <w:trHeight w:val="365" w:hRule="exact"/>
        </w:trPr>
        <w:tc>
          <w:tcPr>
            <w:tcW w:w="2182" w:type="dxa"/>
          </w:tcPr>
          <w:p>
            <w:pPr>
              <w:pStyle w:val="TableParagraph"/>
              <w:spacing w:before="55"/>
              <w:ind w:left="258" w:right="258"/>
              <w:rPr>
                <w:sz w:val="24"/>
              </w:rPr>
            </w:pPr>
            <w:r>
              <w:rPr>
                <w:sz w:val="24"/>
              </w:rPr>
              <w:t>Pd</w:t>
            </w:r>
          </w:p>
        </w:tc>
        <w:tc>
          <w:tcPr>
            <w:tcW w:w="5920" w:type="dxa"/>
          </w:tcPr>
          <w:p>
            <w:pPr>
              <w:pStyle w:val="TableParagraph"/>
              <w:spacing w:before="55"/>
              <w:ind w:left="248" w:right="248"/>
              <w:rPr>
                <w:sz w:val="22"/>
              </w:rPr>
            </w:pPr>
            <w:r>
              <w:rPr>
                <w:sz w:val="24"/>
              </w:rPr>
              <w:t>LC-120 % </w:t>
            </w:r>
            <w:r>
              <w:rPr>
                <w:sz w:val="22"/>
              </w:rPr>
              <w:t>de la concentración del estándar de trabajo</w:t>
            </w:r>
          </w:p>
        </w:tc>
      </w:tr>
    </w:tbl>
    <w:p>
      <w:pPr>
        <w:pStyle w:val="BodyText"/>
        <w:rPr>
          <w:b/>
          <w:sz w:val="20"/>
        </w:rPr>
      </w:pPr>
    </w:p>
    <w:p>
      <w:pPr>
        <w:pStyle w:val="BodyText"/>
        <w:spacing w:before="2"/>
        <w:rPr>
          <w:b/>
          <w:sz w:val="18"/>
        </w:rPr>
      </w:pPr>
    </w:p>
    <w:p>
      <w:pPr>
        <w:pStyle w:val="ListParagraph"/>
        <w:numPr>
          <w:ilvl w:val="0"/>
          <w:numId w:val="13"/>
        </w:numPr>
        <w:tabs>
          <w:tab w:pos="901" w:val="left" w:leader="none"/>
          <w:tab w:pos="902" w:val="left" w:leader="none"/>
        </w:tabs>
        <w:spacing w:line="240" w:lineRule="auto" w:before="70" w:after="0"/>
        <w:ind w:left="902" w:right="0" w:hanging="653"/>
        <w:jc w:val="left"/>
        <w:rPr>
          <w:b/>
          <w:sz w:val="24"/>
        </w:rPr>
      </w:pPr>
      <w:r>
        <w:rPr>
          <w:b/>
          <w:sz w:val="24"/>
        </w:rPr>
        <w:t>Robustez</w:t>
      </w:r>
    </w:p>
    <w:p>
      <w:pPr>
        <w:pStyle w:val="BodyText"/>
        <w:spacing w:before="1"/>
        <w:rPr>
          <w:b/>
          <w:sz w:val="31"/>
        </w:rPr>
      </w:pPr>
    </w:p>
    <w:p>
      <w:pPr>
        <w:pStyle w:val="BodyText"/>
        <w:spacing w:line="276" w:lineRule="auto"/>
        <w:ind w:left="901" w:right="485"/>
        <w:jc w:val="both"/>
      </w:pPr>
      <w:r>
        <w:rPr>
          <w:color w:val="212121"/>
        </w:rPr>
        <w:t>Se realizaron cambios de manera deliberada a los parámetros críticos del método y los resultados se compararon con los obtenidos del método nominal. Tabla D.IX.1</w:t>
      </w:r>
    </w:p>
    <w:p>
      <w:pPr>
        <w:pStyle w:val="BodyText"/>
        <w:spacing w:before="4"/>
        <w:rPr>
          <w:sz w:val="27"/>
        </w:rPr>
      </w:pPr>
    </w:p>
    <w:p>
      <w:pPr>
        <w:pStyle w:val="Heading1"/>
        <w:ind w:left="901"/>
      </w:pPr>
      <w:r>
        <w:rPr>
          <w:color w:val="212121"/>
        </w:rPr>
        <w:t>Tabla D.IX.1. </w:t>
      </w:r>
      <w:r>
        <w:rPr/>
        <w:t>Parámetros evaluados para la prueba de robustez:</w:t>
      </w:r>
    </w:p>
    <w:p>
      <w:pPr>
        <w:pStyle w:val="BodyText"/>
        <w:spacing w:before="4"/>
        <w:rPr>
          <w:b/>
        </w:rPr>
      </w:pPr>
    </w:p>
    <w:tbl>
      <w:tblPr>
        <w:tblW w:w="0" w:type="auto"/>
        <w:jc w:val="left"/>
        <w:tblInd w:w="1444"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CellMar>
          <w:top w:w="0" w:type="dxa"/>
          <w:left w:w="0" w:type="dxa"/>
          <w:bottom w:w="0" w:type="dxa"/>
          <w:right w:w="0" w:type="dxa"/>
        </w:tblCellMar>
        <w:tblLook w:val="01E0"/>
      </w:tblPr>
      <w:tblGrid>
        <w:gridCol w:w="4088"/>
        <w:gridCol w:w="3584"/>
      </w:tblGrid>
      <w:tr>
        <w:trPr>
          <w:trHeight w:val="466" w:hRule="exact"/>
        </w:trPr>
        <w:tc>
          <w:tcPr>
            <w:tcW w:w="4088" w:type="dxa"/>
            <w:shd w:val="clear" w:color="auto" w:fill="DBE4F0"/>
          </w:tcPr>
          <w:p>
            <w:pPr>
              <w:pStyle w:val="TableParagraph"/>
              <w:spacing w:before="77"/>
              <w:ind w:left="1415" w:right="1417"/>
              <w:rPr>
                <w:b/>
                <w:sz w:val="24"/>
              </w:rPr>
            </w:pPr>
            <w:r>
              <w:rPr>
                <w:b/>
                <w:sz w:val="24"/>
              </w:rPr>
              <w:t>Parámetro</w:t>
            </w:r>
          </w:p>
        </w:tc>
        <w:tc>
          <w:tcPr>
            <w:tcW w:w="3584" w:type="dxa"/>
            <w:shd w:val="clear" w:color="auto" w:fill="DBE4F0"/>
          </w:tcPr>
          <w:p>
            <w:pPr>
              <w:pStyle w:val="TableParagraph"/>
              <w:spacing w:before="77"/>
              <w:ind w:left="1384" w:right="1384"/>
              <w:rPr>
                <w:b/>
                <w:sz w:val="24"/>
              </w:rPr>
            </w:pPr>
            <w:r>
              <w:rPr>
                <w:b/>
                <w:sz w:val="24"/>
              </w:rPr>
              <w:t>Rango</w:t>
            </w:r>
          </w:p>
        </w:tc>
      </w:tr>
      <w:tr>
        <w:trPr>
          <w:trHeight w:val="377" w:hRule="exact"/>
        </w:trPr>
        <w:tc>
          <w:tcPr>
            <w:tcW w:w="4088" w:type="dxa"/>
            <w:vMerge w:val="restart"/>
          </w:tcPr>
          <w:p>
            <w:pPr>
              <w:pStyle w:val="TableParagraph"/>
              <w:spacing w:before="8"/>
              <w:jc w:val="left"/>
              <w:rPr>
                <w:b/>
                <w:sz w:val="21"/>
              </w:rPr>
            </w:pPr>
          </w:p>
          <w:p>
            <w:pPr>
              <w:pStyle w:val="TableParagraph"/>
              <w:ind w:left="91" w:right="626"/>
              <w:jc w:val="left"/>
              <w:rPr>
                <w:sz w:val="24"/>
              </w:rPr>
            </w:pPr>
            <w:r>
              <w:rPr>
                <w:sz w:val="24"/>
              </w:rPr>
              <w:t>Temperatura de digestión de la muestra</w:t>
            </w:r>
          </w:p>
        </w:tc>
        <w:tc>
          <w:tcPr>
            <w:tcW w:w="3584" w:type="dxa"/>
            <w:tcBorders>
              <w:bottom w:val="single" w:sz="4" w:space="0" w:color="000000"/>
            </w:tcBorders>
          </w:tcPr>
          <w:p>
            <w:pPr>
              <w:pStyle w:val="TableParagraph"/>
              <w:spacing w:before="36"/>
              <w:ind w:left="93"/>
              <w:jc w:val="left"/>
              <w:rPr>
                <w:sz w:val="24"/>
              </w:rPr>
            </w:pPr>
            <w:r>
              <w:rPr>
                <w:sz w:val="24"/>
              </w:rPr>
              <w:t>Temperatura nominal</w:t>
            </w:r>
          </w:p>
        </w:tc>
      </w:tr>
      <w:tr>
        <w:trPr>
          <w:trHeight w:val="711" w:hRule="exact"/>
        </w:trPr>
        <w:tc>
          <w:tcPr>
            <w:tcW w:w="4088" w:type="dxa"/>
            <w:vMerge/>
          </w:tcPr>
          <w:p>
            <w:pPr/>
          </w:p>
        </w:tc>
        <w:tc>
          <w:tcPr>
            <w:tcW w:w="3584" w:type="dxa"/>
            <w:tcBorders>
              <w:top w:val="single" w:sz="4" w:space="0" w:color="000000"/>
            </w:tcBorders>
          </w:tcPr>
          <w:p>
            <w:pPr>
              <w:pStyle w:val="TableParagraph"/>
              <w:spacing w:line="20" w:lineRule="exact"/>
              <w:ind w:left="3553" w:right="-40"/>
              <w:jc w:val="left"/>
              <w:rPr>
                <w:sz w:val="2"/>
              </w:rPr>
            </w:pPr>
            <w:r>
              <w:rPr>
                <w:sz w:val="2"/>
              </w:rPr>
              <w:drawing>
                <wp:inline distT="0" distB="0" distL="0" distR="0">
                  <wp:extent cx="1524" cy="6096"/>
                  <wp:effectExtent l="0" t="0" r="0" b="0"/>
                  <wp:docPr id="17" name="image40.png" descr=""/>
                  <wp:cNvGraphicFramePr>
                    <a:graphicFrameLocks noChangeAspect="1"/>
                  </wp:cNvGraphicFramePr>
                  <a:graphic>
                    <a:graphicData uri="http://schemas.openxmlformats.org/drawingml/2006/picture">
                      <pic:pic>
                        <pic:nvPicPr>
                          <pic:cNvPr id="18" name="image40.png"/>
                          <pic:cNvPicPr/>
                        </pic:nvPicPr>
                        <pic:blipFill>
                          <a:blip r:embed="rId77" cstate="print"/>
                          <a:stretch>
                            <a:fillRect/>
                          </a:stretch>
                        </pic:blipFill>
                        <pic:spPr>
                          <a:xfrm>
                            <a:off x="0" y="0"/>
                            <a:ext cx="1524" cy="6096"/>
                          </a:xfrm>
                          <a:prstGeom prst="rect">
                            <a:avLst/>
                          </a:prstGeom>
                        </pic:spPr>
                      </pic:pic>
                    </a:graphicData>
                  </a:graphic>
                </wp:inline>
              </w:drawing>
            </w:r>
            <w:r>
              <w:rPr>
                <w:sz w:val="2"/>
              </w:rPr>
            </w:r>
          </w:p>
          <w:p>
            <w:pPr>
              <w:pStyle w:val="TableParagraph"/>
              <w:spacing w:before="35"/>
              <w:ind w:left="93"/>
              <w:jc w:val="left"/>
              <w:rPr>
                <w:sz w:val="24"/>
              </w:rPr>
            </w:pPr>
            <w:r>
              <w:rPr>
                <w:sz w:val="24"/>
              </w:rPr>
              <w:t>Temperatura 1</w:t>
            </w:r>
          </w:p>
          <w:p>
            <w:pPr>
              <w:pStyle w:val="TableParagraph"/>
              <w:spacing w:before="41"/>
              <w:ind w:left="93"/>
              <w:jc w:val="left"/>
              <w:rPr>
                <w:sz w:val="24"/>
              </w:rPr>
            </w:pPr>
            <w:r>
              <w:rPr>
                <w:sz w:val="24"/>
              </w:rPr>
              <w:t>Temperatura 2</w:t>
            </w:r>
          </w:p>
        </w:tc>
      </w:tr>
      <w:tr>
        <w:trPr>
          <w:trHeight w:val="377" w:hRule="exact"/>
        </w:trPr>
        <w:tc>
          <w:tcPr>
            <w:tcW w:w="4088" w:type="dxa"/>
            <w:vMerge w:val="restart"/>
          </w:tcPr>
          <w:p>
            <w:pPr>
              <w:pStyle w:val="TableParagraph"/>
              <w:spacing w:before="8"/>
              <w:jc w:val="left"/>
              <w:rPr>
                <w:b/>
                <w:sz w:val="21"/>
              </w:rPr>
            </w:pPr>
          </w:p>
          <w:p>
            <w:pPr>
              <w:pStyle w:val="TableParagraph"/>
              <w:ind w:left="91" w:right="959"/>
              <w:jc w:val="left"/>
              <w:rPr>
                <w:sz w:val="24"/>
              </w:rPr>
            </w:pPr>
            <w:r>
              <w:rPr>
                <w:sz w:val="24"/>
              </w:rPr>
              <w:t>Tiempo de adquisición de la muestra</w:t>
            </w:r>
          </w:p>
        </w:tc>
        <w:tc>
          <w:tcPr>
            <w:tcW w:w="3584" w:type="dxa"/>
            <w:tcBorders>
              <w:bottom w:val="single" w:sz="4" w:space="0" w:color="000000"/>
            </w:tcBorders>
          </w:tcPr>
          <w:p>
            <w:pPr>
              <w:pStyle w:val="TableParagraph"/>
              <w:spacing w:before="39"/>
              <w:ind w:left="93"/>
              <w:jc w:val="left"/>
              <w:rPr>
                <w:sz w:val="24"/>
              </w:rPr>
            </w:pPr>
            <w:r>
              <w:rPr>
                <w:sz w:val="24"/>
              </w:rPr>
              <w:t>Tiempo Nominal</w:t>
            </w:r>
          </w:p>
        </w:tc>
      </w:tr>
      <w:tr>
        <w:trPr>
          <w:trHeight w:val="713" w:hRule="exact"/>
        </w:trPr>
        <w:tc>
          <w:tcPr>
            <w:tcW w:w="4088" w:type="dxa"/>
            <w:vMerge/>
          </w:tcPr>
          <w:p>
            <w:pPr/>
          </w:p>
        </w:tc>
        <w:tc>
          <w:tcPr>
            <w:tcW w:w="3584" w:type="dxa"/>
            <w:tcBorders>
              <w:top w:val="single" w:sz="4" w:space="0" w:color="000000"/>
            </w:tcBorders>
          </w:tcPr>
          <w:p>
            <w:pPr>
              <w:pStyle w:val="TableParagraph"/>
              <w:spacing w:line="20" w:lineRule="exact"/>
              <w:ind w:left="3553" w:right="-40"/>
              <w:jc w:val="left"/>
              <w:rPr>
                <w:sz w:val="2"/>
              </w:rPr>
            </w:pPr>
            <w:r>
              <w:rPr>
                <w:sz w:val="2"/>
              </w:rPr>
              <w:drawing>
                <wp:inline distT="0" distB="0" distL="0" distR="0">
                  <wp:extent cx="1524" cy="6096"/>
                  <wp:effectExtent l="0" t="0" r="0" b="0"/>
                  <wp:docPr id="19" name="image40.png" descr=""/>
                  <wp:cNvGraphicFramePr>
                    <a:graphicFrameLocks noChangeAspect="1"/>
                  </wp:cNvGraphicFramePr>
                  <a:graphic>
                    <a:graphicData uri="http://schemas.openxmlformats.org/drawingml/2006/picture">
                      <pic:pic>
                        <pic:nvPicPr>
                          <pic:cNvPr id="20" name="image40.png"/>
                          <pic:cNvPicPr/>
                        </pic:nvPicPr>
                        <pic:blipFill>
                          <a:blip r:embed="rId77" cstate="print"/>
                          <a:stretch>
                            <a:fillRect/>
                          </a:stretch>
                        </pic:blipFill>
                        <pic:spPr>
                          <a:xfrm>
                            <a:off x="0" y="0"/>
                            <a:ext cx="1524" cy="6096"/>
                          </a:xfrm>
                          <a:prstGeom prst="rect">
                            <a:avLst/>
                          </a:prstGeom>
                        </pic:spPr>
                      </pic:pic>
                    </a:graphicData>
                  </a:graphic>
                </wp:inline>
              </w:drawing>
            </w:r>
            <w:r>
              <w:rPr>
                <w:sz w:val="2"/>
              </w:rPr>
            </w:r>
          </w:p>
          <w:p>
            <w:pPr>
              <w:pStyle w:val="TableParagraph"/>
              <w:spacing w:before="38"/>
              <w:ind w:left="93"/>
              <w:jc w:val="left"/>
              <w:rPr>
                <w:sz w:val="24"/>
              </w:rPr>
            </w:pPr>
            <w:r>
              <w:rPr>
                <w:sz w:val="24"/>
              </w:rPr>
              <w:t>Tiempo 1</w:t>
            </w:r>
          </w:p>
          <w:p>
            <w:pPr>
              <w:pStyle w:val="TableParagraph"/>
              <w:spacing w:before="38"/>
              <w:ind w:left="93"/>
              <w:jc w:val="left"/>
              <w:rPr>
                <w:sz w:val="24"/>
              </w:rPr>
            </w:pPr>
            <w:r>
              <w:rPr>
                <w:sz w:val="24"/>
              </w:rPr>
              <w:t>Tiempo 2</w:t>
            </w:r>
          </w:p>
        </w:tc>
      </w:tr>
    </w:tbl>
    <w:p>
      <w:pPr>
        <w:pStyle w:val="BodyText"/>
        <w:rPr>
          <w:b/>
          <w:sz w:val="20"/>
        </w:rPr>
      </w:pPr>
    </w:p>
    <w:p>
      <w:pPr>
        <w:pStyle w:val="BodyText"/>
        <w:spacing w:before="9"/>
        <w:rPr>
          <w:b/>
          <w:sz w:val="21"/>
        </w:rPr>
      </w:pPr>
    </w:p>
    <w:p>
      <w:pPr>
        <w:pStyle w:val="BodyText"/>
        <w:spacing w:line="360" w:lineRule="auto" w:before="69"/>
        <w:ind w:left="901" w:right="479"/>
        <w:jc w:val="both"/>
      </w:pPr>
      <w:r>
        <w:rPr/>
        <w:t>Fueron estudiadas un total de 5 condiciones. </w:t>
      </w:r>
      <w:r>
        <w:rPr>
          <w:color w:val="212121"/>
        </w:rPr>
        <w:t>La robustez del método se evaluó mediante la realización de la prueba de idoneidad del sistema donde se consideraron la linealidad del método, los porcentajes de recobro para los estándares y los resultados obtenidos para la lectura de la</w:t>
      </w:r>
      <w:r>
        <w:rPr>
          <w:color w:val="212121"/>
          <w:spacing w:val="-29"/>
        </w:rPr>
        <w:t> </w:t>
      </w:r>
      <w:r>
        <w:rPr>
          <w:color w:val="212121"/>
        </w:rPr>
        <w:t>muestra.</w:t>
      </w:r>
    </w:p>
    <w:p>
      <w:pPr>
        <w:pStyle w:val="BodyText"/>
        <w:spacing w:line="360" w:lineRule="auto" w:before="210"/>
        <w:ind w:left="901" w:right="475"/>
        <w:jc w:val="both"/>
      </w:pPr>
      <w:r>
        <w:rPr/>
        <w:t>Los resultados obtenidos para la r</w:t>
      </w:r>
      <w:r>
        <w:rPr>
          <w:position w:val="11"/>
          <w:sz w:val="16"/>
        </w:rPr>
        <w:t>2</w:t>
      </w:r>
      <w:r>
        <w:rPr/>
        <w:t>, los porcentajes de recobro de la solución estándar al 100 % (después de los estándares de calibración y al final de la secuencia) y las ppm obtenidas para la muestra se reportan en la Tabla D.IX.2</w:t>
      </w:r>
    </w:p>
    <w:p>
      <w:pPr>
        <w:spacing w:after="0" w:line="360" w:lineRule="auto"/>
        <w:jc w:val="both"/>
        <w:sectPr>
          <w:pgSz w:w="12240" w:h="15840"/>
          <w:pgMar w:header="0" w:footer="919" w:top="1360" w:bottom="1100" w:left="1520" w:right="1220"/>
        </w:sectPr>
      </w:pPr>
    </w:p>
    <w:p>
      <w:pPr>
        <w:pStyle w:val="Heading1"/>
        <w:spacing w:before="54"/>
        <w:ind w:left="961"/>
        <w:jc w:val="left"/>
      </w:pPr>
      <w:r>
        <w:rPr/>
        <w:t>Tabla D.IX.2. Resultados del estudio de robustez</w:t>
      </w:r>
    </w:p>
    <w:p>
      <w:pPr>
        <w:pStyle w:val="BodyText"/>
        <w:rPr>
          <w:b/>
          <w:sz w:val="20"/>
        </w:rPr>
      </w:pPr>
    </w:p>
    <w:p>
      <w:pPr>
        <w:pStyle w:val="BodyText"/>
        <w:spacing w:before="3"/>
        <w:rPr>
          <w:b/>
          <w:sz w:val="21"/>
        </w:rPr>
      </w:pPr>
    </w:p>
    <w:tbl>
      <w:tblPr>
        <w:tblW w:w="0" w:type="auto"/>
        <w:jc w:val="left"/>
        <w:tblInd w:w="119"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CellMar>
          <w:top w:w="0" w:type="dxa"/>
          <w:left w:w="0" w:type="dxa"/>
          <w:bottom w:w="0" w:type="dxa"/>
          <w:right w:w="0" w:type="dxa"/>
        </w:tblCellMar>
        <w:tblLook w:val="01E0"/>
      </w:tblPr>
      <w:tblGrid>
        <w:gridCol w:w="1102"/>
        <w:gridCol w:w="1275"/>
        <w:gridCol w:w="1277"/>
        <w:gridCol w:w="1133"/>
        <w:gridCol w:w="1135"/>
        <w:gridCol w:w="1133"/>
        <w:gridCol w:w="2554"/>
      </w:tblGrid>
      <w:tr>
        <w:trPr>
          <w:trHeight w:val="582" w:hRule="exact"/>
        </w:trPr>
        <w:tc>
          <w:tcPr>
            <w:tcW w:w="1102" w:type="dxa"/>
            <w:vMerge w:val="restart"/>
            <w:shd w:val="clear" w:color="auto" w:fill="D9D9D9"/>
          </w:tcPr>
          <w:p>
            <w:pPr>
              <w:pStyle w:val="TableParagraph"/>
              <w:jc w:val="left"/>
              <w:rPr>
                <w:b/>
                <w:sz w:val="24"/>
              </w:rPr>
            </w:pPr>
          </w:p>
          <w:p>
            <w:pPr>
              <w:pStyle w:val="TableParagraph"/>
              <w:spacing w:before="149"/>
              <w:ind w:left="129"/>
              <w:jc w:val="left"/>
              <w:rPr>
                <w:b/>
                <w:sz w:val="24"/>
              </w:rPr>
            </w:pPr>
            <w:r>
              <w:rPr>
                <w:b/>
                <w:sz w:val="24"/>
              </w:rPr>
              <w:t>Analito</w:t>
            </w:r>
          </w:p>
        </w:tc>
        <w:tc>
          <w:tcPr>
            <w:tcW w:w="1275" w:type="dxa"/>
            <w:vMerge w:val="restart"/>
            <w:shd w:val="clear" w:color="auto" w:fill="D9D9D9"/>
          </w:tcPr>
          <w:p>
            <w:pPr>
              <w:pStyle w:val="TableParagraph"/>
              <w:jc w:val="left"/>
              <w:rPr>
                <w:b/>
                <w:sz w:val="24"/>
              </w:rPr>
            </w:pPr>
          </w:p>
          <w:p>
            <w:pPr>
              <w:pStyle w:val="TableParagraph"/>
              <w:spacing w:before="149"/>
              <w:ind w:left="146"/>
              <w:jc w:val="left"/>
              <w:rPr>
                <w:b/>
                <w:sz w:val="24"/>
              </w:rPr>
            </w:pPr>
            <w:r>
              <w:rPr>
                <w:b/>
                <w:sz w:val="24"/>
              </w:rPr>
              <w:t>Nominal</w:t>
            </w:r>
          </w:p>
        </w:tc>
        <w:tc>
          <w:tcPr>
            <w:tcW w:w="2410" w:type="dxa"/>
            <w:gridSpan w:val="2"/>
            <w:shd w:val="clear" w:color="auto" w:fill="D9D9D9"/>
          </w:tcPr>
          <w:p>
            <w:pPr>
              <w:pStyle w:val="TableParagraph"/>
              <w:ind w:left="657" w:right="273" w:hanging="370"/>
              <w:jc w:val="left"/>
              <w:rPr>
                <w:b/>
                <w:sz w:val="24"/>
              </w:rPr>
            </w:pPr>
            <w:r>
              <w:rPr>
                <w:b/>
                <w:sz w:val="24"/>
              </w:rPr>
              <w:t>Temperatura de digestión</w:t>
            </w:r>
          </w:p>
        </w:tc>
        <w:tc>
          <w:tcPr>
            <w:tcW w:w="2269" w:type="dxa"/>
            <w:gridSpan w:val="2"/>
            <w:shd w:val="clear" w:color="auto" w:fill="D9D9D9"/>
          </w:tcPr>
          <w:p>
            <w:pPr>
              <w:pStyle w:val="TableParagraph"/>
              <w:ind w:left="477" w:right="183" w:hanging="281"/>
              <w:jc w:val="left"/>
              <w:rPr>
                <w:b/>
                <w:sz w:val="24"/>
              </w:rPr>
            </w:pPr>
            <w:r>
              <w:rPr>
                <w:b/>
                <w:sz w:val="24"/>
              </w:rPr>
              <w:t>Tiempo de toma de muestra</w:t>
            </w:r>
          </w:p>
        </w:tc>
        <w:tc>
          <w:tcPr>
            <w:tcW w:w="2554" w:type="dxa"/>
            <w:vMerge w:val="restart"/>
            <w:shd w:val="clear" w:color="auto" w:fill="D9D9D9"/>
          </w:tcPr>
          <w:p>
            <w:pPr>
              <w:pStyle w:val="TableParagraph"/>
              <w:jc w:val="left"/>
              <w:rPr>
                <w:b/>
                <w:sz w:val="24"/>
              </w:rPr>
            </w:pPr>
          </w:p>
          <w:p>
            <w:pPr>
              <w:pStyle w:val="TableParagraph"/>
              <w:spacing w:before="149"/>
              <w:ind w:left="832" w:right="165"/>
              <w:jc w:val="left"/>
              <w:rPr>
                <w:b/>
                <w:sz w:val="24"/>
              </w:rPr>
            </w:pPr>
            <w:r>
              <w:rPr>
                <w:b/>
                <w:sz w:val="24"/>
              </w:rPr>
              <w:t>Criterio</w:t>
            </w:r>
          </w:p>
        </w:tc>
      </w:tr>
      <w:tr>
        <w:trPr>
          <w:trHeight w:val="584" w:hRule="exact"/>
        </w:trPr>
        <w:tc>
          <w:tcPr>
            <w:tcW w:w="1102" w:type="dxa"/>
            <w:vMerge/>
            <w:shd w:val="clear" w:color="auto" w:fill="D9D9D9"/>
          </w:tcPr>
          <w:p>
            <w:pPr/>
          </w:p>
        </w:tc>
        <w:tc>
          <w:tcPr>
            <w:tcW w:w="1275" w:type="dxa"/>
            <w:vMerge/>
            <w:shd w:val="clear" w:color="auto" w:fill="D9D9D9"/>
          </w:tcPr>
          <w:p>
            <w:pPr/>
          </w:p>
        </w:tc>
        <w:tc>
          <w:tcPr>
            <w:tcW w:w="1277" w:type="dxa"/>
            <w:shd w:val="clear" w:color="auto" w:fill="D9D9D9"/>
          </w:tcPr>
          <w:p>
            <w:pPr>
              <w:pStyle w:val="TableParagraph"/>
              <w:spacing w:before="133"/>
              <w:ind w:left="150" w:right="150"/>
              <w:rPr>
                <w:b/>
                <w:sz w:val="24"/>
              </w:rPr>
            </w:pPr>
            <w:r>
              <w:rPr>
                <w:b/>
                <w:sz w:val="24"/>
              </w:rPr>
              <w:t>Temp. 1</w:t>
            </w:r>
          </w:p>
        </w:tc>
        <w:tc>
          <w:tcPr>
            <w:tcW w:w="1133" w:type="dxa"/>
            <w:shd w:val="clear" w:color="auto" w:fill="D9D9D9"/>
          </w:tcPr>
          <w:p>
            <w:pPr>
              <w:pStyle w:val="TableParagraph"/>
              <w:spacing w:before="133"/>
              <w:ind w:left="72" w:right="84"/>
              <w:rPr>
                <w:b/>
                <w:sz w:val="24"/>
              </w:rPr>
            </w:pPr>
            <w:r>
              <w:rPr>
                <w:b/>
                <w:sz w:val="24"/>
              </w:rPr>
              <w:t>Temp. 2</w:t>
            </w:r>
          </w:p>
        </w:tc>
        <w:tc>
          <w:tcPr>
            <w:tcW w:w="1135" w:type="dxa"/>
            <w:shd w:val="clear" w:color="auto" w:fill="D9D9D9"/>
          </w:tcPr>
          <w:p>
            <w:pPr>
              <w:pStyle w:val="TableParagraph"/>
              <w:ind w:left="484" w:right="109" w:hanging="360"/>
              <w:jc w:val="left"/>
              <w:rPr>
                <w:b/>
                <w:sz w:val="24"/>
              </w:rPr>
            </w:pPr>
            <w:r>
              <w:rPr>
                <w:b/>
                <w:sz w:val="24"/>
              </w:rPr>
              <w:t>Tiempo 1</w:t>
            </w:r>
          </w:p>
        </w:tc>
        <w:tc>
          <w:tcPr>
            <w:tcW w:w="1133" w:type="dxa"/>
            <w:shd w:val="clear" w:color="auto" w:fill="D9D9D9"/>
          </w:tcPr>
          <w:p>
            <w:pPr>
              <w:pStyle w:val="TableParagraph"/>
              <w:ind w:left="482" w:right="109" w:hanging="360"/>
              <w:jc w:val="left"/>
              <w:rPr>
                <w:b/>
                <w:sz w:val="24"/>
              </w:rPr>
            </w:pPr>
            <w:r>
              <w:rPr>
                <w:b/>
                <w:sz w:val="24"/>
              </w:rPr>
              <w:t>Tiempo 2</w:t>
            </w:r>
          </w:p>
        </w:tc>
        <w:tc>
          <w:tcPr>
            <w:tcW w:w="2554" w:type="dxa"/>
            <w:vMerge/>
            <w:shd w:val="clear" w:color="auto" w:fill="D9D9D9"/>
          </w:tcPr>
          <w:p>
            <w:pPr/>
          </w:p>
        </w:tc>
      </w:tr>
      <w:tr>
        <w:trPr>
          <w:trHeight w:val="308" w:hRule="exact"/>
        </w:trPr>
        <w:tc>
          <w:tcPr>
            <w:tcW w:w="9609" w:type="dxa"/>
            <w:gridSpan w:val="7"/>
            <w:shd w:val="clear" w:color="auto" w:fill="D9D9D9"/>
          </w:tcPr>
          <w:p>
            <w:pPr>
              <w:pStyle w:val="TableParagraph"/>
              <w:spacing w:line="274" w:lineRule="exact"/>
              <w:ind w:left="2897"/>
              <w:jc w:val="left"/>
              <w:rPr>
                <w:b/>
                <w:sz w:val="24"/>
              </w:rPr>
            </w:pPr>
            <w:r>
              <w:rPr>
                <w:b/>
                <w:sz w:val="24"/>
              </w:rPr>
              <w:t>Coeficiente de Determinación (r</w:t>
            </w:r>
            <w:r>
              <w:rPr>
                <w:b/>
                <w:position w:val="11"/>
                <w:sz w:val="16"/>
              </w:rPr>
              <w:t>2</w:t>
            </w:r>
            <w:r>
              <w:rPr>
                <w:b/>
                <w:sz w:val="24"/>
              </w:rPr>
              <w:t>)</w:t>
            </w:r>
          </w:p>
        </w:tc>
      </w:tr>
      <w:tr>
        <w:trPr>
          <w:trHeight w:val="728" w:hRule="exact"/>
        </w:trPr>
        <w:tc>
          <w:tcPr>
            <w:tcW w:w="1102" w:type="dxa"/>
          </w:tcPr>
          <w:p>
            <w:pPr>
              <w:pStyle w:val="TableParagraph"/>
              <w:spacing w:before="208"/>
              <w:ind w:left="369" w:right="369"/>
              <w:rPr>
                <w:sz w:val="24"/>
              </w:rPr>
            </w:pPr>
            <w:r>
              <w:rPr>
                <w:sz w:val="24"/>
              </w:rPr>
              <w:t>Pd</w:t>
            </w:r>
          </w:p>
        </w:tc>
        <w:tc>
          <w:tcPr>
            <w:tcW w:w="1275" w:type="dxa"/>
          </w:tcPr>
          <w:p>
            <w:pPr>
              <w:pStyle w:val="TableParagraph"/>
              <w:spacing w:before="208"/>
              <w:ind w:left="386"/>
              <w:jc w:val="left"/>
              <w:rPr>
                <w:sz w:val="24"/>
              </w:rPr>
            </w:pPr>
            <w:r>
              <w:rPr>
                <w:sz w:val="24"/>
              </w:rPr>
              <w:t>1.00</w:t>
            </w:r>
          </w:p>
        </w:tc>
        <w:tc>
          <w:tcPr>
            <w:tcW w:w="1277" w:type="dxa"/>
          </w:tcPr>
          <w:p>
            <w:pPr>
              <w:pStyle w:val="TableParagraph"/>
              <w:spacing w:before="208"/>
              <w:ind w:left="149" w:right="150"/>
              <w:rPr>
                <w:sz w:val="24"/>
              </w:rPr>
            </w:pPr>
            <w:r>
              <w:rPr>
                <w:sz w:val="24"/>
              </w:rPr>
              <w:t>1.00</w:t>
            </w:r>
          </w:p>
        </w:tc>
        <w:tc>
          <w:tcPr>
            <w:tcW w:w="1133" w:type="dxa"/>
          </w:tcPr>
          <w:p>
            <w:pPr>
              <w:pStyle w:val="TableParagraph"/>
              <w:spacing w:before="208"/>
              <w:ind w:left="72" w:right="76"/>
              <w:rPr>
                <w:sz w:val="24"/>
              </w:rPr>
            </w:pPr>
            <w:r>
              <w:rPr>
                <w:sz w:val="24"/>
              </w:rPr>
              <w:t>1.00</w:t>
            </w:r>
          </w:p>
        </w:tc>
        <w:tc>
          <w:tcPr>
            <w:tcW w:w="1135" w:type="dxa"/>
          </w:tcPr>
          <w:p>
            <w:pPr>
              <w:pStyle w:val="TableParagraph"/>
              <w:spacing w:before="208"/>
              <w:ind w:left="316" w:right="109"/>
              <w:jc w:val="left"/>
              <w:rPr>
                <w:sz w:val="24"/>
              </w:rPr>
            </w:pPr>
            <w:r>
              <w:rPr>
                <w:sz w:val="24"/>
              </w:rPr>
              <w:t>1.00</w:t>
            </w:r>
          </w:p>
        </w:tc>
        <w:tc>
          <w:tcPr>
            <w:tcW w:w="1133" w:type="dxa"/>
          </w:tcPr>
          <w:p>
            <w:pPr>
              <w:pStyle w:val="TableParagraph"/>
              <w:spacing w:before="208"/>
              <w:ind w:left="296" w:right="300"/>
              <w:rPr>
                <w:sz w:val="24"/>
              </w:rPr>
            </w:pPr>
            <w:r>
              <w:rPr>
                <w:sz w:val="24"/>
              </w:rPr>
              <w:t>1.00</w:t>
            </w:r>
          </w:p>
        </w:tc>
        <w:tc>
          <w:tcPr>
            <w:tcW w:w="2554" w:type="dxa"/>
          </w:tcPr>
          <w:p>
            <w:pPr>
              <w:pStyle w:val="TableParagraph"/>
              <w:spacing w:before="208"/>
              <w:ind w:left="280" w:right="165"/>
              <w:jc w:val="left"/>
              <w:rPr>
                <w:sz w:val="24"/>
              </w:rPr>
            </w:pPr>
            <w:r>
              <w:rPr>
                <w:sz w:val="24"/>
              </w:rPr>
              <w:t>No menos de 0.99</w:t>
            </w:r>
          </w:p>
        </w:tc>
      </w:tr>
      <w:tr>
        <w:trPr>
          <w:trHeight w:val="308" w:hRule="exact"/>
        </w:trPr>
        <w:tc>
          <w:tcPr>
            <w:tcW w:w="9609" w:type="dxa"/>
            <w:gridSpan w:val="7"/>
            <w:shd w:val="clear" w:color="auto" w:fill="D9D9D9"/>
          </w:tcPr>
          <w:p>
            <w:pPr>
              <w:pStyle w:val="TableParagraph"/>
              <w:spacing w:line="274" w:lineRule="exact"/>
              <w:ind w:left="1675"/>
              <w:jc w:val="left"/>
              <w:rPr>
                <w:b/>
                <w:sz w:val="24"/>
              </w:rPr>
            </w:pPr>
            <w:r>
              <w:rPr>
                <w:b/>
                <w:sz w:val="24"/>
              </w:rPr>
              <w:t>% Recobro (después de los estándares de calibración)</w:t>
            </w:r>
          </w:p>
        </w:tc>
      </w:tr>
      <w:tr>
        <w:trPr>
          <w:trHeight w:val="787" w:hRule="exact"/>
        </w:trPr>
        <w:tc>
          <w:tcPr>
            <w:tcW w:w="1102" w:type="dxa"/>
          </w:tcPr>
          <w:p>
            <w:pPr>
              <w:pStyle w:val="TableParagraph"/>
              <w:spacing w:before="7"/>
              <w:jc w:val="left"/>
              <w:rPr>
                <w:b/>
                <w:sz w:val="20"/>
              </w:rPr>
            </w:pPr>
          </w:p>
          <w:p>
            <w:pPr>
              <w:pStyle w:val="TableParagraph"/>
              <w:ind w:left="369" w:right="369"/>
              <w:rPr>
                <w:sz w:val="24"/>
              </w:rPr>
            </w:pPr>
            <w:r>
              <w:rPr>
                <w:sz w:val="24"/>
              </w:rPr>
              <w:t>Pd</w:t>
            </w:r>
          </w:p>
        </w:tc>
        <w:tc>
          <w:tcPr>
            <w:tcW w:w="1275" w:type="dxa"/>
          </w:tcPr>
          <w:p>
            <w:pPr>
              <w:pStyle w:val="TableParagraph"/>
              <w:spacing w:before="7"/>
              <w:jc w:val="left"/>
              <w:rPr>
                <w:b/>
                <w:sz w:val="20"/>
              </w:rPr>
            </w:pPr>
          </w:p>
          <w:p>
            <w:pPr>
              <w:pStyle w:val="TableParagraph"/>
              <w:ind w:left="420"/>
              <w:jc w:val="left"/>
              <w:rPr>
                <w:sz w:val="24"/>
              </w:rPr>
            </w:pPr>
            <w:r>
              <w:rPr>
                <w:sz w:val="24"/>
              </w:rPr>
              <w:t>103</w:t>
            </w:r>
          </w:p>
        </w:tc>
        <w:tc>
          <w:tcPr>
            <w:tcW w:w="1277" w:type="dxa"/>
          </w:tcPr>
          <w:p>
            <w:pPr>
              <w:pStyle w:val="TableParagraph"/>
              <w:spacing w:before="7"/>
              <w:jc w:val="left"/>
              <w:rPr>
                <w:b/>
                <w:sz w:val="20"/>
              </w:rPr>
            </w:pPr>
          </w:p>
          <w:p>
            <w:pPr>
              <w:pStyle w:val="TableParagraph"/>
              <w:ind w:left="150" w:right="150"/>
              <w:rPr>
                <w:sz w:val="24"/>
              </w:rPr>
            </w:pPr>
            <w:r>
              <w:rPr>
                <w:sz w:val="24"/>
              </w:rPr>
              <w:t>104</w:t>
            </w:r>
          </w:p>
        </w:tc>
        <w:tc>
          <w:tcPr>
            <w:tcW w:w="1133" w:type="dxa"/>
          </w:tcPr>
          <w:p>
            <w:pPr>
              <w:pStyle w:val="TableParagraph"/>
              <w:spacing w:before="7"/>
              <w:jc w:val="left"/>
              <w:rPr>
                <w:b/>
                <w:sz w:val="20"/>
              </w:rPr>
            </w:pPr>
          </w:p>
          <w:p>
            <w:pPr>
              <w:pStyle w:val="TableParagraph"/>
              <w:ind w:left="72" w:right="75"/>
              <w:rPr>
                <w:sz w:val="24"/>
              </w:rPr>
            </w:pPr>
            <w:r>
              <w:rPr>
                <w:sz w:val="24"/>
              </w:rPr>
              <w:t>104</w:t>
            </w:r>
          </w:p>
        </w:tc>
        <w:tc>
          <w:tcPr>
            <w:tcW w:w="1135" w:type="dxa"/>
          </w:tcPr>
          <w:p>
            <w:pPr>
              <w:pStyle w:val="TableParagraph"/>
              <w:spacing w:before="7"/>
              <w:jc w:val="left"/>
              <w:rPr>
                <w:b/>
                <w:sz w:val="20"/>
              </w:rPr>
            </w:pPr>
          </w:p>
          <w:p>
            <w:pPr>
              <w:pStyle w:val="TableParagraph"/>
              <w:ind w:left="350" w:right="109"/>
              <w:jc w:val="left"/>
              <w:rPr>
                <w:sz w:val="24"/>
              </w:rPr>
            </w:pPr>
            <w:r>
              <w:rPr>
                <w:sz w:val="24"/>
              </w:rPr>
              <w:t>104</w:t>
            </w:r>
          </w:p>
        </w:tc>
        <w:tc>
          <w:tcPr>
            <w:tcW w:w="1133" w:type="dxa"/>
          </w:tcPr>
          <w:p>
            <w:pPr>
              <w:pStyle w:val="TableParagraph"/>
              <w:spacing w:before="7"/>
              <w:jc w:val="left"/>
              <w:rPr>
                <w:b/>
                <w:sz w:val="20"/>
              </w:rPr>
            </w:pPr>
          </w:p>
          <w:p>
            <w:pPr>
              <w:pStyle w:val="TableParagraph"/>
              <w:ind w:left="296" w:right="299"/>
              <w:rPr>
                <w:sz w:val="24"/>
              </w:rPr>
            </w:pPr>
            <w:r>
              <w:rPr>
                <w:sz w:val="24"/>
              </w:rPr>
              <w:t>101</w:t>
            </w:r>
          </w:p>
        </w:tc>
        <w:tc>
          <w:tcPr>
            <w:tcW w:w="2554" w:type="dxa"/>
          </w:tcPr>
          <w:p>
            <w:pPr>
              <w:pStyle w:val="TableParagraph"/>
              <w:spacing w:before="97"/>
              <w:ind w:left="359" w:right="165" w:hanging="180"/>
              <w:jc w:val="left"/>
              <w:rPr>
                <w:sz w:val="24"/>
              </w:rPr>
            </w:pPr>
            <w:r>
              <w:rPr>
                <w:sz w:val="24"/>
              </w:rPr>
              <w:t>No menos de 80% y no más de 120%</w:t>
            </w:r>
          </w:p>
        </w:tc>
      </w:tr>
      <w:tr>
        <w:trPr>
          <w:trHeight w:val="308" w:hRule="exact"/>
        </w:trPr>
        <w:tc>
          <w:tcPr>
            <w:tcW w:w="9609" w:type="dxa"/>
            <w:gridSpan w:val="7"/>
            <w:shd w:val="clear" w:color="auto" w:fill="D9D9D9"/>
          </w:tcPr>
          <w:p>
            <w:pPr>
              <w:pStyle w:val="TableParagraph"/>
              <w:spacing w:line="274" w:lineRule="exact"/>
              <w:ind w:left="2748"/>
              <w:jc w:val="left"/>
              <w:rPr>
                <w:b/>
                <w:sz w:val="24"/>
              </w:rPr>
            </w:pPr>
            <w:r>
              <w:rPr>
                <w:b/>
                <w:sz w:val="24"/>
              </w:rPr>
              <w:t>% Recobro (al final de la secuencia)</w:t>
            </w:r>
          </w:p>
        </w:tc>
      </w:tr>
      <w:tr>
        <w:trPr>
          <w:trHeight w:val="877" w:hRule="exact"/>
        </w:trPr>
        <w:tc>
          <w:tcPr>
            <w:tcW w:w="1102" w:type="dxa"/>
          </w:tcPr>
          <w:p>
            <w:pPr>
              <w:pStyle w:val="TableParagraph"/>
              <w:spacing w:before="6"/>
              <w:jc w:val="left"/>
              <w:rPr>
                <w:b/>
                <w:sz w:val="24"/>
              </w:rPr>
            </w:pPr>
          </w:p>
          <w:p>
            <w:pPr>
              <w:pStyle w:val="TableParagraph"/>
              <w:ind w:left="369" w:right="369"/>
              <w:rPr>
                <w:sz w:val="24"/>
              </w:rPr>
            </w:pPr>
            <w:r>
              <w:rPr>
                <w:sz w:val="24"/>
              </w:rPr>
              <w:t>Pd</w:t>
            </w:r>
          </w:p>
        </w:tc>
        <w:tc>
          <w:tcPr>
            <w:tcW w:w="1275" w:type="dxa"/>
          </w:tcPr>
          <w:p>
            <w:pPr>
              <w:pStyle w:val="TableParagraph"/>
              <w:spacing w:before="6"/>
              <w:jc w:val="left"/>
              <w:rPr>
                <w:b/>
                <w:sz w:val="24"/>
              </w:rPr>
            </w:pPr>
          </w:p>
          <w:p>
            <w:pPr>
              <w:pStyle w:val="TableParagraph"/>
              <w:ind w:left="420"/>
              <w:jc w:val="left"/>
              <w:rPr>
                <w:sz w:val="24"/>
              </w:rPr>
            </w:pPr>
            <w:r>
              <w:rPr>
                <w:sz w:val="24"/>
              </w:rPr>
              <w:t>106</w:t>
            </w:r>
          </w:p>
        </w:tc>
        <w:tc>
          <w:tcPr>
            <w:tcW w:w="1277" w:type="dxa"/>
          </w:tcPr>
          <w:p>
            <w:pPr>
              <w:pStyle w:val="TableParagraph"/>
              <w:spacing w:before="6"/>
              <w:jc w:val="left"/>
              <w:rPr>
                <w:b/>
                <w:sz w:val="24"/>
              </w:rPr>
            </w:pPr>
          </w:p>
          <w:p>
            <w:pPr>
              <w:pStyle w:val="TableParagraph"/>
              <w:ind w:left="150" w:right="150"/>
              <w:rPr>
                <w:sz w:val="24"/>
              </w:rPr>
            </w:pPr>
            <w:r>
              <w:rPr>
                <w:sz w:val="24"/>
              </w:rPr>
              <w:t>98</w:t>
            </w:r>
          </w:p>
        </w:tc>
        <w:tc>
          <w:tcPr>
            <w:tcW w:w="1133" w:type="dxa"/>
          </w:tcPr>
          <w:p>
            <w:pPr>
              <w:pStyle w:val="TableParagraph"/>
              <w:spacing w:before="6"/>
              <w:jc w:val="left"/>
              <w:rPr>
                <w:b/>
                <w:sz w:val="24"/>
              </w:rPr>
            </w:pPr>
          </w:p>
          <w:p>
            <w:pPr>
              <w:pStyle w:val="TableParagraph"/>
              <w:ind w:left="72" w:right="75"/>
              <w:rPr>
                <w:sz w:val="24"/>
              </w:rPr>
            </w:pPr>
            <w:r>
              <w:rPr>
                <w:sz w:val="24"/>
              </w:rPr>
              <w:t>98</w:t>
            </w:r>
          </w:p>
        </w:tc>
        <w:tc>
          <w:tcPr>
            <w:tcW w:w="1135" w:type="dxa"/>
          </w:tcPr>
          <w:p>
            <w:pPr>
              <w:pStyle w:val="TableParagraph"/>
              <w:spacing w:before="6"/>
              <w:jc w:val="left"/>
              <w:rPr>
                <w:b/>
                <w:sz w:val="24"/>
              </w:rPr>
            </w:pPr>
          </w:p>
          <w:p>
            <w:pPr>
              <w:pStyle w:val="TableParagraph"/>
              <w:ind w:left="350" w:right="109"/>
              <w:jc w:val="left"/>
              <w:rPr>
                <w:sz w:val="24"/>
              </w:rPr>
            </w:pPr>
            <w:r>
              <w:rPr>
                <w:sz w:val="24"/>
              </w:rPr>
              <w:t>103</w:t>
            </w:r>
          </w:p>
        </w:tc>
        <w:tc>
          <w:tcPr>
            <w:tcW w:w="1133" w:type="dxa"/>
          </w:tcPr>
          <w:p>
            <w:pPr>
              <w:pStyle w:val="TableParagraph"/>
              <w:spacing w:before="6"/>
              <w:jc w:val="left"/>
              <w:rPr>
                <w:b/>
                <w:sz w:val="24"/>
              </w:rPr>
            </w:pPr>
          </w:p>
          <w:p>
            <w:pPr>
              <w:pStyle w:val="TableParagraph"/>
              <w:ind w:left="296" w:right="299"/>
              <w:rPr>
                <w:sz w:val="24"/>
              </w:rPr>
            </w:pPr>
            <w:r>
              <w:rPr>
                <w:sz w:val="24"/>
              </w:rPr>
              <w:t>100</w:t>
            </w:r>
          </w:p>
        </w:tc>
        <w:tc>
          <w:tcPr>
            <w:tcW w:w="2554" w:type="dxa"/>
          </w:tcPr>
          <w:p>
            <w:pPr>
              <w:pStyle w:val="TableParagraph"/>
              <w:spacing w:before="143"/>
              <w:ind w:left="359" w:right="165" w:hanging="180"/>
              <w:jc w:val="left"/>
              <w:rPr>
                <w:sz w:val="24"/>
              </w:rPr>
            </w:pPr>
            <w:r>
              <w:rPr>
                <w:sz w:val="24"/>
              </w:rPr>
              <w:t>No menos de 80% y no más de 120%</w:t>
            </w:r>
          </w:p>
        </w:tc>
      </w:tr>
      <w:tr>
        <w:trPr>
          <w:trHeight w:val="308" w:hRule="exact"/>
        </w:trPr>
        <w:tc>
          <w:tcPr>
            <w:tcW w:w="9609" w:type="dxa"/>
            <w:gridSpan w:val="7"/>
            <w:shd w:val="clear" w:color="auto" w:fill="D9D9D9"/>
          </w:tcPr>
          <w:p>
            <w:pPr>
              <w:pStyle w:val="TableParagraph"/>
              <w:spacing w:line="274" w:lineRule="exact"/>
              <w:ind w:left="3048"/>
              <w:jc w:val="left"/>
              <w:rPr>
                <w:b/>
                <w:sz w:val="24"/>
              </w:rPr>
            </w:pPr>
            <w:r>
              <w:rPr>
                <w:b/>
                <w:sz w:val="24"/>
              </w:rPr>
              <w:t>ppm en la muestra Producto A</w:t>
            </w:r>
          </w:p>
        </w:tc>
      </w:tr>
      <w:tr>
        <w:trPr>
          <w:trHeight w:val="1466" w:hRule="exact"/>
        </w:trPr>
        <w:tc>
          <w:tcPr>
            <w:tcW w:w="1102" w:type="dxa"/>
          </w:tcPr>
          <w:p>
            <w:pPr>
              <w:pStyle w:val="TableParagraph"/>
              <w:jc w:val="left"/>
              <w:rPr>
                <w:b/>
                <w:sz w:val="24"/>
              </w:rPr>
            </w:pPr>
          </w:p>
          <w:p>
            <w:pPr>
              <w:pStyle w:val="TableParagraph"/>
              <w:jc w:val="left"/>
              <w:rPr>
                <w:b/>
                <w:sz w:val="26"/>
              </w:rPr>
            </w:pPr>
          </w:p>
          <w:p>
            <w:pPr>
              <w:pStyle w:val="TableParagraph"/>
              <w:ind w:left="369" w:right="369"/>
              <w:rPr>
                <w:sz w:val="24"/>
              </w:rPr>
            </w:pPr>
            <w:r>
              <w:rPr>
                <w:sz w:val="24"/>
              </w:rPr>
              <w:t>Pd</w:t>
            </w:r>
          </w:p>
        </w:tc>
        <w:tc>
          <w:tcPr>
            <w:tcW w:w="1275" w:type="dxa"/>
          </w:tcPr>
          <w:p>
            <w:pPr>
              <w:pStyle w:val="TableParagraph"/>
              <w:jc w:val="left"/>
              <w:rPr>
                <w:b/>
                <w:sz w:val="24"/>
              </w:rPr>
            </w:pPr>
          </w:p>
          <w:p>
            <w:pPr>
              <w:pStyle w:val="TableParagraph"/>
              <w:jc w:val="left"/>
              <w:rPr>
                <w:b/>
                <w:sz w:val="26"/>
              </w:rPr>
            </w:pPr>
          </w:p>
          <w:p>
            <w:pPr>
              <w:pStyle w:val="TableParagraph"/>
              <w:ind w:left="386"/>
              <w:jc w:val="left"/>
              <w:rPr>
                <w:sz w:val="24"/>
              </w:rPr>
            </w:pPr>
            <w:r>
              <w:rPr>
                <w:sz w:val="24"/>
              </w:rPr>
              <w:t>1.32</w:t>
            </w:r>
          </w:p>
        </w:tc>
        <w:tc>
          <w:tcPr>
            <w:tcW w:w="1277" w:type="dxa"/>
          </w:tcPr>
          <w:p>
            <w:pPr>
              <w:pStyle w:val="TableParagraph"/>
              <w:jc w:val="left"/>
              <w:rPr>
                <w:b/>
                <w:sz w:val="24"/>
              </w:rPr>
            </w:pPr>
          </w:p>
          <w:p>
            <w:pPr>
              <w:pStyle w:val="TableParagraph"/>
              <w:jc w:val="left"/>
              <w:rPr>
                <w:b/>
                <w:sz w:val="26"/>
              </w:rPr>
            </w:pPr>
          </w:p>
          <w:p>
            <w:pPr>
              <w:pStyle w:val="TableParagraph"/>
              <w:ind w:left="149" w:right="150"/>
              <w:rPr>
                <w:sz w:val="24"/>
              </w:rPr>
            </w:pPr>
            <w:r>
              <w:rPr>
                <w:sz w:val="24"/>
              </w:rPr>
              <w:t>0.98</w:t>
            </w:r>
          </w:p>
        </w:tc>
        <w:tc>
          <w:tcPr>
            <w:tcW w:w="1133" w:type="dxa"/>
          </w:tcPr>
          <w:p>
            <w:pPr>
              <w:pStyle w:val="TableParagraph"/>
              <w:jc w:val="left"/>
              <w:rPr>
                <w:b/>
                <w:sz w:val="24"/>
              </w:rPr>
            </w:pPr>
          </w:p>
          <w:p>
            <w:pPr>
              <w:pStyle w:val="TableParagraph"/>
              <w:jc w:val="left"/>
              <w:rPr>
                <w:b/>
                <w:sz w:val="26"/>
              </w:rPr>
            </w:pPr>
          </w:p>
          <w:p>
            <w:pPr>
              <w:pStyle w:val="TableParagraph"/>
              <w:ind w:left="72" w:right="76"/>
              <w:rPr>
                <w:sz w:val="24"/>
              </w:rPr>
            </w:pPr>
            <w:r>
              <w:rPr>
                <w:sz w:val="24"/>
              </w:rPr>
              <w:t>0.96</w:t>
            </w:r>
          </w:p>
        </w:tc>
        <w:tc>
          <w:tcPr>
            <w:tcW w:w="1135" w:type="dxa"/>
          </w:tcPr>
          <w:p>
            <w:pPr>
              <w:pStyle w:val="TableParagraph"/>
              <w:jc w:val="left"/>
              <w:rPr>
                <w:b/>
                <w:sz w:val="24"/>
              </w:rPr>
            </w:pPr>
          </w:p>
          <w:p>
            <w:pPr>
              <w:pStyle w:val="TableParagraph"/>
              <w:jc w:val="left"/>
              <w:rPr>
                <w:b/>
                <w:sz w:val="26"/>
              </w:rPr>
            </w:pPr>
          </w:p>
          <w:p>
            <w:pPr>
              <w:pStyle w:val="TableParagraph"/>
              <w:ind w:left="316" w:right="109"/>
              <w:jc w:val="left"/>
              <w:rPr>
                <w:sz w:val="24"/>
              </w:rPr>
            </w:pPr>
            <w:r>
              <w:rPr>
                <w:sz w:val="24"/>
              </w:rPr>
              <w:t>2.14</w:t>
            </w:r>
          </w:p>
        </w:tc>
        <w:tc>
          <w:tcPr>
            <w:tcW w:w="1133" w:type="dxa"/>
          </w:tcPr>
          <w:p>
            <w:pPr>
              <w:pStyle w:val="TableParagraph"/>
              <w:jc w:val="left"/>
              <w:rPr>
                <w:b/>
                <w:sz w:val="24"/>
              </w:rPr>
            </w:pPr>
          </w:p>
          <w:p>
            <w:pPr>
              <w:pStyle w:val="TableParagraph"/>
              <w:jc w:val="left"/>
              <w:rPr>
                <w:b/>
                <w:sz w:val="26"/>
              </w:rPr>
            </w:pPr>
          </w:p>
          <w:p>
            <w:pPr>
              <w:pStyle w:val="TableParagraph"/>
              <w:ind w:left="296" w:right="300"/>
              <w:rPr>
                <w:sz w:val="24"/>
              </w:rPr>
            </w:pPr>
            <w:r>
              <w:rPr>
                <w:sz w:val="24"/>
              </w:rPr>
              <w:t>1.44</w:t>
            </w:r>
          </w:p>
        </w:tc>
        <w:tc>
          <w:tcPr>
            <w:tcW w:w="2554" w:type="dxa"/>
          </w:tcPr>
          <w:p>
            <w:pPr>
              <w:pStyle w:val="TableParagraph"/>
              <w:spacing w:before="23"/>
              <w:ind w:left="199" w:right="202" w:firstLine="2"/>
              <w:rPr>
                <w:sz w:val="24"/>
              </w:rPr>
            </w:pPr>
            <w:r>
              <w:rPr>
                <w:sz w:val="24"/>
              </w:rPr>
              <w:t>La respuesta de V, Co y Ni no aumenta ni disminuye por arriba del límite de cuantificación</w:t>
            </w:r>
          </w:p>
        </w:tc>
      </w:tr>
    </w:tbl>
    <w:p>
      <w:pPr>
        <w:spacing w:line="230" w:lineRule="exact" w:before="0"/>
        <w:ind w:left="808" w:right="0" w:firstLine="0"/>
        <w:jc w:val="left"/>
        <w:rPr>
          <w:sz w:val="20"/>
        </w:rPr>
      </w:pPr>
      <w:r>
        <w:rPr>
          <w:sz w:val="20"/>
        </w:rPr>
        <w:t>ND= No Detectado</w:t>
      </w:r>
    </w:p>
    <w:p>
      <w:pPr>
        <w:spacing w:before="34"/>
        <w:ind w:left="808" w:right="0" w:firstLine="0"/>
        <w:jc w:val="left"/>
        <w:rPr>
          <w:sz w:val="20"/>
        </w:rPr>
      </w:pPr>
      <w:r>
        <w:rPr>
          <w:sz w:val="20"/>
        </w:rPr>
        <w:t>BQL= Por Debajo del Límite de Cuantificación</w:t>
      </w:r>
    </w:p>
    <w:p>
      <w:pPr>
        <w:spacing w:after="0"/>
        <w:jc w:val="left"/>
        <w:rPr>
          <w:sz w:val="20"/>
        </w:rPr>
        <w:sectPr>
          <w:pgSz w:w="12240" w:h="15840"/>
          <w:pgMar w:header="0" w:footer="919" w:top="1360" w:bottom="1100" w:left="1460" w:right="900"/>
        </w:sectPr>
      </w:pPr>
    </w:p>
    <w:p>
      <w:pPr>
        <w:pStyle w:val="Heading1"/>
        <w:spacing w:before="61"/>
        <w:rPr>
          <w:b w:val="0"/>
          <w:sz w:val="16"/>
        </w:rPr>
      </w:pPr>
      <w:bookmarkStart w:name="_bookmark31" w:id="55"/>
      <w:bookmarkEnd w:id="55"/>
      <w:r>
        <w:rPr>
          <w:b w:val="0"/>
        </w:rPr>
      </w:r>
      <w:r>
        <w:rPr/>
        <w:t>ANEXO E</w:t>
      </w:r>
      <w:r>
        <w:rPr>
          <w:b w:val="0"/>
        </w:rPr>
        <w:t>. </w:t>
      </w:r>
      <w:r>
        <w:rPr/>
        <w:t>TOXICOLOGÍA </w:t>
      </w:r>
      <w:r>
        <w:rPr>
          <w:b w:val="0"/>
          <w:position w:val="11"/>
          <w:sz w:val="16"/>
        </w:rPr>
        <w:t>12</w:t>
      </w:r>
    </w:p>
    <w:p>
      <w:pPr>
        <w:pStyle w:val="BodyText"/>
        <w:spacing w:before="7"/>
        <w:rPr>
          <w:sz w:val="39"/>
        </w:rPr>
      </w:pPr>
    </w:p>
    <w:p>
      <w:pPr>
        <w:spacing w:before="1"/>
        <w:ind w:left="102" w:right="0" w:firstLine="0"/>
        <w:jc w:val="both"/>
        <w:rPr>
          <w:b/>
          <w:sz w:val="24"/>
        </w:rPr>
      </w:pPr>
      <w:r>
        <w:rPr>
          <w:b/>
          <w:sz w:val="24"/>
        </w:rPr>
        <w:t>Arsénico</w:t>
      </w:r>
    </w:p>
    <w:p>
      <w:pPr>
        <w:pStyle w:val="BodyText"/>
        <w:spacing w:before="2"/>
        <w:rPr>
          <w:b/>
          <w:sz w:val="29"/>
        </w:rPr>
      </w:pPr>
    </w:p>
    <w:p>
      <w:pPr>
        <w:pStyle w:val="BodyText"/>
        <w:spacing w:line="360" w:lineRule="auto"/>
        <w:ind w:left="114" w:right="125"/>
        <w:jc w:val="both"/>
      </w:pPr>
      <w:r>
        <w:rPr/>
        <w:t>El arsénico (As) es ubicuo en el medio ambiente y en los alimentos, el suelo, el agua potable y en el aire.</w:t>
      </w:r>
    </w:p>
    <w:p>
      <w:pPr>
        <w:pStyle w:val="BodyText"/>
        <w:spacing w:line="360" w:lineRule="auto" w:before="204"/>
        <w:ind w:left="114" w:right="114"/>
        <w:jc w:val="both"/>
      </w:pPr>
      <w:r>
        <w:rPr/>
        <w:t>El arsénico inorgánico se puede presentar en su forma trivalente (por ejemplo, trióxido de arsénico, arsenito de sodio) o pentavalente (arseniato de sodio, pentóxido de arsénico, ácido arsénico). Hasta el momento no se conoce una función biológica del arsénico en los organismos humanos o de mamíferos. Por esta razón, esta evaluación se centra en el arsénico inorgánico, que es más relevante en los productos farmacéuticos.</w:t>
      </w:r>
    </w:p>
    <w:p>
      <w:pPr>
        <w:pStyle w:val="BodyText"/>
        <w:spacing w:line="360" w:lineRule="auto" w:before="204"/>
        <w:ind w:left="114" w:right="117"/>
        <w:jc w:val="both"/>
      </w:pPr>
      <w:r>
        <w:rPr/>
        <w:t>El arsénico inorgánico ha demostrado ser genotóxico, pero no mutagénico y ha sido reconocido como un carcinógeno humano.</w:t>
      </w:r>
    </w:p>
    <w:p>
      <w:pPr>
        <w:pStyle w:val="BodyText"/>
        <w:spacing w:before="3"/>
        <w:rPr>
          <w:sz w:val="21"/>
        </w:rPr>
      </w:pPr>
    </w:p>
    <w:p>
      <w:pPr>
        <w:pStyle w:val="BodyText"/>
        <w:spacing w:line="360" w:lineRule="auto"/>
        <w:ind w:left="114" w:right="117"/>
        <w:jc w:val="both"/>
      </w:pPr>
      <w:r>
        <w:rPr/>
        <w:t>Debido a su naturaleza ubicua y perfil de toxicidad, ha habido muchas evaluaciones de riesgos realizadas sobre el arsénico y sus compuestos </w:t>
      </w:r>
      <w:r>
        <w:rPr>
          <w:spacing w:val="-2"/>
        </w:rPr>
        <w:t>que </w:t>
      </w:r>
      <w:r>
        <w:rPr/>
        <w:t>utilizan modelos lineales de dosis</w:t>
      </w:r>
      <w:r>
        <w:rPr>
          <w:spacing w:val="-16"/>
        </w:rPr>
        <w:t> </w:t>
      </w:r>
      <w:r>
        <w:rPr/>
        <w:t>respuesta.</w:t>
      </w:r>
    </w:p>
    <w:p>
      <w:pPr>
        <w:pStyle w:val="BodyText"/>
        <w:spacing w:before="1"/>
        <w:rPr>
          <w:sz w:val="21"/>
        </w:rPr>
      </w:pPr>
    </w:p>
    <w:p>
      <w:pPr>
        <w:pStyle w:val="BodyText"/>
        <w:spacing w:line="360" w:lineRule="auto"/>
        <w:ind w:left="114" w:right="115"/>
        <w:jc w:val="both"/>
      </w:pPr>
      <w:r>
        <w:rPr/>
        <w:t>La mayor parte los efectos del arsénico en los seres humanos no se han podido reproducir en los animales, por lo que el riesgo en las evaluaciones depende en gran medida de los datos epidemiológicos de poblaciones con exposición a altas concentraciones de arsénico. En los seres humanos, tanto los efectos cancerosos y como los no cancerosos están relacionados con la exposición al arsénico. La exposición oral se ha relacionado con cáncer en la piel, hígado, pulmón, riñón y vejiga. Después de la exposición por inhalación existe evidencia de un mayor riesgo de cáncer de pulmón.</w:t>
      </w:r>
    </w:p>
    <w:p>
      <w:pPr>
        <w:pStyle w:val="BodyText"/>
        <w:spacing w:before="1"/>
        <w:rPr>
          <w:sz w:val="21"/>
        </w:rPr>
      </w:pPr>
    </w:p>
    <w:p>
      <w:pPr>
        <w:pStyle w:val="BodyText"/>
        <w:spacing w:line="360" w:lineRule="auto"/>
        <w:ind w:left="114" w:right="121"/>
        <w:jc w:val="both"/>
      </w:pPr>
      <w:r>
        <w:rPr/>
        <w:t>La piel (despigmentación, queratosis palmoplantar) y el tracto gastrointestinal (por ejemplo, náuseas) parecen ser los objetivos más sensibles a los efectos adversos no  cancerígenos  después  de  la  ingestión  oral,  mientras  que  la    enfermedad</w:t>
      </w:r>
    </w:p>
    <w:p>
      <w:pPr>
        <w:spacing w:after="0" w:line="360" w:lineRule="auto"/>
        <w:jc w:val="both"/>
        <w:sectPr>
          <w:pgSz w:w="12240" w:h="15840"/>
          <w:pgMar w:header="0" w:footer="919" w:top="1320" w:bottom="1100" w:left="1600" w:right="1580"/>
        </w:sectPr>
      </w:pPr>
    </w:p>
    <w:p>
      <w:pPr>
        <w:pStyle w:val="BodyText"/>
        <w:spacing w:line="360" w:lineRule="auto" w:before="56"/>
        <w:ind w:left="114" w:right="125"/>
        <w:jc w:val="both"/>
      </w:pPr>
      <w:r>
        <w:rPr/>
        <w:t>vascular, efectos reproductivos y efectos neurológicos también se reportan como puntos terminales no oncológicos.</w:t>
      </w:r>
    </w:p>
    <w:p>
      <w:pPr>
        <w:pStyle w:val="BodyText"/>
        <w:spacing w:before="3"/>
        <w:rPr>
          <w:sz w:val="21"/>
        </w:rPr>
      </w:pPr>
    </w:p>
    <w:p>
      <w:pPr>
        <w:pStyle w:val="BodyText"/>
        <w:spacing w:line="360" w:lineRule="auto"/>
        <w:ind w:left="114" w:right="122"/>
        <w:jc w:val="both"/>
      </w:pPr>
      <w:r>
        <w:rPr/>
        <w:t>Los estudios en poblaciones grandes (~40000 habitantes) expuestos a concentraciones de arsénico en el agua de pozo a 1000 </w:t>
      </w:r>
      <w:r>
        <w:rPr>
          <w:spacing w:val="2"/>
        </w:rPr>
        <w:t>µg </w:t>
      </w:r>
      <w:r>
        <w:rPr/>
        <w:t>/ L y más alto en el suroeste de China Taipei han sido la base de las evaluaciones de riesgo de  cáncer de piel, y más recientemente, de la vejiga y el cáncer de pulmón (US EPA, 2010).</w:t>
      </w:r>
    </w:p>
    <w:p>
      <w:pPr>
        <w:pStyle w:val="BodyText"/>
        <w:spacing w:before="1"/>
        <w:rPr>
          <w:sz w:val="21"/>
        </w:rPr>
      </w:pPr>
    </w:p>
    <w:p>
      <w:pPr>
        <w:pStyle w:val="Heading1"/>
        <w:ind w:left="114"/>
      </w:pPr>
      <w:r>
        <w:rPr/>
        <w:t>PDE exposición oral</w:t>
      </w:r>
    </w:p>
    <w:p>
      <w:pPr>
        <w:pStyle w:val="BodyText"/>
        <w:rPr>
          <w:b/>
          <w:sz w:val="33"/>
        </w:rPr>
      </w:pPr>
    </w:p>
    <w:p>
      <w:pPr>
        <w:pStyle w:val="BodyText"/>
        <w:spacing w:line="360" w:lineRule="auto"/>
        <w:ind w:left="114" w:right="118"/>
        <w:jc w:val="both"/>
      </w:pPr>
      <w:r>
        <w:rPr/>
        <w:t>El PDE oral se basa en los efectos crónicos de arsénico en la piel y establece el límite en 15 µg / día basado en los valores que reporta la Agencia para Sustancias Tóxicas y el Registro de Enfermedades (ATSDR).</w:t>
      </w:r>
    </w:p>
    <w:p>
      <w:pPr>
        <w:pStyle w:val="BodyText"/>
        <w:spacing w:before="1"/>
        <w:rPr>
          <w:sz w:val="21"/>
        </w:rPr>
      </w:pPr>
    </w:p>
    <w:p>
      <w:pPr>
        <w:pStyle w:val="Heading1"/>
        <w:ind w:left="114"/>
      </w:pPr>
      <w:r>
        <w:rPr/>
        <w:t>PDE - La exposición parenteral</w:t>
      </w:r>
    </w:p>
    <w:p>
      <w:pPr>
        <w:pStyle w:val="BodyText"/>
        <w:spacing w:before="11"/>
        <w:rPr>
          <w:b/>
          <w:sz w:val="32"/>
        </w:rPr>
      </w:pPr>
    </w:p>
    <w:p>
      <w:pPr>
        <w:pStyle w:val="BodyText"/>
        <w:spacing w:line="360" w:lineRule="auto"/>
        <w:ind w:left="114" w:right="116"/>
        <w:jc w:val="both"/>
      </w:pPr>
      <w:r>
        <w:rPr/>
        <w:t>La biodisponibilidad oral de arsénico es de ᵙ 95%. La evidencia más directa es a partir de un estudio que evaluó la eliminación del arsénico en 6 días en los seres humanos sanos que recibieron agua con una alta concentración de arsénico (especies de arsénico no especificadas) y la absorción reportada es de aproximadamente el 95%. Por lo tanto la PDE es idéntica a la PDE oral. PDE = 15</w:t>
      </w:r>
    </w:p>
    <w:p>
      <w:pPr>
        <w:pStyle w:val="BodyText"/>
        <w:spacing w:before="2"/>
        <w:ind w:left="114"/>
        <w:jc w:val="both"/>
      </w:pPr>
      <w:r>
        <w:rPr/>
        <w:t>µg / día.</w:t>
      </w:r>
    </w:p>
    <w:p>
      <w:pPr>
        <w:pStyle w:val="BodyText"/>
        <w:spacing w:before="11"/>
        <w:rPr>
          <w:sz w:val="32"/>
        </w:rPr>
      </w:pPr>
    </w:p>
    <w:p>
      <w:pPr>
        <w:pStyle w:val="Heading1"/>
        <w:ind w:left="114"/>
      </w:pPr>
      <w:r>
        <w:rPr/>
        <w:t>PDE – Exposición por Inhalación</w:t>
      </w:r>
    </w:p>
    <w:p>
      <w:pPr>
        <w:pStyle w:val="BodyText"/>
        <w:spacing w:before="8"/>
        <w:rPr>
          <w:b/>
          <w:sz w:val="32"/>
        </w:rPr>
      </w:pPr>
    </w:p>
    <w:p>
      <w:pPr>
        <w:pStyle w:val="BodyText"/>
        <w:spacing w:line="360" w:lineRule="auto" w:before="1"/>
        <w:ind w:left="114" w:right="120"/>
        <w:jc w:val="both"/>
      </w:pPr>
      <w:r>
        <w:rPr/>
        <w:t>El aumento del riesgo de cáncer de pulmón y otras enfermedades respiratorias se han reportado después de la exposición por inhalación de los trabajadores en el ámbito ocupacional. La justificación para establecer la PDE por inhalación en valores de 1.9 µg / día, es la relativa falta de información sobre la extrapolación lineal de la dosis en comparación con la exposición oral.</w:t>
      </w:r>
    </w:p>
    <w:p>
      <w:pPr>
        <w:spacing w:after="0" w:line="360" w:lineRule="auto"/>
        <w:jc w:val="both"/>
        <w:sectPr>
          <w:pgSz w:w="12240" w:h="15840"/>
          <w:pgMar w:header="0" w:footer="919" w:top="1360" w:bottom="1100" w:left="1600" w:right="1580"/>
        </w:sectPr>
      </w:pPr>
    </w:p>
    <w:p>
      <w:pPr>
        <w:pStyle w:val="Heading1"/>
        <w:spacing w:before="56"/>
      </w:pPr>
      <w:r>
        <w:rPr/>
        <w:t>Cadmio</w:t>
      </w:r>
    </w:p>
    <w:p>
      <w:pPr>
        <w:pStyle w:val="BodyText"/>
        <w:rPr>
          <w:b/>
          <w:sz w:val="33"/>
        </w:rPr>
      </w:pPr>
    </w:p>
    <w:p>
      <w:pPr>
        <w:pStyle w:val="BodyText"/>
        <w:spacing w:line="360" w:lineRule="auto"/>
        <w:ind w:left="114" w:right="125"/>
        <w:jc w:val="both"/>
      </w:pPr>
      <w:r>
        <w:rPr/>
        <w:t>Cadmio (Cd) es un metal de transición, cuyo isótopo más abundante de origen natural es no radiactivo. Se encuentra en la naturaleza en formas minerales y se obtiene para uso comercial principalmente a partir de mineral de cadmio. El cadmio existe en forma de sal solamente en el estado de oxidación</w:t>
      </w:r>
      <w:r>
        <w:rPr>
          <w:spacing w:val="-25"/>
        </w:rPr>
        <w:t> </w:t>
      </w:r>
      <w:r>
        <w:rPr/>
        <w:t>(+2).</w:t>
      </w:r>
    </w:p>
    <w:p>
      <w:pPr>
        <w:pStyle w:val="BodyText"/>
        <w:spacing w:before="1"/>
        <w:rPr>
          <w:sz w:val="21"/>
        </w:rPr>
      </w:pPr>
    </w:p>
    <w:p>
      <w:pPr>
        <w:pStyle w:val="BodyText"/>
        <w:spacing w:line="360" w:lineRule="auto"/>
        <w:ind w:left="114" w:right="124"/>
        <w:jc w:val="both"/>
      </w:pPr>
      <w:r>
        <w:rPr/>
        <w:t>Algunas sales de cadmio, tales como cloruro de cadmio, sulfato de cadmio y el nitrato de cadmio son solubles en agua; otras sales insolubles pueden llegar a ser más solubles por la interacción con ácidos, la luz o el oxígeno.</w:t>
      </w:r>
    </w:p>
    <w:p>
      <w:pPr>
        <w:pStyle w:val="BodyText"/>
        <w:spacing w:before="4"/>
        <w:rPr>
          <w:sz w:val="21"/>
        </w:rPr>
      </w:pPr>
    </w:p>
    <w:p>
      <w:pPr>
        <w:pStyle w:val="BodyText"/>
        <w:spacing w:line="360" w:lineRule="auto"/>
        <w:ind w:left="114" w:right="126"/>
        <w:jc w:val="both"/>
      </w:pPr>
      <w:r>
        <w:rPr/>
        <w:t>El cadmio, óxido de cadmio, sales de cadmio con borosilicatos se utilizan como catalizadores en síntesis orgánica, las aleaciones de cadmio/plata se utilizan en la hidrogenación selectiva de compuestos de carbonilo.</w:t>
      </w:r>
    </w:p>
    <w:p>
      <w:pPr>
        <w:pStyle w:val="BodyText"/>
        <w:spacing w:before="1"/>
        <w:rPr>
          <w:sz w:val="21"/>
        </w:rPr>
      </w:pPr>
    </w:p>
    <w:p>
      <w:pPr>
        <w:pStyle w:val="BodyText"/>
        <w:spacing w:line="360" w:lineRule="auto"/>
        <w:ind w:left="114" w:right="124"/>
        <w:jc w:val="both"/>
      </w:pPr>
      <w:r>
        <w:rPr/>
        <w:t>Se ha demostrado que el cadmio es genotóxico, pero no mutagénico y ha sido reconocido como carcinógeno en seres humanos. El cadmio y sus compuestos son causantes de cáncer de</w:t>
      </w:r>
      <w:r>
        <w:rPr>
          <w:spacing w:val="-13"/>
        </w:rPr>
        <w:t> </w:t>
      </w:r>
      <w:r>
        <w:rPr/>
        <w:t>pulmón.</w:t>
      </w:r>
    </w:p>
    <w:p>
      <w:pPr>
        <w:pStyle w:val="BodyText"/>
        <w:spacing w:before="4"/>
        <w:rPr>
          <w:sz w:val="21"/>
        </w:rPr>
      </w:pPr>
    </w:p>
    <w:p>
      <w:pPr>
        <w:pStyle w:val="BodyText"/>
        <w:spacing w:line="360" w:lineRule="auto"/>
        <w:ind w:left="114" w:right="124"/>
        <w:jc w:val="both"/>
      </w:pPr>
      <w:r>
        <w:rPr/>
        <w:t>Además, se han observado asociaciones positivas entre la exposición al cadmio y los compuestos de cadmio como cáncer del riñón y de próstata.</w:t>
      </w:r>
    </w:p>
    <w:p>
      <w:pPr>
        <w:pStyle w:val="BodyText"/>
        <w:spacing w:before="3"/>
        <w:rPr>
          <w:sz w:val="21"/>
        </w:rPr>
      </w:pPr>
    </w:p>
    <w:p>
      <w:pPr>
        <w:pStyle w:val="BodyText"/>
        <w:spacing w:line="360" w:lineRule="auto"/>
        <w:ind w:left="114" w:right="121"/>
        <w:jc w:val="both"/>
      </w:pPr>
      <w:r>
        <w:rPr/>
        <w:t>Evidencia de numerosos estudios epidemiológicos que evalúan la exposición por inhalación a cadmio (tanto vía ocupacional como por rutas medioambientales) han demostrado un mayor riesgo de desarrollar cáncer (sobre todo de pulmón) que se correlaciona con la exposición por inhalación a cadmio.</w:t>
      </w:r>
    </w:p>
    <w:p>
      <w:pPr>
        <w:pStyle w:val="BodyText"/>
        <w:spacing w:before="3"/>
        <w:rPr>
          <w:sz w:val="21"/>
        </w:rPr>
      </w:pPr>
    </w:p>
    <w:p>
      <w:pPr>
        <w:pStyle w:val="Heading1"/>
        <w:ind w:left="114"/>
      </w:pPr>
      <w:r>
        <w:rPr/>
        <w:t>PDE - Exposición oral</w:t>
      </w:r>
    </w:p>
    <w:p>
      <w:pPr>
        <w:pStyle w:val="BodyText"/>
        <w:spacing w:before="9"/>
        <w:rPr>
          <w:b/>
          <w:sz w:val="32"/>
        </w:rPr>
      </w:pPr>
    </w:p>
    <w:p>
      <w:pPr>
        <w:pStyle w:val="BodyText"/>
        <w:spacing w:line="360" w:lineRule="auto"/>
        <w:ind w:left="114" w:right="118"/>
        <w:jc w:val="both"/>
      </w:pPr>
      <w:r>
        <w:rPr/>
        <w:t>Un punto final sensible para la exposición oral a sales de cadmio es la toxicidad renal. Efectos esqueléticos y renales se observan a niveles de exposición  similares y son un marcador sensible de la exposición al</w:t>
      </w:r>
      <w:r>
        <w:rPr>
          <w:spacing w:val="-16"/>
        </w:rPr>
        <w:t> </w:t>
      </w:r>
      <w:r>
        <w:rPr/>
        <w:t>cadmio.</w:t>
      </w:r>
    </w:p>
    <w:p>
      <w:pPr>
        <w:pStyle w:val="BodyText"/>
        <w:spacing w:before="1"/>
        <w:rPr>
          <w:sz w:val="21"/>
        </w:rPr>
      </w:pPr>
    </w:p>
    <w:p>
      <w:pPr>
        <w:pStyle w:val="BodyText"/>
        <w:spacing w:line="360" w:lineRule="auto"/>
        <w:ind w:left="114" w:right="126"/>
        <w:jc w:val="both"/>
      </w:pPr>
      <w:r>
        <w:rPr/>
        <w:t>Una serie de estudios de exposición oral de cadmio en ratas y ratones no mostraron  evidencia  de  carcinogenicidad,  por  lo  tanto  se  usó  el  criterio     de</w:t>
      </w:r>
    </w:p>
    <w:p>
      <w:pPr>
        <w:spacing w:after="0" w:line="360" w:lineRule="auto"/>
        <w:jc w:val="both"/>
        <w:sectPr>
          <w:footerReference w:type="default" r:id="rId86"/>
          <w:pgSz w:w="12240" w:h="15840"/>
          <w:pgMar w:footer="919" w:header="0" w:top="1360" w:bottom="1100" w:left="1600" w:right="1580"/>
        </w:sectPr>
      </w:pPr>
    </w:p>
    <w:p>
      <w:pPr>
        <w:pStyle w:val="BodyText"/>
        <w:spacing w:line="360" w:lineRule="auto" w:before="56"/>
        <w:ind w:left="274" w:right="188"/>
      </w:pPr>
      <w:r>
        <w:rPr/>
        <w:t>valoración de la toxicidad renal para establecer la PDE oral para el cadmio, siguiendo las recomendaciones de la ATSDR.</w:t>
      </w:r>
    </w:p>
    <w:p>
      <w:pPr>
        <w:pStyle w:val="BodyText"/>
        <w:spacing w:before="5"/>
        <w:ind w:left="262"/>
        <w:jc w:val="both"/>
      </w:pPr>
      <w:r>
        <w:rPr/>
        <w:t>PDE = 5 µg / día</w:t>
      </w:r>
    </w:p>
    <w:p>
      <w:pPr>
        <w:pStyle w:val="BodyText"/>
      </w:pPr>
    </w:p>
    <w:p>
      <w:pPr>
        <w:pStyle w:val="BodyText"/>
      </w:pPr>
    </w:p>
    <w:p>
      <w:pPr>
        <w:pStyle w:val="Heading1"/>
        <w:ind w:left="262"/>
      </w:pPr>
      <w:r>
        <w:rPr>
          <w:color w:val="212121"/>
        </w:rPr>
        <w:t>PDE - La exposición parenteral</w:t>
      </w:r>
    </w:p>
    <w:p>
      <w:pPr>
        <w:pStyle w:val="BodyText"/>
        <w:spacing w:before="8"/>
        <w:rPr>
          <w:b/>
          <w:sz w:val="32"/>
        </w:rPr>
      </w:pPr>
    </w:p>
    <w:p>
      <w:pPr>
        <w:pStyle w:val="BodyText"/>
        <w:spacing w:line="360" w:lineRule="auto" w:before="1"/>
        <w:ind w:left="262" w:right="115"/>
        <w:jc w:val="both"/>
      </w:pPr>
      <w:r>
        <w:rPr>
          <w:color w:val="212121"/>
        </w:rPr>
        <w:t>Un estudio de 12 semanas en ratas que recibieron inyecciones diarias subcutáneas de 0.6 mg / kg de Cd, 5 días a la semana mostraron daño renal en la semana 7 y versiones posteriores (Prozialeck et al, 2009). Para este estudio se utilizó un solo nivel de</w:t>
      </w:r>
      <w:r>
        <w:rPr>
          <w:color w:val="212121"/>
          <w:spacing w:val="-8"/>
        </w:rPr>
        <w:t> </w:t>
      </w:r>
      <w:r>
        <w:rPr>
          <w:color w:val="212121"/>
        </w:rPr>
        <w:t>dosis.</w:t>
      </w:r>
    </w:p>
    <w:p>
      <w:pPr>
        <w:pStyle w:val="BodyText"/>
        <w:spacing w:before="1"/>
        <w:rPr>
          <w:sz w:val="21"/>
        </w:rPr>
      </w:pPr>
    </w:p>
    <w:p>
      <w:pPr>
        <w:pStyle w:val="BodyText"/>
        <w:spacing w:line="357" w:lineRule="auto"/>
        <w:ind w:left="262" w:right="115"/>
        <w:jc w:val="both"/>
      </w:pPr>
      <w:r>
        <w:rPr>
          <w:color w:val="212121"/>
        </w:rPr>
        <w:t>El LOAEL de este estudio es de 0,6 mg / kg en base a una disminución del peso corporal, aumento del volumen de orina y biomarcadores urinarios visto en este nivel de dosis. Este estudio se utilizó para establecer la PDE parenteral. En un estudio de dosis única independiente donde a las ratas se les administraron 0, 1,  2, 4, 8, 16 o 32 mmol / kg de CdCl</w:t>
      </w:r>
      <w:r>
        <w:rPr>
          <w:color w:val="212121"/>
          <w:position w:val="-2"/>
          <w:sz w:val="16"/>
        </w:rPr>
        <w:t>2 </w:t>
      </w:r>
      <w:r>
        <w:rPr>
          <w:color w:val="212121"/>
        </w:rPr>
        <w:t>por vía subcutánea, se observaron sarcomas en el sitio de inyección en las dos dosis más altas al final del período de observación de 72 semanas (Waalkes et al, 1999). No está claro si los granulomas presentes en los sitios de inyección se deben al tiempo o a una cantidad no especificada del cadmio administrado en el lugar de la</w:t>
      </w:r>
      <w:r>
        <w:rPr>
          <w:color w:val="212121"/>
          <w:spacing w:val="-16"/>
        </w:rPr>
        <w:t> </w:t>
      </w:r>
      <w:r>
        <w:rPr>
          <w:color w:val="212121"/>
        </w:rPr>
        <w:t>inyección.</w:t>
      </w:r>
    </w:p>
    <w:p>
      <w:pPr>
        <w:pStyle w:val="BodyText"/>
        <w:spacing w:before="8"/>
        <w:ind w:left="262"/>
        <w:jc w:val="both"/>
      </w:pPr>
      <w:r>
        <w:rPr/>
        <w:t>PDE = 1.7 µg / día</w:t>
      </w:r>
    </w:p>
    <w:p>
      <w:pPr>
        <w:pStyle w:val="BodyText"/>
      </w:pPr>
    </w:p>
    <w:p>
      <w:pPr>
        <w:pStyle w:val="BodyText"/>
      </w:pPr>
    </w:p>
    <w:p>
      <w:pPr>
        <w:pStyle w:val="Heading1"/>
        <w:ind w:left="262"/>
      </w:pPr>
      <w:r>
        <w:rPr>
          <w:color w:val="212121"/>
        </w:rPr>
        <w:t>PDE – Exposición por Inhalación</w:t>
      </w:r>
    </w:p>
    <w:p>
      <w:pPr>
        <w:pStyle w:val="BodyText"/>
        <w:rPr>
          <w:b/>
        </w:rPr>
      </w:pPr>
    </w:p>
    <w:p>
      <w:pPr>
        <w:pStyle w:val="BodyText"/>
        <w:spacing w:before="11"/>
        <w:rPr>
          <w:b/>
          <w:sz w:val="20"/>
        </w:rPr>
      </w:pPr>
    </w:p>
    <w:p>
      <w:pPr>
        <w:pStyle w:val="BodyText"/>
        <w:tabs>
          <w:tab w:pos="6966" w:val="left" w:leader="none"/>
        </w:tabs>
        <w:spacing w:line="360" w:lineRule="auto"/>
        <w:ind w:left="262" w:right="188"/>
      </w:pPr>
      <w:r>
        <w:rPr>
          <w:color w:val="212121"/>
        </w:rPr>
        <w:t>Usando la unidad de riesgo de inhalación de 0.0018 / </w:t>
      </w:r>
      <w:r>
        <w:rPr>
          <w:color w:val="212121"/>
          <w:spacing w:val="2"/>
        </w:rPr>
        <w:t>µg</w:t>
      </w:r>
      <w:r>
        <w:rPr>
          <w:color w:val="212121"/>
          <w:spacing w:val="-13"/>
        </w:rPr>
        <w:t> </w:t>
      </w:r>
      <w:r>
        <w:rPr>
          <w:color w:val="212121"/>
        </w:rPr>
        <w:t>/</w:t>
      </w:r>
      <w:r>
        <w:rPr>
          <w:color w:val="212121"/>
          <w:spacing w:val="-3"/>
        </w:rPr>
        <w:t> </w:t>
      </w:r>
      <w:r>
        <w:rPr>
          <w:color w:val="212121"/>
        </w:rPr>
        <w:t>m</w:t>
      </w:r>
      <w:r>
        <w:rPr>
          <w:color w:val="212121"/>
          <w:position w:val="11"/>
          <w:sz w:val="16"/>
        </w:rPr>
        <w:t>3</w:t>
        <w:tab/>
      </w:r>
      <w:r>
        <w:rPr>
          <w:color w:val="212121"/>
        </w:rPr>
        <w:t>que viene</w:t>
      </w:r>
      <w:r>
        <w:rPr>
          <w:color w:val="212121"/>
          <w:spacing w:val="-5"/>
        </w:rPr>
        <w:t> </w:t>
      </w:r>
      <w:r>
        <w:rPr>
          <w:color w:val="212121"/>
        </w:rPr>
        <w:t>para</w:t>
      </w:r>
      <w:r>
        <w:rPr>
          <w:color w:val="212121"/>
          <w:spacing w:val="-5"/>
        </w:rPr>
        <w:t> </w:t>
      </w:r>
      <w:r>
        <w:rPr>
          <w:color w:val="212121"/>
        </w:rPr>
        <w:t>el</w:t>
      </w:r>
      <w:r>
        <w:rPr>
          <w:color w:val="212121"/>
          <w:w w:val="99"/>
        </w:rPr>
        <w:t> </w:t>
      </w:r>
      <w:r>
        <w:rPr>
          <w:color w:val="212121"/>
        </w:rPr>
        <w:t>cadmio y un nivel de riesgo de 1: 100000, la PDE por inhalación se puede calcular como</w:t>
      </w:r>
      <w:r>
        <w:rPr>
          <w:color w:val="212121"/>
          <w:spacing w:val="-2"/>
        </w:rPr>
        <w:t> </w:t>
      </w:r>
      <w:r>
        <w:rPr>
          <w:color w:val="212121"/>
        </w:rPr>
        <w:t>sigue:</w:t>
      </w:r>
    </w:p>
    <w:tbl>
      <w:tblPr>
        <w:tblW w:w="0" w:type="auto"/>
        <w:jc w:val="left"/>
        <w:tblInd w:w="102"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124"/>
        <w:gridCol w:w="2002"/>
        <w:gridCol w:w="324"/>
        <w:gridCol w:w="1473"/>
      </w:tblGrid>
      <w:tr>
        <w:trPr>
          <w:trHeight w:val="272" w:hRule="exact"/>
        </w:trPr>
        <w:tc>
          <w:tcPr>
            <w:tcW w:w="2124" w:type="dxa"/>
          </w:tcPr>
          <w:p>
            <w:pPr/>
          </w:p>
        </w:tc>
        <w:tc>
          <w:tcPr>
            <w:tcW w:w="2002" w:type="dxa"/>
          </w:tcPr>
          <w:p>
            <w:pPr>
              <w:pStyle w:val="TableParagraph"/>
              <w:spacing w:line="281" w:lineRule="exact"/>
              <w:ind w:left="129"/>
              <w:jc w:val="left"/>
              <w:rPr>
                <w:sz w:val="16"/>
              </w:rPr>
            </w:pPr>
            <w:r>
              <w:rPr>
                <w:color w:val="212121"/>
                <w:sz w:val="24"/>
              </w:rPr>
              <w:t>1x10</w:t>
            </w:r>
            <w:r>
              <w:rPr>
                <w:color w:val="212121"/>
                <w:position w:val="11"/>
                <w:sz w:val="16"/>
              </w:rPr>
              <w:t>-5</w:t>
            </w:r>
          </w:p>
        </w:tc>
        <w:tc>
          <w:tcPr>
            <w:tcW w:w="324" w:type="dxa"/>
          </w:tcPr>
          <w:p>
            <w:pPr/>
          </w:p>
        </w:tc>
        <w:tc>
          <w:tcPr>
            <w:tcW w:w="1473" w:type="dxa"/>
          </w:tcPr>
          <w:p>
            <w:pPr/>
          </w:p>
        </w:tc>
      </w:tr>
      <w:tr>
        <w:trPr>
          <w:trHeight w:val="439" w:hRule="exact"/>
        </w:trPr>
        <w:tc>
          <w:tcPr>
            <w:tcW w:w="2124" w:type="dxa"/>
          </w:tcPr>
          <w:p>
            <w:pPr>
              <w:pStyle w:val="TableParagraph"/>
              <w:spacing w:line="221" w:lineRule="exact"/>
              <w:ind w:left="200"/>
              <w:jc w:val="left"/>
              <w:rPr>
                <w:sz w:val="24"/>
              </w:rPr>
            </w:pPr>
            <w:r>
              <w:rPr>
                <w:color w:val="212121"/>
                <w:sz w:val="24"/>
              </w:rPr>
              <w:t>Inhalación PDE=</w:t>
            </w:r>
          </w:p>
        </w:tc>
        <w:tc>
          <w:tcPr>
            <w:tcW w:w="2002" w:type="dxa"/>
          </w:tcPr>
          <w:p>
            <w:pPr>
              <w:pStyle w:val="TableParagraph"/>
              <w:spacing w:before="123"/>
              <w:ind w:left="129"/>
              <w:jc w:val="left"/>
              <w:rPr>
                <w:sz w:val="16"/>
              </w:rPr>
            </w:pPr>
            <w:r>
              <w:rPr>
                <w:color w:val="212121"/>
                <w:sz w:val="24"/>
              </w:rPr>
              <w:t>1,8 x10</w:t>
            </w:r>
            <w:r>
              <w:rPr>
                <w:color w:val="212121"/>
                <w:position w:val="11"/>
                <w:sz w:val="16"/>
              </w:rPr>
              <w:t>-3 </w:t>
            </w:r>
            <w:r>
              <w:rPr>
                <w:color w:val="212121"/>
                <w:sz w:val="24"/>
              </w:rPr>
              <w:t>µg / m</w:t>
            </w:r>
            <w:r>
              <w:rPr>
                <w:color w:val="212121"/>
                <w:position w:val="11"/>
                <w:sz w:val="16"/>
              </w:rPr>
              <w:t>3</w:t>
            </w:r>
          </w:p>
        </w:tc>
        <w:tc>
          <w:tcPr>
            <w:tcW w:w="324" w:type="dxa"/>
          </w:tcPr>
          <w:p>
            <w:pPr>
              <w:pStyle w:val="TableParagraph"/>
              <w:tabs>
                <w:tab w:pos="65" w:val="left" w:leader="none"/>
              </w:tabs>
              <w:spacing w:line="221" w:lineRule="exact"/>
              <w:ind w:left="-1979"/>
              <w:jc w:val="left"/>
              <w:rPr>
                <w:sz w:val="24"/>
              </w:rPr>
            </w:pPr>
            <w:r>
              <w:rPr>
                <w:color w:val="212121"/>
                <w:w w:val="100"/>
                <w:sz w:val="24"/>
                <w:u w:val="single" w:color="000000"/>
              </w:rPr>
              <w:t> </w:t>
            </w:r>
            <w:r>
              <w:rPr>
                <w:color w:val="212121"/>
                <w:sz w:val="24"/>
                <w:u w:val="single" w:color="000000"/>
              </w:rPr>
              <w:tab/>
            </w:r>
            <w:r>
              <w:rPr>
                <w:color w:val="212121"/>
                <w:spacing w:val="-20"/>
                <w:sz w:val="24"/>
              </w:rPr>
              <w:t> </w:t>
            </w:r>
            <w:r>
              <w:rPr>
                <w:color w:val="212121"/>
                <w:sz w:val="24"/>
              </w:rPr>
              <w:t>=</w:t>
            </w:r>
          </w:p>
        </w:tc>
        <w:tc>
          <w:tcPr>
            <w:tcW w:w="1473" w:type="dxa"/>
          </w:tcPr>
          <w:p>
            <w:pPr>
              <w:pStyle w:val="TableParagraph"/>
              <w:spacing w:line="221" w:lineRule="exact"/>
              <w:ind w:left="71"/>
              <w:jc w:val="left"/>
              <w:rPr>
                <w:sz w:val="24"/>
              </w:rPr>
            </w:pPr>
            <w:r>
              <w:rPr>
                <w:color w:val="212121"/>
                <w:sz w:val="24"/>
              </w:rPr>
              <w:t>5.55 x 10-2</w:t>
            </w:r>
          </w:p>
        </w:tc>
      </w:tr>
    </w:tbl>
    <w:p>
      <w:pPr>
        <w:pStyle w:val="BodyText"/>
        <w:rPr>
          <w:sz w:val="20"/>
        </w:rPr>
      </w:pPr>
    </w:p>
    <w:p>
      <w:pPr>
        <w:pStyle w:val="BodyText"/>
        <w:spacing w:before="5"/>
        <w:rPr>
          <w:sz w:val="17"/>
        </w:rPr>
      </w:pPr>
    </w:p>
    <w:p>
      <w:pPr>
        <w:pStyle w:val="BodyText"/>
        <w:spacing w:before="81"/>
        <w:ind w:left="262" w:right="188"/>
      </w:pPr>
      <w:r>
        <w:rPr>
          <w:color w:val="212121"/>
        </w:rPr>
        <w:t>PDE = 0,056 µg / m</w:t>
      </w:r>
      <w:r>
        <w:rPr>
          <w:color w:val="212121"/>
          <w:position w:val="11"/>
          <w:sz w:val="16"/>
        </w:rPr>
        <w:t>3 </w:t>
      </w:r>
      <w:r>
        <w:rPr>
          <w:color w:val="212121"/>
        </w:rPr>
        <w:t>/ 1000 L/m</w:t>
      </w:r>
      <w:r>
        <w:rPr>
          <w:color w:val="212121"/>
          <w:position w:val="11"/>
          <w:sz w:val="16"/>
        </w:rPr>
        <w:t>3 </w:t>
      </w:r>
      <w:r>
        <w:rPr>
          <w:color w:val="212121"/>
        </w:rPr>
        <w:t>x 28800 L / d = 1.7 µg / día</w:t>
      </w:r>
    </w:p>
    <w:p>
      <w:pPr>
        <w:spacing w:after="0"/>
        <w:sectPr>
          <w:footerReference w:type="default" r:id="rId87"/>
          <w:pgSz w:w="12240" w:h="15840"/>
          <w:pgMar w:footer="919" w:header="0" w:top="1360" w:bottom="1100" w:left="1440" w:right="1580"/>
          <w:pgNumType w:start="91"/>
        </w:sectPr>
      </w:pPr>
    </w:p>
    <w:p>
      <w:pPr>
        <w:pStyle w:val="Heading1"/>
        <w:spacing w:before="56"/>
      </w:pPr>
      <w:r>
        <w:rPr/>
        <w:t>Plomo</w:t>
      </w:r>
    </w:p>
    <w:p>
      <w:pPr>
        <w:pStyle w:val="BodyText"/>
        <w:spacing w:before="5"/>
        <w:rPr>
          <w:b/>
          <w:sz w:val="29"/>
        </w:rPr>
      </w:pPr>
    </w:p>
    <w:p>
      <w:pPr>
        <w:pStyle w:val="BodyText"/>
        <w:spacing w:line="360" w:lineRule="auto"/>
        <w:ind w:left="102" w:right="115"/>
        <w:jc w:val="both"/>
      </w:pPr>
      <w:r>
        <w:rPr>
          <w:color w:val="212121"/>
        </w:rPr>
        <w:t>Plomo (Pb) está presente en las formas orgánicas e inorgánicas. Los compuestos de plomo bivalentes generalmente incluyen tanto sales solubles en agua como acetato de plomo, así como sales insolubles como óxidos de plomo. Los aditivos de la gasolina incluyen compuestos orgánicos de plomo como el tetrametil-plomo y el tetraetilo de plomo. Los compuestos orgánicos de plomo sufren  una degradación relativamente rápida en la atmósfera y forman compuestos inorgánicos de plomo persistentes en agua y suelo. El plomo no tiene ninguna función biológica conocida en el organismo humano o de mamíferos.</w:t>
      </w:r>
    </w:p>
    <w:p>
      <w:pPr>
        <w:pStyle w:val="BodyText"/>
        <w:spacing w:line="360" w:lineRule="auto" w:before="204"/>
        <w:ind w:left="102" w:right="115"/>
        <w:jc w:val="both"/>
      </w:pPr>
      <w:r>
        <w:rPr>
          <w:color w:val="212121"/>
        </w:rPr>
        <w:t>En los seres humanos y los animales, la exposición al plomo puede causar efectos en la salud como pueden ser neurológicos, reproductivos, de desarrollo, inmunológicos, cardiovasculares y renales. En general, la sensibilidad a la toxicidad del plomo es mayor cuando hay una exposición en el útero y en los niños en comparación con adultos.     </w:t>
      </w:r>
      <w:r>
        <w:rPr>
          <w:color w:val="212121"/>
          <w:spacing w:val="64"/>
        </w:rPr>
        <w:t> </w:t>
      </w:r>
      <w:r>
        <w:rPr>
          <w:color w:val="212121"/>
        </w:rPr>
        <w:t>El objetivo a nivel sanguíneo se estableció en </w:t>
      </w:r>
      <w:r>
        <w:rPr>
          <w:color w:val="212121"/>
          <w:spacing w:val="3"/>
        </w:rPr>
        <w:t>1-2</w:t>
      </w:r>
    </w:p>
    <w:p>
      <w:pPr>
        <w:pStyle w:val="BodyText"/>
        <w:spacing w:line="360" w:lineRule="auto" w:before="2"/>
        <w:ind w:left="102" w:right="118"/>
        <w:jc w:val="both"/>
      </w:pPr>
      <w:r>
        <w:rPr>
          <w:color w:val="212121"/>
        </w:rPr>
        <w:t>µg/dL, usando programas de modelación que suponen el 100% de biodisponibilidad se obtuvo una PDE. Por esta razón, las PDE’s son los mismos independientemente de la vía de administración.</w:t>
      </w:r>
    </w:p>
    <w:p>
      <w:pPr>
        <w:pStyle w:val="Heading1"/>
        <w:spacing w:before="204"/>
      </w:pPr>
      <w:r>
        <w:rPr>
          <w:color w:val="212121"/>
        </w:rPr>
        <w:t>PDE – exposición oral</w:t>
      </w:r>
    </w:p>
    <w:p>
      <w:pPr>
        <w:pStyle w:val="BodyText"/>
        <w:spacing w:before="4"/>
        <w:rPr>
          <w:b/>
          <w:sz w:val="29"/>
        </w:rPr>
      </w:pPr>
    </w:p>
    <w:p>
      <w:pPr>
        <w:pStyle w:val="BodyText"/>
        <w:spacing w:line="360" w:lineRule="auto" w:before="1"/>
        <w:ind w:left="102" w:right="125"/>
        <w:jc w:val="both"/>
      </w:pPr>
      <w:r>
        <w:rPr>
          <w:color w:val="212121"/>
        </w:rPr>
        <w:t>Los efectos neuroconductuales adversos son considerados como el punto final más sensible y más relevante en los seres humanos después de una exposición oral. Los datos de estudios epidemiológicos muestran que los niveles de plomo en sangre &lt; 5 µg/dL puede estar asociada con déficits neuroconductuales en niños.</w:t>
      </w:r>
    </w:p>
    <w:p>
      <w:pPr>
        <w:pStyle w:val="BodyText"/>
        <w:spacing w:line="360" w:lineRule="auto" w:before="204"/>
        <w:ind w:left="102" w:right="118"/>
        <w:jc w:val="both"/>
      </w:pPr>
      <w:r>
        <w:rPr>
          <w:color w:val="212121"/>
        </w:rPr>
        <w:t>De acuerdo con el modelo estadounidense EPA, la ingesta oral de 5 µg/día con un 100% de absorción se traduce a un nivel de plomo en la sangre de 1-2 µg/dL para niños de 0-7 años</w:t>
      </w:r>
    </w:p>
    <w:p>
      <w:pPr>
        <w:pStyle w:val="BodyText"/>
        <w:spacing w:before="204"/>
        <w:ind w:left="102"/>
        <w:jc w:val="both"/>
      </w:pPr>
      <w:r>
        <w:rPr>
          <w:color w:val="212121"/>
        </w:rPr>
        <w:t>PDE= 5.0 µg/día</w:t>
      </w:r>
    </w:p>
    <w:p>
      <w:pPr>
        <w:spacing w:after="0"/>
        <w:jc w:val="both"/>
        <w:sectPr>
          <w:pgSz w:w="12240" w:h="15840"/>
          <w:pgMar w:header="0" w:footer="919" w:top="1360" w:bottom="1100" w:left="1600" w:right="1580"/>
        </w:sectPr>
      </w:pPr>
    </w:p>
    <w:p>
      <w:pPr>
        <w:pStyle w:val="Heading1"/>
        <w:spacing w:before="56"/>
      </w:pPr>
      <w:r>
        <w:rPr>
          <w:color w:val="212121"/>
        </w:rPr>
        <w:t>PDE- exposición parental</w:t>
      </w:r>
    </w:p>
    <w:p>
      <w:pPr>
        <w:pStyle w:val="BodyText"/>
        <w:spacing w:before="5"/>
        <w:rPr>
          <w:b/>
          <w:sz w:val="29"/>
        </w:rPr>
      </w:pPr>
    </w:p>
    <w:p>
      <w:pPr>
        <w:pStyle w:val="BodyText"/>
        <w:spacing w:line="360" w:lineRule="auto"/>
        <w:ind w:left="102" w:right="127"/>
        <w:jc w:val="both"/>
      </w:pPr>
      <w:r>
        <w:rPr>
          <w:color w:val="212121"/>
        </w:rPr>
        <w:t>Los efectos orales están basados sobre los niveles de plomo en la sangre. Por lo tanto la PDE parental es igual a la PDE oral.</w:t>
      </w:r>
    </w:p>
    <w:p>
      <w:pPr>
        <w:pStyle w:val="BodyText"/>
        <w:spacing w:before="204"/>
        <w:ind w:left="102"/>
        <w:jc w:val="both"/>
      </w:pPr>
      <w:r>
        <w:rPr>
          <w:color w:val="212121"/>
        </w:rPr>
        <w:t>PDE= 5.0 µg/día</w:t>
      </w:r>
    </w:p>
    <w:p>
      <w:pPr>
        <w:pStyle w:val="BodyText"/>
        <w:spacing w:before="4"/>
        <w:rPr>
          <w:sz w:val="29"/>
        </w:rPr>
      </w:pPr>
    </w:p>
    <w:p>
      <w:pPr>
        <w:pStyle w:val="Heading1"/>
        <w:spacing w:before="1"/>
      </w:pPr>
      <w:r>
        <w:rPr>
          <w:color w:val="212121"/>
        </w:rPr>
        <w:t>PDE – exposición por inhalación</w:t>
      </w:r>
    </w:p>
    <w:p>
      <w:pPr>
        <w:pStyle w:val="BodyText"/>
        <w:spacing w:before="4"/>
        <w:rPr>
          <w:b/>
          <w:sz w:val="29"/>
        </w:rPr>
      </w:pPr>
    </w:p>
    <w:p>
      <w:pPr>
        <w:pStyle w:val="BodyText"/>
        <w:spacing w:line="360" w:lineRule="auto" w:before="1"/>
        <w:ind w:left="102" w:right="127"/>
        <w:jc w:val="both"/>
      </w:pPr>
      <w:r>
        <w:rPr>
          <w:color w:val="212121"/>
        </w:rPr>
        <w:t>Los efectos orales están basados en los niveles de plomo en la sangre. Por lo tanto, la PDE por inhalación es igual a la PDE oral</w:t>
      </w:r>
    </w:p>
    <w:p>
      <w:pPr>
        <w:pStyle w:val="BodyText"/>
        <w:spacing w:before="205"/>
        <w:ind w:left="102"/>
        <w:jc w:val="both"/>
      </w:pPr>
      <w:r>
        <w:rPr>
          <w:color w:val="212121"/>
        </w:rPr>
        <w:t>PDE= 5.0 µg/día</w:t>
      </w:r>
    </w:p>
    <w:p>
      <w:pPr>
        <w:pStyle w:val="BodyText"/>
      </w:pPr>
    </w:p>
    <w:p>
      <w:pPr>
        <w:pStyle w:val="BodyText"/>
      </w:pPr>
    </w:p>
    <w:p>
      <w:pPr>
        <w:pStyle w:val="Heading1"/>
      </w:pPr>
      <w:r>
        <w:rPr/>
        <w:t>Mercurio</w:t>
      </w:r>
    </w:p>
    <w:p>
      <w:pPr>
        <w:pStyle w:val="BodyText"/>
        <w:spacing w:before="4"/>
        <w:rPr>
          <w:b/>
          <w:sz w:val="29"/>
        </w:rPr>
      </w:pPr>
    </w:p>
    <w:p>
      <w:pPr>
        <w:pStyle w:val="BodyText"/>
        <w:spacing w:line="360" w:lineRule="auto" w:before="1"/>
        <w:ind w:left="102" w:right="123"/>
        <w:jc w:val="both"/>
      </w:pPr>
      <w:r>
        <w:rPr>
          <w:color w:val="212121"/>
        </w:rPr>
        <w:t>Mercurio (Hg) se encuentra ampliamente distribuido en el medio ambiente mundial. El mercurio existe en tres formas: mercurio elemental, el mercurio inorgánico y el mercurio orgánico. La forma más probable de mercurio residual en productos de drogas es la forma inorgánica. Por lo tanto, esta evaluación de la seguridad se basa en datos toxicológicos de mercurio elemental o inorgánico. Esta evaluación de la seguridad y la PDE derivados no aplican al mercurio</w:t>
      </w:r>
      <w:r>
        <w:rPr>
          <w:color w:val="212121"/>
          <w:spacing w:val="-30"/>
        </w:rPr>
        <w:t> </w:t>
      </w:r>
      <w:r>
        <w:rPr>
          <w:color w:val="212121"/>
        </w:rPr>
        <w:t>orgánico.</w:t>
      </w:r>
    </w:p>
    <w:p>
      <w:pPr>
        <w:pStyle w:val="BodyText"/>
        <w:spacing w:line="360" w:lineRule="auto" w:before="204"/>
        <w:ind w:left="102" w:right="114"/>
        <w:jc w:val="both"/>
      </w:pPr>
      <w:r>
        <w:rPr>
          <w:color w:val="212121"/>
        </w:rPr>
        <w:t>No hay datos que indiquen que el mercurio inorgánico es cancerígeno en humanos. La evidencia está limitada a la experimentación en animales para demostrar la carcinogenicidad del cloruro de mercurio. La agencia internacional para la investigación del cáncer concluyó que los compuestos inorgánicos del mercurio no son clasificables como carcinogénicos en humanos</w:t>
      </w:r>
    </w:p>
    <w:p>
      <w:pPr>
        <w:pStyle w:val="BodyText"/>
        <w:spacing w:line="360" w:lineRule="auto" w:before="205"/>
        <w:ind w:left="102" w:right="119"/>
        <w:jc w:val="both"/>
      </w:pPr>
      <w:r>
        <w:rPr>
          <w:color w:val="212121"/>
        </w:rPr>
        <w:t>Los compuestos de mercurio inorgánico muestran significativamente más baja biodisponibilidad oral en comparación con el mercurio orgánico e inducen diferentes efectos toxicológicos, como neurológico, corrosivo, hematopoyético, y los efectos renales y enfermedades cutáneas (acrodinia).</w:t>
      </w:r>
    </w:p>
    <w:p>
      <w:pPr>
        <w:spacing w:after="0" w:line="360" w:lineRule="auto"/>
        <w:jc w:val="both"/>
        <w:sectPr>
          <w:pgSz w:w="12240" w:h="15840"/>
          <w:pgMar w:header="0" w:footer="919" w:top="1360" w:bottom="1100" w:left="1600" w:right="1580"/>
        </w:sectPr>
      </w:pPr>
    </w:p>
    <w:p>
      <w:pPr>
        <w:pStyle w:val="BodyText"/>
        <w:spacing w:line="360" w:lineRule="auto" w:before="56"/>
        <w:ind w:left="102" w:right="127"/>
        <w:jc w:val="both"/>
      </w:pPr>
      <w:r>
        <w:rPr>
          <w:color w:val="212121"/>
        </w:rPr>
        <w:t>La toxicidad limitante de seguridad para el mercurio inorgánico y las sales de mercurio es la toxicidad renal. Se ha informado absorción directa al cerebro a través de la vía olfativa</w:t>
      </w:r>
    </w:p>
    <w:p>
      <w:pPr>
        <w:pStyle w:val="Heading1"/>
        <w:spacing w:before="202"/>
      </w:pPr>
      <w:r>
        <w:rPr/>
        <w:t>PDE - Exposición oral</w:t>
      </w:r>
    </w:p>
    <w:p>
      <w:pPr>
        <w:pStyle w:val="BodyText"/>
        <w:rPr>
          <w:b/>
          <w:sz w:val="21"/>
        </w:rPr>
      </w:pPr>
    </w:p>
    <w:p>
      <w:pPr>
        <w:pStyle w:val="BodyText"/>
        <w:spacing w:line="357" w:lineRule="auto" w:before="1"/>
        <w:ind w:left="102" w:right="115"/>
        <w:jc w:val="both"/>
      </w:pPr>
      <w:r>
        <w:rPr>
          <w:color w:val="212121"/>
        </w:rPr>
        <w:t>Se realizaron estudios NTP de hasta 2 años de duración de HgCl</w:t>
      </w:r>
      <w:r>
        <w:rPr>
          <w:color w:val="212121"/>
          <w:position w:val="-2"/>
          <w:sz w:val="16"/>
        </w:rPr>
        <w:t>2 </w:t>
      </w:r>
      <w:r>
        <w:rPr>
          <w:color w:val="212121"/>
        </w:rPr>
        <w:t>en ratas y ratones. Se seleccionó un estudio de 6 meses de alimentación forzada en ratas porque tenía una evaluación patológica clínica más detallada y una gama más amplia de dosis (0,312 a 5 mg HgCl</w:t>
      </w:r>
      <w:r>
        <w:rPr>
          <w:color w:val="212121"/>
          <w:position w:val="-2"/>
          <w:sz w:val="16"/>
        </w:rPr>
        <w:t>2</w:t>
      </w:r>
      <w:r>
        <w:rPr>
          <w:color w:val="212121"/>
        </w:rPr>
        <w:t>/kg/5d por semana). De manera absoluta y relativa (en relación peso corporal) el peso de los riñones se incrementaron 0,625 mg / kg. En todos los varones dosificados se observaron algunos cambios en los parámetros químicos clínicos tales como disminución de creatinina, potasio, alanina aminotransferasa y aspartato aminotransferasa Los resultados no parecen dependientes de la dosis. Un incremento en la incidencia y la gravedad  (de mínima a leve) en la nefropatía se observó desde 0,625 mg HgCl</w:t>
      </w:r>
      <w:r>
        <w:rPr>
          <w:color w:val="212121"/>
          <w:position w:val="-2"/>
          <w:sz w:val="16"/>
        </w:rPr>
        <w:t>2</w:t>
      </w:r>
      <w:r>
        <w:rPr>
          <w:color w:val="212121"/>
        </w:rPr>
        <w:t>. Por lo cual la PDE se fijo en 30 µg / día.</w:t>
      </w:r>
    </w:p>
    <w:p>
      <w:pPr>
        <w:pStyle w:val="BodyText"/>
        <w:spacing w:before="6"/>
        <w:rPr>
          <w:sz w:val="21"/>
        </w:rPr>
      </w:pPr>
    </w:p>
    <w:p>
      <w:pPr>
        <w:pStyle w:val="Heading1"/>
      </w:pPr>
      <w:r>
        <w:rPr>
          <w:color w:val="212121"/>
        </w:rPr>
        <w:t>PDE - La exposición parenteral</w:t>
      </w:r>
    </w:p>
    <w:p>
      <w:pPr>
        <w:pStyle w:val="BodyText"/>
        <w:rPr>
          <w:b/>
          <w:sz w:val="33"/>
        </w:rPr>
      </w:pPr>
    </w:p>
    <w:p>
      <w:pPr>
        <w:pStyle w:val="BodyText"/>
        <w:spacing w:line="360" w:lineRule="auto"/>
        <w:ind w:left="102" w:right="117"/>
        <w:jc w:val="both"/>
      </w:pPr>
      <w:r>
        <w:rPr>
          <w:color w:val="212121"/>
        </w:rPr>
        <w:t>Los estudios en animales indican que la biodisponibilidad oral de mercurio inorgánico está en el intervalo de 10-30%. Por lo tanto, la PDE parenteral se calculó dividiendo la PDE oral mediante un factor de modificación de 10.</w:t>
      </w:r>
    </w:p>
    <w:p>
      <w:pPr>
        <w:pStyle w:val="BodyText"/>
        <w:spacing w:before="5"/>
        <w:ind w:left="102"/>
        <w:jc w:val="both"/>
      </w:pPr>
      <w:r>
        <w:rPr>
          <w:color w:val="212121"/>
        </w:rPr>
        <w:t>PDE = 30 µg / día / 10 = 3,0 µg / día</w:t>
      </w:r>
    </w:p>
    <w:p>
      <w:pPr>
        <w:pStyle w:val="BodyText"/>
      </w:pPr>
    </w:p>
    <w:p>
      <w:pPr>
        <w:pStyle w:val="BodyText"/>
      </w:pPr>
    </w:p>
    <w:p>
      <w:pPr>
        <w:pStyle w:val="Heading1"/>
      </w:pPr>
      <w:r>
        <w:rPr>
          <w:color w:val="212121"/>
        </w:rPr>
        <w:t>PDE - Exposición Inhalación</w:t>
      </w:r>
    </w:p>
    <w:p>
      <w:pPr>
        <w:pStyle w:val="BodyText"/>
        <w:spacing w:line="360" w:lineRule="auto" w:before="137"/>
        <w:ind w:left="102" w:right="115"/>
        <w:jc w:val="both"/>
      </w:pPr>
      <w:r>
        <w:rPr>
          <w:color w:val="212121"/>
        </w:rPr>
        <w:t>Los efectos neuroconductuales se consideran que son el punto final más sensible después de la exposición por inhalación en los seres humanos como se muestra en estudios ocupacionales en el rango de niveles de TWA de aire entre 14 y 20 µg</w:t>
      </w:r>
    </w:p>
    <w:p>
      <w:pPr>
        <w:pStyle w:val="BodyText"/>
        <w:spacing w:line="281" w:lineRule="exact"/>
        <w:ind w:left="102"/>
        <w:jc w:val="both"/>
      </w:pPr>
      <w:r>
        <w:rPr>
          <w:color w:val="212121"/>
        </w:rPr>
        <w:t>/ m</w:t>
      </w:r>
      <w:r>
        <w:rPr>
          <w:color w:val="212121"/>
          <w:position w:val="11"/>
          <w:sz w:val="16"/>
        </w:rPr>
        <w:t>3</w:t>
      </w:r>
      <w:r>
        <w:rPr>
          <w:color w:val="212121"/>
        </w:rPr>
        <w:t>. La presencia de efectos neuroconductuales a bajos niveles de exposición  de</w:t>
      </w:r>
    </w:p>
    <w:p>
      <w:pPr>
        <w:pStyle w:val="BodyText"/>
        <w:spacing w:line="360" w:lineRule="auto" w:before="102"/>
        <w:ind w:left="102" w:right="122"/>
        <w:jc w:val="both"/>
      </w:pPr>
      <w:r>
        <w:rPr>
          <w:color w:val="212121"/>
        </w:rPr>
        <w:t>mercurio (14 µg / m</w:t>
      </w:r>
      <w:r>
        <w:rPr>
          <w:color w:val="212121"/>
          <w:position w:val="11"/>
          <w:sz w:val="16"/>
        </w:rPr>
        <w:t>3</w:t>
      </w:r>
      <w:r>
        <w:rPr>
          <w:color w:val="212121"/>
        </w:rPr>
        <w:t>) en dentistas indican que el TWA necesita ser considerado como un LOAEL.</w:t>
      </w:r>
    </w:p>
    <w:p>
      <w:pPr>
        <w:pStyle w:val="BodyText"/>
        <w:spacing w:before="2"/>
        <w:ind w:left="102"/>
        <w:jc w:val="both"/>
      </w:pPr>
      <w:r>
        <w:rPr/>
        <w:t>PDE 1.2 g/día</w:t>
      </w:r>
    </w:p>
    <w:p>
      <w:pPr>
        <w:spacing w:after="0"/>
        <w:jc w:val="both"/>
        <w:sectPr>
          <w:pgSz w:w="12240" w:h="15840"/>
          <w:pgMar w:header="0" w:footer="919" w:top="1360" w:bottom="1100" w:left="1600" w:right="1580"/>
        </w:sectPr>
      </w:pPr>
    </w:p>
    <w:p>
      <w:pPr>
        <w:pStyle w:val="Heading1"/>
        <w:spacing w:before="56"/>
      </w:pPr>
      <w:r>
        <w:rPr/>
        <w:t>Níquel</w:t>
      </w:r>
    </w:p>
    <w:p>
      <w:pPr>
        <w:pStyle w:val="BodyText"/>
        <w:spacing w:before="5"/>
        <w:rPr>
          <w:b/>
          <w:sz w:val="29"/>
        </w:rPr>
      </w:pPr>
    </w:p>
    <w:p>
      <w:pPr>
        <w:pStyle w:val="BodyText"/>
        <w:spacing w:line="360" w:lineRule="auto"/>
        <w:ind w:left="102" w:right="121"/>
        <w:jc w:val="both"/>
      </w:pPr>
      <w:r>
        <w:rPr/>
        <w:t>Níquel (Ni) es un elemento del Grupo 10 de la primera serie de transición. Aunque níquel puede existir en los estados de oxidación 0, 1, 2 y 3, su estado de oxidación principal es 2. El níquel es un metal natural existente en diversas formas minerales. En general, los compuestos de níquel se agrupan basándose en la solubilidad en agua, y los compuestos de níquel más solubles, incluyendo cloruro de níquel, sulfato de níquel, y nitrato de níquel, tienden a ser más tóxicos que formas menos solubles, tales como el óxido de níquel y subsulfuro de níquel. El níquel no es nutricionalmente esencial para los humanos, pero la deficiencia de níquel puede causar efectos adversos en animales. Las aleaciones de níquel como Ni-Al se utilizan como catalizadores en reacciones de</w:t>
      </w:r>
      <w:r>
        <w:rPr>
          <w:spacing w:val="-17"/>
        </w:rPr>
        <w:t> </w:t>
      </w:r>
      <w:r>
        <w:rPr/>
        <w:t>hidrogenación.</w:t>
      </w:r>
    </w:p>
    <w:p>
      <w:pPr>
        <w:pStyle w:val="BodyText"/>
        <w:spacing w:line="360" w:lineRule="auto" w:before="204"/>
        <w:ind w:left="102" w:right="122"/>
        <w:jc w:val="both"/>
      </w:pPr>
      <w:r>
        <w:rPr/>
        <w:t>El acero inoxidable es una aleación a base de hierro que contiene cromo  y también pueden contener &lt;1-38% de níquel como un óxido. La ingesta diaria de níquel oscila desde 100 hasta 300 µg / día.</w:t>
      </w:r>
    </w:p>
    <w:p>
      <w:pPr>
        <w:pStyle w:val="BodyText"/>
        <w:spacing w:before="1"/>
        <w:rPr>
          <w:sz w:val="21"/>
        </w:rPr>
      </w:pPr>
    </w:p>
    <w:p>
      <w:pPr>
        <w:pStyle w:val="Heading1"/>
      </w:pPr>
      <w:r>
        <w:rPr/>
        <w:t>Seguridad - toxicidad limitante</w:t>
      </w:r>
    </w:p>
    <w:p>
      <w:pPr>
        <w:pStyle w:val="BodyText"/>
        <w:spacing w:before="5"/>
        <w:rPr>
          <w:b/>
          <w:sz w:val="29"/>
        </w:rPr>
      </w:pPr>
    </w:p>
    <w:p>
      <w:pPr>
        <w:pStyle w:val="BodyText"/>
        <w:spacing w:line="360" w:lineRule="auto"/>
        <w:ind w:left="102" w:right="122"/>
        <w:jc w:val="both"/>
      </w:pPr>
      <w:r>
        <w:rPr/>
        <w:t>El níquel es genotóxico, pero no mutagénico. No hay indicios de carcinogenicidad después de la administración oral de sales de níquel. Los estudios en roedores muestran que dependiendo del tipo de sal de níquel que inhalaron hubo un aumento en los tumores. La EPA en los Estados Unidos llegó a la conclusión de que existen pruebas suficientes para determinar que el polvo de la refinería de níquel es carcinogénico.</w:t>
      </w:r>
    </w:p>
    <w:p>
      <w:pPr>
        <w:pStyle w:val="BodyText"/>
        <w:spacing w:before="1"/>
        <w:rPr>
          <w:sz w:val="21"/>
        </w:rPr>
      </w:pPr>
    </w:p>
    <w:p>
      <w:pPr>
        <w:pStyle w:val="BodyText"/>
        <w:spacing w:line="360" w:lineRule="auto"/>
        <w:ind w:left="102" w:right="122"/>
        <w:jc w:val="both"/>
      </w:pPr>
      <w:r>
        <w:rPr/>
        <w:t>En contraste con el polvo de la refinería de níquel, no se encontró en las personas que trabajaban con aleaciones de níquel o en la producción de acero inoxidable un aumento significativo en el riesgo de cáncer. Todas las combinaciones de las formas de níquel fueron clasificadas como un carcinógeno humano.</w:t>
      </w:r>
    </w:p>
    <w:p>
      <w:pPr>
        <w:pStyle w:val="BodyText"/>
        <w:spacing w:before="3"/>
        <w:rPr>
          <w:sz w:val="21"/>
        </w:rPr>
      </w:pPr>
    </w:p>
    <w:p>
      <w:pPr>
        <w:pStyle w:val="BodyText"/>
        <w:spacing w:line="360" w:lineRule="auto"/>
        <w:ind w:left="102" w:right="120"/>
        <w:jc w:val="both"/>
      </w:pPr>
      <w:r>
        <w:rPr/>
        <w:t>En los seres humanos y los animales, la ingestión de grandes cantidades de  níquel puede causar dolor de estómago, depresión del peso corporal y los </w:t>
      </w:r>
      <w:r>
        <w:rPr>
          <w:spacing w:val="6"/>
        </w:rPr>
        <w:t> </w:t>
      </w:r>
      <w:r>
        <w:rPr/>
        <w:t>efectos</w:t>
      </w:r>
    </w:p>
    <w:p>
      <w:pPr>
        <w:spacing w:after="0" w:line="360" w:lineRule="auto"/>
        <w:jc w:val="both"/>
        <w:sectPr>
          <w:pgSz w:w="12240" w:h="15840"/>
          <w:pgMar w:header="0" w:footer="919" w:top="1360" w:bottom="1100" w:left="1600" w:right="1580"/>
        </w:sectPr>
      </w:pPr>
    </w:p>
    <w:p>
      <w:pPr>
        <w:pStyle w:val="BodyText"/>
        <w:spacing w:line="360" w:lineRule="auto" w:before="56"/>
        <w:ind w:left="102" w:right="125"/>
        <w:jc w:val="both"/>
      </w:pPr>
      <w:r>
        <w:rPr/>
        <w:t>adversos en la sangre y los riñones. Los humanos generalmente se sensibilizan al níquel después de un contacto prolongado con la piel.</w:t>
      </w:r>
    </w:p>
    <w:p>
      <w:pPr>
        <w:pStyle w:val="BodyText"/>
        <w:spacing w:line="360" w:lineRule="auto" w:before="204"/>
        <w:ind w:left="102" w:right="118"/>
        <w:jc w:val="both"/>
      </w:pPr>
      <w:r>
        <w:rPr/>
        <w:t>Datos en humanos demuestran que un desafío oral a una dosis única de níquel administrado en el agua potable puede provocar dermatitis en personas sensibilizadas al níquel. En la derivación de la dosis de referencia oral para las sales solubles de níquel, no se tomaron en cuenta a los individuos con hipersensibilidad al níquel. La inhalación crónica puede producir cambios adversos tales como la inflamación en el pulmón y de la cavidad nasal en seres humanos y animales; enfermedades como bronquitis, enfisema, fibrosis y daños en la función pulmonar se han reportado en los trabajadores de soldadura y fundición de níquel.</w:t>
      </w:r>
    </w:p>
    <w:p>
      <w:pPr>
        <w:pStyle w:val="BodyText"/>
        <w:spacing w:line="360" w:lineRule="auto" w:before="202"/>
        <w:ind w:left="102" w:right="115"/>
        <w:jc w:val="both"/>
      </w:pPr>
      <w:r>
        <w:rPr/>
        <w:t>Las lesiones pulmonares inflamatorias que se desarrollaron en ratas administradas con sulfato de níquel (NiSO4) soluble fueron cualitativamente similares, pero menos graves que los que se producen en ratas administradas con el óxido de níquel (NiO) insoluble. La toxicidad de níquel parece ser mayor para las formas solubles, que son las que se absorben más rápidamente de los pulmones.</w:t>
      </w:r>
    </w:p>
    <w:p>
      <w:pPr>
        <w:pStyle w:val="Heading1"/>
        <w:spacing w:before="204"/>
      </w:pPr>
      <w:r>
        <w:rPr/>
        <w:t>PDE - Exposición oral</w:t>
      </w:r>
    </w:p>
    <w:p>
      <w:pPr>
        <w:pStyle w:val="BodyText"/>
        <w:spacing w:before="4"/>
        <w:rPr>
          <w:b/>
          <w:sz w:val="29"/>
        </w:rPr>
      </w:pPr>
    </w:p>
    <w:p>
      <w:pPr>
        <w:pStyle w:val="BodyText"/>
        <w:spacing w:line="360" w:lineRule="auto" w:before="1"/>
        <w:ind w:left="102" w:right="124"/>
        <w:jc w:val="both"/>
      </w:pPr>
      <w:r>
        <w:rPr/>
        <w:t>En un estudio de carcinogenicidad con duración de 2 años en ratas administradas con sulfato de níquel hexahidratado en niveles de 10, 30 o 50 mg / kg / día, no se observaron tumores relacionados con el tratamiento. Hubo una respuesta significativa en la mortalidad de las mujeres expuestas durante las semanas 0 a la 105 en todos los niveles de dosis, y una disminución en el peso en ambos sexos en la semana 103 dependiente de la dosis que alcanzan la significación en los grupos de 30 y 50 mg / kg / día.</w:t>
      </w:r>
    </w:p>
    <w:p>
      <w:pPr>
        <w:pStyle w:val="BodyText"/>
        <w:spacing w:before="205"/>
        <w:ind w:left="102"/>
        <w:jc w:val="both"/>
      </w:pPr>
      <w:r>
        <w:rPr/>
        <w:t>La PDE oral es 220 µg / día</w:t>
      </w:r>
    </w:p>
    <w:p>
      <w:pPr>
        <w:pStyle w:val="BodyText"/>
        <w:spacing w:before="2"/>
        <w:rPr>
          <w:sz w:val="29"/>
        </w:rPr>
      </w:pPr>
    </w:p>
    <w:p>
      <w:pPr>
        <w:pStyle w:val="Heading1"/>
      </w:pPr>
      <w:r>
        <w:rPr/>
        <w:t>PDE - La exposición parenteral</w:t>
      </w:r>
    </w:p>
    <w:p>
      <w:pPr>
        <w:pStyle w:val="BodyText"/>
        <w:spacing w:before="4"/>
        <w:rPr>
          <w:b/>
          <w:sz w:val="29"/>
        </w:rPr>
      </w:pPr>
    </w:p>
    <w:p>
      <w:pPr>
        <w:pStyle w:val="BodyText"/>
        <w:spacing w:line="360" w:lineRule="auto" w:before="1"/>
        <w:ind w:left="102" w:right="125"/>
        <w:jc w:val="both"/>
      </w:pPr>
      <w:r>
        <w:rPr/>
        <w:t>Un estudio en humanos utilizando un isótopo estable de níquel estima que fue absorbido  29-40%  de  lo  indicado  en  la  etiqueta  (Basado  en  los  datos  de  la</w:t>
      </w:r>
    </w:p>
    <w:p>
      <w:pPr>
        <w:spacing w:after="0" w:line="360" w:lineRule="auto"/>
        <w:jc w:val="both"/>
        <w:sectPr>
          <w:pgSz w:w="12240" w:h="15840"/>
          <w:pgMar w:header="0" w:footer="919" w:top="1360" w:bottom="1100" w:left="1600" w:right="1580"/>
        </w:sectPr>
      </w:pPr>
    </w:p>
    <w:p>
      <w:pPr>
        <w:pStyle w:val="BodyText"/>
        <w:spacing w:line="360" w:lineRule="auto" w:before="56"/>
        <w:ind w:left="102" w:right="119"/>
        <w:jc w:val="both"/>
      </w:pPr>
      <w:r>
        <w:rPr/>
        <w:t>excreción fecal). Otro estudio evaluó el efecto de los alimentos sobre la absorción de níquel y demostró que entre 2-23% de la dosis administrada fue absorbida.</w:t>
      </w:r>
    </w:p>
    <w:p>
      <w:pPr>
        <w:pStyle w:val="BodyText"/>
        <w:spacing w:line="360" w:lineRule="auto" w:before="204"/>
        <w:ind w:left="102" w:right="119"/>
        <w:jc w:val="both"/>
      </w:pPr>
      <w:r>
        <w:rPr/>
        <w:t>Por lo tanto, sobre la base de la biodisponibilidad oral limitada de níquel y compuestos de níquel solubles en agua, la PDE parenteral se calculó dividiendo la PDE oral por un factor de modificación de 10.</w:t>
      </w:r>
    </w:p>
    <w:p>
      <w:pPr>
        <w:pStyle w:val="BodyText"/>
        <w:spacing w:before="5"/>
        <w:ind w:left="102"/>
        <w:jc w:val="both"/>
      </w:pPr>
      <w:r>
        <w:rPr/>
        <w:t>PDE = (220 µg / d) / 10 = 22 µg / día</w:t>
      </w:r>
    </w:p>
    <w:p>
      <w:pPr>
        <w:pStyle w:val="BodyText"/>
      </w:pPr>
    </w:p>
    <w:p>
      <w:pPr>
        <w:pStyle w:val="BodyText"/>
      </w:pPr>
    </w:p>
    <w:p>
      <w:pPr>
        <w:pStyle w:val="Heading1"/>
      </w:pPr>
      <w:r>
        <w:rPr/>
        <w:t>PDE - Exposición por Inhalación</w:t>
      </w:r>
    </w:p>
    <w:p>
      <w:pPr>
        <w:pStyle w:val="BodyText"/>
        <w:spacing w:before="3"/>
        <w:rPr>
          <w:b/>
          <w:sz w:val="29"/>
        </w:rPr>
      </w:pPr>
    </w:p>
    <w:p>
      <w:pPr>
        <w:pStyle w:val="BodyText"/>
        <w:spacing w:line="360" w:lineRule="auto"/>
        <w:ind w:left="102" w:right="126"/>
        <w:jc w:val="both"/>
      </w:pPr>
      <w:r>
        <w:rPr/>
        <w:t>Para el cálculo de la PDE por inhalación para níquel fue seleccionado de los datos disponibles.</w:t>
      </w:r>
    </w:p>
    <w:p>
      <w:pPr>
        <w:pStyle w:val="BodyText"/>
        <w:spacing w:line="360" w:lineRule="auto" w:before="204"/>
        <w:ind w:left="102" w:right="116"/>
        <w:jc w:val="both"/>
      </w:pPr>
      <w:r>
        <w:rPr/>
        <w:t>En estudios de 2 años con óxido de níquel, no se observaron tumores en hámsteres o ratones. Hubo algunas evidencias de carcinogenicidad en ratas pero no hay evidencia de carcinogenicidad por la inhalación de níquel metálico. Para el níquel, se consideró aceptable un factor de modificación porque las formas y niveles que podrían verse en inhalación de drogas o productos no han mostrado evidencia de carcinogenicidad.</w:t>
      </w:r>
    </w:p>
    <w:p>
      <w:pPr>
        <w:pStyle w:val="BodyText"/>
        <w:spacing w:before="204"/>
        <w:ind w:left="102"/>
        <w:jc w:val="both"/>
      </w:pPr>
      <w:r>
        <w:rPr/>
        <w:t>PDE = 6 µg / día</w:t>
      </w:r>
    </w:p>
    <w:p>
      <w:pPr>
        <w:pStyle w:val="BodyText"/>
        <w:spacing w:before="4"/>
        <w:rPr>
          <w:sz w:val="29"/>
        </w:rPr>
      </w:pPr>
    </w:p>
    <w:p>
      <w:pPr>
        <w:pStyle w:val="Heading1"/>
        <w:spacing w:before="1"/>
      </w:pPr>
      <w:r>
        <w:rPr/>
        <w:t>Cobalto</w:t>
      </w:r>
    </w:p>
    <w:p>
      <w:pPr>
        <w:pStyle w:val="BodyText"/>
        <w:spacing w:before="4"/>
        <w:rPr>
          <w:b/>
          <w:sz w:val="29"/>
        </w:rPr>
      </w:pPr>
    </w:p>
    <w:p>
      <w:pPr>
        <w:pStyle w:val="BodyText"/>
        <w:spacing w:line="360" w:lineRule="auto" w:before="1"/>
        <w:ind w:left="102" w:right="113"/>
        <w:jc w:val="both"/>
      </w:pPr>
      <w:r>
        <w:rPr>
          <w:color w:val="212121"/>
        </w:rPr>
        <w:t>Cobalto (Co) es un elemento de origen natural, a menudo combinado con otros elementos tales como oxígeno, azufre, y el arsénico. El cobalto es esencial en el cuerpo humano debido a que es un componente integral de la vitamina B12 y funciona como un co-enzima para varias enzimas críticas en la síntesis de la hemoglobina y la prevención de la anemia perniciosa. La persona promedio recibe alrededor de 11 µg de Co / día en la dieta. La ración dietética recomendada de vitamina B12 varía desde 0,7 hasta 2,4 µg / día, que corresponde a 0,03 a 0,1 µg de cobalto. Se ha identificado que el cobalto inorgánico no tiene una función biológica esencial en el cuerpo humano. Los compuestos de cobalto (por ejemplo, octanoato de cobalto) se utilizan como catalizadores en la hidrogenación selectiva</w:t>
      </w:r>
    </w:p>
    <w:p>
      <w:pPr>
        <w:spacing w:after="0" w:line="360" w:lineRule="auto"/>
        <w:jc w:val="both"/>
        <w:sectPr>
          <w:pgSz w:w="12240" w:h="15840"/>
          <w:pgMar w:header="0" w:footer="919" w:top="1360" w:bottom="1100" w:left="1600" w:right="1580"/>
        </w:sectPr>
      </w:pPr>
    </w:p>
    <w:p>
      <w:pPr>
        <w:pStyle w:val="BodyText"/>
        <w:spacing w:line="350" w:lineRule="auto" w:before="56"/>
        <w:ind w:left="102" w:right="117"/>
        <w:jc w:val="both"/>
      </w:pPr>
      <w:r>
        <w:rPr>
          <w:color w:val="212121"/>
        </w:rPr>
        <w:t>La Agencia Internacional para la Investigación del Cáncer (IARC, 2006) llegó a la conclusión de que el sulfato de cobalto y otras sales solubles de cobalto (2</w:t>
      </w:r>
      <w:r>
        <w:rPr>
          <w:color w:val="212121"/>
          <w:position w:val="11"/>
          <w:sz w:val="16"/>
        </w:rPr>
        <w:t>+</w:t>
      </w:r>
      <w:r>
        <w:rPr>
          <w:color w:val="212121"/>
        </w:rPr>
        <w:t>) son posibles carcinógenos humanos (Grupo 2B). Los datos indican que la ubicación de los tumores se limita a la de pulmón en ratas y seres humanos. La prueba de</w:t>
      </w:r>
    </w:p>
    <w:p>
      <w:pPr>
        <w:pStyle w:val="BodyText"/>
        <w:spacing w:line="360" w:lineRule="auto" w:before="16"/>
        <w:ind w:left="102" w:right="117"/>
        <w:jc w:val="both"/>
      </w:pPr>
      <w:r>
        <w:rPr>
          <w:color w:val="212121"/>
        </w:rPr>
        <w:t>mutagenicidad para cobalto metálico fue positiva in vitro, pero negativos para clastogenicidad in vivo.</w:t>
      </w:r>
    </w:p>
    <w:p>
      <w:pPr>
        <w:pStyle w:val="BodyText"/>
      </w:pPr>
    </w:p>
    <w:p>
      <w:pPr>
        <w:pStyle w:val="BodyText"/>
        <w:spacing w:line="360" w:lineRule="auto" w:before="142"/>
        <w:ind w:left="102" w:right="116"/>
        <w:jc w:val="both"/>
      </w:pPr>
      <w:r>
        <w:rPr>
          <w:color w:val="212121"/>
        </w:rPr>
        <w:t>El NTP concluyó que fue clara la evidencia de carcinogenicidad en ratones y ratas, tanto masculinas como femeninas. Los estudios en humanos para la carcinogenicidad de inhalación no son concluyentes </w:t>
      </w:r>
      <w:r>
        <w:rPr/>
        <w:t>n</w:t>
      </w:r>
      <w:r>
        <w:rPr>
          <w:color w:val="212121"/>
        </w:rPr>
        <w:t>i clasificados </w:t>
      </w:r>
      <w:r>
        <w:rPr/>
        <w:t>para </w:t>
      </w:r>
      <w:r>
        <w:rPr>
          <w:color w:val="212121"/>
        </w:rPr>
        <w:t>carcinogenicidad (US EPA</w:t>
      </w:r>
      <w:r>
        <w:rPr/>
        <w:t>, </w:t>
      </w:r>
      <w:r>
        <w:rPr>
          <w:color w:val="212121"/>
        </w:rPr>
        <w:t>2000</w:t>
      </w:r>
      <w:r>
        <w:rPr/>
        <w:t>). </w:t>
      </w:r>
      <w:r>
        <w:rPr>
          <w:color w:val="212121"/>
        </w:rPr>
        <w:t>La policitemia es considera que el hallazgo más sensible después de la exposición oral repetida en los seres humanos (ATSDR, 2004).</w:t>
      </w:r>
    </w:p>
    <w:p>
      <w:pPr>
        <w:pStyle w:val="BodyText"/>
        <w:spacing w:line="360" w:lineRule="auto" w:before="202"/>
        <w:ind w:left="102" w:right="115"/>
        <w:jc w:val="both"/>
      </w:pPr>
      <w:r>
        <w:rPr>
          <w:color w:val="212121"/>
        </w:rPr>
        <w:t>La exposición por inhalación de los seres humanos al cobalto se ha asociado con una enfermedad respiratoria severa y progresiva conocida como la neumoconiosis de metal duro</w:t>
      </w:r>
      <w:r>
        <w:rPr/>
        <w:t>, así como </w:t>
      </w:r>
      <w:r>
        <w:rPr>
          <w:color w:val="212121"/>
        </w:rPr>
        <w:t>el asma y la dermatitis de contacto (ATSDR, 2004</w:t>
      </w:r>
      <w:r>
        <w:rPr/>
        <w:t>; </w:t>
      </w:r>
      <w:r>
        <w:rPr>
          <w:color w:val="212121"/>
        </w:rPr>
        <w:t>IARC</w:t>
      </w:r>
      <w:r>
        <w:rPr/>
        <w:t>, </w:t>
      </w:r>
      <w:r>
        <w:rPr>
          <w:color w:val="212121"/>
        </w:rPr>
        <w:t>2006</w:t>
      </w:r>
      <w:r>
        <w:rPr/>
        <w:t>).</w:t>
      </w:r>
    </w:p>
    <w:p>
      <w:pPr>
        <w:pStyle w:val="Heading1"/>
        <w:spacing w:before="204"/>
      </w:pPr>
      <w:r>
        <w:rPr>
          <w:color w:val="212121"/>
        </w:rPr>
        <w:t>PDE - Exposición oral</w:t>
      </w:r>
    </w:p>
    <w:p>
      <w:pPr>
        <w:pStyle w:val="BodyText"/>
        <w:spacing w:before="4"/>
        <w:rPr>
          <w:b/>
          <w:sz w:val="29"/>
        </w:rPr>
      </w:pPr>
    </w:p>
    <w:p>
      <w:pPr>
        <w:pStyle w:val="BodyText"/>
        <w:spacing w:line="360" w:lineRule="auto" w:before="1"/>
        <w:ind w:left="102" w:right="115"/>
        <w:jc w:val="both"/>
      </w:pPr>
      <w:r>
        <w:rPr>
          <w:color w:val="212121"/>
        </w:rPr>
        <w:t>La PDE oral se basa en los datos humanos disponibles. </w:t>
      </w:r>
      <w:r>
        <w:rPr/>
        <w:t>La p</w:t>
      </w:r>
      <w:r>
        <w:rPr>
          <w:color w:val="212121"/>
        </w:rPr>
        <w:t>olicitemia fue un punto final sensible en los seres humanos tras la exposición repetida oral a 150  mg de cloruro de cobalto durante 22 días (~ 1 mg Co / kg / día</w:t>
      </w:r>
      <w:r>
        <w:rPr/>
        <w:t>; </w:t>
      </w:r>
      <w:r>
        <w:rPr>
          <w:color w:val="212121"/>
        </w:rPr>
        <w:t>OMS</w:t>
      </w:r>
      <w:r>
        <w:rPr/>
        <w:t>, </w:t>
      </w:r>
      <w:r>
        <w:rPr>
          <w:color w:val="212121"/>
        </w:rPr>
        <w:t>2006</w:t>
      </w:r>
      <w:r>
        <w:rPr/>
        <w:t>; </w:t>
      </w:r>
      <w:r>
        <w:rPr>
          <w:color w:val="212121"/>
        </w:rPr>
        <w:t>ATSDR, 2004</w:t>
      </w:r>
      <w:r>
        <w:rPr/>
        <w:t>). </w:t>
      </w:r>
      <w:r>
        <w:rPr>
          <w:color w:val="212121"/>
        </w:rPr>
        <w:t>La policitemia u otros efectos no se observaron en un estudio de 10 voluntarios humanos (5 hombres y 5 mujeres) que ingirieron 1 mg / Co por día como </w:t>
      </w:r>
      <w:r>
        <w:rPr/>
        <w:t>cloruro de cobalto (</w:t>
      </w:r>
      <w:r>
        <w:rPr>
          <w:color w:val="212121"/>
        </w:rPr>
        <w:t>CoCl</w:t>
      </w:r>
      <w:r>
        <w:rPr>
          <w:color w:val="212121"/>
          <w:position w:val="-2"/>
          <w:sz w:val="16"/>
        </w:rPr>
        <w:t>2</w:t>
      </w:r>
      <w:r>
        <w:rPr>
          <w:color w:val="212121"/>
        </w:rPr>
        <w:t>) de 88 a 90</w:t>
      </w:r>
      <w:r>
        <w:rPr>
          <w:color w:val="212121"/>
          <w:spacing w:val="-13"/>
        </w:rPr>
        <w:t> </w:t>
      </w:r>
      <w:r>
        <w:rPr>
          <w:color w:val="212121"/>
        </w:rPr>
        <w:t>días.</w:t>
      </w:r>
    </w:p>
    <w:p>
      <w:pPr>
        <w:pStyle w:val="BodyText"/>
        <w:spacing w:line="535" w:lineRule="auto" w:before="185"/>
        <w:ind w:left="102" w:right="1013"/>
      </w:pPr>
      <w:r>
        <w:rPr>
          <w:color w:val="212121"/>
        </w:rPr>
        <w:t>La PDE por vía oral se determinó sobre la base de la NOAEL de 1 mg/día</w:t>
      </w:r>
      <w:r>
        <w:rPr/>
        <w:t>. L</w:t>
      </w:r>
      <w:r>
        <w:rPr>
          <w:color w:val="212121"/>
        </w:rPr>
        <w:t>a PDE oral es 50 </w:t>
      </w:r>
      <w:r>
        <w:rPr/>
        <w:t>µ</w:t>
      </w:r>
      <w:r>
        <w:rPr>
          <w:color w:val="212121"/>
        </w:rPr>
        <w:t>g/día.</w:t>
      </w:r>
    </w:p>
    <w:p>
      <w:pPr>
        <w:spacing w:after="0" w:line="535" w:lineRule="auto"/>
        <w:sectPr>
          <w:pgSz w:w="12240" w:h="15840"/>
          <w:pgMar w:header="0" w:footer="919" w:top="1360" w:bottom="1100" w:left="1600" w:right="1580"/>
        </w:sectPr>
      </w:pPr>
    </w:p>
    <w:p>
      <w:pPr>
        <w:pStyle w:val="Heading1"/>
        <w:spacing w:before="56"/>
      </w:pPr>
      <w:r>
        <w:rPr>
          <w:color w:val="212121"/>
        </w:rPr>
        <w:t>PDE - La exposición parenteral</w:t>
      </w:r>
    </w:p>
    <w:p>
      <w:pPr>
        <w:pStyle w:val="BodyText"/>
        <w:spacing w:before="5"/>
        <w:rPr>
          <w:b/>
          <w:sz w:val="29"/>
        </w:rPr>
      </w:pPr>
    </w:p>
    <w:p>
      <w:pPr>
        <w:pStyle w:val="BodyText"/>
        <w:spacing w:line="360" w:lineRule="auto"/>
        <w:ind w:left="102" w:right="114"/>
        <w:jc w:val="both"/>
      </w:pPr>
      <w:r>
        <w:rPr>
          <w:color w:val="212121"/>
        </w:rPr>
        <w:t>No se encontraron datos relevantes sobre la exposición parenteral a compuestos de cobalto. Los rangos de biodisponibilidad oral de cobalto y compuestos de cobalto inorgánicos esta entre 18 y 97% (ATSDR, 2004). Para dar cuenta de la baja la biodisponibilidad oral, la PDE parenteral se calculó dividiendo la PDE oral por un factor de modificación de 10.</w:t>
      </w:r>
    </w:p>
    <w:p>
      <w:pPr>
        <w:pStyle w:val="BodyText"/>
        <w:spacing w:before="202"/>
        <w:ind w:left="102"/>
        <w:jc w:val="both"/>
      </w:pPr>
      <w:r>
        <w:rPr>
          <w:color w:val="212121"/>
        </w:rPr>
        <w:t>La PDE para el cobalto para la exposición parenteral es: 5.0 µg / día</w:t>
      </w:r>
    </w:p>
    <w:p>
      <w:pPr>
        <w:pStyle w:val="BodyText"/>
        <w:spacing w:before="5"/>
        <w:rPr>
          <w:sz w:val="29"/>
        </w:rPr>
      </w:pPr>
    </w:p>
    <w:p>
      <w:pPr>
        <w:pStyle w:val="Heading1"/>
      </w:pPr>
      <w:r>
        <w:rPr>
          <w:color w:val="212121"/>
        </w:rPr>
        <w:t>PDE - Exposición Inhalación</w:t>
      </w:r>
    </w:p>
    <w:p>
      <w:pPr>
        <w:pStyle w:val="BodyText"/>
        <w:spacing w:before="4"/>
        <w:rPr>
          <w:b/>
          <w:sz w:val="26"/>
        </w:rPr>
      </w:pPr>
    </w:p>
    <w:p>
      <w:pPr>
        <w:pStyle w:val="BodyText"/>
        <w:spacing w:line="360" w:lineRule="auto"/>
        <w:ind w:left="102" w:right="115"/>
        <w:jc w:val="both"/>
      </w:pPr>
      <w:r>
        <w:rPr>
          <w:color w:val="212121"/>
        </w:rPr>
        <w:t>Las sales de sulfato de cobalto (2</w:t>
      </w:r>
      <w:r>
        <w:rPr>
          <w:color w:val="212121"/>
          <w:position w:val="11"/>
          <w:sz w:val="16"/>
        </w:rPr>
        <w:t>+</w:t>
      </w:r>
      <w:r>
        <w:rPr>
          <w:color w:val="212121"/>
        </w:rPr>
        <w:t>) y otras sales solubles son posibles carcinógenos humanos (Grupo 2B) que pueden inducir tumores pulmonares. La neumoconiosis, dermatitis de contacto y asma fueron los principales efectos no cancerígenos en los seres humanos después de la inhalación crónica. El enfoque LMR se consideró aceptable para el cobalto como los datos se consideran más fiables y la falta de datos en humanos para el sulfato de cobalto carcinogenicidad. La mejor estimación del riesgo de cáncer humano es aproximadamente la misma que la PDE derivada utilizando el LMR (OMS, 2006).</w:t>
      </w:r>
    </w:p>
    <w:p>
      <w:pPr>
        <w:pStyle w:val="BodyText"/>
        <w:spacing w:before="204"/>
        <w:ind w:left="169"/>
        <w:jc w:val="both"/>
      </w:pPr>
      <w:r>
        <w:rPr>
          <w:color w:val="212121"/>
        </w:rPr>
        <w:t>PDE = 2.9 µg/día</w:t>
      </w:r>
    </w:p>
    <w:p>
      <w:pPr>
        <w:pStyle w:val="BodyText"/>
        <w:spacing w:before="4"/>
        <w:rPr>
          <w:sz w:val="29"/>
        </w:rPr>
      </w:pPr>
    </w:p>
    <w:p>
      <w:pPr>
        <w:pStyle w:val="Heading1"/>
        <w:spacing w:before="1"/>
      </w:pPr>
      <w:r>
        <w:rPr/>
        <w:t>Vanadio</w:t>
      </w:r>
    </w:p>
    <w:p>
      <w:pPr>
        <w:pStyle w:val="BodyText"/>
        <w:spacing w:before="4"/>
        <w:rPr>
          <w:b/>
          <w:sz w:val="29"/>
        </w:rPr>
      </w:pPr>
    </w:p>
    <w:p>
      <w:pPr>
        <w:pStyle w:val="BodyText"/>
        <w:spacing w:line="357" w:lineRule="auto" w:before="1"/>
        <w:ind w:left="102" w:right="117"/>
        <w:jc w:val="both"/>
      </w:pPr>
      <w:r>
        <w:rPr/>
        <w:pict>
          <v:shape style="position:absolute;margin-left:455.380005pt;margin-top:61.310936pt;width:2.7pt;height:8.0500pt;mso-position-horizontal-relative:page;mso-position-vertical-relative:paragraph;z-index:-253840" type="#_x0000_t202" filled="false" stroked="false">
            <v:textbox inset="0,0,0,0">
              <w:txbxContent>
                <w:p>
                  <w:pPr>
                    <w:spacing w:line="161" w:lineRule="exact" w:before="0"/>
                    <w:ind w:left="0" w:right="0" w:firstLine="0"/>
                    <w:jc w:val="left"/>
                    <w:rPr>
                      <w:sz w:val="16"/>
                    </w:rPr>
                  </w:pPr>
                  <w:r>
                    <w:rPr>
                      <w:color w:val="212121"/>
                      <w:w w:val="100"/>
                      <w:sz w:val="16"/>
                    </w:rPr>
                    <w:t>-</w:t>
                  </w:r>
                </w:p>
              </w:txbxContent>
            </v:textbox>
            <w10:wrap type="none"/>
          </v:shape>
        </w:pict>
      </w:r>
      <w:r>
        <w:rPr/>
        <w:pict>
          <v:shape style="position:absolute;margin-left:110.900002pt;margin-top:82.100937pt;width:4.7pt;height:8.0500pt;mso-position-horizontal-relative:page;mso-position-vertical-relative:paragraph;z-index:-253816" type="#_x0000_t202" filled="false" stroked="false">
            <v:textbox inset="0,0,0,0">
              <w:txbxContent>
                <w:p>
                  <w:pPr>
                    <w:spacing w:line="161" w:lineRule="exact" w:before="0"/>
                    <w:ind w:left="0" w:right="0" w:firstLine="0"/>
                    <w:jc w:val="left"/>
                    <w:rPr>
                      <w:sz w:val="16"/>
                    </w:rPr>
                  </w:pPr>
                  <w:r>
                    <w:rPr>
                      <w:color w:val="212121"/>
                      <w:w w:val="100"/>
                      <w:sz w:val="16"/>
                    </w:rPr>
                    <w:t>+</w:t>
                  </w:r>
                </w:p>
              </w:txbxContent>
            </v:textbox>
            <w10:wrap type="none"/>
          </v:shape>
        </w:pict>
      </w:r>
      <w:r>
        <w:rPr>
          <w:color w:val="212121"/>
        </w:rPr>
        <w:t>El vanadio (V) está presente como un oligoelemento en la corteza terrestre  y puede existir en una variedad de estados de oxidación (-1, 0, 2, 3, 4 y 5). El vanadio también está presente en cantidades traza en la mayoría de los organismos biológicos. Sus principales iones son vanadato (VO</w:t>
      </w:r>
      <w:r>
        <w:rPr>
          <w:color w:val="212121"/>
          <w:position w:val="-2"/>
          <w:sz w:val="16"/>
        </w:rPr>
        <w:t>3 </w:t>
      </w:r>
      <w:r>
        <w:rPr>
          <w:color w:val="212121"/>
        </w:rPr>
        <w:t>)  y  vanadilo  (VO</w:t>
      </w:r>
      <w:r>
        <w:rPr>
          <w:color w:val="212121"/>
          <w:position w:val="-2"/>
          <w:sz w:val="16"/>
        </w:rPr>
        <w:t>2 </w:t>
      </w:r>
      <w:r>
        <w:rPr>
          <w:color w:val="212121"/>
          <w:spacing w:val="4"/>
          <w:position w:val="-2"/>
          <w:sz w:val="16"/>
        </w:rPr>
        <w:t> </w:t>
      </w:r>
      <w:r>
        <w:rPr>
          <w:color w:val="212121"/>
        </w:rPr>
        <w:t>)</w:t>
      </w:r>
    </w:p>
    <w:p>
      <w:pPr>
        <w:pStyle w:val="BodyText"/>
        <w:spacing w:line="360" w:lineRule="auto" w:before="228"/>
        <w:ind w:left="102" w:right="124"/>
        <w:jc w:val="both"/>
      </w:pPr>
      <w:r>
        <w:rPr>
          <w:color w:val="212121"/>
        </w:rPr>
        <w:t>La absorción de vanadio en el tracto gastrointestinal es pobre. Las estimaciones  de la ingesta dietética total de vanadio en los humanos van desde 10 a 60 </w:t>
      </w:r>
      <w:r>
        <w:rPr>
          <w:color w:val="212121"/>
          <w:spacing w:val="2"/>
        </w:rPr>
        <w:t>µg </w:t>
      </w:r>
      <w:r>
        <w:rPr>
          <w:color w:val="212121"/>
        </w:rPr>
        <w:t>/ día. La ingesta de agua potable depende de la fuente de agua y las estimaciones son de</w:t>
      </w:r>
      <w:r>
        <w:rPr>
          <w:color w:val="212121"/>
          <w:spacing w:val="23"/>
        </w:rPr>
        <w:t> </w:t>
      </w:r>
      <w:r>
        <w:rPr>
          <w:color w:val="212121"/>
        </w:rPr>
        <w:t>hasta</w:t>
      </w:r>
      <w:r>
        <w:rPr>
          <w:color w:val="212121"/>
          <w:spacing w:val="22"/>
        </w:rPr>
        <w:t> </w:t>
      </w:r>
      <w:r>
        <w:rPr>
          <w:color w:val="212121"/>
        </w:rPr>
        <w:t>140</w:t>
      </w:r>
      <w:r>
        <w:rPr>
          <w:color w:val="212121"/>
          <w:spacing w:val="23"/>
        </w:rPr>
        <w:t> </w:t>
      </w:r>
      <w:r>
        <w:rPr>
          <w:color w:val="212121"/>
          <w:spacing w:val="2"/>
        </w:rPr>
        <w:t>µg</w:t>
      </w:r>
      <w:r>
        <w:rPr>
          <w:color w:val="212121"/>
          <w:spacing w:val="22"/>
        </w:rPr>
        <w:t> </w:t>
      </w:r>
      <w:r>
        <w:rPr>
          <w:color w:val="212121"/>
        </w:rPr>
        <w:t>/</w:t>
      </w:r>
      <w:r>
        <w:rPr>
          <w:color w:val="212121"/>
          <w:spacing w:val="23"/>
        </w:rPr>
        <w:t> </w:t>
      </w:r>
      <w:r>
        <w:rPr>
          <w:color w:val="212121"/>
        </w:rPr>
        <w:t>día.</w:t>
      </w:r>
      <w:r>
        <w:rPr>
          <w:color w:val="212121"/>
          <w:spacing w:val="23"/>
        </w:rPr>
        <w:t> </w:t>
      </w:r>
      <w:r>
        <w:rPr>
          <w:color w:val="212121"/>
        </w:rPr>
        <w:t>Las</w:t>
      </w:r>
      <w:r>
        <w:rPr>
          <w:color w:val="212121"/>
          <w:spacing w:val="23"/>
        </w:rPr>
        <w:t> </w:t>
      </w:r>
      <w:r>
        <w:rPr>
          <w:color w:val="212121"/>
        </w:rPr>
        <w:t>poblaciones</w:t>
      </w:r>
      <w:r>
        <w:rPr>
          <w:color w:val="212121"/>
          <w:spacing w:val="21"/>
        </w:rPr>
        <w:t> </w:t>
      </w:r>
      <w:r>
        <w:rPr>
          <w:color w:val="212121"/>
        </w:rPr>
        <w:t>humanas</w:t>
      </w:r>
      <w:r>
        <w:rPr>
          <w:color w:val="212121"/>
          <w:spacing w:val="23"/>
        </w:rPr>
        <w:t> </w:t>
      </w:r>
      <w:r>
        <w:rPr>
          <w:color w:val="212121"/>
        </w:rPr>
        <w:t>tienen</w:t>
      </w:r>
      <w:r>
        <w:rPr>
          <w:color w:val="212121"/>
          <w:spacing w:val="23"/>
        </w:rPr>
        <w:t> </w:t>
      </w:r>
      <w:r>
        <w:rPr>
          <w:color w:val="212121"/>
        </w:rPr>
        <w:t>concentraciones</w:t>
      </w:r>
      <w:r>
        <w:rPr>
          <w:color w:val="212121"/>
          <w:spacing w:val="23"/>
        </w:rPr>
        <w:t> </w:t>
      </w:r>
      <w:r>
        <w:rPr>
          <w:color w:val="212121"/>
        </w:rPr>
        <w:t>séricas</w:t>
      </w:r>
    </w:p>
    <w:p>
      <w:pPr>
        <w:spacing w:after="0" w:line="360" w:lineRule="auto"/>
        <w:jc w:val="both"/>
        <w:sectPr>
          <w:pgSz w:w="12240" w:h="15840"/>
          <w:pgMar w:header="0" w:footer="919" w:top="1360" w:bottom="1100" w:left="1600" w:right="1580"/>
        </w:sectPr>
      </w:pPr>
    </w:p>
    <w:p>
      <w:pPr>
        <w:pStyle w:val="BodyText"/>
        <w:spacing w:line="360" w:lineRule="auto" w:before="56"/>
        <w:ind w:left="102" w:right="127"/>
        <w:jc w:val="both"/>
      </w:pPr>
      <w:r>
        <w:rPr>
          <w:color w:val="212121"/>
        </w:rPr>
        <w:t>variables de vanadio, siendo 2 µg / L el extremo más alto de la gama normal. A pesar de estar omnipresente en el cuerpo, no se ha establecido una función biológica esencial para vanadio en seres humanos.</w:t>
      </w:r>
    </w:p>
    <w:p>
      <w:pPr>
        <w:pStyle w:val="BodyText"/>
        <w:spacing w:before="1"/>
        <w:rPr>
          <w:sz w:val="21"/>
        </w:rPr>
      </w:pPr>
    </w:p>
    <w:p>
      <w:pPr>
        <w:pStyle w:val="BodyText"/>
        <w:spacing w:line="360" w:lineRule="auto"/>
        <w:ind w:left="102" w:right="127"/>
        <w:jc w:val="both"/>
      </w:pPr>
      <w:r>
        <w:rPr>
          <w:color w:val="212121"/>
        </w:rPr>
        <w:t>El vanadio es genotóxico, pero no mutagénico. El pentóxido de vanadio se clasifica como una posible carcinógeno humano (grupo 2B; IARC,</w:t>
      </w:r>
      <w:r>
        <w:rPr>
          <w:color w:val="212121"/>
          <w:spacing w:val="-25"/>
        </w:rPr>
        <w:t> </w:t>
      </w:r>
      <w:r>
        <w:rPr>
          <w:color w:val="212121"/>
        </w:rPr>
        <w:t>2012).</w:t>
      </w:r>
    </w:p>
    <w:p>
      <w:pPr>
        <w:pStyle w:val="BodyText"/>
        <w:spacing w:before="3"/>
        <w:rPr>
          <w:sz w:val="21"/>
        </w:rPr>
      </w:pPr>
    </w:p>
    <w:p>
      <w:pPr>
        <w:pStyle w:val="Heading1"/>
      </w:pPr>
      <w:r>
        <w:rPr>
          <w:color w:val="212121"/>
        </w:rPr>
        <w:t>PDE - Exposición oral</w:t>
      </w:r>
    </w:p>
    <w:p>
      <w:pPr>
        <w:pStyle w:val="BodyText"/>
        <w:spacing w:before="8"/>
        <w:rPr>
          <w:b/>
          <w:sz w:val="32"/>
        </w:rPr>
      </w:pPr>
    </w:p>
    <w:p>
      <w:pPr>
        <w:pStyle w:val="BodyText"/>
        <w:spacing w:line="360" w:lineRule="auto" w:before="1"/>
        <w:ind w:left="102" w:right="115"/>
        <w:jc w:val="both"/>
      </w:pPr>
      <w:r>
        <w:rPr>
          <w:color w:val="212121"/>
        </w:rPr>
        <w:t>Después de la administración oral de vanadio en animales y seres humanos </w:t>
      </w:r>
      <w:r>
        <w:rPr>
          <w:color w:val="212121"/>
          <w:spacing w:val="2"/>
        </w:rPr>
        <w:t>los </w:t>
      </w:r>
      <w:r>
        <w:rPr>
          <w:color w:val="212121"/>
        </w:rPr>
        <w:t>objetivos principales de la toxicidad fueron el tracto  gastrointestinal, cardiovascular, y sistema hematológico. El estudio más apropiado para evaluar la toxicidad vanadio a través de la administración oral se llevó a cabo en seres humanos expuestos durante 12 semanas. En este estudio, no se observó en los sujetos administrados a través de cápsula de 0,12 o 0,19 mg de vanadio como vanadil tartrato de amonio o sulfato de vanadio durante </w:t>
      </w:r>
      <w:r>
        <w:rPr>
          <w:color w:val="212121"/>
          <w:spacing w:val="2"/>
        </w:rPr>
        <w:t>6-12 </w:t>
      </w:r>
      <w:r>
        <w:rPr>
          <w:color w:val="212121"/>
        </w:rPr>
        <w:t>semanas,  alteraciones significativas en los parámetros hematológicos, la función del hígado (como medido por las enzimas séricas), niveles de colesterol y triglicéridos, la función renal (medida por nitrógeno ureico en sangre), el peso corporal, o la presión arterial (ATSDR, 2012). El NOAEL oral de 0.12 mg de vanadio / kg / día se utilizó para calcular la PDE oral en base a los efectos hematológicos y de presión arterial. Quedando la PDE oral = 120 </w:t>
      </w:r>
      <w:r>
        <w:rPr>
          <w:color w:val="212121"/>
          <w:spacing w:val="2"/>
        </w:rPr>
        <w:t>µg </w:t>
      </w:r>
      <w:r>
        <w:rPr>
          <w:color w:val="212121"/>
        </w:rPr>
        <w:t>/</w:t>
      </w:r>
      <w:r>
        <w:rPr>
          <w:color w:val="212121"/>
          <w:spacing w:val="-18"/>
        </w:rPr>
        <w:t> </w:t>
      </w:r>
      <w:r>
        <w:rPr>
          <w:color w:val="212121"/>
        </w:rPr>
        <w:t>día</w:t>
      </w:r>
    </w:p>
    <w:p>
      <w:pPr>
        <w:pStyle w:val="Heading1"/>
        <w:spacing w:before="202"/>
      </w:pPr>
      <w:r>
        <w:rPr>
          <w:color w:val="212121"/>
        </w:rPr>
        <w:t>PDE - La exposición parenteral</w:t>
      </w:r>
    </w:p>
    <w:p>
      <w:pPr>
        <w:pStyle w:val="BodyText"/>
        <w:spacing w:before="4"/>
        <w:rPr>
          <w:b/>
          <w:sz w:val="29"/>
        </w:rPr>
      </w:pPr>
    </w:p>
    <w:p>
      <w:pPr>
        <w:pStyle w:val="BodyText"/>
        <w:spacing w:line="360" w:lineRule="auto" w:before="1"/>
        <w:ind w:left="102" w:right="124"/>
        <w:jc w:val="both"/>
      </w:pPr>
      <w:r>
        <w:rPr>
          <w:color w:val="212121"/>
        </w:rPr>
        <w:t>En la revisión de seguridad para el vanadio no se pudo identificar ninguna evaluación significativa sobre la cual calcular un PDE para las rutas parenterales de exposición.</w:t>
      </w:r>
    </w:p>
    <w:p>
      <w:pPr>
        <w:pStyle w:val="BodyText"/>
        <w:spacing w:line="360" w:lineRule="auto" w:before="204"/>
        <w:ind w:left="102" w:right="116"/>
        <w:jc w:val="both"/>
      </w:pPr>
      <w:r>
        <w:rPr>
          <w:color w:val="212121"/>
        </w:rPr>
        <w:t>Sobre la base de una biodisponibilidad oral aproximada de &lt;1 - 10% para los compuestos de vanadio y vanadio inorgánico (ATSDR, 2012), la PDE parenteral  se calcula dividiendo el PDE por vía oral por un factor de modificación de</w:t>
      </w:r>
      <w:r>
        <w:rPr>
          <w:color w:val="212121"/>
          <w:spacing w:val="-17"/>
        </w:rPr>
        <w:t> </w:t>
      </w:r>
      <w:r>
        <w:rPr>
          <w:color w:val="212121"/>
        </w:rPr>
        <w:t>10.</w:t>
      </w:r>
    </w:p>
    <w:p>
      <w:pPr>
        <w:pStyle w:val="BodyText"/>
      </w:pPr>
    </w:p>
    <w:p>
      <w:pPr>
        <w:pStyle w:val="BodyText"/>
        <w:spacing w:before="142"/>
        <w:ind w:left="102"/>
        <w:jc w:val="both"/>
      </w:pPr>
      <w:r>
        <w:rPr>
          <w:color w:val="212121"/>
        </w:rPr>
        <w:t>PDE = 12 µg / día</w:t>
      </w:r>
    </w:p>
    <w:p>
      <w:pPr>
        <w:spacing w:after="0"/>
        <w:jc w:val="both"/>
        <w:sectPr>
          <w:footerReference w:type="default" r:id="rId88"/>
          <w:pgSz w:w="12240" w:h="15840"/>
          <w:pgMar w:footer="919" w:header="0" w:top="1360" w:bottom="1100" w:left="1600" w:right="1580"/>
          <w:pgNumType w:start="100"/>
        </w:sectPr>
      </w:pPr>
    </w:p>
    <w:p>
      <w:pPr>
        <w:pStyle w:val="Heading1"/>
        <w:spacing w:before="56"/>
      </w:pPr>
      <w:r>
        <w:rPr>
          <w:color w:val="212121"/>
        </w:rPr>
        <w:t>PDE - Exposición Inhalación</w:t>
      </w:r>
    </w:p>
    <w:p>
      <w:pPr>
        <w:pStyle w:val="BodyText"/>
        <w:spacing w:before="5"/>
        <w:rPr>
          <w:b/>
          <w:sz w:val="29"/>
        </w:rPr>
      </w:pPr>
    </w:p>
    <w:p>
      <w:pPr>
        <w:pStyle w:val="BodyText"/>
        <w:spacing w:line="352" w:lineRule="auto"/>
        <w:ind w:left="102" w:right="118"/>
        <w:jc w:val="both"/>
      </w:pPr>
      <w:r>
        <w:rPr>
          <w:color w:val="212121"/>
        </w:rPr>
        <w:t>Se consideró un estudio de dos años en ratas con inhalación crónica de vanadio para el uso de la PDE por inhalación. En este estudio, se observaron efectos cancerígenos a la dosis más baja ensayada de 0.5 mg / </w:t>
      </w:r>
      <w:r>
        <w:rPr>
          <w:color w:val="212121"/>
          <w:spacing w:val="5"/>
        </w:rPr>
        <w:t>m</w:t>
      </w:r>
      <w:r>
        <w:rPr>
          <w:color w:val="212121"/>
          <w:spacing w:val="5"/>
          <w:position w:val="11"/>
          <w:sz w:val="16"/>
        </w:rPr>
        <w:t>3 </w:t>
      </w:r>
      <w:r>
        <w:rPr>
          <w:color w:val="212121"/>
        </w:rPr>
        <w:t>de pentóxido de vanadio. El pentóxido de vanadio es un agente cáustico y no se considera para estar presente en los productos farmacéuticos. Por lo tanto, la PDE inhalación  para  el  vanadio  se  calculó  dividiendo  la  PDE  por  vía  oral  en  un  factor    </w:t>
      </w:r>
      <w:r>
        <w:rPr>
          <w:color w:val="212121"/>
          <w:spacing w:val="1"/>
        </w:rPr>
        <w:t> </w:t>
      </w:r>
      <w:r>
        <w:rPr>
          <w:color w:val="212121"/>
        </w:rPr>
        <w:t>de</w:t>
      </w:r>
    </w:p>
    <w:p>
      <w:pPr>
        <w:pStyle w:val="BodyText"/>
        <w:spacing w:line="532" w:lineRule="auto" w:before="13"/>
        <w:ind w:left="102" w:right="6803"/>
      </w:pPr>
      <w:r>
        <w:rPr>
          <w:color w:val="212121"/>
        </w:rPr>
        <w:t>modificación de 100 PDE = 1,2 µg / día</w:t>
      </w:r>
    </w:p>
    <w:p>
      <w:pPr>
        <w:pStyle w:val="BodyText"/>
        <w:spacing w:before="6"/>
        <w:rPr>
          <w:sz w:val="19"/>
        </w:rPr>
      </w:pPr>
    </w:p>
    <w:p>
      <w:pPr>
        <w:pStyle w:val="Heading1"/>
      </w:pPr>
      <w:r>
        <w:rPr/>
        <w:t>Paladio</w:t>
      </w:r>
    </w:p>
    <w:p>
      <w:pPr>
        <w:pStyle w:val="BodyText"/>
        <w:spacing w:before="4"/>
        <w:rPr>
          <w:b/>
          <w:sz w:val="29"/>
        </w:rPr>
      </w:pPr>
    </w:p>
    <w:p>
      <w:pPr>
        <w:pStyle w:val="BodyText"/>
        <w:spacing w:line="352" w:lineRule="auto" w:before="1"/>
        <w:ind w:left="102" w:right="114"/>
        <w:jc w:val="both"/>
      </w:pPr>
      <w:r>
        <w:rPr>
          <w:color w:val="212121"/>
        </w:rPr>
        <w:t>Paladio (Pd) es un elemento metálico de acero dúctil. Existe en tres estados de oxidación: Pd (0) (metálico), Pd (2</w:t>
      </w:r>
      <w:r>
        <w:rPr>
          <w:color w:val="212121"/>
          <w:position w:val="11"/>
          <w:sz w:val="16"/>
        </w:rPr>
        <w:t>+</w:t>
      </w:r>
      <w:r>
        <w:rPr>
          <w:color w:val="212121"/>
        </w:rPr>
        <w:t>) y Pd (4</w:t>
      </w:r>
      <w:r>
        <w:rPr>
          <w:color w:val="212121"/>
          <w:position w:val="11"/>
          <w:sz w:val="16"/>
        </w:rPr>
        <w:t>+</w:t>
      </w:r>
      <w:r>
        <w:rPr>
          <w:color w:val="212121"/>
        </w:rPr>
        <w:t>). El Pd puede formar compuestos organometálicos, de los cuales solo a unos pocos se le han encontrado usos industriales. El paladio (en varios soportes) está siendo utilizado como catalizador en  reacciones de  hidrogenación. El paladio como metal es estable en  el    aire  y</w:t>
      </w:r>
    </w:p>
    <w:p>
      <w:pPr>
        <w:pStyle w:val="BodyText"/>
        <w:spacing w:line="360" w:lineRule="auto" w:before="13"/>
        <w:ind w:left="102" w:right="127"/>
        <w:jc w:val="both"/>
      </w:pPr>
      <w:r>
        <w:rPr>
          <w:color w:val="212121"/>
        </w:rPr>
        <w:t>resistente al ataque de la mayoría de los reactivos excepto el agua regia y ácido nítrico.</w:t>
      </w:r>
    </w:p>
    <w:p>
      <w:pPr>
        <w:pStyle w:val="BodyText"/>
        <w:spacing w:line="360" w:lineRule="auto" w:before="204"/>
        <w:ind w:left="102" w:right="117"/>
        <w:jc w:val="both"/>
      </w:pPr>
      <w:r>
        <w:rPr>
          <w:color w:val="212121"/>
        </w:rPr>
        <w:t>En un estudio de 90 días en ratas macho administradas con 10, 100 y 250 ng / mL de paladio en el agua potable, se encontró que el paladio tiende a acumularse en el riñón, pero no en el hígado, pulmón, bazo o en los huesos. La eliminación era principalmente a través de la vía fecal. Varios ensayos de mutagenicidad in vitro  de diferentes compuestos de paladio con células bacterianas o de mamíferos dieron resultados negativos. Los datos fueron revisados para identificar los límites de toxicidad en base a las vías de</w:t>
      </w:r>
      <w:r>
        <w:rPr>
          <w:color w:val="212121"/>
          <w:spacing w:val="-16"/>
        </w:rPr>
        <w:t> </w:t>
      </w:r>
      <w:r>
        <w:rPr>
          <w:color w:val="212121"/>
        </w:rPr>
        <w:t>administración.</w:t>
      </w:r>
    </w:p>
    <w:p>
      <w:pPr>
        <w:pStyle w:val="BodyText"/>
      </w:pPr>
    </w:p>
    <w:p>
      <w:pPr>
        <w:pStyle w:val="Heading1"/>
        <w:spacing w:before="142"/>
      </w:pPr>
      <w:r>
        <w:rPr>
          <w:color w:val="212121"/>
        </w:rPr>
        <w:t>PDE - Exposición oral</w:t>
      </w:r>
    </w:p>
    <w:p>
      <w:pPr>
        <w:pStyle w:val="BodyText"/>
        <w:spacing w:before="4"/>
        <w:rPr>
          <w:b/>
          <w:sz w:val="29"/>
        </w:rPr>
      </w:pPr>
    </w:p>
    <w:p>
      <w:pPr>
        <w:pStyle w:val="BodyText"/>
        <w:spacing w:line="360" w:lineRule="auto" w:before="1"/>
        <w:ind w:left="102" w:right="120"/>
        <w:jc w:val="both"/>
      </w:pPr>
      <w:r>
        <w:rPr>
          <w:color w:val="212121"/>
        </w:rPr>
        <w:t>Se han realizado varios estudios a largo plazo en animales para explorar la toxicidad y carcinogenicidad de sales de paladio. Sin embargo, hasta la fecha,</w:t>
      </w:r>
    </w:p>
    <w:p>
      <w:pPr>
        <w:spacing w:after="0" w:line="360" w:lineRule="auto"/>
        <w:jc w:val="both"/>
        <w:sectPr>
          <w:pgSz w:w="12240" w:h="15840"/>
          <w:pgMar w:header="0" w:footer="919" w:top="1360" w:bottom="1100" w:left="1600" w:right="1580"/>
        </w:sectPr>
      </w:pPr>
    </w:p>
    <w:p>
      <w:pPr>
        <w:pStyle w:val="BodyText"/>
        <w:spacing w:line="350" w:lineRule="auto" w:before="56"/>
        <w:ind w:left="102" w:right="118"/>
        <w:jc w:val="both"/>
      </w:pPr>
      <w:r>
        <w:rPr>
          <w:color w:val="212121"/>
        </w:rPr>
        <w:t>ninguno se ha ejecutado de acuerdo con las directrices actuales para los estudios toxicológicos. Los datos disponibles sugieren un NOAEL para el paladio en el rango de 0.8-1,5 mg / kg. Un estudio de toda la vida con los ratones que recibieron cloruro de Pd (2</w:t>
      </w:r>
      <w:r>
        <w:rPr>
          <w:color w:val="212121"/>
          <w:position w:val="11"/>
          <w:sz w:val="16"/>
        </w:rPr>
        <w:t>+</w:t>
      </w:r>
      <w:r>
        <w:rPr>
          <w:color w:val="212121"/>
        </w:rPr>
        <w:t>) en el agua de bebida a una dosis de aproximadamente 1.2  </w:t>
      </w:r>
      <w:r>
        <w:rPr>
          <w:color w:val="212121"/>
          <w:spacing w:val="65"/>
        </w:rPr>
        <w:t> </w:t>
      </w:r>
      <w:r>
        <w:rPr>
          <w:color w:val="212121"/>
        </w:rPr>
        <w:t>mg</w:t>
      </w:r>
    </w:p>
    <w:p>
      <w:pPr>
        <w:pStyle w:val="BodyText"/>
        <w:spacing w:line="360" w:lineRule="auto"/>
        <w:ind w:left="102" w:right="125"/>
        <w:jc w:val="both"/>
      </w:pPr>
      <w:r>
        <w:rPr>
          <w:color w:val="212121"/>
        </w:rPr>
        <w:t>Pd / kg / día encontró una incidencia significativamente mayor de la amiloidosis en varios órganos internos de los machos y las hembras y una supresión en el crecimiento de los hombres, pero no en las mujeres.</w:t>
      </w:r>
    </w:p>
    <w:p>
      <w:pPr>
        <w:pStyle w:val="BodyText"/>
        <w:spacing w:before="204"/>
        <w:ind w:left="102"/>
        <w:jc w:val="both"/>
      </w:pPr>
      <w:r>
        <w:rPr>
          <w:color w:val="212121"/>
        </w:rPr>
        <w:t>Por lo cual, la PDE se fijo en 100 µg / día</w:t>
      </w:r>
    </w:p>
    <w:p>
      <w:pPr>
        <w:pStyle w:val="BodyText"/>
        <w:spacing w:before="3"/>
        <w:rPr>
          <w:sz w:val="29"/>
        </w:rPr>
      </w:pPr>
    </w:p>
    <w:p>
      <w:pPr>
        <w:pStyle w:val="Heading1"/>
      </w:pPr>
      <w:r>
        <w:rPr>
          <w:color w:val="212121"/>
        </w:rPr>
        <w:t>PDE - La exposición parenteral</w:t>
      </w:r>
    </w:p>
    <w:p>
      <w:pPr>
        <w:pStyle w:val="BodyText"/>
        <w:spacing w:before="4"/>
        <w:rPr>
          <w:b/>
          <w:sz w:val="29"/>
        </w:rPr>
      </w:pPr>
    </w:p>
    <w:p>
      <w:pPr>
        <w:pStyle w:val="BodyText"/>
        <w:spacing w:line="350" w:lineRule="auto" w:before="1"/>
        <w:ind w:left="102" w:right="116"/>
        <w:jc w:val="both"/>
      </w:pPr>
      <w:r>
        <w:rPr>
          <w:color w:val="212121"/>
        </w:rPr>
        <w:t>La revisión de seguridad para el paladio no pudo identificar ninguna evaluación significativa sobre la cual calcular un PDE para las rutas parenterales de exposición. El cloruro de Pd</w:t>
      </w:r>
      <w:r>
        <w:rPr>
          <w:color w:val="212121"/>
          <w:position w:val="11"/>
          <w:sz w:val="16"/>
        </w:rPr>
        <w:t>2+ </w:t>
      </w:r>
      <w:r>
        <w:rPr>
          <w:color w:val="212121"/>
        </w:rPr>
        <w:t>(PdCl</w:t>
      </w:r>
      <w:r>
        <w:rPr>
          <w:color w:val="212121"/>
          <w:position w:val="-2"/>
          <w:sz w:val="16"/>
        </w:rPr>
        <w:t>2</w:t>
      </w:r>
      <w:r>
        <w:rPr>
          <w:color w:val="212121"/>
        </w:rPr>
        <w:t>) se absorbio pobremente en el tracto digestivo (&lt;0.5% de la dosis oral inicial en ratas adultas o alrededor de 5% en  ratas lactantes después de 3-4 días). La absorción / retención en ratas adultas</w:t>
      </w:r>
      <w:r>
        <w:rPr>
          <w:color w:val="212121"/>
          <w:spacing w:val="55"/>
        </w:rPr>
        <w:t> </w:t>
      </w:r>
      <w:r>
        <w:rPr>
          <w:color w:val="212121"/>
        </w:rPr>
        <w:t>fue</w:t>
      </w:r>
    </w:p>
    <w:p>
      <w:pPr>
        <w:pStyle w:val="BodyText"/>
        <w:spacing w:line="360" w:lineRule="auto" w:before="16"/>
        <w:ind w:left="102" w:right="125"/>
        <w:jc w:val="both"/>
      </w:pPr>
      <w:r>
        <w:rPr>
          <w:color w:val="212121"/>
        </w:rPr>
        <w:t>mayor después de la exposición intratraqueal o intravenosa, lo que resulta en la carga corporal total de 5% o 20%, respectivamente, de la dosis administrada, 40 días después de la dosis. Sobre la base de la biodisponibilidad oral limitada de paladio, la PDE parenteral era calcula dividiendo el PDE por vía oral en un factor de modificación de 10.</w:t>
      </w:r>
    </w:p>
    <w:p>
      <w:pPr>
        <w:pStyle w:val="BodyText"/>
        <w:spacing w:before="202"/>
        <w:ind w:left="102"/>
        <w:jc w:val="both"/>
      </w:pPr>
      <w:r>
        <w:rPr>
          <w:color w:val="212121"/>
        </w:rPr>
        <w:t>PDE = 10 µg / día</w:t>
      </w:r>
    </w:p>
    <w:p>
      <w:pPr>
        <w:pStyle w:val="BodyText"/>
      </w:pPr>
    </w:p>
    <w:p>
      <w:pPr>
        <w:pStyle w:val="BodyText"/>
      </w:pPr>
    </w:p>
    <w:p>
      <w:pPr>
        <w:pStyle w:val="Heading1"/>
      </w:pPr>
      <w:r>
        <w:rPr>
          <w:color w:val="212121"/>
        </w:rPr>
        <w:t>PDE - Exposición Inhalación</w:t>
      </w:r>
    </w:p>
    <w:p>
      <w:pPr>
        <w:pStyle w:val="BodyText"/>
        <w:spacing w:before="4"/>
        <w:rPr>
          <w:b/>
          <w:sz w:val="29"/>
        </w:rPr>
      </w:pPr>
    </w:p>
    <w:p>
      <w:pPr>
        <w:pStyle w:val="BodyText"/>
        <w:spacing w:line="360" w:lineRule="auto" w:before="1"/>
        <w:ind w:left="102" w:right="120"/>
        <w:jc w:val="both"/>
      </w:pPr>
      <w:r>
        <w:rPr>
          <w:color w:val="212121"/>
        </w:rPr>
        <w:t>No existen datos suficientes sobre la inhalación de Pd. Por lo tanto, la PDE inhalación se calcula dividiendo el PDE oral mediante un factor de modificación de 100.</w:t>
      </w:r>
    </w:p>
    <w:p>
      <w:pPr>
        <w:pStyle w:val="BodyText"/>
        <w:spacing w:before="204"/>
        <w:ind w:left="102"/>
        <w:jc w:val="both"/>
      </w:pPr>
      <w:r>
        <w:rPr>
          <w:color w:val="212121"/>
        </w:rPr>
        <w:t>PDE = 1,0 µg / día</w:t>
      </w:r>
    </w:p>
    <w:p>
      <w:pPr>
        <w:spacing w:after="0"/>
        <w:jc w:val="both"/>
        <w:sectPr>
          <w:pgSz w:w="12240" w:h="15840"/>
          <w:pgMar w:header="0" w:footer="919" w:top="1360" w:bottom="1100" w:left="1600" w:right="1580"/>
        </w:sectPr>
      </w:pPr>
    </w:p>
    <w:p>
      <w:pPr>
        <w:spacing w:before="60"/>
        <w:ind w:left="102" w:right="0" w:firstLine="0"/>
        <w:jc w:val="both"/>
        <w:rPr>
          <w:sz w:val="16"/>
        </w:rPr>
      </w:pPr>
      <w:bookmarkStart w:name="_bookmark32" w:id="56"/>
      <w:bookmarkEnd w:id="56"/>
      <w:r>
        <w:rPr/>
      </w:r>
      <w:r>
        <w:rPr>
          <w:b/>
          <w:sz w:val="24"/>
        </w:rPr>
        <w:t>ANEXO F.- TÉCNICA ANALÍTICA ICP-MS </w:t>
      </w:r>
      <w:r>
        <w:rPr>
          <w:position w:val="11"/>
          <w:sz w:val="16"/>
        </w:rPr>
        <w:t>20, 21, 22, 23</w:t>
      </w:r>
    </w:p>
    <w:p>
      <w:pPr>
        <w:pStyle w:val="BodyText"/>
        <w:rPr>
          <w:sz w:val="33"/>
        </w:rPr>
      </w:pPr>
    </w:p>
    <w:p>
      <w:pPr>
        <w:pStyle w:val="BodyText"/>
        <w:spacing w:line="360" w:lineRule="auto"/>
        <w:ind w:left="102" w:right="122"/>
        <w:jc w:val="both"/>
      </w:pPr>
      <w:r>
        <w:rPr>
          <w:color w:val="212121"/>
        </w:rPr>
        <w:t>La técnica analítica de ICP-MS es usada para determinaciones de trazas de metales. Fue introducida comercialmente en 1983 y ha ido ganando aceptación general en muchos tipos de laboratorios.</w:t>
      </w:r>
    </w:p>
    <w:p>
      <w:pPr>
        <w:pStyle w:val="BodyText"/>
        <w:spacing w:before="204"/>
        <w:ind w:left="102"/>
        <w:jc w:val="both"/>
      </w:pPr>
      <w:r>
        <w:rPr>
          <w:color w:val="212121"/>
        </w:rPr>
        <w:t>Entre las principales ventajas del ICP-MS se encuentran:</w:t>
      </w:r>
    </w:p>
    <w:p>
      <w:pPr>
        <w:pStyle w:val="BodyText"/>
        <w:spacing w:before="2"/>
        <w:rPr>
          <w:sz w:val="29"/>
        </w:rPr>
      </w:pPr>
    </w:p>
    <w:p>
      <w:pPr>
        <w:pStyle w:val="ListParagraph"/>
        <w:numPr>
          <w:ilvl w:val="1"/>
          <w:numId w:val="13"/>
        </w:numPr>
        <w:tabs>
          <w:tab w:pos="822" w:val="left" w:leader="none"/>
        </w:tabs>
        <w:spacing w:line="240" w:lineRule="auto" w:before="0" w:after="0"/>
        <w:ind w:left="822" w:right="0" w:hanging="360"/>
        <w:jc w:val="left"/>
        <w:rPr>
          <w:sz w:val="24"/>
        </w:rPr>
      </w:pPr>
      <w:r>
        <w:rPr>
          <w:color w:val="212121"/>
          <w:sz w:val="24"/>
        </w:rPr>
        <w:t>Los límites de detección pueden ser menores a una ppt (partes por</w:t>
      </w:r>
      <w:r>
        <w:rPr>
          <w:color w:val="212121"/>
          <w:spacing w:val="-33"/>
          <w:sz w:val="24"/>
        </w:rPr>
        <w:t> </w:t>
      </w:r>
      <w:r>
        <w:rPr>
          <w:color w:val="212121"/>
          <w:sz w:val="24"/>
        </w:rPr>
        <w:t>trillón)</w:t>
      </w:r>
    </w:p>
    <w:p>
      <w:pPr>
        <w:pStyle w:val="ListParagraph"/>
        <w:numPr>
          <w:ilvl w:val="1"/>
          <w:numId w:val="13"/>
        </w:numPr>
        <w:tabs>
          <w:tab w:pos="822" w:val="left" w:leader="none"/>
        </w:tabs>
        <w:spacing w:line="240" w:lineRule="auto" w:before="139" w:after="0"/>
        <w:ind w:left="822" w:right="0" w:hanging="360"/>
        <w:jc w:val="left"/>
        <w:rPr>
          <w:sz w:val="24"/>
        </w:rPr>
      </w:pPr>
      <w:r>
        <w:rPr>
          <w:color w:val="212121"/>
          <w:sz w:val="24"/>
        </w:rPr>
        <w:t>El rango analítico es de 9 órdenes de</w:t>
      </w:r>
      <w:r>
        <w:rPr>
          <w:color w:val="212121"/>
          <w:spacing w:val="-15"/>
          <w:sz w:val="24"/>
        </w:rPr>
        <w:t> </w:t>
      </w:r>
      <w:r>
        <w:rPr>
          <w:color w:val="212121"/>
          <w:sz w:val="24"/>
        </w:rPr>
        <w:t>magnitud</w:t>
      </w:r>
    </w:p>
    <w:p>
      <w:pPr>
        <w:pStyle w:val="ListParagraph"/>
        <w:numPr>
          <w:ilvl w:val="1"/>
          <w:numId w:val="13"/>
        </w:numPr>
        <w:tabs>
          <w:tab w:pos="822" w:val="left" w:leader="none"/>
        </w:tabs>
        <w:spacing w:line="240" w:lineRule="auto" w:before="137" w:after="0"/>
        <w:ind w:left="822" w:right="0" w:hanging="360"/>
        <w:jc w:val="left"/>
        <w:rPr>
          <w:sz w:val="24"/>
        </w:rPr>
      </w:pPr>
      <w:r>
        <w:rPr>
          <w:color w:val="212121"/>
          <w:sz w:val="24"/>
        </w:rPr>
        <w:t>La productividad no se supera por ninguna otra</w:t>
      </w:r>
      <w:r>
        <w:rPr>
          <w:color w:val="212121"/>
          <w:spacing w:val="-20"/>
          <w:sz w:val="24"/>
        </w:rPr>
        <w:t> </w:t>
      </w:r>
      <w:r>
        <w:rPr>
          <w:color w:val="212121"/>
          <w:sz w:val="24"/>
        </w:rPr>
        <w:t>técnica</w:t>
      </w:r>
    </w:p>
    <w:p>
      <w:pPr>
        <w:pStyle w:val="ListParagraph"/>
        <w:numPr>
          <w:ilvl w:val="1"/>
          <w:numId w:val="13"/>
        </w:numPr>
        <w:tabs>
          <w:tab w:pos="822" w:val="left" w:leader="none"/>
        </w:tabs>
        <w:spacing w:line="240" w:lineRule="auto" w:before="139" w:after="0"/>
        <w:ind w:left="822" w:right="0" w:hanging="360"/>
        <w:jc w:val="left"/>
        <w:rPr>
          <w:sz w:val="24"/>
        </w:rPr>
      </w:pPr>
      <w:r>
        <w:rPr>
          <w:color w:val="212121"/>
          <w:sz w:val="24"/>
        </w:rPr>
        <w:t>Se puede realizar el análisis isotópico</w:t>
      </w:r>
      <w:r>
        <w:rPr>
          <w:color w:val="212121"/>
          <w:spacing w:val="-15"/>
          <w:sz w:val="24"/>
        </w:rPr>
        <w:t> </w:t>
      </w:r>
      <w:r>
        <w:rPr>
          <w:color w:val="212121"/>
          <w:sz w:val="24"/>
        </w:rPr>
        <w:t>rápidamente</w:t>
      </w:r>
    </w:p>
    <w:p>
      <w:pPr>
        <w:pStyle w:val="BodyText"/>
        <w:spacing w:before="4"/>
        <w:rPr>
          <w:sz w:val="29"/>
        </w:rPr>
      </w:pPr>
    </w:p>
    <w:p>
      <w:pPr>
        <w:pStyle w:val="Heading1"/>
        <w:spacing w:before="1"/>
      </w:pPr>
      <w:r>
        <w:rPr>
          <w:color w:val="212121"/>
        </w:rPr>
        <w:t>¿Qué se puede medir con el ICP-MS?</w:t>
      </w:r>
    </w:p>
    <w:p>
      <w:pPr>
        <w:pStyle w:val="BodyText"/>
        <w:spacing w:before="2"/>
        <w:rPr>
          <w:b/>
          <w:sz w:val="29"/>
        </w:rPr>
      </w:pPr>
    </w:p>
    <w:p>
      <w:pPr>
        <w:pStyle w:val="BodyText"/>
        <w:ind w:left="102"/>
        <w:jc w:val="both"/>
      </w:pPr>
      <w:r>
        <w:rPr>
          <w:color w:val="212121"/>
        </w:rPr>
        <w:t>Se pueden medir la mayoría de los elementos de la tabla periódica.     En la Figura</w:t>
      </w:r>
    </w:p>
    <w:p>
      <w:pPr>
        <w:pStyle w:val="ListParagraph"/>
        <w:numPr>
          <w:ilvl w:val="1"/>
          <w:numId w:val="15"/>
        </w:numPr>
        <w:tabs>
          <w:tab w:pos="544" w:val="left" w:leader="none"/>
        </w:tabs>
        <w:spacing w:line="360" w:lineRule="auto" w:before="139" w:after="0"/>
        <w:ind w:left="102" w:right="118" w:firstLine="0"/>
        <w:jc w:val="both"/>
        <w:rPr>
          <w:sz w:val="24"/>
        </w:rPr>
      </w:pPr>
      <w:r>
        <w:rPr>
          <w:color w:val="212121"/>
          <w:sz w:val="24"/>
        </w:rPr>
        <w:t>se muestran en color los elementos que pueden ser analizados a niveles de hasta ppt, los elementos que se encuentran en color blanco no se pueden medir o no cuentan con isotopos</w:t>
      </w:r>
      <w:r>
        <w:rPr>
          <w:color w:val="212121"/>
          <w:spacing w:val="-9"/>
          <w:sz w:val="24"/>
        </w:rPr>
        <w:t> </w:t>
      </w:r>
      <w:r>
        <w:rPr>
          <w:color w:val="212121"/>
          <w:sz w:val="24"/>
        </w:rPr>
        <w:t>naturales.</w:t>
      </w:r>
    </w:p>
    <w:p>
      <w:pPr>
        <w:pStyle w:val="BodyText"/>
        <w:spacing w:line="360" w:lineRule="auto" w:before="204"/>
        <w:ind w:left="102" w:right="129"/>
        <w:jc w:val="both"/>
      </w:pPr>
      <w:r>
        <w:rPr>
          <w:color w:val="212121"/>
        </w:rPr>
        <w:t>La mayoría de los análisis son cuantitativos, sin embargo, se puede utilizar la técnica como semi-cuantitativa.</w:t>
      </w:r>
    </w:p>
    <w:p>
      <w:pPr>
        <w:pStyle w:val="Heading1"/>
        <w:spacing w:before="204"/>
      </w:pPr>
      <w:r>
        <w:rPr>
          <w:color w:val="212121"/>
        </w:rPr>
        <w:t>Funcionamiento:</w:t>
      </w:r>
    </w:p>
    <w:p>
      <w:pPr>
        <w:pStyle w:val="BodyText"/>
        <w:spacing w:before="4"/>
        <w:rPr>
          <w:b/>
          <w:sz w:val="29"/>
        </w:rPr>
      </w:pPr>
    </w:p>
    <w:p>
      <w:pPr>
        <w:pStyle w:val="BodyText"/>
        <w:spacing w:line="360" w:lineRule="auto" w:before="1"/>
        <w:ind w:left="102" w:right="115"/>
        <w:jc w:val="both"/>
      </w:pPr>
      <w:r>
        <w:rPr>
          <w:color w:val="212121"/>
        </w:rPr>
        <w:t>El ICP-MS es un método que usa la inducción del plasma (ICP) como una fuente de ionización. Las muestras son introducidas dentro del plasma de argón en gotitas de aerosol, el plasma seca el aerosol y disocia las moléculas y finalmente remueve los electrones de los componentes, de este modo forma iones cargados, que son dirigidos hacia un dispositivo de filtración conocido como espectrómetro de masas, en donde son separados de acuerdo a la relación masa/carga</w:t>
      </w:r>
      <w:r>
        <w:rPr>
          <w:color w:val="212121"/>
          <w:spacing w:val="-37"/>
        </w:rPr>
        <w:t> </w:t>
      </w:r>
      <w:r>
        <w:rPr>
          <w:color w:val="212121"/>
        </w:rPr>
        <w:t>(m/z)</w:t>
      </w:r>
    </w:p>
    <w:p>
      <w:pPr>
        <w:pStyle w:val="BodyText"/>
        <w:spacing w:line="360" w:lineRule="auto" w:before="204"/>
        <w:ind w:left="102" w:right="117"/>
        <w:jc w:val="both"/>
      </w:pPr>
      <w:r>
        <w:rPr>
          <w:color w:val="212121"/>
        </w:rPr>
        <w:t>La mayoría de los sistemas comerciales de ICP-MS cuentan con un cuadrupolo que rápidamente escanea en el rango de masa configurado.</w:t>
      </w:r>
    </w:p>
    <w:p>
      <w:pPr>
        <w:spacing w:after="0" w:line="360" w:lineRule="auto"/>
        <w:jc w:val="both"/>
        <w:sectPr>
          <w:pgSz w:w="12240" w:h="15840"/>
          <w:pgMar w:header="0" w:footer="919" w:top="1360" w:bottom="1100" w:left="1600" w:right="1580"/>
        </w:sectPr>
      </w:pPr>
    </w:p>
    <w:p>
      <w:pPr>
        <w:pStyle w:val="BodyText"/>
        <w:ind w:left="131"/>
        <w:rPr>
          <w:sz w:val="20"/>
        </w:rPr>
      </w:pPr>
      <w:r>
        <w:rPr>
          <w:sz w:val="20"/>
        </w:rPr>
        <w:drawing>
          <wp:inline distT="0" distB="0" distL="0" distR="0">
            <wp:extent cx="5432514" cy="3268408"/>
            <wp:effectExtent l="0" t="0" r="0" b="0"/>
            <wp:docPr id="21" name="image45.png" descr=""/>
            <wp:cNvGraphicFramePr>
              <a:graphicFrameLocks noChangeAspect="1"/>
            </wp:cNvGraphicFramePr>
            <a:graphic>
              <a:graphicData uri="http://schemas.openxmlformats.org/drawingml/2006/picture">
                <pic:pic>
                  <pic:nvPicPr>
                    <pic:cNvPr id="22" name="image45.png"/>
                    <pic:cNvPicPr/>
                  </pic:nvPicPr>
                  <pic:blipFill>
                    <a:blip r:embed="rId89" cstate="print"/>
                    <a:stretch>
                      <a:fillRect/>
                    </a:stretch>
                  </pic:blipFill>
                  <pic:spPr>
                    <a:xfrm>
                      <a:off x="0" y="0"/>
                      <a:ext cx="5432514" cy="3268408"/>
                    </a:xfrm>
                    <a:prstGeom prst="rect">
                      <a:avLst/>
                    </a:prstGeom>
                  </pic:spPr>
                </pic:pic>
              </a:graphicData>
            </a:graphic>
          </wp:inline>
        </w:drawing>
      </w:r>
      <w:r>
        <w:rPr>
          <w:sz w:val="20"/>
        </w:rPr>
      </w:r>
    </w:p>
    <w:p>
      <w:pPr>
        <w:pStyle w:val="BodyText"/>
        <w:spacing w:before="100"/>
        <w:ind w:left="102"/>
        <w:jc w:val="both"/>
      </w:pPr>
      <w:r>
        <w:rPr/>
        <w:t>Figura F.1 Elementos analizados mediante la técnica de ICP-MS (en color)</w:t>
      </w:r>
    </w:p>
    <w:p>
      <w:pPr>
        <w:spacing w:before="42"/>
        <w:ind w:left="102" w:right="0" w:firstLine="0"/>
        <w:jc w:val="both"/>
        <w:rPr>
          <w:sz w:val="18"/>
        </w:rPr>
      </w:pPr>
      <w:r>
        <w:rPr>
          <w:sz w:val="18"/>
        </w:rPr>
        <w:t>Fuente: Notas técnicas de espectrometría ICP-MS PerkinElmer</w:t>
      </w:r>
    </w:p>
    <w:p>
      <w:pPr>
        <w:pStyle w:val="BodyText"/>
        <w:rPr>
          <w:sz w:val="18"/>
        </w:rPr>
      </w:pPr>
    </w:p>
    <w:p>
      <w:pPr>
        <w:pStyle w:val="BodyText"/>
        <w:spacing w:before="7"/>
        <w:rPr>
          <w:sz w:val="20"/>
        </w:rPr>
      </w:pPr>
    </w:p>
    <w:p>
      <w:pPr>
        <w:pStyle w:val="BodyText"/>
        <w:spacing w:line="360" w:lineRule="auto"/>
        <w:ind w:left="102" w:right="127"/>
        <w:jc w:val="both"/>
      </w:pPr>
      <w:r>
        <w:rPr>
          <w:color w:val="212121"/>
        </w:rPr>
        <w:t>Los iones son transportados desde el plasma a través de 2 conos (sampling cone y skimmer cone) formando la región de la interfase hacia la óptica de los</w:t>
      </w:r>
      <w:r>
        <w:rPr>
          <w:color w:val="212121"/>
          <w:spacing w:val="-23"/>
        </w:rPr>
        <w:t> </w:t>
      </w:r>
      <w:r>
        <w:rPr>
          <w:color w:val="212121"/>
        </w:rPr>
        <w:t>iones.</w:t>
      </w:r>
    </w:p>
    <w:p>
      <w:pPr>
        <w:pStyle w:val="BodyText"/>
        <w:spacing w:before="4"/>
        <w:rPr>
          <w:sz w:val="21"/>
        </w:rPr>
      </w:pPr>
    </w:p>
    <w:p>
      <w:pPr>
        <w:pStyle w:val="BodyText"/>
        <w:spacing w:line="360" w:lineRule="auto"/>
        <w:ind w:left="102" w:right="117"/>
        <w:jc w:val="both"/>
      </w:pPr>
      <w:r>
        <w:rPr>
          <w:color w:val="212121"/>
        </w:rPr>
        <w:t>La óptica de los iones consiste en unos lentes electrostáticos que toman iones de un área a presión atmosférica hacia un filtro de masa que mantiene el vacio a 10 Pa (pascal) o menos utilizando una bomba turbomolecular. Después de la  filtración, los iones seleccionados por si relación masa/carga son dirigidos hacia el detector, (un canal electromultiplicador) donde los iones son convertidos en señales eléctricas. Los elementos son cuantificados de acuerdo a al número de iones que llegan y generan pulsos por unidad de</w:t>
      </w:r>
      <w:r>
        <w:rPr>
          <w:color w:val="212121"/>
          <w:spacing w:val="-18"/>
        </w:rPr>
        <w:t> </w:t>
      </w:r>
      <w:r>
        <w:rPr>
          <w:color w:val="212121"/>
        </w:rPr>
        <w:t>tiempo.</w:t>
      </w:r>
    </w:p>
    <w:p>
      <w:pPr>
        <w:pStyle w:val="BodyText"/>
        <w:spacing w:before="205"/>
        <w:ind w:left="102"/>
        <w:jc w:val="both"/>
      </w:pPr>
      <w:r>
        <w:rPr>
          <w:color w:val="212121"/>
        </w:rPr>
        <w:t>El instrumento consiste en los siguientes elementos:</w:t>
      </w:r>
    </w:p>
    <w:p>
      <w:pPr>
        <w:pStyle w:val="BodyText"/>
        <w:spacing w:before="4"/>
        <w:rPr>
          <w:sz w:val="29"/>
        </w:rPr>
      </w:pPr>
    </w:p>
    <w:p>
      <w:pPr>
        <w:pStyle w:val="ListParagraph"/>
        <w:numPr>
          <w:ilvl w:val="2"/>
          <w:numId w:val="15"/>
        </w:numPr>
        <w:tabs>
          <w:tab w:pos="822" w:val="left" w:leader="none"/>
        </w:tabs>
        <w:spacing w:line="276" w:lineRule="auto" w:before="1" w:after="0"/>
        <w:ind w:left="822" w:right="125" w:hanging="360"/>
        <w:jc w:val="left"/>
        <w:rPr>
          <w:sz w:val="24"/>
        </w:rPr>
      </w:pPr>
      <w:r>
        <w:rPr>
          <w:color w:val="212121"/>
          <w:sz w:val="24"/>
        </w:rPr>
        <w:t>Sistema de introducción de muestra, consiste en una bomba peristáltica  que libera la solución a un flujo constante dentro del</w:t>
      </w:r>
      <w:r>
        <w:rPr>
          <w:color w:val="212121"/>
          <w:spacing w:val="-25"/>
          <w:sz w:val="24"/>
        </w:rPr>
        <w:t> </w:t>
      </w:r>
      <w:r>
        <w:rPr>
          <w:color w:val="212121"/>
          <w:sz w:val="24"/>
        </w:rPr>
        <w:t>nebulizador</w:t>
      </w:r>
    </w:p>
    <w:p>
      <w:pPr>
        <w:pStyle w:val="ListParagraph"/>
        <w:numPr>
          <w:ilvl w:val="2"/>
          <w:numId w:val="15"/>
        </w:numPr>
        <w:tabs>
          <w:tab w:pos="822" w:val="left" w:leader="none"/>
        </w:tabs>
        <w:spacing w:line="240" w:lineRule="auto" w:before="0" w:after="0"/>
        <w:ind w:left="822" w:right="0" w:hanging="360"/>
        <w:jc w:val="left"/>
        <w:rPr>
          <w:sz w:val="24"/>
        </w:rPr>
      </w:pPr>
      <w:r>
        <w:rPr>
          <w:color w:val="212121"/>
          <w:sz w:val="24"/>
        </w:rPr>
        <w:t>Generador de radio frecuencia</w:t>
      </w:r>
      <w:r>
        <w:rPr>
          <w:color w:val="212121"/>
          <w:spacing w:val="-12"/>
          <w:sz w:val="24"/>
        </w:rPr>
        <w:t> </w:t>
      </w:r>
      <w:r>
        <w:rPr>
          <w:color w:val="212121"/>
          <w:sz w:val="24"/>
        </w:rPr>
        <w:t>(RF)</w:t>
      </w:r>
    </w:p>
    <w:p>
      <w:pPr>
        <w:pStyle w:val="ListParagraph"/>
        <w:numPr>
          <w:ilvl w:val="2"/>
          <w:numId w:val="15"/>
        </w:numPr>
        <w:tabs>
          <w:tab w:pos="822" w:val="left" w:leader="none"/>
        </w:tabs>
        <w:spacing w:line="240" w:lineRule="auto" w:before="41" w:after="0"/>
        <w:ind w:left="822" w:right="0" w:hanging="360"/>
        <w:jc w:val="left"/>
        <w:rPr>
          <w:sz w:val="24"/>
        </w:rPr>
      </w:pPr>
      <w:r>
        <w:rPr>
          <w:color w:val="212121"/>
          <w:sz w:val="24"/>
        </w:rPr>
        <w:t>Antorcha de</w:t>
      </w:r>
      <w:r>
        <w:rPr>
          <w:color w:val="212121"/>
          <w:spacing w:val="-6"/>
          <w:sz w:val="24"/>
        </w:rPr>
        <w:t> </w:t>
      </w:r>
      <w:r>
        <w:rPr>
          <w:color w:val="212121"/>
          <w:sz w:val="24"/>
        </w:rPr>
        <w:t>plasma</w:t>
      </w:r>
    </w:p>
    <w:p>
      <w:pPr>
        <w:pStyle w:val="ListParagraph"/>
        <w:numPr>
          <w:ilvl w:val="2"/>
          <w:numId w:val="15"/>
        </w:numPr>
        <w:tabs>
          <w:tab w:pos="822" w:val="left" w:leader="none"/>
        </w:tabs>
        <w:spacing w:line="278" w:lineRule="auto" w:before="40" w:after="0"/>
        <w:ind w:left="822" w:right="125" w:hanging="360"/>
        <w:jc w:val="left"/>
        <w:rPr>
          <w:sz w:val="24"/>
        </w:rPr>
      </w:pPr>
      <w:r>
        <w:rPr>
          <w:color w:val="212121"/>
          <w:sz w:val="24"/>
        </w:rPr>
        <w:t>Región de interface, incluyendo los conos para atransportar los iones hacia la óptica de los</w:t>
      </w:r>
      <w:r>
        <w:rPr>
          <w:color w:val="212121"/>
          <w:spacing w:val="-7"/>
          <w:sz w:val="24"/>
        </w:rPr>
        <w:t> </w:t>
      </w:r>
      <w:r>
        <w:rPr>
          <w:color w:val="212121"/>
          <w:sz w:val="24"/>
        </w:rPr>
        <w:t>iones</w:t>
      </w:r>
    </w:p>
    <w:p>
      <w:pPr>
        <w:spacing w:after="0" w:line="278" w:lineRule="auto"/>
        <w:jc w:val="left"/>
        <w:rPr>
          <w:sz w:val="24"/>
        </w:rPr>
        <w:sectPr>
          <w:pgSz w:w="12240" w:h="15840"/>
          <w:pgMar w:header="0" w:footer="919" w:top="1420" w:bottom="1100" w:left="1600" w:right="1580"/>
        </w:sectPr>
      </w:pPr>
    </w:p>
    <w:p>
      <w:pPr>
        <w:pStyle w:val="ListParagraph"/>
        <w:numPr>
          <w:ilvl w:val="2"/>
          <w:numId w:val="15"/>
        </w:numPr>
        <w:tabs>
          <w:tab w:pos="822" w:val="left" w:leader="none"/>
        </w:tabs>
        <w:spacing w:line="240" w:lineRule="auto" w:before="56" w:after="0"/>
        <w:ind w:left="822" w:right="0" w:hanging="360"/>
        <w:jc w:val="left"/>
        <w:rPr>
          <w:sz w:val="24"/>
        </w:rPr>
      </w:pPr>
      <w:r>
        <w:rPr>
          <w:color w:val="212121"/>
          <w:sz w:val="24"/>
        </w:rPr>
        <w:t>Espectrómetro de</w:t>
      </w:r>
      <w:r>
        <w:rPr>
          <w:color w:val="212121"/>
          <w:spacing w:val="-9"/>
          <w:sz w:val="24"/>
        </w:rPr>
        <w:t> </w:t>
      </w:r>
      <w:r>
        <w:rPr>
          <w:color w:val="212121"/>
          <w:sz w:val="24"/>
        </w:rPr>
        <w:t>masas</w:t>
      </w:r>
    </w:p>
    <w:p>
      <w:pPr>
        <w:pStyle w:val="ListParagraph"/>
        <w:numPr>
          <w:ilvl w:val="2"/>
          <w:numId w:val="15"/>
        </w:numPr>
        <w:tabs>
          <w:tab w:pos="822" w:val="left" w:leader="none"/>
        </w:tabs>
        <w:spacing w:line="240" w:lineRule="auto" w:before="41" w:after="0"/>
        <w:ind w:left="822" w:right="0" w:hanging="360"/>
        <w:jc w:val="left"/>
        <w:rPr>
          <w:sz w:val="24"/>
        </w:rPr>
      </w:pPr>
      <w:r>
        <w:rPr>
          <w:color w:val="212121"/>
          <w:sz w:val="24"/>
        </w:rPr>
        <w:t>Detector</w:t>
      </w:r>
    </w:p>
    <w:p>
      <w:pPr>
        <w:pStyle w:val="ListParagraph"/>
        <w:numPr>
          <w:ilvl w:val="2"/>
          <w:numId w:val="15"/>
        </w:numPr>
        <w:tabs>
          <w:tab w:pos="822" w:val="left" w:leader="none"/>
        </w:tabs>
        <w:spacing w:line="240" w:lineRule="auto" w:before="41" w:after="0"/>
        <w:ind w:left="822" w:right="0" w:hanging="360"/>
        <w:jc w:val="left"/>
        <w:rPr>
          <w:sz w:val="24"/>
        </w:rPr>
      </w:pPr>
      <w:r>
        <w:rPr>
          <w:color w:val="212121"/>
          <w:sz w:val="24"/>
        </w:rPr>
        <w:t>Unidad de adquisición de</w:t>
      </w:r>
      <w:r>
        <w:rPr>
          <w:color w:val="212121"/>
          <w:spacing w:val="-9"/>
          <w:sz w:val="24"/>
        </w:rPr>
        <w:t> </w:t>
      </w:r>
      <w:r>
        <w:rPr>
          <w:color w:val="212121"/>
          <w:sz w:val="24"/>
        </w:rPr>
        <w:t>datos</w:t>
      </w:r>
    </w:p>
    <w:p>
      <w:pPr>
        <w:pStyle w:val="BodyText"/>
        <w:rPr>
          <w:sz w:val="21"/>
        </w:rPr>
      </w:pPr>
    </w:p>
    <w:p>
      <w:pPr>
        <w:pStyle w:val="Heading1"/>
        <w:spacing w:before="1"/>
      </w:pPr>
      <w:r>
        <w:rPr>
          <w:color w:val="212121"/>
        </w:rPr>
        <w:t>Interferencias</w:t>
      </w:r>
    </w:p>
    <w:p>
      <w:pPr>
        <w:pStyle w:val="BodyText"/>
        <w:spacing w:before="4"/>
        <w:rPr>
          <w:b/>
          <w:sz w:val="29"/>
        </w:rPr>
      </w:pPr>
    </w:p>
    <w:p>
      <w:pPr>
        <w:pStyle w:val="BodyText"/>
        <w:spacing w:line="355" w:lineRule="auto" w:before="1"/>
        <w:ind w:left="102" w:right="115"/>
        <w:jc w:val="both"/>
      </w:pPr>
      <w:r>
        <w:rPr>
          <w:color w:val="212121"/>
        </w:rPr>
        <w:t>La interferencia en las masas es el mayor problema, por ejemplo, las especies isobáricas se traslapan con las señales de los iones de interés, especialmente en la parte central del rango de masas de 40 a 80 uma (unidades de masa atómica), La combinación de iones atómicos forman estructuras poliatómicas (ejemplo de estos son: </w:t>
      </w:r>
      <w:r>
        <w:rPr>
          <w:color w:val="212121"/>
          <w:position w:val="11"/>
          <w:sz w:val="16"/>
        </w:rPr>
        <w:t>40 </w:t>
      </w:r>
      <w:r>
        <w:rPr>
          <w:color w:val="212121"/>
        </w:rPr>
        <w:t>Ar</w:t>
      </w:r>
      <w:r>
        <w:rPr>
          <w:color w:val="212121"/>
          <w:position w:val="11"/>
          <w:sz w:val="16"/>
        </w:rPr>
        <w:t>16</w:t>
      </w:r>
      <w:r>
        <w:rPr>
          <w:color w:val="212121"/>
        </w:rPr>
        <w:t>O para </w:t>
      </w:r>
      <w:r>
        <w:rPr>
          <w:color w:val="212121"/>
          <w:position w:val="11"/>
          <w:sz w:val="16"/>
        </w:rPr>
        <w:t>56</w:t>
      </w:r>
      <w:r>
        <w:rPr>
          <w:color w:val="212121"/>
        </w:rPr>
        <w:t>Fe ó </w:t>
      </w:r>
      <w:r>
        <w:rPr>
          <w:color w:val="212121"/>
          <w:position w:val="11"/>
          <w:sz w:val="16"/>
        </w:rPr>
        <w:t>40</w:t>
      </w:r>
      <w:r>
        <w:rPr>
          <w:color w:val="212121"/>
        </w:rPr>
        <w:t>Ar</w:t>
      </w:r>
      <w:r>
        <w:rPr>
          <w:color w:val="212121"/>
          <w:position w:val="11"/>
          <w:sz w:val="16"/>
        </w:rPr>
        <w:t>40</w:t>
      </w:r>
      <w:r>
        <w:rPr>
          <w:color w:val="212121"/>
        </w:rPr>
        <w:t>Ar con </w:t>
      </w:r>
      <w:r>
        <w:rPr>
          <w:color w:val="212121"/>
          <w:position w:val="11"/>
          <w:sz w:val="16"/>
        </w:rPr>
        <w:t>80</w:t>
      </w:r>
      <w:r>
        <w:rPr>
          <w:color w:val="212121"/>
        </w:rPr>
        <w:t>Se) Esta matriz de interferencia puede ocurrir también con algunos analitos. Algunos muestran tienen impacto en la</w:t>
      </w:r>
      <w:r>
        <w:rPr>
          <w:color w:val="212121"/>
          <w:spacing w:val="45"/>
        </w:rPr>
        <w:t> </w:t>
      </w:r>
      <w:r>
        <w:rPr>
          <w:color w:val="212121"/>
        </w:rPr>
        <w:t>formación</w:t>
      </w:r>
      <w:r>
        <w:rPr>
          <w:color w:val="212121"/>
          <w:spacing w:val="45"/>
        </w:rPr>
        <w:t> </w:t>
      </w:r>
      <w:r>
        <w:rPr>
          <w:color w:val="212121"/>
        </w:rPr>
        <w:t>de</w:t>
      </w:r>
      <w:r>
        <w:rPr>
          <w:color w:val="212121"/>
          <w:spacing w:val="45"/>
        </w:rPr>
        <w:t> </w:t>
      </w:r>
      <w:r>
        <w:rPr>
          <w:color w:val="212121"/>
        </w:rPr>
        <w:t>las</w:t>
      </w:r>
      <w:r>
        <w:rPr>
          <w:color w:val="212121"/>
          <w:spacing w:val="45"/>
        </w:rPr>
        <w:t> </w:t>
      </w:r>
      <w:r>
        <w:rPr>
          <w:color w:val="212121"/>
        </w:rPr>
        <w:t>gotitas</w:t>
      </w:r>
      <w:r>
        <w:rPr>
          <w:color w:val="212121"/>
          <w:spacing w:val="45"/>
        </w:rPr>
        <w:t> </w:t>
      </w:r>
      <w:r>
        <w:rPr>
          <w:color w:val="212121"/>
        </w:rPr>
        <w:t>de</w:t>
      </w:r>
      <w:r>
        <w:rPr>
          <w:color w:val="212121"/>
          <w:spacing w:val="45"/>
        </w:rPr>
        <w:t> </w:t>
      </w:r>
      <w:r>
        <w:rPr>
          <w:color w:val="212121"/>
        </w:rPr>
        <w:t>aerosol</w:t>
      </w:r>
      <w:r>
        <w:rPr>
          <w:color w:val="212121"/>
          <w:spacing w:val="44"/>
        </w:rPr>
        <w:t> </w:t>
      </w:r>
      <w:r>
        <w:rPr>
          <w:color w:val="212121"/>
        </w:rPr>
        <w:t>o</w:t>
      </w:r>
      <w:r>
        <w:rPr>
          <w:color w:val="212121"/>
          <w:spacing w:val="45"/>
        </w:rPr>
        <w:t> </w:t>
      </w:r>
      <w:r>
        <w:rPr>
          <w:color w:val="212121"/>
        </w:rPr>
        <w:t>en</w:t>
      </w:r>
      <w:r>
        <w:rPr>
          <w:color w:val="212121"/>
          <w:spacing w:val="45"/>
        </w:rPr>
        <w:t> </w:t>
      </w:r>
      <w:r>
        <w:rPr>
          <w:color w:val="212121"/>
        </w:rPr>
        <w:t>la</w:t>
      </w:r>
      <w:r>
        <w:rPr>
          <w:color w:val="212121"/>
          <w:spacing w:val="45"/>
        </w:rPr>
        <w:t> </w:t>
      </w:r>
      <w:r>
        <w:rPr>
          <w:color w:val="212121"/>
        </w:rPr>
        <w:t>temperatura</w:t>
      </w:r>
      <w:r>
        <w:rPr>
          <w:color w:val="212121"/>
          <w:spacing w:val="45"/>
        </w:rPr>
        <w:t> </w:t>
      </w:r>
      <w:r>
        <w:rPr>
          <w:color w:val="212121"/>
        </w:rPr>
        <w:t>de</w:t>
      </w:r>
      <w:r>
        <w:rPr>
          <w:color w:val="212121"/>
          <w:spacing w:val="45"/>
        </w:rPr>
        <w:t> </w:t>
      </w:r>
      <w:r>
        <w:rPr>
          <w:color w:val="212121"/>
        </w:rPr>
        <w:t>ionización</w:t>
      </w:r>
      <w:r>
        <w:rPr>
          <w:color w:val="212121"/>
          <w:spacing w:val="46"/>
        </w:rPr>
        <w:t> </w:t>
      </w:r>
      <w:r>
        <w:rPr>
          <w:color w:val="212121"/>
        </w:rPr>
        <w:t>en</w:t>
      </w:r>
      <w:r>
        <w:rPr>
          <w:color w:val="212121"/>
          <w:spacing w:val="45"/>
        </w:rPr>
        <w:t> </w:t>
      </w:r>
      <w:r>
        <w:rPr>
          <w:color w:val="212121"/>
        </w:rPr>
        <w:t>el</w:t>
      </w:r>
    </w:p>
    <w:p>
      <w:pPr>
        <w:pStyle w:val="BodyText"/>
        <w:spacing w:before="8"/>
        <w:ind w:left="102"/>
        <w:jc w:val="both"/>
      </w:pPr>
      <w:r>
        <w:rPr>
          <w:color w:val="212121"/>
        </w:rPr>
        <w:t>plasma. Este fenómeno puede ser debido a la supresión de señales del analito.</w:t>
      </w:r>
    </w:p>
    <w:p>
      <w:pPr>
        <w:pStyle w:val="BodyText"/>
        <w:spacing w:before="4"/>
        <w:rPr>
          <w:sz w:val="29"/>
        </w:rPr>
      </w:pPr>
    </w:p>
    <w:p>
      <w:pPr>
        <w:pStyle w:val="BodyText"/>
        <w:spacing w:line="360" w:lineRule="auto" w:before="1"/>
        <w:ind w:left="102" w:right="121"/>
        <w:jc w:val="both"/>
      </w:pPr>
      <w:r>
        <w:rPr>
          <w:color w:val="212121"/>
        </w:rPr>
        <w:t>Las interferencias físicas pueden ser evitadas utilizando métodos internos de estandarización o por adición de un estándar. Los elementos utilizados como estándar interno dependen del elemento a ser medido, el Co y el In pueden ser utilizados como estándar interno</w:t>
      </w:r>
    </w:p>
    <w:p>
      <w:pPr>
        <w:pStyle w:val="BodyText"/>
        <w:spacing w:line="360" w:lineRule="auto" w:before="204"/>
        <w:ind w:left="102" w:right="122"/>
        <w:jc w:val="both"/>
      </w:pPr>
      <w:r>
        <w:rPr>
          <w:color w:val="212121"/>
        </w:rPr>
        <w:t>La principal característica del ICP-MS es la resolución, por ejemplo, la eficiencia  de separación de dos masas cercanas. Los cuadrupolos son instrumentos, desde este punto de vista, inferiores a los espectrómetros del sector</w:t>
      </w:r>
      <w:r>
        <w:rPr>
          <w:color w:val="212121"/>
          <w:spacing w:val="-24"/>
        </w:rPr>
        <w:t> </w:t>
      </w:r>
      <w:r>
        <w:rPr>
          <w:color w:val="212121"/>
        </w:rPr>
        <w:t>magnético.</w:t>
      </w:r>
    </w:p>
    <w:p>
      <w:pPr>
        <w:pStyle w:val="Heading1"/>
        <w:spacing w:before="204"/>
      </w:pPr>
      <w:r>
        <w:rPr/>
        <w:t>Procedimiento</w:t>
      </w:r>
    </w:p>
    <w:p>
      <w:pPr>
        <w:pStyle w:val="BodyText"/>
        <w:spacing w:before="4"/>
        <w:rPr>
          <w:b/>
          <w:sz w:val="29"/>
        </w:rPr>
      </w:pPr>
    </w:p>
    <w:p>
      <w:pPr>
        <w:pStyle w:val="BodyText"/>
        <w:spacing w:before="1"/>
        <w:ind w:left="102"/>
        <w:jc w:val="both"/>
      </w:pPr>
      <w:r>
        <w:rPr/>
        <w:t>Preparación e introducción de la muestra</w:t>
      </w:r>
    </w:p>
    <w:p>
      <w:pPr>
        <w:pStyle w:val="BodyText"/>
        <w:spacing w:before="4"/>
        <w:rPr>
          <w:sz w:val="29"/>
        </w:rPr>
      </w:pPr>
    </w:p>
    <w:p>
      <w:pPr>
        <w:pStyle w:val="BodyText"/>
        <w:spacing w:line="360" w:lineRule="auto" w:before="1"/>
        <w:ind w:left="102" w:right="116"/>
        <w:jc w:val="both"/>
      </w:pPr>
      <w:r>
        <w:rPr/>
        <w:t>La preparación de la muestra por lo general incluye un paso de digestión de la matriz con un método adecuado como la digestión por microondas. Además es importante asegurar que la concentración del analito este dentro del rango de trabajo del instrumento por medio de diluciones o concentraciones previas y que la solución muestra pueda ser nebulizada de manera reproducible.</w:t>
      </w:r>
    </w:p>
    <w:p>
      <w:pPr>
        <w:pStyle w:val="BodyText"/>
        <w:spacing w:line="360" w:lineRule="auto" w:before="202"/>
        <w:ind w:left="102" w:right="126"/>
        <w:jc w:val="both"/>
      </w:pPr>
      <w:r>
        <w:rPr/>
        <w:t>Varios sistemas de introducción de muestra toleran altas concentraciones de ácido,</w:t>
      </w:r>
      <w:r>
        <w:rPr>
          <w:spacing w:val="17"/>
        </w:rPr>
        <w:t> </w:t>
      </w:r>
      <w:r>
        <w:rPr/>
        <w:t>pero</w:t>
      </w:r>
      <w:r>
        <w:rPr>
          <w:spacing w:val="17"/>
        </w:rPr>
        <w:t> </w:t>
      </w:r>
      <w:r>
        <w:rPr/>
        <w:t>el</w:t>
      </w:r>
      <w:r>
        <w:rPr>
          <w:spacing w:val="17"/>
        </w:rPr>
        <w:t> </w:t>
      </w:r>
      <w:r>
        <w:rPr/>
        <w:t>uso</w:t>
      </w:r>
      <w:r>
        <w:rPr>
          <w:spacing w:val="18"/>
        </w:rPr>
        <w:t> </w:t>
      </w:r>
      <w:r>
        <w:rPr/>
        <w:t>de</w:t>
      </w:r>
      <w:r>
        <w:rPr>
          <w:spacing w:val="15"/>
        </w:rPr>
        <w:t> </w:t>
      </w:r>
      <w:r>
        <w:rPr/>
        <w:t>ácido</w:t>
      </w:r>
      <w:r>
        <w:rPr>
          <w:spacing w:val="18"/>
        </w:rPr>
        <w:t> </w:t>
      </w:r>
      <w:r>
        <w:rPr/>
        <w:t>sulfúrico</w:t>
      </w:r>
      <w:r>
        <w:rPr>
          <w:spacing w:val="18"/>
        </w:rPr>
        <w:t> </w:t>
      </w:r>
      <w:r>
        <w:rPr/>
        <w:t>o</w:t>
      </w:r>
      <w:r>
        <w:rPr>
          <w:spacing w:val="18"/>
        </w:rPr>
        <w:t> </w:t>
      </w:r>
      <w:r>
        <w:rPr/>
        <w:t>acido</w:t>
      </w:r>
      <w:r>
        <w:rPr>
          <w:spacing w:val="16"/>
        </w:rPr>
        <w:t> </w:t>
      </w:r>
      <w:r>
        <w:rPr/>
        <w:t>fosfórico</w:t>
      </w:r>
      <w:r>
        <w:rPr>
          <w:spacing w:val="18"/>
        </w:rPr>
        <w:t> </w:t>
      </w:r>
      <w:r>
        <w:rPr/>
        <w:t>puede</w:t>
      </w:r>
      <w:r>
        <w:rPr>
          <w:spacing w:val="18"/>
        </w:rPr>
        <w:t> </w:t>
      </w:r>
      <w:r>
        <w:rPr/>
        <w:t>contribuir</w:t>
      </w:r>
      <w:r>
        <w:rPr>
          <w:spacing w:val="16"/>
        </w:rPr>
        <w:t> </w:t>
      </w:r>
      <w:r>
        <w:rPr/>
        <w:t>a</w:t>
      </w:r>
      <w:r>
        <w:rPr>
          <w:spacing w:val="18"/>
        </w:rPr>
        <w:t> </w:t>
      </w:r>
      <w:r>
        <w:rPr/>
        <w:t>un</w:t>
      </w:r>
      <w:r>
        <w:rPr>
          <w:spacing w:val="18"/>
        </w:rPr>
        <w:t> </w:t>
      </w:r>
      <w:r>
        <w:rPr/>
        <w:t>valor</w:t>
      </w:r>
    </w:p>
    <w:p>
      <w:pPr>
        <w:spacing w:after="0" w:line="360" w:lineRule="auto"/>
        <w:jc w:val="both"/>
        <w:sectPr>
          <w:pgSz w:w="12240" w:h="15840"/>
          <w:pgMar w:header="0" w:footer="919" w:top="1360" w:bottom="1100" w:left="1600" w:right="1580"/>
        </w:sectPr>
      </w:pPr>
    </w:p>
    <w:p>
      <w:pPr>
        <w:pStyle w:val="BodyText"/>
        <w:spacing w:line="360" w:lineRule="auto" w:before="56"/>
        <w:ind w:left="102" w:right="119"/>
        <w:jc w:val="both"/>
      </w:pPr>
      <w:r>
        <w:rPr/>
        <w:t>de blanco más alto. Por esta razón, es preferible el uso de acido nítrico y clorhídrico.</w:t>
      </w:r>
    </w:p>
    <w:p>
      <w:pPr>
        <w:pStyle w:val="BodyText"/>
        <w:spacing w:line="360" w:lineRule="auto" w:before="204"/>
        <w:ind w:left="102" w:right="119"/>
        <w:jc w:val="both"/>
      </w:pPr>
      <w:r>
        <w:rPr/>
        <w:t>En el método para la introducción de la muestra se deben de considerar los siguientes requerimientos: sensibilidad, estabilidad, velocidad, tamaño de la muestra, resistencia a la corrosión y a los atascos. El uso de un nebulizador de flujo cruzado combinado con la cámara de nebulización y la antorcha es adecuado para estos requerimientos.</w:t>
      </w:r>
    </w:p>
    <w:p>
      <w:pPr>
        <w:pStyle w:val="BodyText"/>
        <w:spacing w:line="360" w:lineRule="auto" w:before="204"/>
        <w:ind w:left="102" w:right="126"/>
        <w:jc w:val="both"/>
      </w:pPr>
      <w:r>
        <w:rPr/>
        <w:t>La bomba peristáltica debe de las soluciones estándar y soluciones muestra a una velocidad de 20 – 1000 µL/min</w:t>
      </w:r>
    </w:p>
    <w:p>
      <w:pPr>
        <w:pStyle w:val="Heading1"/>
        <w:spacing w:before="204"/>
      </w:pPr>
      <w:r>
        <w:rPr/>
        <w:t>Elección de las condiciones de operación</w:t>
      </w:r>
    </w:p>
    <w:p>
      <w:pPr>
        <w:pStyle w:val="BodyText"/>
        <w:spacing w:before="4"/>
        <w:rPr>
          <w:b/>
          <w:sz w:val="29"/>
        </w:rPr>
      </w:pPr>
    </w:p>
    <w:p>
      <w:pPr>
        <w:pStyle w:val="BodyText"/>
        <w:spacing w:line="360" w:lineRule="auto" w:before="1"/>
        <w:ind w:left="102" w:right="117"/>
        <w:jc w:val="both"/>
      </w:pPr>
      <w:r>
        <w:rPr/>
        <w:t>Deben de ser seguidas las condiciones estándar de operación prescritas por el proveedor. Normalmente, se fijan diferentes condiciones de operación cuando son usadas soluciones acuosas o soluciones orgánicas. Los parámetros adecuados de operación deben ser elegidos adecuadamente:</w:t>
      </w:r>
    </w:p>
    <w:p>
      <w:pPr>
        <w:pStyle w:val="ListParagraph"/>
        <w:numPr>
          <w:ilvl w:val="0"/>
          <w:numId w:val="16"/>
        </w:numPr>
        <w:tabs>
          <w:tab w:pos="822" w:val="left" w:leader="none"/>
        </w:tabs>
        <w:spacing w:line="240" w:lineRule="auto" w:before="204" w:after="0"/>
        <w:ind w:left="822" w:right="0" w:hanging="360"/>
        <w:jc w:val="left"/>
        <w:rPr>
          <w:sz w:val="24"/>
        </w:rPr>
      </w:pPr>
      <w:r>
        <w:rPr>
          <w:sz w:val="24"/>
        </w:rPr>
        <w:t>Selección de</w:t>
      </w:r>
      <w:r>
        <w:rPr>
          <w:spacing w:val="-5"/>
          <w:sz w:val="24"/>
        </w:rPr>
        <w:t> </w:t>
      </w:r>
      <w:r>
        <w:rPr>
          <w:sz w:val="24"/>
        </w:rPr>
        <w:t>conos</w:t>
      </w:r>
    </w:p>
    <w:p>
      <w:pPr>
        <w:pStyle w:val="ListParagraph"/>
        <w:numPr>
          <w:ilvl w:val="0"/>
          <w:numId w:val="16"/>
        </w:numPr>
        <w:tabs>
          <w:tab w:pos="822" w:val="left" w:leader="none"/>
        </w:tabs>
        <w:spacing w:line="240" w:lineRule="auto" w:before="139" w:after="0"/>
        <w:ind w:left="822" w:right="0" w:hanging="360"/>
        <w:jc w:val="left"/>
        <w:rPr>
          <w:sz w:val="24"/>
        </w:rPr>
      </w:pPr>
      <w:r>
        <w:rPr>
          <w:sz w:val="24"/>
        </w:rPr>
        <w:t>Velocidad de flujo de gases de</w:t>
      </w:r>
      <w:r>
        <w:rPr>
          <w:spacing w:val="-13"/>
          <w:sz w:val="24"/>
        </w:rPr>
        <w:t> </w:t>
      </w:r>
      <w:r>
        <w:rPr>
          <w:sz w:val="24"/>
        </w:rPr>
        <w:t>acarreo</w:t>
      </w:r>
    </w:p>
    <w:p>
      <w:pPr>
        <w:pStyle w:val="ListParagraph"/>
        <w:numPr>
          <w:ilvl w:val="0"/>
          <w:numId w:val="16"/>
        </w:numPr>
        <w:tabs>
          <w:tab w:pos="822" w:val="left" w:leader="none"/>
        </w:tabs>
        <w:spacing w:line="240" w:lineRule="auto" w:before="137" w:after="0"/>
        <w:ind w:left="822" w:right="0" w:hanging="360"/>
        <w:jc w:val="left"/>
        <w:rPr>
          <w:sz w:val="24"/>
        </w:rPr>
      </w:pPr>
      <w:r>
        <w:rPr>
          <w:sz w:val="24"/>
        </w:rPr>
        <w:t>Potencia de la radio</w:t>
      </w:r>
      <w:r>
        <w:rPr>
          <w:spacing w:val="-12"/>
          <w:sz w:val="24"/>
        </w:rPr>
        <w:t> </w:t>
      </w:r>
      <w:r>
        <w:rPr>
          <w:sz w:val="24"/>
        </w:rPr>
        <w:t>frecuencia</w:t>
      </w:r>
    </w:p>
    <w:p>
      <w:pPr>
        <w:pStyle w:val="ListParagraph"/>
        <w:numPr>
          <w:ilvl w:val="0"/>
          <w:numId w:val="16"/>
        </w:numPr>
        <w:tabs>
          <w:tab w:pos="822" w:val="left" w:leader="none"/>
        </w:tabs>
        <w:spacing w:line="240" w:lineRule="auto" w:before="139" w:after="0"/>
        <w:ind w:left="822" w:right="0" w:hanging="360"/>
        <w:jc w:val="left"/>
        <w:rPr>
          <w:sz w:val="24"/>
        </w:rPr>
      </w:pPr>
      <w:r>
        <w:rPr>
          <w:sz w:val="24"/>
        </w:rPr>
        <w:t>Velocidad de la</w:t>
      </w:r>
      <w:r>
        <w:rPr>
          <w:spacing w:val="-9"/>
          <w:sz w:val="24"/>
        </w:rPr>
        <w:t> </w:t>
      </w:r>
      <w:r>
        <w:rPr>
          <w:sz w:val="24"/>
        </w:rPr>
        <w:t>bomba</w:t>
      </w:r>
    </w:p>
    <w:p>
      <w:pPr>
        <w:pStyle w:val="ListParagraph"/>
        <w:numPr>
          <w:ilvl w:val="0"/>
          <w:numId w:val="16"/>
        </w:numPr>
        <w:tabs>
          <w:tab w:pos="822" w:val="left" w:leader="none"/>
        </w:tabs>
        <w:spacing w:line="240" w:lineRule="auto" w:before="137" w:after="0"/>
        <w:ind w:left="822" w:right="0" w:hanging="360"/>
        <w:jc w:val="left"/>
        <w:rPr>
          <w:sz w:val="24"/>
        </w:rPr>
      </w:pPr>
      <w:r>
        <w:rPr>
          <w:sz w:val="24"/>
        </w:rPr>
        <w:t>Selección de uno o más de los isotopos de los elementos a ser</w:t>
      </w:r>
      <w:r>
        <w:rPr>
          <w:spacing w:val="-20"/>
          <w:sz w:val="24"/>
        </w:rPr>
        <w:t> </w:t>
      </w:r>
      <w:r>
        <w:rPr>
          <w:sz w:val="24"/>
        </w:rPr>
        <w:t>medidos</w:t>
      </w:r>
    </w:p>
    <w:p>
      <w:pPr>
        <w:pStyle w:val="BodyText"/>
        <w:spacing w:before="4"/>
        <w:rPr>
          <w:sz w:val="29"/>
        </w:rPr>
      </w:pPr>
    </w:p>
    <w:p>
      <w:pPr>
        <w:pStyle w:val="Heading1"/>
        <w:spacing w:before="1"/>
      </w:pPr>
      <w:r>
        <w:rPr/>
        <w:t>Selección de los isótopos</w:t>
      </w:r>
    </w:p>
    <w:p>
      <w:pPr>
        <w:pStyle w:val="BodyText"/>
        <w:spacing w:before="4"/>
        <w:rPr>
          <w:b/>
          <w:sz w:val="29"/>
        </w:rPr>
      </w:pPr>
    </w:p>
    <w:p>
      <w:pPr>
        <w:pStyle w:val="BodyText"/>
        <w:spacing w:line="360" w:lineRule="auto" w:before="1"/>
        <w:ind w:left="102" w:right="117"/>
        <w:jc w:val="both"/>
      </w:pPr>
      <w:r>
        <w:rPr/>
        <w:t>Para la selección de los isotopos se deben utilizar varios criterios. Se selecciona el isótopo más abundante de un elemento dado para obtener la mayor sensibilidad, sin embargo, también se debe considerar seleccionar un isótopo con menor interferencia con otras especies, con la matriz o con el gas de acarreo. La información acerca de las interferencias isobáricas o de iones poliatómicos u otros tipos como hidruros, óxidos, cloruros, etc., vienen descritas en el software del instrumen</w:t>
      </w:r>
    </w:p>
    <w:sectPr>
      <w:pgSz w:w="12240" w:h="15840"/>
      <w:pgMar w:header="0" w:footer="919" w:top="1360" w:bottom="1100" w:left="1600" w:right="158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Calibri">
    <w:altName w:val="Calibri"/>
    <w:charset w:val="0"/>
    <w:family w:val="swiss"/>
    <w:pitch w:val="variable"/>
  </w:font>
  <w:font w:name="Symbol">
    <w:altName w:val="Symbol"/>
    <w:charset w:val="2"/>
    <w:family w:val="roman"/>
    <w:pitch w:val="variable"/>
  </w:font>
  <w:font w:name="Calibri Light">
    <w:altName w:val="Calibri Light"/>
    <w:charset w:val="0"/>
    <w:family w:val="swiss"/>
    <w:pitch w:val="variable"/>
  </w:font>
  <w:font w:name="Courier New">
    <w:altName w:val="Courier New"/>
    <w:charset w:val="0"/>
    <w:family w:val="modern"/>
    <w:pitch w:val="fixed"/>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type id="_x0000_t202" o:spt="202" coordsize="21600,21600" path="m,l,21600r21600,l21600,xe">
          <v:stroke joinstyle="miter"/>
          <v:path gradientshapeok="t" o:connecttype="rect"/>
        </v:shapetype>
        <v:shape style="position:absolute;margin-left:512.419983pt;margin-top:735.05603pt;width:16.850pt;height:13.05pt;mso-position-horizontal-relative:page;mso-position-vertical-relative:page;z-index:-256360"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 roman </w:instrText>
                </w:r>
                <w:r>
                  <w:rPr/>
                  <w:fldChar w:fldCharType="separate"/>
                </w:r>
                <w:r>
                  <w:rPr/>
                  <w:t>viii</w:t>
                </w:r>
                <w:r>
                  <w:rPr/>
                  <w:fldChar w:fldCharType="end"/>
                </w:r>
              </w:p>
            </w:txbxContent>
          </v:textbox>
          <w10:wrap type="none"/>
        </v:shape>
      </w:pict>
    </w: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4.859985pt;margin-top:735.05603pt;width:13.3pt;height:13.05pt;mso-position-horizontal-relative:page;mso-position-vertical-relative:page;z-index:-256192" type="#_x0000_t202" filled="false" stroked="false">
          <v:textbox inset="0,0,0,0">
            <w:txbxContent>
              <w:p>
                <w:pPr>
                  <w:spacing w:line="245" w:lineRule="exact" w:before="0"/>
                  <w:ind w:left="20" w:right="0" w:firstLine="0"/>
                  <w:jc w:val="left"/>
                  <w:rPr>
                    <w:rFonts w:ascii="Calibri"/>
                    <w:sz w:val="22"/>
                  </w:rPr>
                </w:pPr>
                <w:r>
                  <w:rPr>
                    <w:rFonts w:ascii="Calibri"/>
                    <w:sz w:val="22"/>
                  </w:rPr>
                  <w:t>20</w:t>
                </w:r>
              </w:p>
            </w:txbxContent>
          </v:textbox>
          <w10:wrap type="none"/>
        </v:shape>
      </w:pict>
    </w: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3.859985pt;margin-top:735.05603pt;width:15.3pt;height:13.05pt;mso-position-horizontal-relative:page;mso-position-vertical-relative:page;z-index:-256168"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21</w:t>
                </w:r>
                <w:r>
                  <w:rPr/>
                  <w:fldChar w:fldCharType="end"/>
                </w:r>
              </w:p>
            </w:txbxContent>
          </v:textbox>
          <w10:wrap type="none"/>
        </v:shape>
      </w:pict>
    </w:r>
  </w:p>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4.859985pt;margin-top:735.05603pt;width:13.3pt;height:13.05pt;mso-position-horizontal-relative:page;mso-position-vertical-relative:page;z-index:-256144" type="#_x0000_t202" filled="false" stroked="false">
          <v:textbox inset="0,0,0,0">
            <w:txbxContent>
              <w:p>
                <w:pPr>
                  <w:spacing w:line="245" w:lineRule="exact" w:before="0"/>
                  <w:ind w:left="20" w:right="0" w:firstLine="0"/>
                  <w:jc w:val="left"/>
                  <w:rPr>
                    <w:rFonts w:ascii="Calibri"/>
                    <w:sz w:val="22"/>
                  </w:rPr>
                </w:pPr>
                <w:r>
                  <w:rPr>
                    <w:rFonts w:ascii="Calibri"/>
                    <w:sz w:val="22"/>
                  </w:rPr>
                  <w:t>30</w:t>
                </w:r>
              </w:p>
            </w:txbxContent>
          </v:textbox>
          <w10:wrap type="none"/>
        </v:shape>
      </w:pict>
    </w:r>
  </w:p>
</w:ftr>
</file>

<file path=word/footer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3.859985pt;margin-top:735.05603pt;width:15.3pt;height:13.05pt;mso-position-horizontal-relative:page;mso-position-vertical-relative:page;z-index:-256120"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31</w:t>
                </w:r>
                <w:r>
                  <w:rPr/>
                  <w:fldChar w:fldCharType="end"/>
                </w:r>
              </w:p>
            </w:txbxContent>
          </v:textbox>
          <w10:wrap type="none"/>
        </v:shape>
      </w:pict>
    </w:r>
  </w:p>
</w:ftr>
</file>

<file path=word/footer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4.859985pt;margin-top:735.05603pt;width:13.3pt;height:13.05pt;mso-position-horizontal-relative:page;mso-position-vertical-relative:page;z-index:-256096" type="#_x0000_t202" filled="false" stroked="false">
          <v:textbox inset="0,0,0,0">
            <w:txbxContent>
              <w:p>
                <w:pPr>
                  <w:spacing w:line="245" w:lineRule="exact" w:before="0"/>
                  <w:ind w:left="20" w:right="0" w:firstLine="0"/>
                  <w:jc w:val="left"/>
                  <w:rPr>
                    <w:rFonts w:ascii="Calibri"/>
                    <w:sz w:val="22"/>
                  </w:rPr>
                </w:pPr>
                <w:r>
                  <w:rPr>
                    <w:rFonts w:ascii="Calibri"/>
                    <w:sz w:val="22"/>
                  </w:rPr>
                  <w:t>40</w:t>
                </w:r>
              </w:p>
            </w:txbxContent>
          </v:textbox>
          <w10:wrap type="none"/>
        </v:shape>
      </w:pict>
    </w:r>
  </w:p>
</w:ftr>
</file>

<file path=word/footer1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16"/>
      </w:rPr>
    </w:pPr>
    <w:r>
      <w:rPr/>
      <w:pict>
        <v:shape style="position:absolute;margin-left:513.859985pt;margin-top:735.05603pt;width:15.3pt;height:13.05pt;mso-position-horizontal-relative:page;mso-position-vertical-relative:page;z-index:-256072"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45</w:t>
                </w:r>
                <w:r>
                  <w:rPr/>
                  <w:fldChar w:fldCharType="end"/>
                </w:r>
              </w:p>
            </w:txbxContent>
          </v:textbox>
          <w10:wrap type="none"/>
        </v:shape>
      </w:pict>
    </w:r>
  </w:p>
</w:ftr>
</file>

<file path=word/footer1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4.859985pt;margin-top:735.05603pt;width:13.3pt;height:13.05pt;mso-position-horizontal-relative:page;mso-position-vertical-relative:page;z-index:-256048" type="#_x0000_t202" filled="false" stroked="false">
          <v:textbox inset="0,0,0,0">
            <w:txbxContent>
              <w:p>
                <w:pPr>
                  <w:spacing w:line="245" w:lineRule="exact" w:before="0"/>
                  <w:ind w:left="20" w:right="0" w:firstLine="0"/>
                  <w:jc w:val="left"/>
                  <w:rPr>
                    <w:rFonts w:ascii="Calibri"/>
                    <w:sz w:val="22"/>
                  </w:rPr>
                </w:pPr>
                <w:r>
                  <w:rPr>
                    <w:rFonts w:ascii="Calibri"/>
                    <w:sz w:val="22"/>
                  </w:rPr>
                  <w:t>50</w:t>
                </w:r>
              </w:p>
            </w:txbxContent>
          </v:textbox>
          <w10:wrap type="none"/>
        </v:shape>
      </w:pict>
    </w:r>
  </w:p>
</w:ftr>
</file>

<file path=word/footer1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3.859985pt;margin-top:735.05603pt;width:15.3pt;height:13.05pt;mso-position-horizontal-relative:page;mso-position-vertical-relative:page;z-index:-256024"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51</w:t>
                </w:r>
                <w:r>
                  <w:rPr/>
                  <w:fldChar w:fldCharType="end"/>
                </w:r>
              </w:p>
            </w:txbxContent>
          </v:textbox>
          <w10:wrap type="none"/>
        </v:shape>
      </w:pict>
    </w:r>
  </w:p>
</w:ftr>
</file>

<file path=word/footer1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4.859985pt;margin-top:735.05603pt;width:13.3pt;height:13.05pt;mso-position-horizontal-relative:page;mso-position-vertical-relative:page;z-index:-256000" type="#_x0000_t202" filled="false" stroked="false">
          <v:textbox inset="0,0,0,0">
            <w:txbxContent>
              <w:p>
                <w:pPr>
                  <w:spacing w:line="245" w:lineRule="exact" w:before="0"/>
                  <w:ind w:left="20" w:right="0" w:firstLine="0"/>
                  <w:jc w:val="left"/>
                  <w:rPr>
                    <w:rFonts w:ascii="Calibri"/>
                    <w:sz w:val="22"/>
                  </w:rPr>
                </w:pPr>
                <w:r>
                  <w:rPr>
                    <w:rFonts w:ascii="Calibri"/>
                    <w:sz w:val="22"/>
                  </w:rPr>
                  <w:t>60</w:t>
                </w:r>
              </w:p>
            </w:txbxContent>
          </v:textbox>
          <w10:wrap type="none"/>
        </v:shape>
      </w:pict>
    </w:r>
  </w:p>
</w:ftr>
</file>

<file path=word/footer1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3.859985pt;margin-top:735.05603pt;width:15.3pt;height:13.05pt;mso-position-horizontal-relative:page;mso-position-vertical-relative:page;z-index:-255976"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61</w:t>
                </w:r>
                <w:r>
                  <w:rPr/>
                  <w:fldChar w:fldCharType="end"/>
                </w:r>
              </w:p>
            </w:txbxContent>
          </v:textbox>
          <w10:wrap type="non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16"/>
      </w:rPr>
    </w:pPr>
    <w:r>
      <w:rPr/>
      <w:pict>
        <v:shape style="position:absolute;margin-left:512.659973pt;margin-top:735.05603pt;width:16.45pt;height:13.05pt;mso-position-horizontal-relative:page;mso-position-vertical-relative:page;z-index:-256336"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 roman </w:instrText>
                </w:r>
                <w:r>
                  <w:rPr/>
                  <w:fldChar w:fldCharType="separate"/>
                </w:r>
                <w:r>
                  <w:rPr/>
                  <w:t>xiii</w:t>
                </w:r>
                <w:r>
                  <w:rPr/>
                  <w:fldChar w:fldCharType="end"/>
                </w:r>
              </w:p>
            </w:txbxContent>
          </v:textbox>
          <w10:wrap type="none"/>
        </v:shape>
      </w:pict>
    </w:r>
  </w:p>
</w:ftr>
</file>

<file path=word/footer2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4.859985pt;margin-top:735.05603pt;width:13.3pt;height:13.05pt;mso-position-horizontal-relative:page;mso-position-vertical-relative:page;z-index:-255952" type="#_x0000_t202" filled="false" stroked="false">
          <v:textbox inset="0,0,0,0">
            <w:txbxContent>
              <w:p>
                <w:pPr>
                  <w:spacing w:line="245" w:lineRule="exact" w:before="0"/>
                  <w:ind w:left="20" w:right="0" w:firstLine="0"/>
                  <w:jc w:val="left"/>
                  <w:rPr>
                    <w:rFonts w:ascii="Calibri"/>
                    <w:sz w:val="22"/>
                  </w:rPr>
                </w:pPr>
                <w:r>
                  <w:rPr>
                    <w:rFonts w:ascii="Calibri"/>
                    <w:sz w:val="22"/>
                  </w:rPr>
                  <w:t>70</w:t>
                </w:r>
              </w:p>
            </w:txbxContent>
          </v:textbox>
          <w10:wrap type="none"/>
        </v:shape>
      </w:pict>
    </w:r>
  </w:p>
</w:ftr>
</file>

<file path=word/footer2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3.859985pt;margin-top:735.05603pt;width:15.3pt;height:13.05pt;mso-position-horizontal-relative:page;mso-position-vertical-relative:page;z-index:-255928"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71</w:t>
                </w:r>
                <w:r>
                  <w:rPr/>
                  <w:fldChar w:fldCharType="end"/>
                </w:r>
              </w:p>
            </w:txbxContent>
          </v:textbox>
          <w10:wrap type="none"/>
        </v:shape>
      </w:pict>
    </w:r>
  </w:p>
</w:ftr>
</file>

<file path=word/footer2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4.859985pt;margin-top:735.05603pt;width:13.3pt;height:13.05pt;mso-position-horizontal-relative:page;mso-position-vertical-relative:page;z-index:-255904" type="#_x0000_t202" filled="false" stroked="false">
          <v:textbox inset="0,0,0,0">
            <w:txbxContent>
              <w:p>
                <w:pPr>
                  <w:spacing w:line="245" w:lineRule="exact" w:before="0"/>
                  <w:ind w:left="20" w:right="0" w:firstLine="0"/>
                  <w:jc w:val="left"/>
                  <w:rPr>
                    <w:rFonts w:ascii="Calibri"/>
                    <w:sz w:val="22"/>
                  </w:rPr>
                </w:pPr>
                <w:r>
                  <w:rPr>
                    <w:rFonts w:ascii="Calibri"/>
                    <w:sz w:val="22"/>
                  </w:rPr>
                  <w:t>80</w:t>
                </w:r>
              </w:p>
            </w:txbxContent>
          </v:textbox>
          <w10:wrap type="none"/>
        </v:shape>
      </w:pict>
    </w:r>
  </w:p>
</w:ftr>
</file>

<file path=word/footer2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3.859985pt;margin-top:735.05603pt;width:15.3pt;height:13.05pt;mso-position-horizontal-relative:page;mso-position-vertical-relative:page;z-index:-255880"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81</w:t>
                </w:r>
                <w:r>
                  <w:rPr/>
                  <w:fldChar w:fldCharType="end"/>
                </w:r>
              </w:p>
            </w:txbxContent>
          </v:textbox>
          <w10:wrap type="none"/>
        </v:shape>
      </w:pict>
    </w:r>
  </w:p>
</w:ftr>
</file>

<file path=word/footer2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4.859985pt;margin-top:735.05603pt;width:13.3pt;height:13.05pt;mso-position-horizontal-relative:page;mso-position-vertical-relative:page;z-index:-255856" type="#_x0000_t202" filled="false" stroked="false">
          <v:textbox inset="0,0,0,0">
            <w:txbxContent>
              <w:p>
                <w:pPr>
                  <w:spacing w:line="245" w:lineRule="exact" w:before="0"/>
                  <w:ind w:left="20" w:right="0" w:firstLine="0"/>
                  <w:jc w:val="left"/>
                  <w:rPr>
                    <w:rFonts w:ascii="Calibri"/>
                    <w:sz w:val="22"/>
                  </w:rPr>
                </w:pPr>
                <w:r>
                  <w:rPr>
                    <w:rFonts w:ascii="Calibri"/>
                    <w:sz w:val="22"/>
                  </w:rPr>
                  <w:t>90</w:t>
                </w:r>
              </w:p>
            </w:txbxContent>
          </v:textbox>
          <w10:wrap type="none"/>
        </v:shape>
      </w:pict>
    </w:r>
  </w:p>
</w:ftr>
</file>

<file path=word/footer2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3.859985pt;margin-top:735.05603pt;width:15.3pt;height:13.05pt;mso-position-horizontal-relative:page;mso-position-vertical-relative:page;z-index:-255832"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91</w:t>
                </w:r>
                <w:r>
                  <w:rPr/>
                  <w:fldChar w:fldCharType="end"/>
                </w:r>
              </w:p>
            </w:txbxContent>
          </v:textbox>
          <w10:wrap type="none"/>
        </v:shape>
      </w:pict>
    </w:r>
  </w:p>
</w:ftr>
</file>

<file path=word/footer2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8.339996pt;margin-top:735.05603pt;width:20.75pt;height:13.05pt;mso-position-horizontal-relative:page;mso-position-vertical-relative:page;z-index:-255808"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100</w:t>
                </w:r>
                <w:r>
                  <w:rPr/>
                  <w:fldChar w:fldCharType="end"/>
                </w:r>
              </w:p>
            </w:txbxContent>
          </v:textbox>
          <w10:wrap type="none"/>
        </v:shape>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9.520020pt;margin-top:735.05603pt;width:9.6pt;height:13.05pt;mso-position-horizontal-relative:page;mso-position-vertical-relative:page;z-index:-256312"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w w:val="100"/>
                    <w:sz w:val="22"/>
                  </w:rPr>
                  <w:instrText> PAGE </w:instrText>
                </w:r>
                <w:r>
                  <w:rPr/>
                  <w:fldChar w:fldCharType="separate"/>
                </w:r>
                <w:r>
                  <w:rPr/>
                  <w:t>1</w:t>
                </w:r>
                <w:r>
                  <w:rPr/>
                  <w:fldChar w:fldCharType="end"/>
                </w:r>
              </w:p>
            </w:txbxContent>
          </v:textbox>
          <w10:wrap type="none"/>
        </v:shape>
      </w:pict>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9.520020pt;margin-top:735.05603pt;width:9.6pt;height:13.05pt;mso-position-horizontal-relative:page;mso-position-vertical-relative:page;z-index:-256288"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w w:val="100"/>
                    <w:sz w:val="22"/>
                  </w:rPr>
                  <w:instrText> PAGE </w:instrText>
                </w:r>
                <w:r>
                  <w:rPr/>
                  <w:fldChar w:fldCharType="separate"/>
                </w:r>
                <w:r>
                  <w:rPr/>
                  <w:t>5</w:t>
                </w:r>
                <w:r>
                  <w:rPr/>
                  <w:fldChar w:fldCharType="end"/>
                </w:r>
              </w:p>
            </w:txbxContent>
          </v:textbox>
          <w10:wrap type="none"/>
        </v:shape>
      </w:pict>
    </w: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4.859985pt;margin-top:735.05603pt;width:13.3pt;height:13.05pt;mso-position-horizontal-relative:page;mso-position-vertical-relative:page;z-index:-256264" type="#_x0000_t202" filled="false" stroked="false">
          <v:textbox inset="0,0,0,0">
            <w:txbxContent>
              <w:p>
                <w:pPr>
                  <w:spacing w:line="245" w:lineRule="exact" w:before="0"/>
                  <w:ind w:left="20" w:right="0" w:firstLine="0"/>
                  <w:jc w:val="left"/>
                  <w:rPr>
                    <w:rFonts w:ascii="Calibri"/>
                    <w:sz w:val="22"/>
                  </w:rPr>
                </w:pPr>
                <w:r>
                  <w:rPr>
                    <w:rFonts w:ascii="Calibri"/>
                    <w:sz w:val="22"/>
                  </w:rPr>
                  <w:t>10</w:t>
                </w:r>
              </w:p>
            </w:txbxContent>
          </v:textbox>
          <w10:wrap type="none"/>
        </v:shape>
      </w:pict>
    </w: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3.859985pt;margin-top:735.05603pt;width:15.3pt;height:13.05pt;mso-position-horizontal-relative:page;mso-position-vertical-relative:page;z-index:-256240"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11</w:t>
                </w:r>
                <w:r>
                  <w:rPr/>
                  <w:fldChar w:fldCharType="end"/>
                </w:r>
              </w:p>
            </w:txbxContent>
          </v:textbox>
          <w10:wrap type="none"/>
        </v:shape>
      </w:pict>
    </w: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3.859985pt;margin-top:735.05603pt;width:15.3pt;height:13.05pt;mso-position-horizontal-relative:page;mso-position-vertical-relative:page;z-index:-256216"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16</w:t>
                </w:r>
                <w:r>
                  <w:rPr/>
                  <w:fldChar w:fldCharType="end"/>
                </w:r>
              </w:p>
            </w:txbxContent>
          </v:textbox>
          <w10:wrap type="none"/>
        </v:shape>
      </w:pict>
    </w:r>
  </w:p>
</w:ft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15">
    <w:multiLevelType w:val="hybridMultilevel"/>
    <w:lvl w:ilvl="0">
      <w:start w:val="1"/>
      <w:numFmt w:val="decimal"/>
      <w:lvlText w:val="%1."/>
      <w:lvlJc w:val="left"/>
      <w:pPr>
        <w:ind w:left="822" w:hanging="360"/>
        <w:jc w:val="left"/>
      </w:pPr>
      <w:rPr>
        <w:rFonts w:hint="default" w:ascii="Arial" w:hAnsi="Arial" w:eastAsia="Arial" w:cs="Arial"/>
        <w:spacing w:val="-2"/>
        <w:w w:val="99"/>
        <w:sz w:val="24"/>
        <w:szCs w:val="24"/>
      </w:rPr>
    </w:lvl>
    <w:lvl w:ilvl="1">
      <w:start w:val="1"/>
      <w:numFmt w:val="bullet"/>
      <w:lvlText w:val="•"/>
      <w:lvlJc w:val="left"/>
      <w:pPr>
        <w:ind w:left="1644" w:hanging="360"/>
      </w:pPr>
      <w:rPr>
        <w:rFonts w:hint="default"/>
      </w:rPr>
    </w:lvl>
    <w:lvl w:ilvl="2">
      <w:start w:val="1"/>
      <w:numFmt w:val="bullet"/>
      <w:lvlText w:val="•"/>
      <w:lvlJc w:val="left"/>
      <w:pPr>
        <w:ind w:left="2468" w:hanging="360"/>
      </w:pPr>
      <w:rPr>
        <w:rFonts w:hint="default"/>
      </w:rPr>
    </w:lvl>
    <w:lvl w:ilvl="3">
      <w:start w:val="1"/>
      <w:numFmt w:val="bullet"/>
      <w:lvlText w:val="•"/>
      <w:lvlJc w:val="left"/>
      <w:pPr>
        <w:ind w:left="3292" w:hanging="360"/>
      </w:pPr>
      <w:rPr>
        <w:rFonts w:hint="default"/>
      </w:rPr>
    </w:lvl>
    <w:lvl w:ilvl="4">
      <w:start w:val="1"/>
      <w:numFmt w:val="bullet"/>
      <w:lvlText w:val="•"/>
      <w:lvlJc w:val="left"/>
      <w:pPr>
        <w:ind w:left="4116" w:hanging="360"/>
      </w:pPr>
      <w:rPr>
        <w:rFonts w:hint="default"/>
      </w:rPr>
    </w:lvl>
    <w:lvl w:ilvl="5">
      <w:start w:val="1"/>
      <w:numFmt w:val="bullet"/>
      <w:lvlText w:val="•"/>
      <w:lvlJc w:val="left"/>
      <w:pPr>
        <w:ind w:left="4940" w:hanging="360"/>
      </w:pPr>
      <w:rPr>
        <w:rFonts w:hint="default"/>
      </w:rPr>
    </w:lvl>
    <w:lvl w:ilvl="6">
      <w:start w:val="1"/>
      <w:numFmt w:val="bullet"/>
      <w:lvlText w:val="•"/>
      <w:lvlJc w:val="left"/>
      <w:pPr>
        <w:ind w:left="5764" w:hanging="360"/>
      </w:pPr>
      <w:rPr>
        <w:rFonts w:hint="default"/>
      </w:rPr>
    </w:lvl>
    <w:lvl w:ilvl="7">
      <w:start w:val="1"/>
      <w:numFmt w:val="bullet"/>
      <w:lvlText w:val="•"/>
      <w:lvlJc w:val="left"/>
      <w:pPr>
        <w:ind w:left="6588" w:hanging="360"/>
      </w:pPr>
      <w:rPr>
        <w:rFonts w:hint="default"/>
      </w:rPr>
    </w:lvl>
    <w:lvl w:ilvl="8">
      <w:start w:val="1"/>
      <w:numFmt w:val="bullet"/>
      <w:lvlText w:val="•"/>
      <w:lvlJc w:val="left"/>
      <w:pPr>
        <w:ind w:left="7412" w:hanging="360"/>
      </w:pPr>
      <w:rPr>
        <w:rFonts w:hint="default"/>
      </w:rPr>
    </w:lvl>
  </w:abstractNum>
  <w:abstractNum w:abstractNumId="14">
    <w:multiLevelType w:val="hybridMultilevel"/>
    <w:lvl w:ilvl="0">
      <w:start w:val="6"/>
      <w:numFmt w:val="upperLetter"/>
      <w:lvlText w:val="%1"/>
      <w:lvlJc w:val="left"/>
      <w:pPr>
        <w:ind w:left="102" w:hanging="442"/>
        <w:jc w:val="left"/>
      </w:pPr>
      <w:rPr>
        <w:rFonts w:hint="default"/>
      </w:rPr>
    </w:lvl>
    <w:lvl w:ilvl="1">
      <w:start w:val="1"/>
      <w:numFmt w:val="decimal"/>
      <w:lvlText w:val="%1.%2"/>
      <w:lvlJc w:val="left"/>
      <w:pPr>
        <w:ind w:left="102" w:hanging="442"/>
        <w:jc w:val="left"/>
      </w:pPr>
      <w:rPr>
        <w:rFonts w:hint="default" w:ascii="Arial" w:hAnsi="Arial" w:eastAsia="Arial" w:cs="Arial"/>
        <w:color w:val="212121"/>
        <w:w w:val="100"/>
        <w:sz w:val="24"/>
        <w:szCs w:val="24"/>
      </w:rPr>
    </w:lvl>
    <w:lvl w:ilvl="2">
      <w:start w:val="1"/>
      <w:numFmt w:val="decimal"/>
      <w:lvlText w:val="%3."/>
      <w:lvlJc w:val="left"/>
      <w:pPr>
        <w:ind w:left="822" w:hanging="360"/>
        <w:jc w:val="left"/>
      </w:pPr>
      <w:rPr>
        <w:rFonts w:hint="default" w:ascii="Arial" w:hAnsi="Arial" w:eastAsia="Arial" w:cs="Arial"/>
        <w:color w:val="212121"/>
        <w:spacing w:val="-18"/>
        <w:w w:val="99"/>
        <w:sz w:val="24"/>
        <w:szCs w:val="24"/>
      </w:rPr>
    </w:lvl>
    <w:lvl w:ilvl="3">
      <w:start w:val="1"/>
      <w:numFmt w:val="bullet"/>
      <w:lvlText w:val="•"/>
      <w:lvlJc w:val="left"/>
      <w:pPr>
        <w:ind w:left="2651" w:hanging="360"/>
      </w:pPr>
      <w:rPr>
        <w:rFonts w:hint="default"/>
      </w:rPr>
    </w:lvl>
    <w:lvl w:ilvl="4">
      <w:start w:val="1"/>
      <w:numFmt w:val="bullet"/>
      <w:lvlText w:val="•"/>
      <w:lvlJc w:val="left"/>
      <w:pPr>
        <w:ind w:left="3566" w:hanging="360"/>
      </w:pPr>
      <w:rPr>
        <w:rFonts w:hint="default"/>
      </w:rPr>
    </w:lvl>
    <w:lvl w:ilvl="5">
      <w:start w:val="1"/>
      <w:numFmt w:val="bullet"/>
      <w:lvlText w:val="•"/>
      <w:lvlJc w:val="left"/>
      <w:pPr>
        <w:ind w:left="4482" w:hanging="360"/>
      </w:pPr>
      <w:rPr>
        <w:rFonts w:hint="default"/>
      </w:rPr>
    </w:lvl>
    <w:lvl w:ilvl="6">
      <w:start w:val="1"/>
      <w:numFmt w:val="bullet"/>
      <w:lvlText w:val="•"/>
      <w:lvlJc w:val="left"/>
      <w:pPr>
        <w:ind w:left="5397" w:hanging="360"/>
      </w:pPr>
      <w:rPr>
        <w:rFonts w:hint="default"/>
      </w:rPr>
    </w:lvl>
    <w:lvl w:ilvl="7">
      <w:start w:val="1"/>
      <w:numFmt w:val="bullet"/>
      <w:lvlText w:val="•"/>
      <w:lvlJc w:val="left"/>
      <w:pPr>
        <w:ind w:left="6313" w:hanging="360"/>
      </w:pPr>
      <w:rPr>
        <w:rFonts w:hint="default"/>
      </w:rPr>
    </w:lvl>
    <w:lvl w:ilvl="8">
      <w:start w:val="1"/>
      <w:numFmt w:val="bullet"/>
      <w:lvlText w:val="•"/>
      <w:lvlJc w:val="left"/>
      <w:pPr>
        <w:ind w:left="7228" w:hanging="360"/>
      </w:pPr>
      <w:rPr>
        <w:rFonts w:hint="default"/>
      </w:rPr>
    </w:lvl>
  </w:abstractNum>
  <w:abstractNum w:abstractNumId="13">
    <w:multiLevelType w:val="hybridMultilevel"/>
    <w:lvl w:ilvl="0">
      <w:start w:val="4"/>
      <w:numFmt w:val="upperLetter"/>
      <w:lvlText w:val="%1"/>
      <w:lvlJc w:val="left"/>
      <w:pPr>
        <w:ind w:left="1453" w:hanging="644"/>
        <w:jc w:val="left"/>
      </w:pPr>
      <w:rPr>
        <w:rFonts w:hint="default"/>
      </w:rPr>
    </w:lvl>
    <w:lvl w:ilvl="1">
      <w:start w:val="2"/>
      <w:numFmt w:val="upperRoman"/>
      <w:lvlText w:val="%1.%2"/>
      <w:lvlJc w:val="left"/>
      <w:pPr>
        <w:ind w:left="1453" w:hanging="644"/>
        <w:jc w:val="left"/>
      </w:pPr>
      <w:rPr>
        <w:rFonts w:hint="default"/>
      </w:rPr>
    </w:lvl>
    <w:lvl w:ilvl="2">
      <w:start w:val="1"/>
      <w:numFmt w:val="decimal"/>
      <w:lvlText w:val="%1.%2.%3"/>
      <w:lvlJc w:val="left"/>
      <w:pPr>
        <w:ind w:left="1453" w:hanging="644"/>
        <w:jc w:val="right"/>
      </w:pPr>
      <w:rPr>
        <w:rFonts w:hint="default" w:ascii="Arial" w:hAnsi="Arial" w:eastAsia="Arial" w:cs="Arial"/>
        <w:color w:val="212121"/>
        <w:spacing w:val="-1"/>
        <w:w w:val="99"/>
        <w:sz w:val="24"/>
        <w:szCs w:val="24"/>
      </w:rPr>
    </w:lvl>
    <w:lvl w:ilvl="3">
      <w:start w:val="1"/>
      <w:numFmt w:val="bullet"/>
      <w:lvlText w:val="•"/>
      <w:lvlJc w:val="left"/>
      <w:pPr>
        <w:ind w:left="3782" w:hanging="644"/>
      </w:pPr>
      <w:rPr>
        <w:rFonts w:hint="default"/>
      </w:rPr>
    </w:lvl>
    <w:lvl w:ilvl="4">
      <w:start w:val="1"/>
      <w:numFmt w:val="bullet"/>
      <w:lvlText w:val="•"/>
      <w:lvlJc w:val="left"/>
      <w:pPr>
        <w:ind w:left="4556" w:hanging="644"/>
      </w:pPr>
      <w:rPr>
        <w:rFonts w:hint="default"/>
      </w:rPr>
    </w:lvl>
    <w:lvl w:ilvl="5">
      <w:start w:val="1"/>
      <w:numFmt w:val="bullet"/>
      <w:lvlText w:val="•"/>
      <w:lvlJc w:val="left"/>
      <w:pPr>
        <w:ind w:left="5330" w:hanging="644"/>
      </w:pPr>
      <w:rPr>
        <w:rFonts w:hint="default"/>
      </w:rPr>
    </w:lvl>
    <w:lvl w:ilvl="6">
      <w:start w:val="1"/>
      <w:numFmt w:val="bullet"/>
      <w:lvlText w:val="•"/>
      <w:lvlJc w:val="left"/>
      <w:pPr>
        <w:ind w:left="6104" w:hanging="644"/>
      </w:pPr>
      <w:rPr>
        <w:rFonts w:hint="default"/>
      </w:rPr>
    </w:lvl>
    <w:lvl w:ilvl="7">
      <w:start w:val="1"/>
      <w:numFmt w:val="bullet"/>
      <w:lvlText w:val="•"/>
      <w:lvlJc w:val="left"/>
      <w:pPr>
        <w:ind w:left="6878" w:hanging="644"/>
      </w:pPr>
      <w:rPr>
        <w:rFonts w:hint="default"/>
      </w:rPr>
    </w:lvl>
    <w:lvl w:ilvl="8">
      <w:start w:val="1"/>
      <w:numFmt w:val="bullet"/>
      <w:lvlText w:val="•"/>
      <w:lvlJc w:val="left"/>
      <w:pPr>
        <w:ind w:left="7652" w:hanging="644"/>
      </w:pPr>
      <w:rPr>
        <w:rFonts w:hint="default"/>
      </w:rPr>
    </w:lvl>
  </w:abstractNum>
  <w:abstractNum w:abstractNumId="12">
    <w:multiLevelType w:val="hybridMultilevel"/>
    <w:lvl w:ilvl="0">
      <w:start w:val="1"/>
      <w:numFmt w:val="upperRoman"/>
      <w:lvlText w:val="%1."/>
      <w:lvlJc w:val="left"/>
      <w:pPr>
        <w:ind w:left="822" w:hanging="495"/>
        <w:jc w:val="right"/>
      </w:pPr>
      <w:rPr>
        <w:rFonts w:hint="default" w:ascii="Arial" w:hAnsi="Arial" w:eastAsia="Arial" w:cs="Arial"/>
        <w:b/>
        <w:bCs/>
        <w:spacing w:val="-2"/>
        <w:w w:val="99"/>
        <w:sz w:val="24"/>
        <w:szCs w:val="24"/>
      </w:rPr>
    </w:lvl>
    <w:lvl w:ilvl="1">
      <w:start w:val="1"/>
      <w:numFmt w:val="decimal"/>
      <w:lvlText w:val="%2."/>
      <w:lvlJc w:val="left"/>
      <w:pPr>
        <w:ind w:left="822" w:hanging="360"/>
        <w:jc w:val="left"/>
      </w:pPr>
      <w:rPr>
        <w:rFonts w:hint="default" w:ascii="Arial" w:hAnsi="Arial" w:eastAsia="Arial" w:cs="Arial"/>
        <w:color w:val="212121"/>
        <w:spacing w:val="-3"/>
        <w:w w:val="99"/>
        <w:sz w:val="24"/>
        <w:szCs w:val="24"/>
      </w:rPr>
    </w:lvl>
    <w:lvl w:ilvl="2">
      <w:start w:val="1"/>
      <w:numFmt w:val="bullet"/>
      <w:lvlText w:val="•"/>
      <w:lvlJc w:val="left"/>
      <w:pPr>
        <w:ind w:left="2468" w:hanging="360"/>
      </w:pPr>
      <w:rPr>
        <w:rFonts w:hint="default"/>
      </w:rPr>
    </w:lvl>
    <w:lvl w:ilvl="3">
      <w:start w:val="1"/>
      <w:numFmt w:val="bullet"/>
      <w:lvlText w:val="•"/>
      <w:lvlJc w:val="left"/>
      <w:pPr>
        <w:ind w:left="3292" w:hanging="360"/>
      </w:pPr>
      <w:rPr>
        <w:rFonts w:hint="default"/>
      </w:rPr>
    </w:lvl>
    <w:lvl w:ilvl="4">
      <w:start w:val="1"/>
      <w:numFmt w:val="bullet"/>
      <w:lvlText w:val="•"/>
      <w:lvlJc w:val="left"/>
      <w:pPr>
        <w:ind w:left="4116" w:hanging="360"/>
      </w:pPr>
      <w:rPr>
        <w:rFonts w:hint="default"/>
      </w:rPr>
    </w:lvl>
    <w:lvl w:ilvl="5">
      <w:start w:val="1"/>
      <w:numFmt w:val="bullet"/>
      <w:lvlText w:val="•"/>
      <w:lvlJc w:val="left"/>
      <w:pPr>
        <w:ind w:left="4940" w:hanging="360"/>
      </w:pPr>
      <w:rPr>
        <w:rFonts w:hint="default"/>
      </w:rPr>
    </w:lvl>
    <w:lvl w:ilvl="6">
      <w:start w:val="1"/>
      <w:numFmt w:val="bullet"/>
      <w:lvlText w:val="•"/>
      <w:lvlJc w:val="left"/>
      <w:pPr>
        <w:ind w:left="5764" w:hanging="360"/>
      </w:pPr>
      <w:rPr>
        <w:rFonts w:hint="default"/>
      </w:rPr>
    </w:lvl>
    <w:lvl w:ilvl="7">
      <w:start w:val="1"/>
      <w:numFmt w:val="bullet"/>
      <w:lvlText w:val="•"/>
      <w:lvlJc w:val="left"/>
      <w:pPr>
        <w:ind w:left="6588" w:hanging="360"/>
      </w:pPr>
      <w:rPr>
        <w:rFonts w:hint="default"/>
      </w:rPr>
    </w:lvl>
    <w:lvl w:ilvl="8">
      <w:start w:val="1"/>
      <w:numFmt w:val="bullet"/>
      <w:lvlText w:val="•"/>
      <w:lvlJc w:val="left"/>
      <w:pPr>
        <w:ind w:left="7412" w:hanging="360"/>
      </w:pPr>
      <w:rPr>
        <w:rFonts w:hint="default"/>
      </w:rPr>
    </w:lvl>
  </w:abstractNum>
  <w:abstractNum w:abstractNumId="11">
    <w:multiLevelType w:val="hybridMultilevel"/>
    <w:lvl w:ilvl="0">
      <w:start w:val="3"/>
      <w:numFmt w:val="upperLetter"/>
      <w:lvlText w:val="%1"/>
      <w:lvlJc w:val="left"/>
      <w:pPr>
        <w:ind w:left="1333" w:hanging="644"/>
        <w:jc w:val="left"/>
      </w:pPr>
      <w:rPr>
        <w:rFonts w:hint="default"/>
      </w:rPr>
    </w:lvl>
    <w:lvl w:ilvl="1">
      <w:start w:val="2"/>
      <w:numFmt w:val="upperRoman"/>
      <w:lvlText w:val="%1.%2"/>
      <w:lvlJc w:val="left"/>
      <w:pPr>
        <w:ind w:left="1333" w:hanging="644"/>
        <w:jc w:val="left"/>
      </w:pPr>
      <w:rPr>
        <w:rFonts w:hint="default"/>
      </w:rPr>
    </w:lvl>
    <w:lvl w:ilvl="2">
      <w:start w:val="1"/>
      <w:numFmt w:val="decimal"/>
      <w:lvlText w:val="%1.%2.%3"/>
      <w:lvlJc w:val="left"/>
      <w:pPr>
        <w:ind w:left="1333" w:hanging="644"/>
        <w:jc w:val="left"/>
      </w:pPr>
      <w:rPr>
        <w:rFonts w:hint="default" w:ascii="Arial" w:hAnsi="Arial" w:eastAsia="Arial" w:cs="Arial"/>
        <w:color w:val="212121"/>
        <w:w w:val="100"/>
        <w:sz w:val="24"/>
        <w:szCs w:val="24"/>
      </w:rPr>
    </w:lvl>
    <w:lvl w:ilvl="3">
      <w:start w:val="1"/>
      <w:numFmt w:val="bullet"/>
      <w:lvlText w:val="•"/>
      <w:lvlJc w:val="left"/>
      <w:pPr>
        <w:ind w:left="3650" w:hanging="644"/>
      </w:pPr>
      <w:rPr>
        <w:rFonts w:hint="default"/>
      </w:rPr>
    </w:lvl>
    <w:lvl w:ilvl="4">
      <w:start w:val="1"/>
      <w:numFmt w:val="bullet"/>
      <w:lvlText w:val="•"/>
      <w:lvlJc w:val="left"/>
      <w:pPr>
        <w:ind w:left="4420" w:hanging="644"/>
      </w:pPr>
      <w:rPr>
        <w:rFonts w:hint="default"/>
      </w:rPr>
    </w:lvl>
    <w:lvl w:ilvl="5">
      <w:start w:val="1"/>
      <w:numFmt w:val="bullet"/>
      <w:lvlText w:val="•"/>
      <w:lvlJc w:val="left"/>
      <w:pPr>
        <w:ind w:left="5190" w:hanging="644"/>
      </w:pPr>
      <w:rPr>
        <w:rFonts w:hint="default"/>
      </w:rPr>
    </w:lvl>
    <w:lvl w:ilvl="6">
      <w:start w:val="1"/>
      <w:numFmt w:val="bullet"/>
      <w:lvlText w:val="•"/>
      <w:lvlJc w:val="left"/>
      <w:pPr>
        <w:ind w:left="5960" w:hanging="644"/>
      </w:pPr>
      <w:rPr>
        <w:rFonts w:hint="default"/>
      </w:rPr>
    </w:lvl>
    <w:lvl w:ilvl="7">
      <w:start w:val="1"/>
      <w:numFmt w:val="bullet"/>
      <w:lvlText w:val="•"/>
      <w:lvlJc w:val="left"/>
      <w:pPr>
        <w:ind w:left="6730" w:hanging="644"/>
      </w:pPr>
      <w:rPr>
        <w:rFonts w:hint="default"/>
      </w:rPr>
    </w:lvl>
    <w:lvl w:ilvl="8">
      <w:start w:val="1"/>
      <w:numFmt w:val="bullet"/>
      <w:lvlText w:val="•"/>
      <w:lvlJc w:val="left"/>
      <w:pPr>
        <w:ind w:left="7500" w:hanging="644"/>
      </w:pPr>
      <w:rPr>
        <w:rFonts w:hint="default"/>
      </w:rPr>
    </w:lvl>
  </w:abstractNum>
  <w:abstractNum w:abstractNumId="10">
    <w:multiLevelType w:val="hybridMultilevel"/>
    <w:lvl w:ilvl="0">
      <w:start w:val="1"/>
      <w:numFmt w:val="upperRoman"/>
      <w:lvlText w:val="%1."/>
      <w:lvlJc w:val="left"/>
      <w:pPr>
        <w:ind w:left="822" w:hanging="495"/>
        <w:jc w:val="right"/>
      </w:pPr>
      <w:rPr>
        <w:rFonts w:hint="default" w:ascii="Arial" w:hAnsi="Arial" w:eastAsia="Arial" w:cs="Arial"/>
        <w:b/>
        <w:bCs/>
        <w:spacing w:val="-2"/>
        <w:w w:val="99"/>
        <w:sz w:val="24"/>
        <w:szCs w:val="24"/>
      </w:rPr>
    </w:lvl>
    <w:lvl w:ilvl="1">
      <w:start w:val="1"/>
      <w:numFmt w:val="bullet"/>
      <w:lvlText w:val="•"/>
      <w:lvlJc w:val="left"/>
      <w:pPr>
        <w:ind w:left="1644" w:hanging="495"/>
      </w:pPr>
      <w:rPr>
        <w:rFonts w:hint="default"/>
      </w:rPr>
    </w:lvl>
    <w:lvl w:ilvl="2">
      <w:start w:val="1"/>
      <w:numFmt w:val="bullet"/>
      <w:lvlText w:val="•"/>
      <w:lvlJc w:val="left"/>
      <w:pPr>
        <w:ind w:left="2468" w:hanging="495"/>
      </w:pPr>
      <w:rPr>
        <w:rFonts w:hint="default"/>
      </w:rPr>
    </w:lvl>
    <w:lvl w:ilvl="3">
      <w:start w:val="1"/>
      <w:numFmt w:val="bullet"/>
      <w:lvlText w:val="•"/>
      <w:lvlJc w:val="left"/>
      <w:pPr>
        <w:ind w:left="3292" w:hanging="495"/>
      </w:pPr>
      <w:rPr>
        <w:rFonts w:hint="default"/>
      </w:rPr>
    </w:lvl>
    <w:lvl w:ilvl="4">
      <w:start w:val="1"/>
      <w:numFmt w:val="bullet"/>
      <w:lvlText w:val="•"/>
      <w:lvlJc w:val="left"/>
      <w:pPr>
        <w:ind w:left="4116" w:hanging="495"/>
      </w:pPr>
      <w:rPr>
        <w:rFonts w:hint="default"/>
      </w:rPr>
    </w:lvl>
    <w:lvl w:ilvl="5">
      <w:start w:val="1"/>
      <w:numFmt w:val="bullet"/>
      <w:lvlText w:val="•"/>
      <w:lvlJc w:val="left"/>
      <w:pPr>
        <w:ind w:left="4940" w:hanging="495"/>
      </w:pPr>
      <w:rPr>
        <w:rFonts w:hint="default"/>
      </w:rPr>
    </w:lvl>
    <w:lvl w:ilvl="6">
      <w:start w:val="1"/>
      <w:numFmt w:val="bullet"/>
      <w:lvlText w:val="•"/>
      <w:lvlJc w:val="left"/>
      <w:pPr>
        <w:ind w:left="5764" w:hanging="495"/>
      </w:pPr>
      <w:rPr>
        <w:rFonts w:hint="default"/>
      </w:rPr>
    </w:lvl>
    <w:lvl w:ilvl="7">
      <w:start w:val="1"/>
      <w:numFmt w:val="bullet"/>
      <w:lvlText w:val="•"/>
      <w:lvlJc w:val="left"/>
      <w:pPr>
        <w:ind w:left="6588" w:hanging="495"/>
      </w:pPr>
      <w:rPr>
        <w:rFonts w:hint="default"/>
      </w:rPr>
    </w:lvl>
    <w:lvl w:ilvl="8">
      <w:start w:val="1"/>
      <w:numFmt w:val="bullet"/>
      <w:lvlText w:val="•"/>
      <w:lvlJc w:val="left"/>
      <w:pPr>
        <w:ind w:left="7412" w:hanging="495"/>
      </w:pPr>
      <w:rPr>
        <w:rFonts w:hint="default"/>
      </w:rPr>
    </w:lvl>
  </w:abstractNum>
  <w:abstractNum w:abstractNumId="9">
    <w:multiLevelType w:val="hybridMultilevel"/>
    <w:lvl w:ilvl="0">
      <w:start w:val="2"/>
      <w:numFmt w:val="upperLetter"/>
      <w:lvlText w:val="%1"/>
      <w:lvlJc w:val="left"/>
      <w:pPr>
        <w:ind w:left="1318" w:hanging="629"/>
        <w:jc w:val="left"/>
      </w:pPr>
      <w:rPr>
        <w:rFonts w:hint="default"/>
      </w:rPr>
    </w:lvl>
    <w:lvl w:ilvl="1">
      <w:start w:val="2"/>
      <w:numFmt w:val="upperRoman"/>
      <w:lvlText w:val="%1.%2"/>
      <w:lvlJc w:val="left"/>
      <w:pPr>
        <w:ind w:left="1318" w:hanging="629"/>
        <w:jc w:val="left"/>
      </w:pPr>
      <w:rPr>
        <w:rFonts w:hint="default"/>
      </w:rPr>
    </w:lvl>
    <w:lvl w:ilvl="2">
      <w:start w:val="1"/>
      <w:numFmt w:val="decimal"/>
      <w:lvlText w:val="%1.%2.%3"/>
      <w:lvlJc w:val="left"/>
      <w:pPr>
        <w:ind w:left="1318" w:hanging="629"/>
        <w:jc w:val="left"/>
      </w:pPr>
      <w:rPr>
        <w:rFonts w:hint="default" w:ascii="Arial" w:hAnsi="Arial" w:eastAsia="Arial" w:cs="Arial"/>
        <w:color w:val="212121"/>
        <w:spacing w:val="-2"/>
        <w:w w:val="99"/>
        <w:sz w:val="24"/>
        <w:szCs w:val="24"/>
      </w:rPr>
    </w:lvl>
    <w:lvl w:ilvl="3">
      <w:start w:val="1"/>
      <w:numFmt w:val="bullet"/>
      <w:lvlText w:val="•"/>
      <w:lvlJc w:val="left"/>
      <w:pPr>
        <w:ind w:left="3606" w:hanging="629"/>
      </w:pPr>
      <w:rPr>
        <w:rFonts w:hint="default"/>
      </w:rPr>
    </w:lvl>
    <w:lvl w:ilvl="4">
      <w:start w:val="1"/>
      <w:numFmt w:val="bullet"/>
      <w:lvlText w:val="•"/>
      <w:lvlJc w:val="left"/>
      <w:pPr>
        <w:ind w:left="4368" w:hanging="629"/>
      </w:pPr>
      <w:rPr>
        <w:rFonts w:hint="default"/>
      </w:rPr>
    </w:lvl>
    <w:lvl w:ilvl="5">
      <w:start w:val="1"/>
      <w:numFmt w:val="bullet"/>
      <w:lvlText w:val="•"/>
      <w:lvlJc w:val="left"/>
      <w:pPr>
        <w:ind w:left="5130" w:hanging="629"/>
      </w:pPr>
      <w:rPr>
        <w:rFonts w:hint="default"/>
      </w:rPr>
    </w:lvl>
    <w:lvl w:ilvl="6">
      <w:start w:val="1"/>
      <w:numFmt w:val="bullet"/>
      <w:lvlText w:val="•"/>
      <w:lvlJc w:val="left"/>
      <w:pPr>
        <w:ind w:left="5892" w:hanging="629"/>
      </w:pPr>
      <w:rPr>
        <w:rFonts w:hint="default"/>
      </w:rPr>
    </w:lvl>
    <w:lvl w:ilvl="7">
      <w:start w:val="1"/>
      <w:numFmt w:val="bullet"/>
      <w:lvlText w:val="•"/>
      <w:lvlJc w:val="left"/>
      <w:pPr>
        <w:ind w:left="6654" w:hanging="629"/>
      </w:pPr>
      <w:rPr>
        <w:rFonts w:hint="default"/>
      </w:rPr>
    </w:lvl>
    <w:lvl w:ilvl="8">
      <w:start w:val="1"/>
      <w:numFmt w:val="bullet"/>
      <w:lvlText w:val="•"/>
      <w:lvlJc w:val="left"/>
      <w:pPr>
        <w:ind w:left="7416" w:hanging="629"/>
      </w:pPr>
      <w:rPr>
        <w:rFonts w:hint="default"/>
      </w:rPr>
    </w:lvl>
  </w:abstractNum>
  <w:abstractNum w:abstractNumId="8">
    <w:multiLevelType w:val="hybridMultilevel"/>
    <w:lvl w:ilvl="0">
      <w:start w:val="1"/>
      <w:numFmt w:val="upperRoman"/>
      <w:lvlText w:val="%1."/>
      <w:lvlJc w:val="left"/>
      <w:pPr>
        <w:ind w:left="822" w:hanging="495"/>
        <w:jc w:val="right"/>
      </w:pPr>
      <w:rPr>
        <w:rFonts w:hint="default"/>
        <w:b/>
        <w:bCs/>
        <w:spacing w:val="-2"/>
        <w:w w:val="99"/>
      </w:rPr>
    </w:lvl>
    <w:lvl w:ilvl="1">
      <w:start w:val="1"/>
      <w:numFmt w:val="bullet"/>
      <w:lvlText w:val="•"/>
      <w:lvlJc w:val="left"/>
      <w:pPr>
        <w:ind w:left="1658" w:hanging="495"/>
      </w:pPr>
      <w:rPr>
        <w:rFonts w:hint="default"/>
      </w:rPr>
    </w:lvl>
    <w:lvl w:ilvl="2">
      <w:start w:val="1"/>
      <w:numFmt w:val="bullet"/>
      <w:lvlText w:val="•"/>
      <w:lvlJc w:val="left"/>
      <w:pPr>
        <w:ind w:left="2496" w:hanging="495"/>
      </w:pPr>
      <w:rPr>
        <w:rFonts w:hint="default"/>
      </w:rPr>
    </w:lvl>
    <w:lvl w:ilvl="3">
      <w:start w:val="1"/>
      <w:numFmt w:val="bullet"/>
      <w:lvlText w:val="•"/>
      <w:lvlJc w:val="left"/>
      <w:pPr>
        <w:ind w:left="3334" w:hanging="495"/>
      </w:pPr>
      <w:rPr>
        <w:rFonts w:hint="default"/>
      </w:rPr>
    </w:lvl>
    <w:lvl w:ilvl="4">
      <w:start w:val="1"/>
      <w:numFmt w:val="bullet"/>
      <w:lvlText w:val="•"/>
      <w:lvlJc w:val="left"/>
      <w:pPr>
        <w:ind w:left="4172" w:hanging="495"/>
      </w:pPr>
      <w:rPr>
        <w:rFonts w:hint="default"/>
      </w:rPr>
    </w:lvl>
    <w:lvl w:ilvl="5">
      <w:start w:val="1"/>
      <w:numFmt w:val="bullet"/>
      <w:lvlText w:val="•"/>
      <w:lvlJc w:val="left"/>
      <w:pPr>
        <w:ind w:left="5010" w:hanging="495"/>
      </w:pPr>
      <w:rPr>
        <w:rFonts w:hint="default"/>
      </w:rPr>
    </w:lvl>
    <w:lvl w:ilvl="6">
      <w:start w:val="1"/>
      <w:numFmt w:val="bullet"/>
      <w:lvlText w:val="•"/>
      <w:lvlJc w:val="left"/>
      <w:pPr>
        <w:ind w:left="5848" w:hanging="495"/>
      </w:pPr>
      <w:rPr>
        <w:rFonts w:hint="default"/>
      </w:rPr>
    </w:lvl>
    <w:lvl w:ilvl="7">
      <w:start w:val="1"/>
      <w:numFmt w:val="bullet"/>
      <w:lvlText w:val="•"/>
      <w:lvlJc w:val="left"/>
      <w:pPr>
        <w:ind w:left="6686" w:hanging="495"/>
      </w:pPr>
      <w:rPr>
        <w:rFonts w:hint="default"/>
      </w:rPr>
    </w:lvl>
    <w:lvl w:ilvl="8">
      <w:start w:val="1"/>
      <w:numFmt w:val="bullet"/>
      <w:lvlText w:val="•"/>
      <w:lvlJc w:val="left"/>
      <w:pPr>
        <w:ind w:left="7524" w:hanging="495"/>
      </w:pPr>
      <w:rPr>
        <w:rFonts w:hint="default"/>
      </w:rPr>
    </w:lvl>
  </w:abstractNum>
  <w:abstractNum w:abstractNumId="7">
    <w:multiLevelType w:val="hybridMultilevel"/>
    <w:lvl w:ilvl="0">
      <w:start w:val="1"/>
      <w:numFmt w:val="bullet"/>
      <w:lvlText w:val=""/>
      <w:lvlJc w:val="left"/>
      <w:pPr>
        <w:ind w:left="702" w:hanging="360"/>
      </w:pPr>
      <w:rPr>
        <w:rFonts w:hint="default" w:ascii="Symbol" w:hAnsi="Symbol" w:eastAsia="Symbol" w:cs="Symbol"/>
        <w:w w:val="100"/>
        <w:sz w:val="24"/>
        <w:szCs w:val="24"/>
      </w:rPr>
    </w:lvl>
    <w:lvl w:ilvl="1">
      <w:start w:val="1"/>
      <w:numFmt w:val="bullet"/>
      <w:lvlText w:val="•"/>
      <w:lvlJc w:val="left"/>
      <w:pPr>
        <w:ind w:left="1524" w:hanging="360"/>
      </w:pPr>
      <w:rPr>
        <w:rFonts w:hint="default"/>
      </w:rPr>
    </w:lvl>
    <w:lvl w:ilvl="2">
      <w:start w:val="1"/>
      <w:numFmt w:val="bullet"/>
      <w:lvlText w:val="•"/>
      <w:lvlJc w:val="left"/>
      <w:pPr>
        <w:ind w:left="2348" w:hanging="360"/>
      </w:pPr>
      <w:rPr>
        <w:rFonts w:hint="default"/>
      </w:rPr>
    </w:lvl>
    <w:lvl w:ilvl="3">
      <w:start w:val="1"/>
      <w:numFmt w:val="bullet"/>
      <w:lvlText w:val="•"/>
      <w:lvlJc w:val="left"/>
      <w:pPr>
        <w:ind w:left="3172" w:hanging="360"/>
      </w:pPr>
      <w:rPr>
        <w:rFonts w:hint="default"/>
      </w:rPr>
    </w:lvl>
    <w:lvl w:ilvl="4">
      <w:start w:val="1"/>
      <w:numFmt w:val="bullet"/>
      <w:lvlText w:val="•"/>
      <w:lvlJc w:val="left"/>
      <w:pPr>
        <w:ind w:left="3996" w:hanging="360"/>
      </w:pPr>
      <w:rPr>
        <w:rFonts w:hint="default"/>
      </w:rPr>
    </w:lvl>
    <w:lvl w:ilvl="5">
      <w:start w:val="1"/>
      <w:numFmt w:val="bullet"/>
      <w:lvlText w:val="•"/>
      <w:lvlJc w:val="left"/>
      <w:pPr>
        <w:ind w:left="4820" w:hanging="360"/>
      </w:pPr>
      <w:rPr>
        <w:rFonts w:hint="default"/>
      </w:rPr>
    </w:lvl>
    <w:lvl w:ilvl="6">
      <w:start w:val="1"/>
      <w:numFmt w:val="bullet"/>
      <w:lvlText w:val="•"/>
      <w:lvlJc w:val="left"/>
      <w:pPr>
        <w:ind w:left="5644" w:hanging="360"/>
      </w:pPr>
      <w:rPr>
        <w:rFonts w:hint="default"/>
      </w:rPr>
    </w:lvl>
    <w:lvl w:ilvl="7">
      <w:start w:val="1"/>
      <w:numFmt w:val="bullet"/>
      <w:lvlText w:val="•"/>
      <w:lvlJc w:val="left"/>
      <w:pPr>
        <w:ind w:left="6468" w:hanging="360"/>
      </w:pPr>
      <w:rPr>
        <w:rFonts w:hint="default"/>
      </w:rPr>
    </w:lvl>
    <w:lvl w:ilvl="8">
      <w:start w:val="1"/>
      <w:numFmt w:val="bullet"/>
      <w:lvlText w:val="•"/>
      <w:lvlJc w:val="left"/>
      <w:pPr>
        <w:ind w:left="7292" w:hanging="360"/>
      </w:pPr>
      <w:rPr>
        <w:rFonts w:hint="default"/>
      </w:rPr>
    </w:lvl>
  </w:abstractNum>
  <w:abstractNum w:abstractNumId="6">
    <w:multiLevelType w:val="hybridMultilevel"/>
    <w:lvl w:ilvl="0">
      <w:start w:val="6"/>
      <w:numFmt w:val="decimal"/>
      <w:lvlText w:val="%1"/>
      <w:lvlJc w:val="left"/>
      <w:pPr>
        <w:ind w:left="584" w:hanging="403"/>
        <w:jc w:val="left"/>
      </w:pPr>
      <w:rPr>
        <w:rFonts w:hint="default"/>
      </w:rPr>
    </w:lvl>
    <w:lvl w:ilvl="1">
      <w:start w:val="2"/>
      <w:numFmt w:val="decimal"/>
      <w:lvlText w:val="%1.%2"/>
      <w:lvlJc w:val="left"/>
      <w:pPr>
        <w:ind w:left="102" w:hanging="403"/>
        <w:jc w:val="right"/>
      </w:pPr>
      <w:rPr>
        <w:rFonts w:hint="default"/>
        <w:b/>
        <w:bCs/>
        <w:i/>
        <w:w w:val="99"/>
      </w:rPr>
    </w:lvl>
    <w:lvl w:ilvl="2">
      <w:start w:val="1"/>
      <w:numFmt w:val="bullet"/>
      <w:lvlText w:val=""/>
      <w:lvlJc w:val="left"/>
      <w:pPr>
        <w:ind w:left="822" w:hanging="360"/>
      </w:pPr>
      <w:rPr>
        <w:rFonts w:hint="default" w:ascii="Symbol" w:hAnsi="Symbol" w:eastAsia="Symbol" w:cs="Symbol"/>
        <w:w w:val="100"/>
        <w:sz w:val="24"/>
        <w:szCs w:val="24"/>
      </w:rPr>
    </w:lvl>
    <w:lvl w:ilvl="3">
      <w:start w:val="1"/>
      <w:numFmt w:val="bullet"/>
      <w:lvlText w:val="•"/>
      <w:lvlJc w:val="left"/>
      <w:pPr>
        <w:ind w:left="1850" w:hanging="360"/>
      </w:pPr>
      <w:rPr>
        <w:rFonts w:hint="default"/>
      </w:rPr>
    </w:lvl>
    <w:lvl w:ilvl="4">
      <w:start w:val="1"/>
      <w:numFmt w:val="bullet"/>
      <w:lvlText w:val="•"/>
      <w:lvlJc w:val="left"/>
      <w:pPr>
        <w:ind w:left="2880" w:hanging="360"/>
      </w:pPr>
      <w:rPr>
        <w:rFonts w:hint="default"/>
      </w:rPr>
    </w:lvl>
    <w:lvl w:ilvl="5">
      <w:start w:val="1"/>
      <w:numFmt w:val="bullet"/>
      <w:lvlText w:val="•"/>
      <w:lvlJc w:val="left"/>
      <w:pPr>
        <w:ind w:left="3910" w:hanging="360"/>
      </w:pPr>
      <w:rPr>
        <w:rFonts w:hint="default"/>
      </w:rPr>
    </w:lvl>
    <w:lvl w:ilvl="6">
      <w:start w:val="1"/>
      <w:numFmt w:val="bullet"/>
      <w:lvlText w:val="•"/>
      <w:lvlJc w:val="left"/>
      <w:pPr>
        <w:ind w:left="4940" w:hanging="360"/>
      </w:pPr>
      <w:rPr>
        <w:rFonts w:hint="default"/>
      </w:rPr>
    </w:lvl>
    <w:lvl w:ilvl="7">
      <w:start w:val="1"/>
      <w:numFmt w:val="bullet"/>
      <w:lvlText w:val="•"/>
      <w:lvlJc w:val="left"/>
      <w:pPr>
        <w:ind w:left="5970" w:hanging="360"/>
      </w:pPr>
      <w:rPr>
        <w:rFonts w:hint="default"/>
      </w:rPr>
    </w:lvl>
    <w:lvl w:ilvl="8">
      <w:start w:val="1"/>
      <w:numFmt w:val="bullet"/>
      <w:lvlText w:val="•"/>
      <w:lvlJc w:val="left"/>
      <w:pPr>
        <w:ind w:left="7000" w:hanging="360"/>
      </w:pPr>
      <w:rPr>
        <w:rFonts w:hint="default"/>
      </w:rPr>
    </w:lvl>
  </w:abstractNum>
  <w:abstractNum w:abstractNumId="5">
    <w:multiLevelType w:val="hybridMultilevel"/>
    <w:lvl w:ilvl="0">
      <w:start w:val="1"/>
      <w:numFmt w:val="bullet"/>
      <w:lvlText w:val=""/>
      <w:lvlJc w:val="left"/>
      <w:pPr>
        <w:ind w:left="702" w:hanging="360"/>
      </w:pPr>
      <w:rPr>
        <w:rFonts w:hint="default" w:ascii="Symbol" w:hAnsi="Symbol" w:eastAsia="Symbol" w:cs="Symbol"/>
        <w:w w:val="100"/>
        <w:sz w:val="24"/>
        <w:szCs w:val="24"/>
      </w:rPr>
    </w:lvl>
    <w:lvl w:ilvl="1">
      <w:start w:val="1"/>
      <w:numFmt w:val="bullet"/>
      <w:lvlText w:val="o"/>
      <w:lvlJc w:val="left"/>
      <w:pPr>
        <w:ind w:left="1422" w:hanging="360"/>
      </w:pPr>
      <w:rPr>
        <w:rFonts w:hint="default" w:ascii="Courier New" w:hAnsi="Courier New" w:eastAsia="Courier New" w:cs="Courier New"/>
        <w:w w:val="100"/>
        <w:sz w:val="24"/>
        <w:szCs w:val="24"/>
      </w:rPr>
    </w:lvl>
    <w:lvl w:ilvl="2">
      <w:start w:val="1"/>
      <w:numFmt w:val="bullet"/>
      <w:lvlText w:val="•"/>
      <w:lvlJc w:val="left"/>
      <w:pPr>
        <w:ind w:left="2255" w:hanging="360"/>
      </w:pPr>
      <w:rPr>
        <w:rFonts w:hint="default"/>
      </w:rPr>
    </w:lvl>
    <w:lvl w:ilvl="3">
      <w:start w:val="1"/>
      <w:numFmt w:val="bullet"/>
      <w:lvlText w:val="•"/>
      <w:lvlJc w:val="left"/>
      <w:pPr>
        <w:ind w:left="3091" w:hanging="360"/>
      </w:pPr>
      <w:rPr>
        <w:rFonts w:hint="default"/>
      </w:rPr>
    </w:lvl>
    <w:lvl w:ilvl="4">
      <w:start w:val="1"/>
      <w:numFmt w:val="bullet"/>
      <w:lvlText w:val="•"/>
      <w:lvlJc w:val="left"/>
      <w:pPr>
        <w:ind w:left="3926" w:hanging="360"/>
      </w:pPr>
      <w:rPr>
        <w:rFonts w:hint="default"/>
      </w:rPr>
    </w:lvl>
    <w:lvl w:ilvl="5">
      <w:start w:val="1"/>
      <w:numFmt w:val="bullet"/>
      <w:lvlText w:val="•"/>
      <w:lvlJc w:val="left"/>
      <w:pPr>
        <w:ind w:left="4762" w:hanging="360"/>
      </w:pPr>
      <w:rPr>
        <w:rFonts w:hint="default"/>
      </w:rPr>
    </w:lvl>
    <w:lvl w:ilvl="6">
      <w:start w:val="1"/>
      <w:numFmt w:val="bullet"/>
      <w:lvlText w:val="•"/>
      <w:lvlJc w:val="left"/>
      <w:pPr>
        <w:ind w:left="5597" w:hanging="360"/>
      </w:pPr>
      <w:rPr>
        <w:rFonts w:hint="default"/>
      </w:rPr>
    </w:lvl>
    <w:lvl w:ilvl="7">
      <w:start w:val="1"/>
      <w:numFmt w:val="bullet"/>
      <w:lvlText w:val="•"/>
      <w:lvlJc w:val="left"/>
      <w:pPr>
        <w:ind w:left="6433" w:hanging="360"/>
      </w:pPr>
      <w:rPr>
        <w:rFonts w:hint="default"/>
      </w:rPr>
    </w:lvl>
    <w:lvl w:ilvl="8">
      <w:start w:val="1"/>
      <w:numFmt w:val="bullet"/>
      <w:lvlText w:val="•"/>
      <w:lvlJc w:val="left"/>
      <w:pPr>
        <w:ind w:left="7268" w:hanging="360"/>
      </w:pPr>
      <w:rPr>
        <w:rFonts w:hint="default"/>
      </w:rPr>
    </w:lvl>
  </w:abstractNum>
  <w:abstractNum w:abstractNumId="4">
    <w:multiLevelType w:val="hybridMultilevel"/>
    <w:lvl w:ilvl="0">
      <w:start w:val="1"/>
      <w:numFmt w:val="decimal"/>
      <w:lvlText w:val="%1."/>
      <w:lvlJc w:val="left"/>
      <w:pPr>
        <w:ind w:left="889" w:hanging="360"/>
        <w:jc w:val="right"/>
      </w:pPr>
      <w:rPr>
        <w:rFonts w:hint="default"/>
        <w:spacing w:val="-8"/>
        <w:w w:val="99"/>
      </w:rPr>
    </w:lvl>
    <w:lvl w:ilvl="1">
      <w:start w:val="1"/>
      <w:numFmt w:val="decimal"/>
      <w:lvlText w:val="%1.%2."/>
      <w:lvlJc w:val="left"/>
      <w:pPr>
        <w:ind w:left="570" w:hanging="468"/>
        <w:jc w:val="left"/>
      </w:pPr>
      <w:rPr>
        <w:rFonts w:hint="default" w:ascii="Arial" w:hAnsi="Arial" w:eastAsia="Arial" w:cs="Arial"/>
        <w:b/>
        <w:bCs/>
        <w:i/>
        <w:w w:val="99"/>
        <w:sz w:val="24"/>
        <w:szCs w:val="24"/>
      </w:rPr>
    </w:lvl>
    <w:lvl w:ilvl="2">
      <w:start w:val="1"/>
      <w:numFmt w:val="decimal"/>
      <w:lvlText w:val="%1.%2.%3."/>
      <w:lvlJc w:val="left"/>
      <w:pPr>
        <w:ind w:left="822" w:hanging="720"/>
        <w:jc w:val="left"/>
      </w:pPr>
      <w:rPr>
        <w:rFonts w:hint="default" w:ascii="Arial" w:hAnsi="Arial" w:eastAsia="Arial" w:cs="Arial"/>
        <w:spacing w:val="-2"/>
        <w:w w:val="99"/>
        <w:sz w:val="24"/>
        <w:szCs w:val="24"/>
      </w:rPr>
    </w:lvl>
    <w:lvl w:ilvl="3">
      <w:start w:val="1"/>
      <w:numFmt w:val="bullet"/>
      <w:lvlText w:val=""/>
      <w:lvlJc w:val="left"/>
      <w:pPr>
        <w:ind w:left="822" w:hanging="360"/>
      </w:pPr>
      <w:rPr>
        <w:rFonts w:hint="default" w:ascii="Symbol" w:hAnsi="Symbol" w:eastAsia="Symbol" w:cs="Symbol"/>
        <w:w w:val="100"/>
        <w:sz w:val="24"/>
        <w:szCs w:val="24"/>
      </w:rPr>
    </w:lvl>
    <w:lvl w:ilvl="4">
      <w:start w:val="1"/>
      <w:numFmt w:val="bullet"/>
      <w:lvlText w:val="•"/>
      <w:lvlJc w:val="left"/>
      <w:pPr>
        <w:ind w:left="2048" w:hanging="360"/>
      </w:pPr>
      <w:rPr>
        <w:rFonts w:hint="default"/>
      </w:rPr>
    </w:lvl>
    <w:lvl w:ilvl="5">
      <w:start w:val="1"/>
      <w:numFmt w:val="bullet"/>
      <w:lvlText w:val="•"/>
      <w:lvlJc w:val="left"/>
      <w:pPr>
        <w:ind w:left="3217" w:hanging="360"/>
      </w:pPr>
      <w:rPr>
        <w:rFonts w:hint="default"/>
      </w:rPr>
    </w:lvl>
    <w:lvl w:ilvl="6">
      <w:start w:val="1"/>
      <w:numFmt w:val="bullet"/>
      <w:lvlText w:val="•"/>
      <w:lvlJc w:val="left"/>
      <w:pPr>
        <w:ind w:left="4385" w:hanging="360"/>
      </w:pPr>
      <w:rPr>
        <w:rFonts w:hint="default"/>
      </w:rPr>
    </w:lvl>
    <w:lvl w:ilvl="7">
      <w:start w:val="1"/>
      <w:numFmt w:val="bullet"/>
      <w:lvlText w:val="•"/>
      <w:lvlJc w:val="left"/>
      <w:pPr>
        <w:ind w:left="5554" w:hanging="360"/>
      </w:pPr>
      <w:rPr>
        <w:rFonts w:hint="default"/>
      </w:rPr>
    </w:lvl>
    <w:lvl w:ilvl="8">
      <w:start w:val="1"/>
      <w:numFmt w:val="bullet"/>
      <w:lvlText w:val="•"/>
      <w:lvlJc w:val="left"/>
      <w:pPr>
        <w:ind w:left="6722" w:hanging="360"/>
      </w:pPr>
      <w:rPr>
        <w:rFonts w:hint="default"/>
      </w:rPr>
    </w:lvl>
  </w:abstractNum>
  <w:abstractNum w:abstractNumId="3">
    <w:multiLevelType w:val="hybridMultilevel"/>
    <w:lvl w:ilvl="0">
      <w:start w:val="1"/>
      <w:numFmt w:val="decimal"/>
      <w:lvlText w:val="%1."/>
      <w:lvlJc w:val="left"/>
      <w:pPr>
        <w:ind w:left="370" w:hanging="269"/>
        <w:jc w:val="left"/>
      </w:pPr>
      <w:rPr>
        <w:rFonts w:hint="default" w:ascii="Arial" w:hAnsi="Arial" w:eastAsia="Arial" w:cs="Arial"/>
        <w:b/>
        <w:bCs/>
        <w:spacing w:val="-2"/>
        <w:w w:val="99"/>
        <w:sz w:val="24"/>
        <w:szCs w:val="24"/>
      </w:rPr>
    </w:lvl>
    <w:lvl w:ilvl="1">
      <w:start w:val="1"/>
      <w:numFmt w:val="decimal"/>
      <w:lvlText w:val="%1.%2."/>
      <w:lvlJc w:val="left"/>
      <w:pPr>
        <w:ind w:left="102" w:hanging="468"/>
        <w:jc w:val="left"/>
      </w:pPr>
      <w:rPr>
        <w:rFonts w:hint="default"/>
        <w:b/>
        <w:bCs/>
        <w:i/>
        <w:w w:val="99"/>
      </w:rPr>
    </w:lvl>
    <w:lvl w:ilvl="2">
      <w:start w:val="1"/>
      <w:numFmt w:val="decimal"/>
      <w:lvlText w:val="%1.%2.%3."/>
      <w:lvlJc w:val="left"/>
      <w:pPr>
        <w:ind w:left="771" w:hanging="670"/>
        <w:jc w:val="left"/>
      </w:pPr>
      <w:rPr>
        <w:rFonts w:hint="default" w:ascii="Arial" w:hAnsi="Arial" w:eastAsia="Arial" w:cs="Arial"/>
        <w:b/>
        <w:bCs/>
        <w:i/>
        <w:color w:val="212121"/>
        <w:spacing w:val="-2"/>
        <w:w w:val="99"/>
        <w:sz w:val="24"/>
        <w:szCs w:val="24"/>
      </w:rPr>
    </w:lvl>
    <w:lvl w:ilvl="3">
      <w:start w:val="1"/>
      <w:numFmt w:val="decimal"/>
      <w:lvlText w:val="%1.%2.%3.%4."/>
      <w:lvlJc w:val="left"/>
      <w:pPr>
        <w:ind w:left="990" w:hanging="869"/>
        <w:jc w:val="left"/>
      </w:pPr>
      <w:rPr>
        <w:rFonts w:hint="default" w:ascii="Arial" w:hAnsi="Arial" w:eastAsia="Arial" w:cs="Arial"/>
        <w:b/>
        <w:bCs/>
        <w:color w:val="212121"/>
        <w:spacing w:val="-2"/>
        <w:w w:val="99"/>
        <w:sz w:val="24"/>
        <w:szCs w:val="24"/>
      </w:rPr>
    </w:lvl>
    <w:lvl w:ilvl="4">
      <w:start w:val="1"/>
      <w:numFmt w:val="bullet"/>
      <w:lvlText w:val=""/>
      <w:lvlJc w:val="left"/>
      <w:pPr>
        <w:ind w:left="822" w:hanging="360"/>
      </w:pPr>
      <w:rPr>
        <w:rFonts w:hint="default"/>
        <w:w w:val="100"/>
      </w:rPr>
    </w:lvl>
    <w:lvl w:ilvl="5">
      <w:start w:val="1"/>
      <w:numFmt w:val="bullet"/>
      <w:lvlText w:val="o"/>
      <w:lvlJc w:val="left"/>
      <w:pPr>
        <w:ind w:left="1422" w:hanging="360"/>
      </w:pPr>
      <w:rPr>
        <w:rFonts w:hint="default" w:ascii="Courier New" w:hAnsi="Courier New" w:eastAsia="Courier New" w:cs="Courier New"/>
        <w:w w:val="100"/>
        <w:sz w:val="24"/>
        <w:szCs w:val="24"/>
      </w:rPr>
    </w:lvl>
    <w:lvl w:ilvl="6">
      <w:start w:val="1"/>
      <w:numFmt w:val="bullet"/>
      <w:lvlText w:val="•"/>
      <w:lvlJc w:val="left"/>
      <w:pPr>
        <w:ind w:left="1540" w:hanging="360"/>
      </w:pPr>
      <w:rPr>
        <w:rFonts w:hint="default"/>
      </w:rPr>
    </w:lvl>
    <w:lvl w:ilvl="7">
      <w:start w:val="1"/>
      <w:numFmt w:val="bullet"/>
      <w:lvlText w:val="•"/>
      <w:lvlJc w:val="left"/>
      <w:pPr>
        <w:ind w:left="3390" w:hanging="360"/>
      </w:pPr>
      <w:rPr>
        <w:rFonts w:hint="default"/>
      </w:rPr>
    </w:lvl>
    <w:lvl w:ilvl="8">
      <w:start w:val="1"/>
      <w:numFmt w:val="bullet"/>
      <w:lvlText w:val="•"/>
      <w:lvlJc w:val="left"/>
      <w:pPr>
        <w:ind w:left="5240" w:hanging="360"/>
      </w:pPr>
      <w:rPr>
        <w:rFonts w:hint="default"/>
      </w:rPr>
    </w:lvl>
  </w:abstractNum>
  <w:abstractNum w:abstractNumId="2">
    <w:multiLevelType w:val="hybridMultilevel"/>
    <w:lvl w:ilvl="0">
      <w:start w:val="6"/>
      <w:numFmt w:val="decimal"/>
      <w:lvlText w:val="%1"/>
      <w:lvlJc w:val="left"/>
      <w:pPr>
        <w:ind w:left="723" w:hanging="401"/>
        <w:jc w:val="left"/>
      </w:pPr>
      <w:rPr>
        <w:rFonts w:hint="default"/>
      </w:rPr>
    </w:lvl>
    <w:lvl w:ilvl="1">
      <w:start w:val="2"/>
      <w:numFmt w:val="decimal"/>
      <w:lvlText w:val="%1.%2"/>
      <w:lvlJc w:val="left"/>
      <w:pPr>
        <w:ind w:left="322" w:hanging="401"/>
        <w:jc w:val="left"/>
      </w:pPr>
      <w:rPr>
        <w:rFonts w:hint="default" w:ascii="Arial" w:hAnsi="Arial" w:eastAsia="Arial" w:cs="Arial"/>
        <w:w w:val="99"/>
        <w:sz w:val="24"/>
        <w:szCs w:val="24"/>
      </w:rPr>
    </w:lvl>
    <w:lvl w:ilvl="2">
      <w:start w:val="1"/>
      <w:numFmt w:val="bullet"/>
      <w:lvlText w:val="•"/>
      <w:lvlJc w:val="left"/>
      <w:pPr>
        <w:ind w:left="1646" w:hanging="401"/>
      </w:pPr>
      <w:rPr>
        <w:rFonts w:hint="default"/>
      </w:rPr>
    </w:lvl>
    <w:lvl w:ilvl="3">
      <w:start w:val="1"/>
      <w:numFmt w:val="bullet"/>
      <w:lvlText w:val="•"/>
      <w:lvlJc w:val="left"/>
      <w:pPr>
        <w:ind w:left="2573" w:hanging="401"/>
      </w:pPr>
      <w:rPr>
        <w:rFonts w:hint="default"/>
      </w:rPr>
    </w:lvl>
    <w:lvl w:ilvl="4">
      <w:start w:val="1"/>
      <w:numFmt w:val="bullet"/>
      <w:lvlText w:val="•"/>
      <w:lvlJc w:val="left"/>
      <w:pPr>
        <w:ind w:left="3500" w:hanging="401"/>
      </w:pPr>
      <w:rPr>
        <w:rFonts w:hint="default"/>
      </w:rPr>
    </w:lvl>
    <w:lvl w:ilvl="5">
      <w:start w:val="1"/>
      <w:numFmt w:val="bullet"/>
      <w:lvlText w:val="•"/>
      <w:lvlJc w:val="left"/>
      <w:pPr>
        <w:ind w:left="4426" w:hanging="401"/>
      </w:pPr>
      <w:rPr>
        <w:rFonts w:hint="default"/>
      </w:rPr>
    </w:lvl>
    <w:lvl w:ilvl="6">
      <w:start w:val="1"/>
      <w:numFmt w:val="bullet"/>
      <w:lvlText w:val="•"/>
      <w:lvlJc w:val="left"/>
      <w:pPr>
        <w:ind w:left="5353" w:hanging="401"/>
      </w:pPr>
      <w:rPr>
        <w:rFonts w:hint="default"/>
      </w:rPr>
    </w:lvl>
    <w:lvl w:ilvl="7">
      <w:start w:val="1"/>
      <w:numFmt w:val="bullet"/>
      <w:lvlText w:val="•"/>
      <w:lvlJc w:val="left"/>
      <w:pPr>
        <w:ind w:left="6280" w:hanging="401"/>
      </w:pPr>
      <w:rPr>
        <w:rFonts w:hint="default"/>
      </w:rPr>
    </w:lvl>
    <w:lvl w:ilvl="8">
      <w:start w:val="1"/>
      <w:numFmt w:val="bullet"/>
      <w:lvlText w:val="•"/>
      <w:lvlJc w:val="left"/>
      <w:pPr>
        <w:ind w:left="7206" w:hanging="401"/>
      </w:pPr>
      <w:rPr>
        <w:rFonts w:hint="default"/>
      </w:rPr>
    </w:lvl>
  </w:abstractNum>
  <w:abstractNum w:abstractNumId="1">
    <w:multiLevelType w:val="hybridMultilevel"/>
    <w:lvl w:ilvl="0">
      <w:start w:val="1"/>
      <w:numFmt w:val="decimal"/>
      <w:lvlText w:val="%1."/>
      <w:lvlJc w:val="left"/>
      <w:pPr>
        <w:ind w:left="370" w:hanging="269"/>
        <w:jc w:val="left"/>
      </w:pPr>
      <w:rPr>
        <w:rFonts w:hint="default" w:ascii="Arial" w:hAnsi="Arial" w:eastAsia="Arial" w:cs="Arial"/>
        <w:w w:val="99"/>
        <w:sz w:val="24"/>
        <w:szCs w:val="24"/>
      </w:rPr>
    </w:lvl>
    <w:lvl w:ilvl="1">
      <w:start w:val="1"/>
      <w:numFmt w:val="decimal"/>
      <w:lvlText w:val="%1.%2."/>
      <w:lvlJc w:val="left"/>
      <w:pPr>
        <w:ind w:left="322" w:hanging="468"/>
        <w:jc w:val="left"/>
      </w:pPr>
      <w:rPr>
        <w:rFonts w:hint="default" w:ascii="Arial" w:hAnsi="Arial" w:eastAsia="Arial" w:cs="Arial"/>
        <w:w w:val="99"/>
        <w:sz w:val="24"/>
        <w:szCs w:val="24"/>
      </w:rPr>
    </w:lvl>
    <w:lvl w:ilvl="2">
      <w:start w:val="1"/>
      <w:numFmt w:val="decimal"/>
      <w:lvlText w:val="%1.%2.%3."/>
      <w:lvlJc w:val="left"/>
      <w:pPr>
        <w:ind w:left="991" w:hanging="669"/>
        <w:jc w:val="left"/>
      </w:pPr>
      <w:rPr>
        <w:rFonts w:hint="default" w:ascii="Arial" w:hAnsi="Arial" w:eastAsia="Arial" w:cs="Arial"/>
        <w:spacing w:val="-2"/>
        <w:w w:val="99"/>
        <w:sz w:val="24"/>
        <w:szCs w:val="24"/>
      </w:rPr>
    </w:lvl>
    <w:lvl w:ilvl="3">
      <w:start w:val="1"/>
      <w:numFmt w:val="decimal"/>
      <w:lvlText w:val="%1.%2.%3.%4."/>
      <w:lvlJc w:val="left"/>
      <w:pPr>
        <w:ind w:left="1408" w:hanging="868"/>
        <w:jc w:val="left"/>
      </w:pPr>
      <w:rPr>
        <w:rFonts w:hint="default" w:ascii="Arial" w:hAnsi="Arial" w:eastAsia="Arial" w:cs="Arial"/>
        <w:spacing w:val="-2"/>
        <w:w w:val="99"/>
        <w:sz w:val="24"/>
        <w:szCs w:val="24"/>
      </w:rPr>
    </w:lvl>
    <w:lvl w:ilvl="4">
      <w:start w:val="1"/>
      <w:numFmt w:val="bullet"/>
      <w:lvlText w:val="•"/>
      <w:lvlJc w:val="left"/>
      <w:pPr>
        <w:ind w:left="1400" w:hanging="868"/>
      </w:pPr>
      <w:rPr>
        <w:rFonts w:hint="default"/>
      </w:rPr>
    </w:lvl>
    <w:lvl w:ilvl="5">
      <w:start w:val="1"/>
      <w:numFmt w:val="bullet"/>
      <w:lvlText w:val="•"/>
      <w:lvlJc w:val="left"/>
      <w:pPr>
        <w:ind w:left="2676" w:hanging="868"/>
      </w:pPr>
      <w:rPr>
        <w:rFonts w:hint="default"/>
      </w:rPr>
    </w:lvl>
    <w:lvl w:ilvl="6">
      <w:start w:val="1"/>
      <w:numFmt w:val="bullet"/>
      <w:lvlText w:val="•"/>
      <w:lvlJc w:val="left"/>
      <w:pPr>
        <w:ind w:left="3953" w:hanging="868"/>
      </w:pPr>
      <w:rPr>
        <w:rFonts w:hint="default"/>
      </w:rPr>
    </w:lvl>
    <w:lvl w:ilvl="7">
      <w:start w:val="1"/>
      <w:numFmt w:val="bullet"/>
      <w:lvlText w:val="•"/>
      <w:lvlJc w:val="left"/>
      <w:pPr>
        <w:ind w:left="5230" w:hanging="868"/>
      </w:pPr>
      <w:rPr>
        <w:rFonts w:hint="default"/>
      </w:rPr>
    </w:lvl>
    <w:lvl w:ilvl="8">
      <w:start w:val="1"/>
      <w:numFmt w:val="bullet"/>
      <w:lvlText w:val="•"/>
      <w:lvlJc w:val="left"/>
      <w:pPr>
        <w:ind w:left="6506" w:hanging="868"/>
      </w:pPr>
      <w:rPr>
        <w:rFonts w:hint="default"/>
      </w:rPr>
    </w:lvl>
  </w:abstractNum>
  <w:abstractNum w:abstractNumId="0">
    <w:multiLevelType w:val="hybridMultilevel"/>
    <w:lvl w:ilvl="0">
      <w:start w:val="1"/>
      <w:numFmt w:val="bullet"/>
      <w:lvlText w:val=""/>
      <w:lvlJc w:val="left"/>
      <w:pPr>
        <w:ind w:left="1146" w:hanging="372"/>
      </w:pPr>
      <w:rPr>
        <w:rFonts w:hint="default" w:ascii="Symbol" w:hAnsi="Symbol" w:eastAsia="Symbol" w:cs="Symbol"/>
        <w:w w:val="100"/>
        <w:sz w:val="28"/>
        <w:szCs w:val="28"/>
      </w:rPr>
    </w:lvl>
    <w:lvl w:ilvl="1">
      <w:start w:val="1"/>
      <w:numFmt w:val="bullet"/>
      <w:lvlText w:val="•"/>
      <w:lvlJc w:val="left"/>
      <w:pPr>
        <w:ind w:left="1946" w:hanging="372"/>
      </w:pPr>
      <w:rPr>
        <w:rFonts w:hint="default"/>
      </w:rPr>
    </w:lvl>
    <w:lvl w:ilvl="2">
      <w:start w:val="1"/>
      <w:numFmt w:val="bullet"/>
      <w:lvlText w:val="•"/>
      <w:lvlJc w:val="left"/>
      <w:pPr>
        <w:ind w:left="2752" w:hanging="372"/>
      </w:pPr>
      <w:rPr>
        <w:rFonts w:hint="default"/>
      </w:rPr>
    </w:lvl>
    <w:lvl w:ilvl="3">
      <w:start w:val="1"/>
      <w:numFmt w:val="bullet"/>
      <w:lvlText w:val="•"/>
      <w:lvlJc w:val="left"/>
      <w:pPr>
        <w:ind w:left="3558" w:hanging="372"/>
      </w:pPr>
      <w:rPr>
        <w:rFonts w:hint="default"/>
      </w:rPr>
    </w:lvl>
    <w:lvl w:ilvl="4">
      <w:start w:val="1"/>
      <w:numFmt w:val="bullet"/>
      <w:lvlText w:val="•"/>
      <w:lvlJc w:val="left"/>
      <w:pPr>
        <w:ind w:left="4364" w:hanging="372"/>
      </w:pPr>
      <w:rPr>
        <w:rFonts w:hint="default"/>
      </w:rPr>
    </w:lvl>
    <w:lvl w:ilvl="5">
      <w:start w:val="1"/>
      <w:numFmt w:val="bullet"/>
      <w:lvlText w:val="•"/>
      <w:lvlJc w:val="left"/>
      <w:pPr>
        <w:ind w:left="5171" w:hanging="372"/>
      </w:pPr>
      <w:rPr>
        <w:rFonts w:hint="default"/>
      </w:rPr>
    </w:lvl>
    <w:lvl w:ilvl="6">
      <w:start w:val="1"/>
      <w:numFmt w:val="bullet"/>
      <w:lvlText w:val="•"/>
      <w:lvlJc w:val="left"/>
      <w:pPr>
        <w:ind w:left="5977" w:hanging="372"/>
      </w:pPr>
      <w:rPr>
        <w:rFonts w:hint="default"/>
      </w:rPr>
    </w:lvl>
    <w:lvl w:ilvl="7">
      <w:start w:val="1"/>
      <w:numFmt w:val="bullet"/>
      <w:lvlText w:val="•"/>
      <w:lvlJc w:val="left"/>
      <w:pPr>
        <w:ind w:left="6783" w:hanging="372"/>
      </w:pPr>
      <w:rPr>
        <w:rFonts w:hint="default"/>
      </w:rPr>
    </w:lvl>
    <w:lvl w:ilvl="8">
      <w:start w:val="1"/>
      <w:numFmt w:val="bullet"/>
      <w:lvlText w:val="•"/>
      <w:lvlJc w:val="left"/>
      <w:pPr>
        <w:ind w:left="7589" w:hanging="372"/>
      </w:pPr>
      <w:rPr>
        <w:rFonts w:hint="default"/>
      </w:rPr>
    </w:lvl>
  </w:abstractNum>
  <w:num w:numId="16">
    <w:abstractNumId w:val="15"/>
  </w:num>
  <w:num w:numId="15">
    <w:abstractNumId w:val="14"/>
  </w:num>
  <w:num w:numId="14">
    <w:abstractNumId w:val="13"/>
  </w:num>
  <w:num w:numId="13">
    <w:abstractNumId w:val="12"/>
  </w:num>
  <w:num w:numId="12">
    <w:abstractNumId w:val="11"/>
  </w:num>
  <w:num w:numId="11">
    <w:abstractNumId w:val="10"/>
  </w:num>
  <w:num w:numId="10">
    <w:abstractNumId w:val="9"/>
  </w:num>
  <w:num w:numId="9">
    <w:abstractNumId w:val="8"/>
  </w:num>
  <w:num w:numId="8">
    <w:abstractNumId w:val="7"/>
  </w:num>
  <w:num w:numId="7">
    <w:abstractNumId w:val="6"/>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Arial" w:hAnsi="Arial" w:eastAsia="Arial" w:cs="Arial"/>
    </w:rPr>
  </w:style>
  <w:style w:styleId="TOC1" w:type="paragraph">
    <w:name w:val="TOC 1"/>
    <w:basedOn w:val="Normal"/>
    <w:uiPriority w:val="1"/>
    <w:qFormat/>
    <w:pPr>
      <w:spacing w:before="242"/>
      <w:ind w:left="102"/>
    </w:pPr>
    <w:rPr>
      <w:rFonts w:ascii="Arial" w:hAnsi="Arial" w:eastAsia="Arial" w:cs="Arial"/>
      <w:sz w:val="24"/>
      <w:szCs w:val="24"/>
    </w:rPr>
  </w:style>
  <w:style w:styleId="TOC2" w:type="paragraph">
    <w:name w:val="TOC 2"/>
    <w:basedOn w:val="Normal"/>
    <w:uiPriority w:val="1"/>
    <w:qFormat/>
    <w:pPr>
      <w:spacing w:before="207"/>
      <w:ind w:left="102"/>
    </w:pPr>
    <w:rPr>
      <w:rFonts w:ascii="Arial" w:hAnsi="Arial" w:eastAsia="Arial" w:cs="Arial"/>
      <w:b/>
      <w:bCs/>
      <w:i/>
    </w:rPr>
  </w:style>
  <w:style w:styleId="TOC3" w:type="paragraph">
    <w:name w:val="TOC 3"/>
    <w:basedOn w:val="Normal"/>
    <w:uiPriority w:val="1"/>
    <w:qFormat/>
    <w:pPr>
      <w:spacing w:before="41"/>
      <w:ind w:left="147"/>
    </w:pPr>
    <w:rPr>
      <w:rFonts w:ascii="Arial" w:hAnsi="Arial" w:eastAsia="Arial" w:cs="Arial"/>
      <w:sz w:val="24"/>
      <w:szCs w:val="24"/>
    </w:rPr>
  </w:style>
  <w:style w:styleId="TOC4" w:type="paragraph">
    <w:name w:val="TOC 4"/>
    <w:basedOn w:val="Normal"/>
    <w:uiPriority w:val="1"/>
    <w:qFormat/>
    <w:pPr>
      <w:spacing w:before="242"/>
      <w:ind w:left="322" w:hanging="669"/>
    </w:pPr>
    <w:rPr>
      <w:rFonts w:ascii="Arial" w:hAnsi="Arial" w:eastAsia="Arial" w:cs="Arial"/>
      <w:sz w:val="24"/>
      <w:szCs w:val="24"/>
    </w:rPr>
  </w:style>
  <w:style w:styleId="TOC5" w:type="paragraph">
    <w:name w:val="TOC 5"/>
    <w:basedOn w:val="Normal"/>
    <w:uiPriority w:val="1"/>
    <w:qFormat/>
    <w:pPr>
      <w:spacing w:before="106"/>
      <w:ind w:left="1408" w:hanging="867"/>
    </w:pPr>
    <w:rPr>
      <w:rFonts w:ascii="Arial" w:hAnsi="Arial" w:eastAsia="Arial" w:cs="Arial"/>
      <w:sz w:val="24"/>
      <w:szCs w:val="24"/>
    </w:rPr>
  </w:style>
  <w:style w:styleId="BodyText" w:type="paragraph">
    <w:name w:val="Body Text"/>
    <w:basedOn w:val="Normal"/>
    <w:uiPriority w:val="1"/>
    <w:qFormat/>
    <w:pPr/>
    <w:rPr>
      <w:rFonts w:ascii="Arial" w:hAnsi="Arial" w:eastAsia="Arial" w:cs="Arial"/>
      <w:sz w:val="24"/>
      <w:szCs w:val="24"/>
    </w:rPr>
  </w:style>
  <w:style w:styleId="Heading1" w:type="paragraph">
    <w:name w:val="Heading 1"/>
    <w:basedOn w:val="Normal"/>
    <w:uiPriority w:val="1"/>
    <w:qFormat/>
    <w:pPr>
      <w:ind w:left="102"/>
      <w:jc w:val="both"/>
      <w:outlineLvl w:val="1"/>
    </w:pPr>
    <w:rPr>
      <w:rFonts w:ascii="Arial" w:hAnsi="Arial" w:eastAsia="Arial" w:cs="Arial"/>
      <w:b/>
      <w:bCs/>
      <w:sz w:val="24"/>
      <w:szCs w:val="24"/>
    </w:rPr>
  </w:style>
  <w:style w:styleId="Heading2" w:type="paragraph">
    <w:name w:val="Heading 2"/>
    <w:basedOn w:val="Normal"/>
    <w:uiPriority w:val="1"/>
    <w:qFormat/>
    <w:pPr>
      <w:ind w:left="102" w:hanging="669"/>
      <w:jc w:val="both"/>
      <w:outlineLvl w:val="2"/>
    </w:pPr>
    <w:rPr>
      <w:rFonts w:ascii="Arial" w:hAnsi="Arial" w:eastAsia="Arial" w:cs="Arial"/>
      <w:b/>
      <w:bCs/>
      <w:i/>
      <w:sz w:val="24"/>
      <w:szCs w:val="24"/>
    </w:rPr>
  </w:style>
  <w:style w:styleId="ListParagraph" w:type="paragraph">
    <w:name w:val="List Paragraph"/>
    <w:basedOn w:val="Normal"/>
    <w:uiPriority w:val="1"/>
    <w:qFormat/>
    <w:pPr>
      <w:ind w:left="822" w:hanging="360"/>
    </w:pPr>
    <w:rPr>
      <w:rFonts w:ascii="Arial" w:hAnsi="Arial" w:eastAsia="Arial" w:cs="Arial"/>
    </w:rPr>
  </w:style>
  <w:style w:styleId="TableParagraph" w:type="paragraph">
    <w:name w:val="Table Paragraph"/>
    <w:basedOn w:val="Normal"/>
    <w:uiPriority w:val="1"/>
    <w:qFormat/>
    <w:pPr>
      <w:jc w:val="center"/>
    </w:pPr>
    <w:rPr>
      <w:rFonts w:ascii="Arial" w:hAnsi="Arial" w:eastAsia="Arial" w:cs="Arial"/>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jpeg"/><Relationship Id="rId6" Type="http://schemas.openxmlformats.org/officeDocument/2006/relationships/image" Target="media/image2.jpeg"/><Relationship Id="rId7" Type="http://schemas.openxmlformats.org/officeDocument/2006/relationships/image" Target="media/image3.png"/><Relationship Id="rId8" Type="http://schemas.openxmlformats.org/officeDocument/2006/relationships/footer" Target="footer1.xml"/><Relationship Id="rId9" Type="http://schemas.openxmlformats.org/officeDocument/2006/relationships/footer" Target="footer2.xml"/><Relationship Id="rId10" Type="http://schemas.openxmlformats.org/officeDocument/2006/relationships/footer" Target="footer3.xml"/><Relationship Id="rId11" Type="http://schemas.openxmlformats.org/officeDocument/2006/relationships/footer" Target="footer4.xml"/><Relationship Id="rId12" Type="http://schemas.openxmlformats.org/officeDocument/2006/relationships/image" Target="media/image4.png"/><Relationship Id="rId13" Type="http://schemas.openxmlformats.org/officeDocument/2006/relationships/footer" Target="footer5.xml"/><Relationship Id="rId14" Type="http://schemas.openxmlformats.org/officeDocument/2006/relationships/footer" Target="footer6.xml"/><Relationship Id="rId15" Type="http://schemas.openxmlformats.org/officeDocument/2006/relationships/footer" Target="footer7.xml"/><Relationship Id="rId16" Type="http://schemas.openxmlformats.org/officeDocument/2006/relationships/image" Target="media/image5.png"/><Relationship Id="rId17" Type="http://schemas.openxmlformats.org/officeDocument/2006/relationships/footer" Target="footer8.xml"/><Relationship Id="rId18" Type="http://schemas.openxmlformats.org/officeDocument/2006/relationships/image" Target="media/image6.png"/><Relationship Id="rId19" Type="http://schemas.openxmlformats.org/officeDocument/2006/relationships/footer" Target="footer9.xml"/><Relationship Id="rId20" Type="http://schemas.openxmlformats.org/officeDocument/2006/relationships/footer" Target="footer10.xml"/><Relationship Id="rId21" Type="http://schemas.openxmlformats.org/officeDocument/2006/relationships/footer" Target="footer11.xml"/><Relationship Id="rId22" Type="http://schemas.openxmlformats.org/officeDocument/2006/relationships/image" Target="media/image7.png"/><Relationship Id="rId23" Type="http://schemas.openxmlformats.org/officeDocument/2006/relationships/image" Target="media/image8.png"/><Relationship Id="rId24" Type="http://schemas.openxmlformats.org/officeDocument/2006/relationships/image" Target="media/image9.png"/><Relationship Id="rId25" Type="http://schemas.openxmlformats.org/officeDocument/2006/relationships/image" Target="media/image10.png"/><Relationship Id="rId26" Type="http://schemas.openxmlformats.org/officeDocument/2006/relationships/image" Target="media/image11.png"/><Relationship Id="rId27" Type="http://schemas.openxmlformats.org/officeDocument/2006/relationships/image" Target="media/image12.png"/><Relationship Id="rId28" Type="http://schemas.openxmlformats.org/officeDocument/2006/relationships/image" Target="media/image13.png"/><Relationship Id="rId29" Type="http://schemas.openxmlformats.org/officeDocument/2006/relationships/image" Target="media/image14.png"/><Relationship Id="rId30" Type="http://schemas.openxmlformats.org/officeDocument/2006/relationships/image" Target="media/image15.png"/><Relationship Id="rId31" Type="http://schemas.openxmlformats.org/officeDocument/2006/relationships/image" Target="media/image16.png"/><Relationship Id="rId32" Type="http://schemas.openxmlformats.org/officeDocument/2006/relationships/image" Target="media/image17.png"/><Relationship Id="rId33" Type="http://schemas.openxmlformats.org/officeDocument/2006/relationships/image" Target="media/image18.png"/><Relationship Id="rId34" Type="http://schemas.openxmlformats.org/officeDocument/2006/relationships/image" Target="media/image19.png"/><Relationship Id="rId35" Type="http://schemas.openxmlformats.org/officeDocument/2006/relationships/image" Target="media/image20.png"/><Relationship Id="rId36" Type="http://schemas.openxmlformats.org/officeDocument/2006/relationships/footer" Target="footer12.xml"/><Relationship Id="rId37" Type="http://schemas.openxmlformats.org/officeDocument/2006/relationships/footer" Target="footer13.xml"/><Relationship Id="rId38" Type="http://schemas.openxmlformats.org/officeDocument/2006/relationships/image" Target="media/image21.png"/><Relationship Id="rId39" Type="http://schemas.openxmlformats.org/officeDocument/2006/relationships/image" Target="media/image22.png"/><Relationship Id="rId40" Type="http://schemas.openxmlformats.org/officeDocument/2006/relationships/image" Target="media/image23.png"/><Relationship Id="rId41" Type="http://schemas.openxmlformats.org/officeDocument/2006/relationships/image" Target="media/image24.png"/><Relationship Id="rId42" Type="http://schemas.openxmlformats.org/officeDocument/2006/relationships/image" Target="media/image25.png"/><Relationship Id="rId43" Type="http://schemas.openxmlformats.org/officeDocument/2006/relationships/image" Target="media/image26.png"/><Relationship Id="rId44" Type="http://schemas.openxmlformats.org/officeDocument/2006/relationships/image" Target="media/image27.png"/><Relationship Id="rId45" Type="http://schemas.openxmlformats.org/officeDocument/2006/relationships/image" Target="media/image28.png"/><Relationship Id="rId46" Type="http://schemas.openxmlformats.org/officeDocument/2006/relationships/image" Target="media/image29.png"/><Relationship Id="rId47" Type="http://schemas.openxmlformats.org/officeDocument/2006/relationships/image" Target="media/image30.png"/><Relationship Id="rId48" Type="http://schemas.openxmlformats.org/officeDocument/2006/relationships/image" Target="media/image31.png"/><Relationship Id="rId49" Type="http://schemas.openxmlformats.org/officeDocument/2006/relationships/image" Target="media/image32.png"/><Relationship Id="rId50" Type="http://schemas.openxmlformats.org/officeDocument/2006/relationships/image" Target="media/image33.png"/><Relationship Id="rId51" Type="http://schemas.openxmlformats.org/officeDocument/2006/relationships/image" Target="media/image34.png"/><Relationship Id="rId52" Type="http://schemas.openxmlformats.org/officeDocument/2006/relationships/image" Target="media/image35.png"/><Relationship Id="rId53" Type="http://schemas.openxmlformats.org/officeDocument/2006/relationships/hyperlink" Target="http://apps.who.int/medicinedocs/es/d/Js8121s/7.3.html" TargetMode="External"/><Relationship Id="rId54" Type="http://schemas.openxmlformats.org/officeDocument/2006/relationships/hyperlink" Target="http://www.chem.agilent.com/Library/slidepresentation/Public/E%20seminar%20USP%202013.pdf" TargetMode="External"/><Relationship Id="rId55" Type="http://schemas.openxmlformats.org/officeDocument/2006/relationships/hyperlink" Target="http://www.ich.org/home.html" TargetMode="External"/><Relationship Id="rId56" Type="http://schemas.openxmlformats.org/officeDocument/2006/relationships/hyperlink" Target="http://www.ich.org/products/guidelines.html" TargetMode="External"/><Relationship Id="rId57" Type="http://schemas.openxmlformats.org/officeDocument/2006/relationships/hyperlink" Target="http://www.usp.org/es/usp" TargetMode="External"/><Relationship Id="rId58" Type="http://schemas.openxmlformats.org/officeDocument/2006/relationships/footer" Target="footer14.xml"/><Relationship Id="rId59" Type="http://schemas.openxmlformats.org/officeDocument/2006/relationships/hyperlink" Target="http://www.news-medical.net/news/20120524/12138/Spanish.aspx" TargetMode="External"/><Relationship Id="rId60" Type="http://schemas.openxmlformats.org/officeDocument/2006/relationships/hyperlink" Target="http://www.perkinelmer.com/PDFs/downloads/WHT_Implementation-of-" TargetMode="External"/><Relationship Id="rId61" Type="http://schemas.openxmlformats.org/officeDocument/2006/relationships/hyperlink" Target="http://www.usp.org/sites/default/files/usp_pdf/EN/USPNF/key-issues/233----2s_usp_35---final.pdf" TargetMode="External"/><Relationship Id="rId62" Type="http://schemas.openxmlformats.org/officeDocument/2006/relationships/hyperlink" Target="http://www.usp.org/sites/default/files/usp_pdf/EN/USPNF/key-issues/c232_final.pdf" TargetMode="External"/><Relationship Id="rId63" Type="http://schemas.openxmlformats.org/officeDocument/2006/relationships/hyperlink" Target="http://www.ich.org/fileadmin/Public_Web_Site/ICH_Products/Guidelines/Quality/Q2_R1/Step4/Q2_R1__Guideline.pdf" TargetMode="External"/><Relationship Id="rId64" Type="http://schemas.openxmlformats.org/officeDocument/2006/relationships/hyperlink" Target="http://www.qvision.es/blogs/joaquin-fernandez/2011/02/%C2%BFque-es-la-fda/" TargetMode="External"/><Relationship Id="rId65" Type="http://schemas.openxmlformats.org/officeDocument/2006/relationships/footer" Target="footer15.xml"/><Relationship Id="rId66" Type="http://schemas.openxmlformats.org/officeDocument/2006/relationships/hyperlink" Target="http://crustal.usgs.gov/laboratories/icpms/intro.html" TargetMode="External"/><Relationship Id="rId67" Type="http://schemas.openxmlformats.org/officeDocument/2006/relationships/hyperlink" Target="http://www.perkinelmer.com/PDFs/Downloads/tch_icpmsthirtyminuteguide.pdf" TargetMode="External"/><Relationship Id="rId68" Type="http://schemas.openxmlformats.org/officeDocument/2006/relationships/hyperlink" Target="http://www.fda.gov/downloads/Regulatoryinformation/Guidances/ucm127984.pdf" TargetMode="External"/><Relationship Id="rId69" Type="http://schemas.openxmlformats.org/officeDocument/2006/relationships/footer" Target="footer16.xml"/><Relationship Id="rId70" Type="http://schemas.openxmlformats.org/officeDocument/2006/relationships/footer" Target="footer17.xml"/><Relationship Id="rId71" Type="http://schemas.openxmlformats.org/officeDocument/2006/relationships/image" Target="media/image36.png"/><Relationship Id="rId72" Type="http://schemas.openxmlformats.org/officeDocument/2006/relationships/image" Target="media/image37.png"/><Relationship Id="rId73" Type="http://schemas.openxmlformats.org/officeDocument/2006/relationships/image" Target="media/image38.png"/><Relationship Id="rId74" Type="http://schemas.openxmlformats.org/officeDocument/2006/relationships/image" Target="media/image39.png"/><Relationship Id="rId75" Type="http://schemas.openxmlformats.org/officeDocument/2006/relationships/footer" Target="footer18.xml"/><Relationship Id="rId76" Type="http://schemas.openxmlformats.org/officeDocument/2006/relationships/footer" Target="footer19.xml"/><Relationship Id="rId77" Type="http://schemas.openxmlformats.org/officeDocument/2006/relationships/image" Target="media/image40.png"/><Relationship Id="rId78" Type="http://schemas.openxmlformats.org/officeDocument/2006/relationships/footer" Target="footer20.xml"/><Relationship Id="rId79" Type="http://schemas.openxmlformats.org/officeDocument/2006/relationships/footer" Target="footer21.xml"/><Relationship Id="rId80" Type="http://schemas.openxmlformats.org/officeDocument/2006/relationships/footer" Target="footer22.xml"/><Relationship Id="rId81" Type="http://schemas.openxmlformats.org/officeDocument/2006/relationships/footer" Target="footer23.xml"/><Relationship Id="rId82" Type="http://schemas.openxmlformats.org/officeDocument/2006/relationships/image" Target="media/image41.png"/><Relationship Id="rId83" Type="http://schemas.openxmlformats.org/officeDocument/2006/relationships/image" Target="media/image42.png"/><Relationship Id="rId84" Type="http://schemas.openxmlformats.org/officeDocument/2006/relationships/image" Target="media/image43.png"/><Relationship Id="rId85" Type="http://schemas.openxmlformats.org/officeDocument/2006/relationships/image" Target="media/image44.png"/><Relationship Id="rId86" Type="http://schemas.openxmlformats.org/officeDocument/2006/relationships/footer" Target="footer24.xml"/><Relationship Id="rId87" Type="http://schemas.openxmlformats.org/officeDocument/2006/relationships/footer" Target="footer25.xml"/><Relationship Id="rId88" Type="http://schemas.openxmlformats.org/officeDocument/2006/relationships/footer" Target="footer26.xml"/><Relationship Id="rId89" Type="http://schemas.openxmlformats.org/officeDocument/2006/relationships/image" Target="media/image45.png"/><Relationship Id="rId90"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pariza</dc:creator>
  <dcterms:created xsi:type="dcterms:W3CDTF">2017-05-20T01:46:27Z</dcterms:created>
  <dcterms:modified xsi:type="dcterms:W3CDTF">2017-05-20T01:46:27Z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2016-04-04T00:00:00Z</vt:filetime>
  </property>
  <property fmtid="{D5CDD505-2E9C-101B-9397-08002B2CF9AE}" pid="3" name="Creator">
    <vt:lpwstr>Microsoft® Office Word 2007</vt:lpwstr>
  </property>
  <property fmtid="{D5CDD505-2E9C-101B-9397-08002B2CF9AE}" pid="4" name="LastSaved">
    <vt:filetime>2017-05-19T00:00:00Z</vt:filetime>
  </property>
</Properties>
</file>